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A4AFC">
      <w:pPr>
        <w:rPr>
          <w:rFonts w:hint="default" w:ascii="Times New Roman" w:hAnsi="Times New Roman" w:eastAsia="仿宋_GB2312" w:cs="Times New Roman"/>
          <w:color w:val="auto"/>
          <w:sz w:val="36"/>
          <w:szCs w:val="36"/>
          <w:highlight w:val="none"/>
          <w:lang w:eastAsia="zh-CN"/>
        </w:rPr>
      </w:pPr>
      <w:bookmarkStart w:id="20" w:name="_GoBack"/>
      <w:bookmarkEnd w:id="20"/>
    </w:p>
    <w:p w14:paraId="0C090DB9">
      <w:pPr>
        <w:adjustRightInd w:val="0"/>
        <w:snapToGrid w:val="0"/>
        <w:spacing w:line="480" w:lineRule="auto"/>
        <w:rPr>
          <w:rFonts w:hint="default" w:ascii="Times New Roman" w:hAnsi="Times New Roman" w:eastAsia="方正小标宋_GBK" w:cs="Times New Roman"/>
          <w:bCs/>
          <w:color w:val="auto"/>
          <w:sz w:val="72"/>
          <w:szCs w:val="72"/>
          <w:highlight w:val="none"/>
        </w:rPr>
      </w:pPr>
      <w:bookmarkStart w:id="0" w:name="_Toc1400"/>
      <w:bookmarkStart w:id="1" w:name="_Toc5844"/>
      <w:r>
        <w:rPr>
          <w:rFonts w:hint="default" w:ascii="Times New Roman" w:hAnsi="Times New Roman" w:eastAsia="方正小标宋_GBK" w:cs="Times New Roman"/>
          <w:bCs/>
          <w:color w:val="auto"/>
          <w:sz w:val="72"/>
          <w:szCs w:val="72"/>
          <w:highlight w:val="none"/>
        </w:rPr>
        <w:t>建设项目环境影响报告表</w:t>
      </w:r>
      <w:bookmarkEnd w:id="0"/>
      <w:bookmarkEnd w:id="1"/>
    </w:p>
    <w:p w14:paraId="7DF67E53">
      <w:pPr>
        <w:adjustRightInd w:val="0"/>
        <w:snapToGrid w:val="0"/>
        <w:spacing w:line="480" w:lineRule="auto"/>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526E0B1E">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616E94CC">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266FCDA1">
      <w:pPr>
        <w:adjustRightInd w:val="0"/>
        <w:snapToGrid w:val="0"/>
        <w:spacing w:line="480" w:lineRule="auto"/>
        <w:rPr>
          <w:rFonts w:hint="default" w:ascii="Times New Roman" w:hAnsi="Times New Roman" w:eastAsia="楷体_GB2312" w:cs="Times New Roman"/>
          <w:bCs/>
          <w:color w:val="auto"/>
          <w:sz w:val="48"/>
          <w:szCs w:val="48"/>
          <w:highlight w:val="none"/>
        </w:rPr>
      </w:pPr>
    </w:p>
    <w:p w14:paraId="7B047B8B">
      <w:pPr>
        <w:adjustRightInd w:val="0"/>
        <w:snapToGrid w:val="0"/>
        <w:spacing w:line="480" w:lineRule="auto"/>
        <w:rPr>
          <w:rFonts w:hint="default" w:ascii="Times New Roman" w:hAnsi="Times New Roman" w:eastAsia="宋体" w:cs="Times New Roman"/>
          <w:b w:val="0"/>
          <w:bCs w:val="0"/>
          <w:color w:val="auto"/>
          <w:sz w:val="32"/>
          <w:szCs w:val="32"/>
          <w:highlight w:val="none"/>
          <w:u w:val="single"/>
          <w:lang w:val="en-US" w:eastAsia="zh-CN"/>
        </w:rPr>
      </w:pPr>
      <w:r>
        <w:rPr>
          <w:rFonts w:hint="default" w:ascii="Times New Roman" w:hAnsi="Times New Roman" w:eastAsia="宋体" w:cs="Times New Roman"/>
          <w:b w:val="0"/>
          <w:bCs w:val="0"/>
          <w:color w:val="auto"/>
          <w:sz w:val="32"/>
          <w:szCs w:val="32"/>
          <w:highlight w:val="none"/>
        </w:rPr>
        <w:t>项目名称：</w:t>
      </w:r>
      <w:r>
        <w:rPr>
          <w:rFonts w:hint="default" w:ascii="Times New Roman" w:hAnsi="Times New Roman" w:cs="Times New Roman"/>
          <w:b w:val="0"/>
          <w:bCs w:val="0"/>
          <w:color w:val="auto"/>
          <w:sz w:val="32"/>
          <w:szCs w:val="32"/>
          <w:highlight w:val="none"/>
          <w:u w:val="single"/>
          <w:lang w:val="en-US" w:eastAsia="zh-CN"/>
        </w:rPr>
        <w:t>广西北部湾国际集装箱码头有限公司集装箱修理项目</w:t>
      </w:r>
    </w:p>
    <w:p w14:paraId="50C7A07F">
      <w:pPr>
        <w:adjustRightInd w:val="0"/>
        <w:snapToGrid w:val="0"/>
        <w:spacing w:line="480" w:lineRule="auto"/>
        <w:rPr>
          <w:rFonts w:hint="default" w:ascii="Times New Roman" w:hAnsi="Times New Roman" w:eastAsia="宋体" w:cs="Times New Roman"/>
          <w:b w:val="0"/>
          <w:bCs w:val="0"/>
          <w:color w:val="auto"/>
          <w:sz w:val="32"/>
          <w:szCs w:val="32"/>
          <w:highlight w:val="none"/>
          <w:lang w:val="en-US"/>
        </w:rPr>
      </w:pPr>
      <w:r>
        <w:rPr>
          <w:rFonts w:hint="default" w:ascii="Times New Roman" w:hAnsi="Times New Roman" w:eastAsia="宋体" w:cs="Times New Roman"/>
          <w:b w:val="0"/>
          <w:bCs w:val="0"/>
          <w:color w:val="auto"/>
          <w:sz w:val="32"/>
          <w:szCs w:val="32"/>
          <w:highlight w:val="none"/>
        </w:rPr>
        <w:t>建设单位（盖章）：</w:t>
      </w:r>
      <w:r>
        <w:rPr>
          <w:rFonts w:hint="default" w:ascii="Times New Roman" w:hAnsi="Times New Roman" w:cs="Times New Roman"/>
          <w:b w:val="0"/>
          <w:bCs w:val="0"/>
          <w:color w:val="auto"/>
          <w:sz w:val="32"/>
          <w:szCs w:val="32"/>
          <w:highlight w:val="none"/>
          <w:u w:val="single"/>
          <w:lang w:val="en-US" w:eastAsia="zh-CN"/>
        </w:rPr>
        <w:t>广西北部湾国际集装箱码头有限公司</w:t>
      </w:r>
    </w:p>
    <w:p w14:paraId="75289DDE">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r>
        <w:rPr>
          <w:rFonts w:hint="default" w:ascii="Times New Roman" w:hAnsi="Times New Roman" w:eastAsia="宋体" w:cs="Times New Roman"/>
          <w:b w:val="0"/>
          <w:bCs w:val="0"/>
          <w:color w:val="auto"/>
          <w:sz w:val="32"/>
          <w:szCs w:val="32"/>
          <w:highlight w:val="none"/>
        </w:rPr>
        <w:t>编制日期：</w:t>
      </w:r>
      <w:r>
        <w:rPr>
          <w:rFonts w:hint="default" w:ascii="Times New Roman" w:hAnsi="Times New Roman" w:eastAsia="宋体" w:cs="Times New Roman"/>
          <w:b w:val="0"/>
          <w:bCs w:val="0"/>
          <w:color w:val="auto"/>
          <w:sz w:val="32"/>
          <w:szCs w:val="32"/>
          <w:highlight w:val="none"/>
          <w:u w:val="single"/>
          <w:lang w:val="en-US" w:eastAsia="zh-CN"/>
        </w:rPr>
        <w:t>202</w:t>
      </w:r>
      <w:r>
        <w:rPr>
          <w:rFonts w:hint="eastAsia" w:cs="Times New Roman"/>
          <w:b w:val="0"/>
          <w:bCs w:val="0"/>
          <w:color w:val="auto"/>
          <w:sz w:val="32"/>
          <w:szCs w:val="32"/>
          <w:highlight w:val="none"/>
          <w:u w:val="single"/>
          <w:lang w:val="en-US" w:eastAsia="zh-CN"/>
        </w:rPr>
        <w:t>5</w:t>
      </w:r>
      <w:r>
        <w:rPr>
          <w:rFonts w:hint="default" w:ascii="Times New Roman" w:hAnsi="Times New Roman" w:eastAsia="宋体" w:cs="Times New Roman"/>
          <w:b w:val="0"/>
          <w:bCs w:val="0"/>
          <w:color w:val="auto"/>
          <w:sz w:val="32"/>
          <w:szCs w:val="32"/>
          <w:highlight w:val="none"/>
          <w:u w:val="single"/>
          <w:lang w:val="en-US" w:eastAsia="zh-CN"/>
        </w:rPr>
        <w:t>年</w:t>
      </w:r>
      <w:r>
        <w:rPr>
          <w:rFonts w:hint="default" w:ascii="Times New Roman" w:hAnsi="Times New Roman" w:cs="Times New Roman"/>
          <w:b w:val="0"/>
          <w:bCs w:val="0"/>
          <w:color w:val="auto"/>
          <w:sz w:val="32"/>
          <w:szCs w:val="32"/>
          <w:highlight w:val="none"/>
          <w:u w:val="single"/>
          <w:lang w:val="en-US" w:eastAsia="zh-CN"/>
        </w:rPr>
        <w:t>1</w:t>
      </w:r>
      <w:r>
        <w:rPr>
          <w:rFonts w:hint="default" w:ascii="Times New Roman" w:hAnsi="Times New Roman" w:eastAsia="宋体" w:cs="Times New Roman"/>
          <w:b w:val="0"/>
          <w:bCs w:val="0"/>
          <w:color w:val="auto"/>
          <w:sz w:val="32"/>
          <w:szCs w:val="32"/>
          <w:highlight w:val="none"/>
          <w:u w:val="single"/>
          <w:lang w:val="en-US" w:eastAsia="zh-CN"/>
        </w:rPr>
        <w:t>月</w:t>
      </w:r>
    </w:p>
    <w:p w14:paraId="23CD9A81">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727B4826">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55C7BB52">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3F83F49">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34C67D7">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07A0BE5C">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single"/>
          <w:lang w:val="en-US" w:eastAsia="zh-CN"/>
        </w:rPr>
      </w:pPr>
    </w:p>
    <w:p w14:paraId="5874BD54">
      <w:pPr>
        <w:adjustRightInd w:val="0"/>
        <w:snapToGrid w:val="0"/>
        <w:spacing w:line="288" w:lineRule="auto"/>
        <w:jc w:val="center"/>
        <w:rPr>
          <w:rFonts w:hint="default" w:ascii="Times New Roman" w:hAnsi="Times New Roman" w:eastAsia="楷体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olor w:val="auto"/>
          <w:sz w:val="36"/>
          <w:szCs w:val="36"/>
          <w:highlight w:val="none"/>
          <w:lang w:val="en-US" w:eastAsia="zh-CN"/>
        </w:rPr>
        <w:t>中华人民共和国生态环境部</w:t>
      </w:r>
      <w:r>
        <w:rPr>
          <w:rFonts w:hint="default" w:ascii="Times New Roman" w:hAnsi="Times New Roman" w:eastAsia="楷体_GB2312" w:cs="Times New Roman"/>
          <w:color w:val="auto"/>
          <w:sz w:val="36"/>
          <w:szCs w:val="36"/>
          <w:highlight w:val="none"/>
        </w:rPr>
        <w:t>制</w:t>
      </w:r>
    </w:p>
    <w:p w14:paraId="533C3395">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项目现场照片</w:t>
      </w:r>
    </w:p>
    <w:tbl>
      <w:tblPr>
        <w:tblStyle w:val="4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18"/>
      </w:tblGrid>
      <w:tr w14:paraId="6326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542" w:type="dxa"/>
            <w:shd w:val="clear" w:color="auto" w:fill="auto"/>
            <w:noWrap w:val="0"/>
            <w:vAlign w:val="center"/>
          </w:tcPr>
          <w:p w14:paraId="5031F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u w:val="none"/>
                <w:lang w:eastAsia="zh-CN"/>
              </w:rPr>
              <w:drawing>
                <wp:inline distT="0" distB="0" distL="114300" distR="114300">
                  <wp:extent cx="2692400" cy="2019300"/>
                  <wp:effectExtent l="0" t="0" r="12700" b="0"/>
                  <wp:docPr id="13" name="图片 13" descr="DJI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JI_0031"/>
                          <pic:cNvPicPr>
                            <a:picLocks noChangeAspect="1"/>
                          </pic:cNvPicPr>
                        </pic:nvPicPr>
                        <pic:blipFill>
                          <a:blip r:embed="rId9"/>
                          <a:stretch>
                            <a:fillRect/>
                          </a:stretch>
                        </pic:blipFill>
                        <pic:spPr>
                          <a:xfrm>
                            <a:off x="0" y="0"/>
                            <a:ext cx="2692400" cy="2019300"/>
                          </a:xfrm>
                          <a:prstGeom prst="rect">
                            <a:avLst/>
                          </a:prstGeom>
                        </pic:spPr>
                      </pic:pic>
                    </a:graphicData>
                  </a:graphic>
                </wp:inline>
              </w:drawing>
            </w:r>
          </w:p>
        </w:tc>
        <w:tc>
          <w:tcPr>
            <w:tcW w:w="4518" w:type="dxa"/>
            <w:shd w:val="clear" w:color="auto" w:fill="auto"/>
            <w:noWrap w:val="0"/>
            <w:vAlign w:val="center"/>
          </w:tcPr>
          <w:p w14:paraId="3E147A3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5" name="图片 15" descr="DJI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JI_0026"/>
                          <pic:cNvPicPr>
                            <a:picLocks noChangeAspect="1"/>
                          </pic:cNvPicPr>
                        </pic:nvPicPr>
                        <pic:blipFill>
                          <a:blip r:embed="rId10"/>
                          <a:stretch>
                            <a:fillRect/>
                          </a:stretch>
                        </pic:blipFill>
                        <pic:spPr>
                          <a:xfrm>
                            <a:off x="0" y="0"/>
                            <a:ext cx="2743200" cy="2057400"/>
                          </a:xfrm>
                          <a:prstGeom prst="rect">
                            <a:avLst/>
                          </a:prstGeom>
                        </pic:spPr>
                      </pic:pic>
                    </a:graphicData>
                  </a:graphic>
                </wp:inline>
              </w:drawing>
            </w:r>
          </w:p>
        </w:tc>
      </w:tr>
      <w:tr w14:paraId="6436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shd w:val="clear" w:color="auto" w:fill="auto"/>
            <w:noWrap w:val="0"/>
            <w:vAlign w:val="center"/>
          </w:tcPr>
          <w:p w14:paraId="048B43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东</w:t>
            </w:r>
            <w:r>
              <w:rPr>
                <w:rFonts w:hint="default" w:ascii="Times New Roman" w:hAnsi="Times New Roman" w:cs="Times New Roman"/>
                <w:b/>
                <w:bCs/>
                <w:color w:val="auto"/>
                <w:sz w:val="24"/>
                <w:szCs w:val="24"/>
                <w:highlight w:val="none"/>
                <w:u w:val="none"/>
                <w:lang w:val="en-US" w:eastAsia="zh-CN"/>
              </w:rPr>
              <w:t>面情况</w:t>
            </w:r>
          </w:p>
        </w:tc>
        <w:tc>
          <w:tcPr>
            <w:tcW w:w="4518" w:type="dxa"/>
            <w:shd w:val="clear" w:color="auto" w:fill="auto"/>
            <w:noWrap w:val="0"/>
            <w:vAlign w:val="center"/>
          </w:tcPr>
          <w:p w14:paraId="411EBD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南</w:t>
            </w:r>
            <w:r>
              <w:rPr>
                <w:rFonts w:hint="default" w:ascii="Times New Roman" w:hAnsi="Times New Roman" w:cs="Times New Roman"/>
                <w:b/>
                <w:bCs/>
                <w:color w:val="auto"/>
                <w:sz w:val="24"/>
                <w:szCs w:val="24"/>
                <w:highlight w:val="none"/>
                <w:u w:val="none"/>
                <w:lang w:val="en-US" w:eastAsia="zh-CN"/>
              </w:rPr>
              <w:t>面情况</w:t>
            </w:r>
          </w:p>
        </w:tc>
      </w:tr>
      <w:tr w14:paraId="3403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42" w:type="dxa"/>
            <w:noWrap w:val="0"/>
            <w:vAlign w:val="center"/>
          </w:tcPr>
          <w:p w14:paraId="1F8BEFE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7" name="图片 17" descr="DJI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JI_0035"/>
                          <pic:cNvPicPr>
                            <a:picLocks noChangeAspect="1"/>
                          </pic:cNvPicPr>
                        </pic:nvPicPr>
                        <pic:blipFill>
                          <a:blip r:embed="rId11"/>
                          <a:stretch>
                            <a:fillRect/>
                          </a:stretch>
                        </pic:blipFill>
                        <pic:spPr>
                          <a:xfrm>
                            <a:off x="0" y="0"/>
                            <a:ext cx="2743200" cy="2057400"/>
                          </a:xfrm>
                          <a:prstGeom prst="rect">
                            <a:avLst/>
                          </a:prstGeom>
                        </pic:spPr>
                      </pic:pic>
                    </a:graphicData>
                  </a:graphic>
                </wp:inline>
              </w:drawing>
            </w:r>
          </w:p>
        </w:tc>
        <w:tc>
          <w:tcPr>
            <w:tcW w:w="4518" w:type="dxa"/>
            <w:noWrap w:val="0"/>
            <w:vAlign w:val="center"/>
          </w:tcPr>
          <w:p w14:paraId="470BD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eastAsia="宋体" w:cs="Times New Roman"/>
                <w:color w:val="auto"/>
                <w:szCs w:val="21"/>
                <w:highlight w:val="none"/>
                <w:u w:val="none"/>
                <w:lang w:eastAsia="zh-CN"/>
              </w:rPr>
              <w:drawing>
                <wp:inline distT="0" distB="0" distL="114300" distR="114300">
                  <wp:extent cx="2743200" cy="2057400"/>
                  <wp:effectExtent l="0" t="0" r="0" b="0"/>
                  <wp:docPr id="16" name="图片 16" descr="DJI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0014"/>
                          <pic:cNvPicPr>
                            <a:picLocks noChangeAspect="1"/>
                          </pic:cNvPicPr>
                        </pic:nvPicPr>
                        <pic:blipFill>
                          <a:blip r:embed="rId12"/>
                          <a:stretch>
                            <a:fillRect/>
                          </a:stretch>
                        </pic:blipFill>
                        <pic:spPr>
                          <a:xfrm>
                            <a:off x="0" y="0"/>
                            <a:ext cx="2743200" cy="2057400"/>
                          </a:xfrm>
                          <a:prstGeom prst="rect">
                            <a:avLst/>
                          </a:prstGeom>
                        </pic:spPr>
                      </pic:pic>
                    </a:graphicData>
                  </a:graphic>
                </wp:inline>
              </w:drawing>
            </w:r>
          </w:p>
        </w:tc>
      </w:tr>
      <w:tr w14:paraId="2D58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193DA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val="en-US" w:eastAsia="zh-CN"/>
              </w:rPr>
              <w:t>项目</w:t>
            </w:r>
            <w:r>
              <w:rPr>
                <w:rFonts w:hint="eastAsia" w:cs="Times New Roman"/>
                <w:b/>
                <w:bCs/>
                <w:color w:val="auto"/>
                <w:sz w:val="24"/>
                <w:szCs w:val="24"/>
                <w:highlight w:val="none"/>
                <w:u w:val="none"/>
                <w:lang w:val="en-US" w:eastAsia="zh-CN"/>
              </w:rPr>
              <w:t>西</w:t>
            </w:r>
            <w:r>
              <w:rPr>
                <w:rFonts w:hint="default" w:ascii="Times New Roman" w:hAnsi="Times New Roman" w:cs="Times New Roman"/>
                <w:b/>
                <w:bCs/>
                <w:color w:val="auto"/>
                <w:sz w:val="24"/>
                <w:szCs w:val="24"/>
                <w:highlight w:val="none"/>
                <w:u w:val="none"/>
                <w:lang w:val="en-US" w:eastAsia="zh-CN"/>
              </w:rPr>
              <w:t>面情况</w:t>
            </w:r>
          </w:p>
        </w:tc>
        <w:tc>
          <w:tcPr>
            <w:tcW w:w="4518" w:type="dxa"/>
            <w:noWrap w:val="0"/>
            <w:vAlign w:val="center"/>
          </w:tcPr>
          <w:p w14:paraId="2845A2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val="en-US" w:eastAsia="zh-CN"/>
              </w:rPr>
              <w:t>项目北面情况</w:t>
            </w:r>
          </w:p>
        </w:tc>
      </w:tr>
      <w:tr w14:paraId="72D6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9F932F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drawing>
                <wp:inline distT="0" distB="0" distL="114300" distR="114300">
                  <wp:extent cx="2743200" cy="2057400"/>
                  <wp:effectExtent l="0" t="0" r="0" b="0"/>
                  <wp:docPr id="1" name="图片 1" descr="DJI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JI_0017"/>
                          <pic:cNvPicPr>
                            <a:picLocks noChangeAspect="1"/>
                          </pic:cNvPicPr>
                        </pic:nvPicPr>
                        <pic:blipFill>
                          <a:blip r:embed="rId13"/>
                          <a:stretch>
                            <a:fillRect/>
                          </a:stretch>
                        </pic:blipFill>
                        <pic:spPr>
                          <a:xfrm>
                            <a:off x="0" y="0"/>
                            <a:ext cx="2743200" cy="2057400"/>
                          </a:xfrm>
                          <a:prstGeom prst="rect">
                            <a:avLst/>
                          </a:prstGeom>
                        </pic:spPr>
                      </pic:pic>
                    </a:graphicData>
                  </a:graphic>
                </wp:inline>
              </w:drawing>
            </w:r>
          </w:p>
        </w:tc>
        <w:tc>
          <w:tcPr>
            <w:tcW w:w="4518" w:type="dxa"/>
            <w:noWrap w:val="0"/>
            <w:vAlign w:val="center"/>
          </w:tcPr>
          <w:p w14:paraId="709DE81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drawing>
                <wp:inline distT="0" distB="0" distL="114300" distR="114300">
                  <wp:extent cx="2692400" cy="2019300"/>
                  <wp:effectExtent l="0" t="0" r="12700" b="0"/>
                  <wp:docPr id="9" name="图片 9" descr="DJI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027"/>
                          <pic:cNvPicPr>
                            <a:picLocks noChangeAspect="1"/>
                          </pic:cNvPicPr>
                        </pic:nvPicPr>
                        <pic:blipFill>
                          <a:blip r:embed="rId14"/>
                          <a:stretch>
                            <a:fillRect/>
                          </a:stretch>
                        </pic:blipFill>
                        <pic:spPr>
                          <a:xfrm>
                            <a:off x="0" y="0"/>
                            <a:ext cx="2692400" cy="2019300"/>
                          </a:xfrm>
                          <a:prstGeom prst="rect">
                            <a:avLst/>
                          </a:prstGeom>
                        </pic:spPr>
                      </pic:pic>
                    </a:graphicData>
                  </a:graphic>
                </wp:inline>
              </w:drawing>
            </w:r>
          </w:p>
        </w:tc>
      </w:tr>
      <w:tr w14:paraId="2EF0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542" w:type="dxa"/>
            <w:noWrap w:val="0"/>
            <w:vAlign w:val="center"/>
          </w:tcPr>
          <w:p w14:paraId="0F426FA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项目</w:t>
            </w:r>
            <w:r>
              <w:rPr>
                <w:rFonts w:hint="default" w:ascii="Times New Roman" w:hAnsi="Times New Roman" w:cs="Times New Roman"/>
                <w:b/>
                <w:bCs/>
                <w:color w:val="auto"/>
                <w:sz w:val="24"/>
                <w:szCs w:val="24"/>
                <w:highlight w:val="none"/>
                <w:u w:val="none"/>
                <w:lang w:val="en-US" w:eastAsia="zh-CN"/>
              </w:rPr>
              <w:t>场地现状</w:t>
            </w:r>
            <w:r>
              <w:rPr>
                <w:rFonts w:hint="eastAsia" w:cs="Times New Roman"/>
                <w:b/>
                <w:bCs/>
                <w:color w:val="auto"/>
                <w:sz w:val="24"/>
                <w:szCs w:val="24"/>
                <w:highlight w:val="none"/>
                <w:u w:val="none"/>
                <w:lang w:val="en-US" w:eastAsia="zh-CN"/>
              </w:rPr>
              <w:t>1</w:t>
            </w:r>
          </w:p>
        </w:tc>
        <w:tc>
          <w:tcPr>
            <w:tcW w:w="4518" w:type="dxa"/>
            <w:noWrap w:val="0"/>
            <w:vAlign w:val="center"/>
          </w:tcPr>
          <w:p w14:paraId="1E514B7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项目</w:t>
            </w:r>
            <w:r>
              <w:rPr>
                <w:rFonts w:hint="default" w:ascii="Times New Roman" w:hAnsi="Times New Roman" w:cs="Times New Roman"/>
                <w:b/>
                <w:bCs/>
                <w:color w:val="auto"/>
                <w:sz w:val="24"/>
                <w:szCs w:val="24"/>
                <w:highlight w:val="none"/>
                <w:u w:val="none"/>
                <w:lang w:val="en-US" w:eastAsia="zh-CN"/>
              </w:rPr>
              <w:t>场地现状</w:t>
            </w:r>
            <w:r>
              <w:rPr>
                <w:rFonts w:hint="eastAsia" w:cs="Times New Roman"/>
                <w:b/>
                <w:bCs/>
                <w:color w:val="auto"/>
                <w:sz w:val="24"/>
                <w:szCs w:val="24"/>
                <w:highlight w:val="none"/>
                <w:u w:val="none"/>
                <w:lang w:val="en-US" w:eastAsia="zh-CN"/>
              </w:rPr>
              <w:t>2</w:t>
            </w:r>
          </w:p>
        </w:tc>
      </w:tr>
    </w:tbl>
    <w:p w14:paraId="211B36C7">
      <w:pPr>
        <w:jc w:val="center"/>
        <w:rPr>
          <w:rFonts w:hint="default" w:ascii="Times New Roman" w:hAnsi="Times New Roman" w:cs="Times New Roman"/>
          <w:b/>
          <w:bCs/>
          <w:color w:val="auto"/>
          <w:sz w:val="32"/>
          <w:szCs w:val="32"/>
          <w:highlight w:val="none"/>
          <w:lang w:eastAsia="zh-CN"/>
        </w:rPr>
      </w:pPr>
      <w:r>
        <w:rPr>
          <w:rFonts w:hint="default" w:ascii="Times New Roman" w:hAnsi="Times New Roman" w:cs="Times New Roman"/>
          <w:b/>
          <w:bCs/>
          <w:color w:val="auto"/>
          <w:sz w:val="32"/>
          <w:szCs w:val="32"/>
          <w:highlight w:val="none"/>
          <w:lang w:eastAsia="zh-CN"/>
        </w:rPr>
        <w:br w:type="page"/>
      </w:r>
    </w:p>
    <w:p w14:paraId="05E347F5">
      <w:pPr>
        <w:jc w:val="center"/>
        <w:rPr>
          <w:rFonts w:hint="default" w:ascii="Times New Roman" w:hAnsi="Times New Roman" w:eastAsia="宋体" w:cs="Times New Roman"/>
          <w:b/>
          <w:bCs/>
          <w:color w:val="auto"/>
          <w:sz w:val="32"/>
          <w:szCs w:val="32"/>
          <w:highlight w:val="none"/>
          <w:lang w:eastAsia="zh-CN"/>
        </w:rPr>
      </w:pPr>
      <w:r>
        <w:rPr>
          <w:rFonts w:hint="default" w:ascii="Times New Roman" w:hAnsi="Times New Roman" w:cs="Times New Roman"/>
          <w:b/>
          <w:bCs/>
          <w:color w:val="auto"/>
          <w:sz w:val="32"/>
          <w:szCs w:val="32"/>
          <w:highlight w:val="none"/>
          <w:lang w:eastAsia="zh-CN"/>
        </w:rPr>
        <w:t>目录</w:t>
      </w:r>
    </w:p>
    <w:p w14:paraId="0684ACEC">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TOC \o "1-1" \h \u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_Toc19646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一、建设项目基本情况</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_Toc19646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20DD6381">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_Toc17287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二、建设项目工程分析</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_Toc17287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A1E751D">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_Toc6865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三、区域环境质量现状、环境保护目标及评价标准</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_Toc6865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1876BBE">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_Toc15801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四、主要环境影响和保护措施</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_Toc15801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47</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11ACBB7D">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_Toc1949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五、环境保护措施监督检查清单</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_Toc1949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80</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688401C">
      <w:pPr>
        <w:pStyle w:val="29"/>
        <w:tabs>
          <w:tab w:val="right" w:leader="dot" w:pos="8844"/>
          <w:tab w:val="clear" w:pos="8834"/>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_Toc19274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snapToGrid w:val="0"/>
          <w:color w:val="auto"/>
          <w:sz w:val="24"/>
          <w:szCs w:val="24"/>
          <w:highlight w:val="none"/>
        </w:rPr>
        <w:t>六、结论</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_Toc19274 \h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82</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14:paraId="06BB11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 w:val="24"/>
          <w:szCs w:val="24"/>
          <w:highlight w:val="none"/>
        </w:rPr>
        <w:fldChar w:fldCharType="end"/>
      </w:r>
    </w:p>
    <w:p w14:paraId="59B1C5E2">
      <w:pPr>
        <w:rPr>
          <w:rFonts w:hint="default" w:ascii="Times New Roman" w:hAnsi="Times New Roman" w:cs="Times New Roman"/>
          <w:b/>
          <w:bCs/>
          <w:color w:val="auto"/>
          <w:sz w:val="24"/>
          <w:szCs w:val="24"/>
          <w:highlight w:val="none"/>
          <w:u w:val="none"/>
          <w:lang w:eastAsia="zh-CN"/>
        </w:rPr>
      </w:pPr>
      <w:r>
        <w:rPr>
          <w:rFonts w:hint="default" w:ascii="Times New Roman" w:hAnsi="Times New Roman" w:cs="Times New Roman"/>
          <w:b/>
          <w:bCs/>
          <w:color w:val="auto"/>
          <w:sz w:val="24"/>
          <w:szCs w:val="24"/>
          <w:highlight w:val="none"/>
          <w:u w:val="none"/>
          <w:lang w:eastAsia="zh-CN"/>
        </w:rPr>
        <w:br w:type="page"/>
      </w:r>
    </w:p>
    <w:p w14:paraId="1943852C">
      <w:pPr>
        <w:pStyle w:val="41"/>
        <w:jc w:val="center"/>
        <w:outlineLvl w:val="0"/>
        <w:rPr>
          <w:rFonts w:hint="default" w:ascii="Times New Roman" w:hAnsi="Times New Roman" w:eastAsia="黑体" w:cs="Times New Roman"/>
          <w:snapToGrid w:val="0"/>
          <w:color w:val="auto"/>
          <w:sz w:val="30"/>
          <w:szCs w:val="30"/>
          <w:highlight w:val="none"/>
        </w:rPr>
      </w:pPr>
      <w:bookmarkStart w:id="2" w:name="_Toc19646"/>
      <w:bookmarkStart w:id="3" w:name="_Toc17287"/>
      <w:r>
        <w:rPr>
          <w:rFonts w:hint="eastAsia" w:cs="Times New Roman"/>
          <w:b/>
          <w:bCs/>
          <w:color w:val="auto"/>
          <w:sz w:val="24"/>
          <w:szCs w:val="24"/>
          <w:highlight w:val="none"/>
          <w:u w:val="none"/>
          <w:lang w:val="en-US" w:eastAsia="zh-CN"/>
        </w:rPr>
        <w:t xml:space="preserve"> </w:t>
      </w:r>
      <w:r>
        <w:rPr>
          <w:rFonts w:hint="default" w:ascii="Times New Roman" w:hAnsi="Times New Roman" w:eastAsia="黑体" w:cs="Times New Roman"/>
          <w:snapToGrid w:val="0"/>
          <w:color w:val="auto"/>
          <w:sz w:val="30"/>
          <w:szCs w:val="30"/>
          <w:highlight w:val="none"/>
        </w:rPr>
        <w:t>一、建设项目基本情况</w:t>
      </w:r>
      <w:bookmarkEnd w:id="2"/>
    </w:p>
    <w:tbl>
      <w:tblPr>
        <w:tblStyle w:val="4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8"/>
        <w:gridCol w:w="2010"/>
        <w:gridCol w:w="1995"/>
        <w:gridCol w:w="2927"/>
      </w:tblGrid>
      <w:tr w14:paraId="78DA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3E6EFE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建设项目名称</w:t>
            </w:r>
          </w:p>
        </w:tc>
        <w:tc>
          <w:tcPr>
            <w:tcW w:w="6932" w:type="dxa"/>
            <w:gridSpan w:val="3"/>
            <w:noWrap w:val="0"/>
            <w:vAlign w:val="center"/>
          </w:tcPr>
          <w:p w14:paraId="08EBB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广西北部湾国际集装箱码头有限公司集装箱修理项目</w:t>
            </w:r>
          </w:p>
        </w:tc>
      </w:tr>
      <w:tr w14:paraId="4FF80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5F56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项目代码</w:t>
            </w:r>
          </w:p>
        </w:tc>
        <w:tc>
          <w:tcPr>
            <w:tcW w:w="6932" w:type="dxa"/>
            <w:gridSpan w:val="3"/>
            <w:noWrap w:val="0"/>
            <w:vAlign w:val="center"/>
          </w:tcPr>
          <w:p w14:paraId="29F73F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2412-450704-04-01-623078</w:t>
            </w:r>
          </w:p>
        </w:tc>
      </w:tr>
      <w:tr w14:paraId="5EE40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6DF110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010" w:type="dxa"/>
            <w:noWrap w:val="0"/>
            <w:vAlign w:val="center"/>
          </w:tcPr>
          <w:p w14:paraId="1AB782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1995" w:type="dxa"/>
            <w:noWrap w:val="0"/>
            <w:vAlign w:val="center"/>
          </w:tcPr>
          <w:p w14:paraId="52853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27" w:type="dxa"/>
            <w:noWrap w:val="0"/>
            <w:vAlign w:val="center"/>
          </w:tcPr>
          <w:p w14:paraId="42321F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6BDD0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38" w:type="dxa"/>
            <w:noWrap w:val="0"/>
            <w:tcMar>
              <w:top w:w="16" w:type="dxa"/>
              <w:left w:w="16" w:type="dxa"/>
              <w:right w:w="16" w:type="dxa"/>
            </w:tcMar>
            <w:vAlign w:val="center"/>
          </w:tcPr>
          <w:p w14:paraId="35732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932" w:type="dxa"/>
            <w:gridSpan w:val="3"/>
            <w:noWrap w:val="0"/>
            <w:vAlign w:val="center"/>
          </w:tcPr>
          <w:p w14:paraId="0BD675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w:t>
            </w:r>
          </w:p>
        </w:tc>
      </w:tr>
      <w:tr w14:paraId="592E7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0B52C4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地理坐标</w:t>
            </w:r>
          </w:p>
        </w:tc>
        <w:tc>
          <w:tcPr>
            <w:tcW w:w="6932" w:type="dxa"/>
            <w:gridSpan w:val="3"/>
            <w:noWrap w:val="0"/>
            <w:vAlign w:val="center"/>
          </w:tcPr>
          <w:p w14:paraId="67D6BB7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eastAsia="zh-CN"/>
              </w:rPr>
              <w:t>东经</w:t>
            </w:r>
            <w:r>
              <w:rPr>
                <w:rFonts w:hint="default" w:ascii="Times New Roman" w:hAnsi="Times New Roman" w:eastAsia="宋体" w:cs="Times New Roman"/>
                <w:b w:val="0"/>
                <w:bCs w:val="0"/>
                <w:color w:val="auto"/>
                <w:sz w:val="24"/>
                <w:szCs w:val="24"/>
                <w:highlight w:val="none"/>
                <w:u w:val="single"/>
                <w:lang w:val="en-US" w:eastAsia="zh-CN"/>
              </w:rPr>
              <w:t>1</w:t>
            </w:r>
            <w:r>
              <w:rPr>
                <w:rFonts w:hint="default" w:ascii="Times New Roman" w:hAnsi="Times New Roman" w:cs="Times New Roman"/>
                <w:b w:val="0"/>
                <w:bCs w:val="0"/>
                <w:color w:val="auto"/>
                <w:sz w:val="24"/>
                <w:szCs w:val="24"/>
                <w:highlight w:val="none"/>
                <w:u w:val="single"/>
                <w:lang w:val="en-US" w:eastAsia="zh-CN"/>
              </w:rPr>
              <w:t>08</w:t>
            </w:r>
            <w:r>
              <w:rPr>
                <w:rFonts w:hint="default" w:ascii="Times New Roman" w:hAnsi="Times New Roman" w:eastAsia="宋体" w:cs="Times New Roman"/>
                <w:b w:val="0"/>
                <w:bCs w:val="0"/>
                <w:color w:val="auto"/>
                <w:sz w:val="24"/>
                <w:szCs w:val="24"/>
                <w:highlight w:val="none"/>
              </w:rPr>
              <w:t>度</w:t>
            </w:r>
            <w:r>
              <w:rPr>
                <w:rFonts w:hint="default" w:ascii="Times New Roman" w:hAnsi="Times New Roman" w:cs="Times New Roman"/>
                <w:b w:val="0"/>
                <w:bCs w:val="0"/>
                <w:color w:val="auto"/>
                <w:sz w:val="24"/>
                <w:szCs w:val="24"/>
                <w:highlight w:val="none"/>
                <w:u w:val="single"/>
                <w:lang w:val="en-US" w:eastAsia="zh-CN"/>
              </w:rPr>
              <w:t>3</w:t>
            </w:r>
            <w:r>
              <w:rPr>
                <w:rFonts w:hint="eastAsia" w:cs="Times New Roman"/>
                <w:b w:val="0"/>
                <w:bCs w:val="0"/>
                <w:color w:val="auto"/>
                <w:sz w:val="24"/>
                <w:szCs w:val="24"/>
                <w:highlight w:val="none"/>
                <w:u w:val="single"/>
                <w:lang w:val="en-US" w:eastAsia="zh-CN"/>
              </w:rPr>
              <w:t>9</w:t>
            </w:r>
            <w:r>
              <w:rPr>
                <w:rFonts w:hint="default" w:ascii="Times New Roman" w:hAnsi="Times New Roman" w:eastAsia="宋体" w:cs="Times New Roman"/>
                <w:b w:val="0"/>
                <w:bCs w:val="0"/>
                <w:color w:val="auto"/>
                <w:sz w:val="24"/>
                <w:szCs w:val="24"/>
                <w:highlight w:val="none"/>
              </w:rPr>
              <w:t>分</w:t>
            </w:r>
            <w:r>
              <w:rPr>
                <w:rFonts w:hint="eastAsia" w:cs="Times New Roman"/>
                <w:b w:val="0"/>
                <w:bCs w:val="0"/>
                <w:color w:val="auto"/>
                <w:sz w:val="24"/>
                <w:szCs w:val="24"/>
                <w:highlight w:val="none"/>
                <w:u w:val="single"/>
                <w:lang w:val="en-US" w:eastAsia="zh-CN"/>
              </w:rPr>
              <w:t>15.878</w:t>
            </w:r>
            <w:r>
              <w:rPr>
                <w:rFonts w:hint="default" w:ascii="Times New Roman" w:hAnsi="Times New Roman" w:eastAsia="宋体" w:cs="Times New Roman"/>
                <w:b w:val="0"/>
                <w:bCs w:val="0"/>
                <w:color w:val="auto"/>
                <w:sz w:val="24"/>
                <w:szCs w:val="24"/>
                <w:highlight w:val="none"/>
              </w:rPr>
              <w:t>秒，</w:t>
            </w:r>
            <w:r>
              <w:rPr>
                <w:rFonts w:hint="default" w:ascii="Times New Roman" w:hAnsi="Times New Roman" w:cs="Times New Roman"/>
                <w:b w:val="0"/>
                <w:bCs w:val="0"/>
                <w:color w:val="auto"/>
                <w:sz w:val="24"/>
                <w:szCs w:val="24"/>
                <w:highlight w:val="none"/>
                <w:lang w:eastAsia="zh-CN"/>
              </w:rPr>
              <w:t>北纬</w:t>
            </w:r>
            <w:r>
              <w:rPr>
                <w:rFonts w:hint="default" w:ascii="Times New Roman" w:hAnsi="Times New Roman" w:eastAsia="宋体" w:cs="Times New Roman"/>
                <w:b w:val="0"/>
                <w:bCs w:val="0"/>
                <w:color w:val="auto"/>
                <w:sz w:val="24"/>
                <w:szCs w:val="24"/>
                <w:highlight w:val="none"/>
                <w:u w:val="single"/>
                <w:lang w:val="en-US" w:eastAsia="zh-CN"/>
              </w:rPr>
              <w:t>2</w:t>
            </w:r>
            <w:r>
              <w:rPr>
                <w:rFonts w:hint="default" w:ascii="Times New Roman" w:hAnsi="Times New Roman" w:cs="Times New Roman"/>
                <w:b w:val="0"/>
                <w:bCs w:val="0"/>
                <w:color w:val="auto"/>
                <w:sz w:val="24"/>
                <w:szCs w:val="24"/>
                <w:highlight w:val="none"/>
                <w:u w:val="single"/>
                <w:lang w:val="en-US" w:eastAsia="zh-CN"/>
              </w:rPr>
              <w:t>1</w:t>
            </w:r>
            <w:r>
              <w:rPr>
                <w:rFonts w:hint="default" w:ascii="Times New Roman" w:hAnsi="Times New Roman" w:eastAsia="宋体" w:cs="Times New Roman"/>
                <w:b w:val="0"/>
                <w:bCs w:val="0"/>
                <w:color w:val="auto"/>
                <w:sz w:val="24"/>
                <w:szCs w:val="24"/>
                <w:highlight w:val="none"/>
              </w:rPr>
              <w:t>度</w:t>
            </w:r>
            <w:r>
              <w:rPr>
                <w:rFonts w:hint="default" w:ascii="Times New Roman" w:hAnsi="Times New Roman" w:cs="Times New Roman"/>
                <w:b w:val="0"/>
                <w:bCs w:val="0"/>
                <w:color w:val="auto"/>
                <w:sz w:val="24"/>
                <w:szCs w:val="24"/>
                <w:highlight w:val="none"/>
                <w:u w:val="single"/>
                <w:lang w:val="en-US" w:eastAsia="zh-CN"/>
              </w:rPr>
              <w:t>40</w:t>
            </w:r>
            <w:r>
              <w:rPr>
                <w:rFonts w:hint="default" w:ascii="Times New Roman" w:hAnsi="Times New Roman" w:eastAsia="宋体" w:cs="Times New Roman"/>
                <w:b w:val="0"/>
                <w:bCs w:val="0"/>
                <w:color w:val="auto"/>
                <w:sz w:val="24"/>
                <w:szCs w:val="24"/>
                <w:highlight w:val="none"/>
              </w:rPr>
              <w:t>分</w:t>
            </w:r>
            <w:r>
              <w:rPr>
                <w:rFonts w:hint="eastAsia" w:cs="Times New Roman"/>
                <w:b w:val="0"/>
                <w:bCs w:val="0"/>
                <w:color w:val="auto"/>
                <w:sz w:val="24"/>
                <w:szCs w:val="24"/>
                <w:highlight w:val="none"/>
                <w:u w:val="single"/>
                <w:lang w:val="en-US" w:eastAsia="zh-CN"/>
              </w:rPr>
              <w:t>32.556</w:t>
            </w:r>
            <w:r>
              <w:rPr>
                <w:rFonts w:hint="default" w:ascii="Times New Roman" w:hAnsi="Times New Roman" w:eastAsia="宋体" w:cs="Times New Roman"/>
                <w:b w:val="0"/>
                <w:bCs w:val="0"/>
                <w:color w:val="auto"/>
                <w:sz w:val="24"/>
                <w:szCs w:val="24"/>
                <w:highlight w:val="none"/>
              </w:rPr>
              <w:t>秒</w:t>
            </w:r>
          </w:p>
        </w:tc>
      </w:tr>
      <w:tr w14:paraId="5173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8" w:type="dxa"/>
            <w:noWrap w:val="0"/>
            <w:tcMar>
              <w:top w:w="16" w:type="dxa"/>
              <w:left w:w="16" w:type="dxa"/>
              <w:right w:w="16" w:type="dxa"/>
            </w:tcMar>
            <w:vAlign w:val="center"/>
          </w:tcPr>
          <w:p w14:paraId="43C07D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23455F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010" w:type="dxa"/>
            <w:noWrap w:val="0"/>
            <w:vAlign w:val="center"/>
          </w:tcPr>
          <w:p w14:paraId="39F219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金属制品修理4310</w:t>
            </w:r>
          </w:p>
        </w:tc>
        <w:tc>
          <w:tcPr>
            <w:tcW w:w="1995" w:type="dxa"/>
            <w:noWrap w:val="0"/>
            <w:vAlign w:val="center"/>
          </w:tcPr>
          <w:p w14:paraId="6B112C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bookmarkStart w:id="4" w:name="_Hlk49843745"/>
            <w:r>
              <w:rPr>
                <w:rFonts w:hint="default" w:ascii="Times New Roman" w:hAnsi="Times New Roman" w:eastAsia="宋体" w:cs="Times New Roman"/>
                <w:color w:val="auto"/>
                <w:sz w:val="24"/>
                <w:szCs w:val="24"/>
                <w:highlight w:val="none"/>
              </w:rPr>
              <w:t>建设项目</w:t>
            </w:r>
          </w:p>
          <w:p w14:paraId="6374CD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4"/>
          </w:p>
        </w:tc>
        <w:tc>
          <w:tcPr>
            <w:tcW w:w="2927" w:type="dxa"/>
            <w:noWrap w:val="0"/>
            <w:vAlign w:val="center"/>
          </w:tcPr>
          <w:p w14:paraId="7820EEF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u w:val="single"/>
                <w:lang w:eastAsia="zh-CN"/>
              </w:rPr>
              <w:t>四十、</w:t>
            </w:r>
            <w:r>
              <w:rPr>
                <w:rFonts w:hint="default" w:ascii="Times New Roman" w:hAnsi="Times New Roman" w:cs="Times New Roman"/>
                <w:color w:val="auto"/>
                <w:sz w:val="24"/>
                <w:szCs w:val="24"/>
                <w:highlight w:val="none"/>
                <w:u w:val="single"/>
                <w:lang w:val="en-US" w:eastAsia="zh-CN"/>
              </w:rPr>
              <w:t>金属制品、机械和设备修理业43-</w:t>
            </w:r>
            <w:r>
              <w:rPr>
                <w:rFonts w:hint="default" w:ascii="Times New Roman" w:hAnsi="Times New Roman" w:cs="Times New Roman"/>
                <w:color w:val="auto"/>
                <w:sz w:val="24"/>
                <w:szCs w:val="24"/>
                <w:highlight w:val="none"/>
                <w:u w:val="single"/>
                <w:lang w:eastAsia="zh-CN"/>
              </w:rPr>
              <w:t>86、金属制品修理431；</w:t>
            </w:r>
          </w:p>
        </w:tc>
      </w:tr>
      <w:tr w14:paraId="513C8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8" w:type="dxa"/>
            <w:noWrap w:val="0"/>
            <w:tcMar>
              <w:top w:w="16" w:type="dxa"/>
              <w:left w:w="16" w:type="dxa"/>
              <w:right w:w="16" w:type="dxa"/>
            </w:tcMar>
            <w:vAlign w:val="center"/>
          </w:tcPr>
          <w:p w14:paraId="71BE23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none"/>
              </w:rPr>
              <w:t>建设性质</w:t>
            </w:r>
          </w:p>
        </w:tc>
        <w:tc>
          <w:tcPr>
            <w:tcW w:w="2010" w:type="dxa"/>
            <w:noWrap w:val="0"/>
            <w:vAlign w:val="center"/>
          </w:tcPr>
          <w:p w14:paraId="4552F99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325C346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1BFF805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扩建</w:t>
            </w:r>
          </w:p>
          <w:p w14:paraId="1B52D18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995" w:type="dxa"/>
            <w:noWrap w:val="0"/>
            <w:vAlign w:val="center"/>
          </w:tcPr>
          <w:p w14:paraId="4EA5A7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AE46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27" w:type="dxa"/>
            <w:noWrap w:val="0"/>
            <w:vAlign w:val="center"/>
          </w:tcPr>
          <w:p w14:paraId="2940D6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首次申报项目</w:t>
            </w:r>
          </w:p>
          <w:p w14:paraId="090BB5C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3A433F4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超五年重新审核项目</w:t>
            </w:r>
          </w:p>
          <w:p w14:paraId="6677A14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2922E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8" w:type="dxa"/>
            <w:noWrap w:val="0"/>
            <w:tcMar>
              <w:top w:w="16" w:type="dxa"/>
              <w:left w:w="16" w:type="dxa"/>
              <w:right w:w="16" w:type="dxa"/>
            </w:tcMar>
            <w:vAlign w:val="center"/>
          </w:tcPr>
          <w:p w14:paraId="0D3FF1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7DEF4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010" w:type="dxa"/>
            <w:noWrap w:val="0"/>
            <w:vAlign w:val="center"/>
          </w:tcPr>
          <w:p w14:paraId="1FE118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广西自贸区钦州港片区行政审批局</w:t>
            </w:r>
          </w:p>
        </w:tc>
        <w:tc>
          <w:tcPr>
            <w:tcW w:w="1995" w:type="dxa"/>
            <w:noWrap w:val="0"/>
            <w:vAlign w:val="center"/>
          </w:tcPr>
          <w:p w14:paraId="50839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DE52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927" w:type="dxa"/>
            <w:noWrap w:val="0"/>
            <w:vAlign w:val="center"/>
          </w:tcPr>
          <w:p w14:paraId="4C533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2412-450704-04-01-623078</w:t>
            </w:r>
          </w:p>
        </w:tc>
      </w:tr>
      <w:tr w14:paraId="3C5D3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FB43E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总投资（万元）</w:t>
            </w:r>
          </w:p>
        </w:tc>
        <w:tc>
          <w:tcPr>
            <w:tcW w:w="2010" w:type="dxa"/>
            <w:noWrap w:val="0"/>
            <w:vAlign w:val="center"/>
          </w:tcPr>
          <w:p w14:paraId="0E38E9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200</w:t>
            </w:r>
          </w:p>
        </w:tc>
        <w:tc>
          <w:tcPr>
            <w:tcW w:w="1995" w:type="dxa"/>
            <w:noWrap w:val="0"/>
            <w:tcMar>
              <w:top w:w="16" w:type="dxa"/>
              <w:left w:w="16" w:type="dxa"/>
              <w:right w:w="16" w:type="dxa"/>
            </w:tcMar>
            <w:vAlign w:val="center"/>
          </w:tcPr>
          <w:p w14:paraId="17578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环保投资（万元）</w:t>
            </w:r>
          </w:p>
        </w:tc>
        <w:tc>
          <w:tcPr>
            <w:tcW w:w="2927" w:type="dxa"/>
            <w:noWrap w:val="0"/>
            <w:vAlign w:val="center"/>
          </w:tcPr>
          <w:p w14:paraId="47C9BA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none"/>
                <w:lang w:val="en-US" w:eastAsia="zh-CN"/>
              </w:rPr>
              <w:t>15</w:t>
            </w:r>
          </w:p>
        </w:tc>
      </w:tr>
      <w:tr w14:paraId="3F80D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449A4C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环保投资占比（%）</w:t>
            </w:r>
          </w:p>
        </w:tc>
        <w:tc>
          <w:tcPr>
            <w:tcW w:w="2010" w:type="dxa"/>
            <w:noWrap w:val="0"/>
            <w:vAlign w:val="center"/>
          </w:tcPr>
          <w:p w14:paraId="039B74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7.5</w:t>
            </w:r>
          </w:p>
        </w:tc>
        <w:tc>
          <w:tcPr>
            <w:tcW w:w="1995" w:type="dxa"/>
            <w:noWrap w:val="0"/>
            <w:tcMar>
              <w:top w:w="16" w:type="dxa"/>
              <w:left w:w="16" w:type="dxa"/>
              <w:right w:w="16" w:type="dxa"/>
            </w:tcMar>
            <w:vAlign w:val="center"/>
          </w:tcPr>
          <w:p w14:paraId="0184F2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施工工期</w:t>
            </w:r>
          </w:p>
        </w:tc>
        <w:tc>
          <w:tcPr>
            <w:tcW w:w="2927" w:type="dxa"/>
            <w:noWrap w:val="0"/>
            <w:vAlign w:val="center"/>
          </w:tcPr>
          <w:p w14:paraId="73252B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个月</w:t>
            </w:r>
          </w:p>
        </w:tc>
      </w:tr>
      <w:tr w14:paraId="35832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8" w:type="dxa"/>
            <w:noWrap w:val="0"/>
            <w:tcMar>
              <w:top w:w="16" w:type="dxa"/>
              <w:left w:w="16" w:type="dxa"/>
              <w:right w:w="16" w:type="dxa"/>
            </w:tcMar>
            <w:vAlign w:val="center"/>
          </w:tcPr>
          <w:p w14:paraId="5B8FC7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010" w:type="dxa"/>
            <w:noWrap w:val="0"/>
            <w:vAlign w:val="center"/>
          </w:tcPr>
          <w:p w14:paraId="1ED76A6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651F991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p>
        </w:tc>
        <w:tc>
          <w:tcPr>
            <w:tcW w:w="1995" w:type="dxa"/>
            <w:noWrap w:val="0"/>
            <w:tcMar>
              <w:top w:w="16" w:type="dxa"/>
              <w:left w:w="16" w:type="dxa"/>
              <w:right w:w="16" w:type="dxa"/>
            </w:tcMar>
            <w:vAlign w:val="center"/>
          </w:tcPr>
          <w:p w14:paraId="6D756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58E8A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27" w:type="dxa"/>
            <w:noWrap w:val="0"/>
            <w:vAlign w:val="center"/>
          </w:tcPr>
          <w:p w14:paraId="2983ED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15000</w:t>
            </w:r>
          </w:p>
        </w:tc>
      </w:tr>
      <w:tr w14:paraId="1D879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55B9281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专项评价设置情况</w:t>
            </w:r>
          </w:p>
        </w:tc>
        <w:tc>
          <w:tcPr>
            <w:tcW w:w="6932" w:type="dxa"/>
            <w:gridSpan w:val="3"/>
            <w:noWrap w:val="0"/>
            <w:vAlign w:val="center"/>
          </w:tcPr>
          <w:p w14:paraId="209F9E0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14:paraId="3DE0E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38" w:type="dxa"/>
            <w:noWrap w:val="0"/>
            <w:vAlign w:val="center"/>
          </w:tcPr>
          <w:p w14:paraId="683ED4A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规划情况</w:t>
            </w:r>
          </w:p>
        </w:tc>
        <w:tc>
          <w:tcPr>
            <w:tcW w:w="6932" w:type="dxa"/>
            <w:gridSpan w:val="3"/>
            <w:noWrap w:val="0"/>
            <w:vAlign w:val="center"/>
          </w:tcPr>
          <w:p w14:paraId="02F96E40">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规划名称：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钦州港总体规划（2035年）</w:t>
            </w:r>
            <w:r>
              <w:rPr>
                <w:rFonts w:hint="eastAsia" w:cs="Times New Roman"/>
                <w:color w:val="auto"/>
                <w:kern w:val="2"/>
                <w:sz w:val="24"/>
                <w:szCs w:val="24"/>
                <w:highlight w:val="none"/>
                <w:lang w:val="en-US" w:eastAsia="zh-CN" w:bidi="ar-SA"/>
              </w:rPr>
              <w:t>》</w:t>
            </w:r>
          </w:p>
          <w:p w14:paraId="730E808F">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审批机关：广西壮族自治区人民政府</w:t>
            </w:r>
          </w:p>
          <w:p w14:paraId="400781F7">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批文件名称及文号：《广西壮族自治区人民政府关于钦州港总体规划（2035年）的批复》，桂政函〔2020〕92号</w:t>
            </w:r>
          </w:p>
        </w:tc>
      </w:tr>
      <w:tr w14:paraId="3FF38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153701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规划环境影响</w:t>
            </w:r>
          </w:p>
          <w:p w14:paraId="70AD1F1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评价情况</w:t>
            </w:r>
          </w:p>
        </w:tc>
        <w:tc>
          <w:tcPr>
            <w:tcW w:w="6932" w:type="dxa"/>
            <w:gridSpan w:val="3"/>
            <w:noWrap w:val="0"/>
            <w:vAlign w:val="center"/>
          </w:tcPr>
          <w:p w14:paraId="2ABE6E0D">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文件名称：《钦州港总体规划（2019－2035年）环境影响报告书》</w:t>
            </w:r>
          </w:p>
          <w:p w14:paraId="11E2FBD0">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规划年限：2019年~2035年</w:t>
            </w:r>
          </w:p>
          <w:p w14:paraId="191CDDAE">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召集审查机关：广西壮族自治区生态环境厅</w:t>
            </w:r>
          </w:p>
          <w:p w14:paraId="05428BA2">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2"/>
                <w:sz w:val="24"/>
                <w:highlight w:val="none"/>
              </w:rPr>
              <w:t>审批文件名称及文号：《广西壮族自治区生态环境厅关于印发钦州港总体规划（2019－2035年）环境影响报告书审查意见的函》，桂环函〔2020〕264号。</w:t>
            </w:r>
          </w:p>
        </w:tc>
      </w:tr>
      <w:tr w14:paraId="44C6F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011BC63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规划及规划环境</w:t>
            </w:r>
          </w:p>
          <w:p w14:paraId="7070901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影响评价符合性分析</w:t>
            </w:r>
          </w:p>
        </w:tc>
        <w:tc>
          <w:tcPr>
            <w:tcW w:w="6932" w:type="dxa"/>
            <w:gridSpan w:val="3"/>
            <w:noWrap w:val="0"/>
            <w:vAlign w:val="center"/>
          </w:tcPr>
          <w:p w14:paraId="7BDE0DD4">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1、与《钦州港总体规划（2035年）》相符性分析</w:t>
            </w:r>
          </w:p>
          <w:p w14:paraId="1CF61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根据《钦州港总体规划（2035年）》及规划环评：钦州港划分为金谷港区、大榄坪港区、三墩港区等重点发展枢纽港区，以及龙门港点、茅岭港点、平山港点、沙井港点和三娘湾港点等</w:t>
            </w:r>
            <w:r>
              <w:rPr>
                <w:rFonts w:hint="default" w:ascii="Times New Roman" w:hAnsi="Times New Roman" w:eastAsia="宋体" w:cs="Times New Roman"/>
                <w:caps w:val="0"/>
                <w:color w:val="auto"/>
                <w:sz w:val="24"/>
                <w:highlight w:val="none"/>
              </w:rPr>
              <w:t>。大榄坪港区由大榄坪作业区、大榄坪南作业区和大环作业区组成。</w:t>
            </w:r>
            <w:r>
              <w:rPr>
                <w:rFonts w:hint="default" w:ascii="Times New Roman" w:hAnsi="Times New Roman" w:eastAsia="宋体" w:cs="Times New Roman"/>
                <w:b w:val="0"/>
                <w:bCs w:val="0"/>
                <w:color w:val="auto"/>
                <w:sz w:val="24"/>
                <w:highlight w:val="none"/>
                <w:lang w:val="en-US" w:eastAsia="zh-CN"/>
              </w:rPr>
              <w:t>本项</w:t>
            </w:r>
            <w:r>
              <w:rPr>
                <w:rFonts w:hint="default" w:ascii="Times New Roman" w:hAnsi="Times New Roman" w:eastAsia="宋体" w:cs="Times New Roman"/>
                <w:caps w:val="0"/>
                <w:color w:val="auto"/>
                <w:sz w:val="24"/>
                <w:highlight w:val="none"/>
                <w:lang w:val="en-US" w:eastAsia="zh-CN"/>
              </w:rPr>
              <w:t>目位于</w:t>
            </w:r>
            <w:r>
              <w:rPr>
                <w:rFonts w:hint="default" w:ascii="Times New Roman" w:hAnsi="Times New Roman" w:eastAsia="宋体" w:cs="Times New Roman"/>
                <w:caps w:val="0"/>
                <w:color w:val="auto"/>
                <w:sz w:val="24"/>
                <w:highlight w:val="none"/>
              </w:rPr>
              <w:t>钦州港大榄坪南作业区</w:t>
            </w:r>
            <w:r>
              <w:rPr>
                <w:rFonts w:hint="default" w:ascii="Times New Roman" w:hAnsi="Times New Roman" w:eastAsia="宋体" w:cs="Times New Roman"/>
                <w:caps w:val="0"/>
                <w:color w:val="auto"/>
                <w:sz w:val="24"/>
                <w:highlight w:val="none"/>
                <w:lang w:val="en-US" w:eastAsia="zh-CN"/>
              </w:rPr>
              <w:t>，属于</w:t>
            </w:r>
            <w:r>
              <w:rPr>
                <w:rFonts w:hint="default" w:ascii="Times New Roman" w:hAnsi="Times New Roman" w:eastAsia="宋体" w:cs="Times New Roman"/>
                <w:caps w:val="0"/>
                <w:color w:val="auto"/>
                <w:sz w:val="24"/>
                <w:highlight w:val="none"/>
              </w:rPr>
              <w:t>大榄</w:t>
            </w:r>
            <w:r>
              <w:rPr>
                <w:rFonts w:hint="default" w:ascii="Times New Roman" w:hAnsi="Times New Roman" w:eastAsia="宋体" w:cs="Times New Roman"/>
                <w:caps w:val="0"/>
                <w:color w:val="auto"/>
                <w:sz w:val="24"/>
                <w:szCs w:val="24"/>
                <w:highlight w:val="none"/>
              </w:rPr>
              <w:t>坪</w:t>
            </w:r>
            <w:r>
              <w:rPr>
                <w:rFonts w:hint="eastAsia"/>
                <w:color w:val="auto"/>
                <w:sz w:val="24"/>
                <w:szCs w:val="24"/>
                <w:highlight w:val="none"/>
                <w:lang w:val="en-US" w:eastAsia="zh-CN"/>
              </w:rPr>
              <w:t>港区</w:t>
            </w:r>
            <w:r>
              <w:rPr>
                <w:rFonts w:hint="default" w:ascii="Times New Roman" w:hAnsi="Times New Roman" w:eastAsia="宋体" w:cs="Times New Roman"/>
                <w:b w:val="0"/>
                <w:bCs w:val="0"/>
                <w:color w:val="auto"/>
                <w:sz w:val="24"/>
                <w:szCs w:val="24"/>
                <w:highlight w:val="none"/>
                <w:lang w:val="en-US" w:eastAsia="zh-CN"/>
              </w:rPr>
              <w:t>范围。</w:t>
            </w:r>
          </w:p>
          <w:p w14:paraId="429701B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大榄坪港区：以集装箱运输为主，兼顾滚装和散杂货运输，承担平陆运河江海联运；依托中国</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广西</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自由贸易试验区钦州港片区，发展现代航运服务功能。</w:t>
            </w:r>
          </w:p>
          <w:p w14:paraId="1D8289F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大榄坪南作业区：</w:t>
            </w:r>
            <w:r>
              <w:rPr>
                <w:rFonts w:hint="default" w:ascii="Times New Roman" w:hAnsi="Times New Roman" w:eastAsia="宋体" w:cs="Times New Roman"/>
                <w:caps w:val="0"/>
                <w:color w:val="auto"/>
                <w:sz w:val="24"/>
                <w:highlight w:val="none"/>
              </w:rPr>
              <w:t>大榄坪南作业区位于大榄坪以南、金鼓江口往东南至大环处，规划主要承担集装箱装卸任务，兼顾件杂货、干散货和滚装，建设港口支持系统。规划岸线8395m，其中深水岸线6882m，布置25个5000～200000吨级生产性泊位，陆域纵深230～1130m，陆域面积591.6hm</w:t>
            </w:r>
            <w:r>
              <w:rPr>
                <w:rFonts w:hint="default" w:ascii="Times New Roman" w:hAnsi="Times New Roman" w:eastAsia="宋体" w:cs="Times New Roman"/>
                <w:caps w:val="0"/>
                <w:color w:val="auto"/>
                <w:sz w:val="24"/>
                <w:highlight w:val="none"/>
                <w:vertAlign w:val="superscript"/>
              </w:rPr>
              <w:t>2</w:t>
            </w:r>
            <w:r>
              <w:rPr>
                <w:rFonts w:hint="default" w:ascii="Times New Roman" w:hAnsi="Times New Roman" w:eastAsia="宋体" w:cs="Times New Roman"/>
                <w:caps w:val="0"/>
                <w:color w:val="auto"/>
                <w:sz w:val="24"/>
                <w:highlight w:val="none"/>
              </w:rPr>
              <w:t>，码头面高程6.6～7.0m，年货物通过能力约7400万吨、商品车通过能力约37.2万辆。</w:t>
            </w:r>
          </w:p>
          <w:p w14:paraId="26398D29">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w:t>
            </w:r>
            <w:r>
              <w:rPr>
                <w:rFonts w:hint="default" w:ascii="Times New Roman" w:hAnsi="Times New Roman" w:cs="Times New Roman"/>
                <w:b w:val="0"/>
                <w:bCs w:val="0"/>
                <w:color w:val="auto"/>
                <w:sz w:val="24"/>
                <w:highlight w:val="none"/>
                <w:lang w:val="en-US" w:eastAsia="zh-CN"/>
              </w:rPr>
              <w:t>是为处理广西北部湾国际集装箱码头有限公司码头进出口的集装箱破损而配套建设的集装箱修理项目，项目建设</w:t>
            </w:r>
            <w:r>
              <w:rPr>
                <w:rFonts w:hint="default" w:ascii="Times New Roman" w:hAnsi="Times New Roman" w:eastAsia="宋体" w:cs="Times New Roman"/>
                <w:b w:val="0"/>
                <w:bCs w:val="0"/>
                <w:color w:val="auto"/>
                <w:sz w:val="24"/>
                <w:highlight w:val="none"/>
                <w:lang w:val="en-US" w:eastAsia="zh-CN"/>
              </w:rPr>
              <w:t>与大榄坪港区的规划定位相符。</w:t>
            </w:r>
          </w:p>
          <w:p w14:paraId="73283E88">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2、与《钦州港总体规划（2019－2035年）环境影响报告书》相符性分析</w:t>
            </w:r>
          </w:p>
          <w:p w14:paraId="57B19A6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根据《钦州港总体规划（2019－2035年）环境影响报告书》，钦州港产业定位如下：</w:t>
            </w:r>
          </w:p>
          <w:p w14:paraId="11F26637">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（1）限制入区项目</w:t>
            </w:r>
          </w:p>
          <w:p w14:paraId="65C9AE93">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不属于保税港区规划产业类型，且废气、废水和其他废物排放高负荷的高污染项目。严格控制“两头在国内”或“以内销为主要市场”项目入内。</w:t>
            </w:r>
          </w:p>
          <w:p w14:paraId="7490068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（2）禁止入园项目</w:t>
            </w:r>
          </w:p>
          <w:p w14:paraId="3F6CE99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根据《海关特殊监管区域适合入区项目指引》，不适合入区企业类型有：</w:t>
            </w:r>
          </w:p>
          <w:p w14:paraId="79541A3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①内销成品高税率型企业以面向国内市场内销征税进口为主，且成品进口关税税率高于原料进口关税税率的生产加工型企业。</w:t>
            </w:r>
          </w:p>
          <w:p w14:paraId="37CBF8B0">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②非保税企业</w:t>
            </w:r>
          </w:p>
          <w:p w14:paraId="030A245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主要</w:t>
            </w:r>
            <w:r>
              <w:rPr>
                <w:rFonts w:hint="eastAsia" w:cs="Times New Roman"/>
                <w:b w:val="0"/>
                <w:bCs w:val="0"/>
                <w:color w:val="auto"/>
                <w:sz w:val="24"/>
                <w:highlight w:val="none"/>
                <w:lang w:val="en-US" w:eastAsia="zh-CN"/>
              </w:rPr>
              <w:t>经营</w:t>
            </w:r>
            <w:r>
              <w:rPr>
                <w:rFonts w:hint="default" w:ascii="Times New Roman" w:hAnsi="Times New Roman" w:eastAsia="宋体" w:cs="Times New Roman"/>
                <w:b w:val="0"/>
                <w:bCs w:val="0"/>
                <w:color w:val="auto"/>
                <w:sz w:val="24"/>
                <w:highlight w:val="none"/>
                <w:lang w:val="en-US" w:eastAsia="zh-CN"/>
              </w:rPr>
              <w:t>非保税业务为主的企业。</w:t>
            </w:r>
          </w:p>
          <w:p w14:paraId="18C86F5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③主要原料是国内原料并征收高额出口关税（或实施出口贸易管制）的生产型企业。</w:t>
            </w:r>
          </w:p>
          <w:p w14:paraId="069148C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④生产加工高耗能、高污染和资源性产品等不符合国家产业政策发展要求的产品，以及其他列入加工贸易禁止类目录的商品的生产加工型企业。</w:t>
            </w:r>
          </w:p>
          <w:p w14:paraId="7ACB585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本项目不</w:t>
            </w:r>
            <w:r>
              <w:rPr>
                <w:rFonts w:hint="default" w:ascii="Times New Roman" w:hAnsi="Times New Roman" w:eastAsia="宋体" w:cs="Times New Roman"/>
                <w:b w:val="0"/>
                <w:bCs w:val="0"/>
                <w:color w:val="auto"/>
                <w:sz w:val="24"/>
                <w:szCs w:val="24"/>
                <w:highlight w:val="none"/>
                <w:lang w:val="en-US" w:eastAsia="zh-CN"/>
              </w:rPr>
              <w:t>属于《钦州港总体规划（2019－2035年）环境影响报告书》中列明的限制入区和禁止入园项目，不在园区入园项目负面清单，属于允许类；本项目已取得备案证，符合国家产业政策、地区工业产业政策；项目建设与《钦州港总体规划（2019－2035年）环境影响报告书》相符。</w:t>
            </w:r>
          </w:p>
        </w:tc>
      </w:tr>
      <w:tr w14:paraId="44ADE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0" w:hRule="atLeast"/>
          <w:jc w:val="center"/>
        </w:trPr>
        <w:tc>
          <w:tcPr>
            <w:tcW w:w="1938" w:type="dxa"/>
            <w:noWrap w:val="0"/>
            <w:vAlign w:val="center"/>
          </w:tcPr>
          <w:p w14:paraId="07962A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6932" w:type="dxa"/>
            <w:gridSpan w:val="3"/>
            <w:noWrap w:val="0"/>
            <w:vAlign w:val="center"/>
          </w:tcPr>
          <w:p w14:paraId="48BF4B1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项目与“三线一单”符合性分析</w:t>
            </w:r>
          </w:p>
          <w:p w14:paraId="4B81722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“三线一单”指的是生态保护红线、环境质量底线、资源利用上线和环境准入负面清单。</w:t>
            </w:r>
          </w:p>
          <w:p w14:paraId="1010322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）生态保护红线相符性</w:t>
            </w:r>
          </w:p>
          <w:p w14:paraId="5E4B7F60">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0" w:firstLineChars="200"/>
              <w:textAlignment w:val="auto"/>
              <w:rPr>
                <w:rFonts w:hint="default" w:ascii="Times New Roman" w:hAnsi="Times New Roman" w:eastAsia="宋体" w:cs="Times New Roman"/>
                <w:caps w:val="0"/>
                <w:color w:val="auto"/>
                <w:sz w:val="24"/>
                <w:szCs w:val="24"/>
                <w:highlight w:val="none"/>
              </w:rPr>
            </w:pPr>
            <w:r>
              <w:rPr>
                <w:rFonts w:hint="eastAsia" w:ascii="宋体" w:hAnsi="宋体" w:eastAsia="宋体"/>
                <w:b w:val="0"/>
                <w:bCs/>
                <w:color w:val="auto"/>
                <w:sz w:val="24"/>
                <w:szCs w:val="22"/>
                <w:highlight w:val="none"/>
                <w:u w:val="none"/>
                <w:lang w:val="en-US" w:eastAsia="zh-CN"/>
              </w:rPr>
              <w:t>根据钦州市人民政府发布的《钦州市“三线一单”生态环境分区管控实施意见》(钦政发〔2021〕13号)及《</w:t>
            </w:r>
            <w:bookmarkStart w:id="5" w:name="OLE_LINK7"/>
            <w:r>
              <w:rPr>
                <w:rFonts w:hint="eastAsia" w:ascii="宋体" w:hAnsi="宋体" w:eastAsia="宋体"/>
                <w:b w:val="0"/>
                <w:bCs/>
                <w:color w:val="auto"/>
                <w:sz w:val="24"/>
                <w:szCs w:val="22"/>
                <w:highlight w:val="none"/>
                <w:u w:val="none"/>
                <w:lang w:val="en-US" w:eastAsia="zh-CN"/>
              </w:rPr>
              <w:t>钦州市生态环境分区管控动态更新成果</w:t>
            </w:r>
            <w:bookmarkEnd w:id="5"/>
            <w:r>
              <w:rPr>
                <w:rFonts w:hint="eastAsia" w:ascii="宋体" w:hAnsi="宋体" w:eastAsia="宋体"/>
                <w:b w:val="0"/>
                <w:bCs/>
                <w:color w:val="auto"/>
                <w:sz w:val="24"/>
                <w:szCs w:val="22"/>
                <w:highlight w:val="none"/>
                <w:u w:val="none"/>
                <w:lang w:val="en-US" w:eastAsia="zh-CN"/>
              </w:rPr>
              <w:t>》（2023 版），全市共划定生态环境管控单位127个，其中陆域管控单元为64个，近岸海域管控单元为63个，分别为优先保护单元、重点管控单元和一般管控单元三类，实施分类管控。</w:t>
            </w:r>
            <w:r>
              <w:rPr>
                <w:rFonts w:hint="default" w:ascii="Times New Roman" w:hAnsi="Times New Roman" w:eastAsia="宋体" w:cs="Times New Roman"/>
                <w:b w:val="0"/>
                <w:bCs/>
                <w:caps w:val="0"/>
                <w:color w:val="auto"/>
                <w:sz w:val="24"/>
                <w:szCs w:val="24"/>
                <w:highlight w:val="none"/>
              </w:rPr>
              <w:t>根据</w:t>
            </w:r>
            <w:r>
              <w:rPr>
                <w:rFonts w:hint="default" w:ascii="Times New Roman" w:hAnsi="Times New Roman" w:eastAsia="宋体" w:cs="Times New Roman"/>
                <w:b w:val="0"/>
                <w:bCs/>
                <w:caps w:val="0"/>
                <w:color w:val="auto"/>
                <w:sz w:val="24"/>
                <w:szCs w:val="24"/>
                <w:highlight w:val="none"/>
                <w:u w:val="none"/>
              </w:rPr>
              <w:t>钦州市生态环境局关于印发《钦州市环境管控单元生态环境准入及管控要求清单（试行）》的通知（试行）（钦环发〔2022〕3号），项目位于</w:t>
            </w:r>
            <w:r>
              <w:rPr>
                <w:rFonts w:hint="default" w:ascii="Times New Roman" w:hAnsi="Times New Roman" w:eastAsia="宋体" w:cs="Times New Roman"/>
                <w:b w:val="0"/>
                <w:bCs/>
                <w:caps w:val="0"/>
                <w:color w:val="auto"/>
                <w:kern w:val="0"/>
                <w:sz w:val="24"/>
                <w:szCs w:val="24"/>
                <w:highlight w:val="none"/>
                <w:u w:val="none"/>
              </w:rPr>
              <w:t>钦州综合保税区重点管控单元（</w:t>
            </w:r>
            <w:r>
              <w:rPr>
                <w:rFonts w:hint="default" w:ascii="Times New Roman" w:hAnsi="Times New Roman" w:eastAsia="宋体" w:cs="Times New Roman"/>
                <w:b w:val="0"/>
                <w:bCs/>
                <w:caps w:val="0"/>
                <w:color w:val="auto"/>
                <w:sz w:val="24"/>
                <w:szCs w:val="24"/>
                <w:highlight w:val="none"/>
                <w:u w:val="none"/>
              </w:rPr>
              <w:t>ZH45070220001</w:t>
            </w:r>
            <w:r>
              <w:rPr>
                <w:rFonts w:hint="default" w:ascii="Times New Roman" w:hAnsi="Times New Roman" w:eastAsia="宋体" w:cs="Times New Roman"/>
                <w:b w:val="0"/>
                <w:bCs/>
                <w:caps w:val="0"/>
                <w:color w:val="auto"/>
                <w:kern w:val="0"/>
                <w:sz w:val="24"/>
                <w:szCs w:val="24"/>
                <w:highlight w:val="none"/>
                <w:u w:val="none"/>
              </w:rPr>
              <w:t>），项目与该管控单元</w:t>
            </w:r>
            <w:r>
              <w:rPr>
                <w:rFonts w:hint="default" w:ascii="Times New Roman" w:hAnsi="Times New Roman" w:eastAsia="宋体" w:cs="Times New Roman"/>
                <w:b w:val="0"/>
                <w:bCs/>
                <w:caps w:val="0"/>
                <w:color w:val="auto"/>
                <w:sz w:val="24"/>
                <w:szCs w:val="24"/>
                <w:highlight w:val="none"/>
                <w:u w:val="none"/>
              </w:rPr>
              <w:t>生态环境准入及管控要求相符性分析见表</w:t>
            </w:r>
            <w:r>
              <w:rPr>
                <w:rFonts w:hint="default" w:ascii="Times New Roman" w:hAnsi="Times New Roman" w:eastAsia="宋体" w:cs="Times New Roman"/>
                <w:b w:val="0"/>
                <w:bCs/>
                <w:caps w:val="0"/>
                <w:color w:val="auto"/>
                <w:sz w:val="24"/>
                <w:szCs w:val="24"/>
                <w:highlight w:val="none"/>
                <w:u w:val="none"/>
                <w:lang w:val="en-US" w:eastAsia="zh-CN"/>
              </w:rPr>
              <w:t>4</w:t>
            </w:r>
            <w:r>
              <w:rPr>
                <w:rFonts w:hint="default" w:ascii="Times New Roman" w:hAnsi="Times New Roman" w:eastAsia="宋体" w:cs="Times New Roman"/>
                <w:b w:val="0"/>
                <w:bCs/>
                <w:caps w:val="0"/>
                <w:color w:val="auto"/>
                <w:sz w:val="24"/>
                <w:szCs w:val="24"/>
                <w:highlight w:val="none"/>
                <w:u w:val="none"/>
              </w:rPr>
              <w:t>。</w:t>
            </w:r>
          </w:p>
          <w:p w14:paraId="2046F64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经对照生态准入及管控要求，本项目与钦州市“三线一单”生态环境分区管控实施意见是相符的。</w:t>
            </w:r>
          </w:p>
          <w:p w14:paraId="16A1ABF5">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aps w:val="0"/>
                <w:color w:val="auto"/>
                <w:sz w:val="21"/>
                <w:szCs w:val="21"/>
                <w:highlight w:val="none"/>
                <w:lang w:val="en-US" w:eastAsia="zh-CN"/>
              </w:rPr>
              <w:t>1</w:t>
            </w:r>
            <w:r>
              <w:rPr>
                <w:rFonts w:hint="default" w:ascii="Times New Roman" w:hAnsi="Times New Roman" w:eastAsia="宋体" w:cs="Times New Roman"/>
                <w:b/>
                <w:bCs/>
                <w:caps w:val="0"/>
                <w:color w:val="auto"/>
                <w:sz w:val="21"/>
                <w:szCs w:val="21"/>
                <w:highlight w:val="none"/>
              </w:rPr>
              <w:t>项目与钦州市生态环境准入及管控要求清单相符性分析</w:t>
            </w:r>
          </w:p>
          <w:tbl>
            <w:tblPr>
              <w:tblStyle w:val="46"/>
              <w:tblW w:w="68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361"/>
              <w:gridCol w:w="4670"/>
              <w:gridCol w:w="1827"/>
            </w:tblGrid>
            <w:tr w14:paraId="58BADA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tblHeader/>
                <w:jc w:val="center"/>
              </w:trPr>
              <w:tc>
                <w:tcPr>
                  <w:tcW w:w="361" w:type="dxa"/>
                  <w:tcBorders>
                    <w:tl2br w:val="nil"/>
                    <w:tr2bl w:val="nil"/>
                  </w:tcBorders>
                  <w:noWrap w:val="0"/>
                  <w:tcMar>
                    <w:left w:w="28" w:type="dxa"/>
                    <w:right w:w="28" w:type="dxa"/>
                  </w:tcMar>
                  <w:vAlign w:val="center"/>
                </w:tcPr>
                <w:p w14:paraId="011F75E4">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管控类别</w:t>
                  </w:r>
                </w:p>
              </w:tc>
              <w:tc>
                <w:tcPr>
                  <w:tcW w:w="4670" w:type="dxa"/>
                  <w:tcBorders>
                    <w:tl2br w:val="nil"/>
                    <w:tr2bl w:val="nil"/>
                  </w:tcBorders>
                  <w:noWrap w:val="0"/>
                  <w:tcMar>
                    <w:left w:w="28" w:type="dxa"/>
                    <w:right w:w="28" w:type="dxa"/>
                  </w:tcMar>
                  <w:vAlign w:val="center"/>
                </w:tcPr>
                <w:p w14:paraId="33F0FFE8">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生态环境准入及管控要求</w:t>
                  </w:r>
                </w:p>
              </w:tc>
              <w:tc>
                <w:tcPr>
                  <w:tcW w:w="1827" w:type="dxa"/>
                  <w:tcBorders>
                    <w:tl2br w:val="nil"/>
                    <w:tr2bl w:val="nil"/>
                  </w:tcBorders>
                  <w:noWrap w:val="0"/>
                  <w:tcMar>
                    <w:left w:w="28" w:type="dxa"/>
                    <w:right w:w="28" w:type="dxa"/>
                  </w:tcMar>
                  <w:vAlign w:val="center"/>
                </w:tcPr>
                <w:p w14:paraId="1415EECB">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相符性分析</w:t>
                  </w:r>
                </w:p>
              </w:tc>
            </w:tr>
            <w:tr w14:paraId="23D47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04" w:hRule="atLeast"/>
                <w:jc w:val="center"/>
              </w:trPr>
              <w:tc>
                <w:tcPr>
                  <w:tcW w:w="361" w:type="dxa"/>
                  <w:vMerge w:val="restart"/>
                  <w:tcBorders>
                    <w:tl2br w:val="nil"/>
                    <w:tr2bl w:val="nil"/>
                  </w:tcBorders>
                  <w:noWrap w:val="0"/>
                  <w:tcMar>
                    <w:left w:w="28" w:type="dxa"/>
                    <w:right w:w="28" w:type="dxa"/>
                  </w:tcMar>
                  <w:vAlign w:val="center"/>
                </w:tcPr>
                <w:p w14:paraId="04B24E9C">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空间布局约束</w:t>
                  </w:r>
                </w:p>
              </w:tc>
              <w:tc>
                <w:tcPr>
                  <w:tcW w:w="4670" w:type="dxa"/>
                  <w:tcBorders>
                    <w:tl2br w:val="nil"/>
                    <w:tr2bl w:val="nil"/>
                  </w:tcBorders>
                  <w:noWrap w:val="0"/>
                  <w:tcMar>
                    <w:left w:w="28" w:type="dxa"/>
                    <w:right w:w="28" w:type="dxa"/>
                  </w:tcMar>
                  <w:vAlign w:val="center"/>
                </w:tcPr>
                <w:p w14:paraId="53782B2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27" w:type="dxa"/>
                  <w:tcBorders>
                    <w:tl2br w:val="nil"/>
                    <w:tr2bl w:val="nil"/>
                  </w:tcBorders>
                  <w:noWrap w:val="0"/>
                  <w:tcMar>
                    <w:left w:w="28" w:type="dxa"/>
                    <w:right w:w="28" w:type="dxa"/>
                  </w:tcMar>
                  <w:vAlign w:val="center"/>
                </w:tcPr>
                <w:p w14:paraId="4106AC2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项目不涉及所列各类保护地，位于划定的重点管控单元内。</w:t>
                  </w:r>
                </w:p>
                <w:p w14:paraId="65C86FD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C3CF3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15854577">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F6E54E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2.红树林依据《广西壮族自治区红树林资源保护条例》进行管理。开展红树林修复要依法依规进行，并符合红树林资源保护规划等相关要求。</w:t>
                  </w:r>
                </w:p>
              </w:tc>
              <w:tc>
                <w:tcPr>
                  <w:tcW w:w="1827" w:type="dxa"/>
                  <w:tcBorders>
                    <w:tl2br w:val="nil"/>
                    <w:tr2bl w:val="nil"/>
                  </w:tcBorders>
                  <w:noWrap w:val="0"/>
                  <w:tcMar>
                    <w:left w:w="28" w:type="dxa"/>
                    <w:right w:w="28" w:type="dxa"/>
                  </w:tcMar>
                  <w:vAlign w:val="center"/>
                </w:tcPr>
                <w:p w14:paraId="7699CF6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项目位于规划港区内，不涉及占用红树林资源。</w:t>
                  </w:r>
                </w:p>
                <w:p w14:paraId="7918B62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3F10A8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666BE46B">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12C165F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8.海洋开发和海岸开发各类活动，大陆自然岸线保有率标准不低于35%、无居民海岛岸线长度保有率标准不低于85%。</w:t>
                  </w:r>
                </w:p>
              </w:tc>
              <w:tc>
                <w:tcPr>
                  <w:tcW w:w="1827" w:type="dxa"/>
                  <w:tcBorders>
                    <w:tl2br w:val="nil"/>
                    <w:tr2bl w:val="nil"/>
                  </w:tcBorders>
                  <w:noWrap w:val="0"/>
                  <w:tcMar>
                    <w:left w:w="28" w:type="dxa"/>
                    <w:right w:w="28" w:type="dxa"/>
                  </w:tcMar>
                  <w:vAlign w:val="center"/>
                </w:tcPr>
                <w:p w14:paraId="6D7582B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选址位于</w:t>
                  </w:r>
                  <w:r>
                    <w:rPr>
                      <w:rFonts w:hint="default" w:ascii="Times New Roman" w:hAnsi="Times New Roman" w:eastAsia="宋体" w:cs="Times New Roman"/>
                      <w:caps w:val="0"/>
                      <w:color w:val="auto"/>
                      <w:sz w:val="21"/>
                      <w:szCs w:val="21"/>
                      <w:highlight w:val="none"/>
                    </w:rPr>
                    <w:t>规划泊位，</w:t>
                  </w:r>
                  <w:r>
                    <w:rPr>
                      <w:rFonts w:hint="default" w:ascii="Times New Roman" w:hAnsi="Times New Roman" w:cs="Times New Roman"/>
                      <w:caps w:val="0"/>
                      <w:color w:val="auto"/>
                      <w:sz w:val="21"/>
                      <w:szCs w:val="21"/>
                      <w:highlight w:val="none"/>
                      <w:lang w:val="en-US" w:eastAsia="zh-CN"/>
                    </w:rPr>
                    <w:t>为配套码头的集装箱修理项目</w:t>
                  </w:r>
                  <w:r>
                    <w:rPr>
                      <w:rFonts w:hint="default" w:ascii="Times New Roman" w:hAnsi="Times New Roman" w:eastAsia="宋体" w:cs="Times New Roman"/>
                      <w:caps w:val="0"/>
                      <w:color w:val="auto"/>
                      <w:sz w:val="21"/>
                      <w:szCs w:val="21"/>
                      <w:highlight w:val="none"/>
                    </w:rPr>
                    <w:t>，不涉及新增使用岸线。</w:t>
                  </w:r>
                </w:p>
                <w:p w14:paraId="3B6267B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0A1646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25949544">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059EC6E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9.推进海域资源市场化配置，严控新增围填海造地，完善围填海总量管控，除国家重大战略项目外，全面停止新增围填海项目审批，全面清理非法占用海洋生态保护红线区域的围填海项目。</w:t>
                  </w:r>
                </w:p>
              </w:tc>
              <w:tc>
                <w:tcPr>
                  <w:tcW w:w="1827" w:type="dxa"/>
                  <w:tcBorders>
                    <w:tl2br w:val="nil"/>
                    <w:tr2bl w:val="nil"/>
                  </w:tcBorders>
                  <w:noWrap w:val="0"/>
                  <w:tcMar>
                    <w:left w:w="28" w:type="dxa"/>
                    <w:right w:w="28" w:type="dxa"/>
                  </w:tcMar>
                  <w:vAlign w:val="center"/>
                </w:tcPr>
                <w:p w14:paraId="43DA502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项目陆域已形成，本次项目不涉及新增围填海。</w:t>
                  </w:r>
                </w:p>
                <w:p w14:paraId="34CC11D8">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B360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30" w:hRule="atLeast"/>
                <w:jc w:val="center"/>
              </w:trPr>
              <w:tc>
                <w:tcPr>
                  <w:tcW w:w="361" w:type="dxa"/>
                  <w:vMerge w:val="continue"/>
                  <w:tcBorders>
                    <w:tl2br w:val="nil"/>
                    <w:tr2bl w:val="nil"/>
                  </w:tcBorders>
                  <w:noWrap w:val="0"/>
                  <w:tcMar>
                    <w:left w:w="28" w:type="dxa"/>
                    <w:right w:w="28" w:type="dxa"/>
                  </w:tcMar>
                  <w:vAlign w:val="center"/>
                </w:tcPr>
                <w:p w14:paraId="07708352">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7B30240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10.科学论证在三娘湾海洋保护区、茅尾海中部海洋保护区及周边区域的开发利用活动，严格落实保护区管理要求。</w:t>
                  </w:r>
                </w:p>
              </w:tc>
              <w:tc>
                <w:tcPr>
                  <w:tcW w:w="1827" w:type="dxa"/>
                  <w:tcBorders>
                    <w:tl2br w:val="nil"/>
                    <w:tr2bl w:val="nil"/>
                  </w:tcBorders>
                  <w:noWrap w:val="0"/>
                  <w:tcMar>
                    <w:left w:w="28" w:type="dxa"/>
                    <w:right w:w="28" w:type="dxa"/>
                  </w:tcMar>
                  <w:vAlign w:val="center"/>
                </w:tcPr>
                <w:p w14:paraId="25CB1B2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项目位于规划港区，</w:t>
                  </w:r>
                  <w:r>
                    <w:rPr>
                      <w:rFonts w:hint="default" w:ascii="Times New Roman" w:hAnsi="Times New Roman" w:eastAsia="宋体" w:cs="Times New Roman"/>
                      <w:caps w:val="0"/>
                      <w:color w:val="auto"/>
                      <w:sz w:val="21"/>
                      <w:szCs w:val="21"/>
                      <w:highlight w:val="none"/>
                      <w:lang w:val="en-US" w:eastAsia="zh-CN"/>
                    </w:rPr>
                    <w:t>不在</w:t>
                  </w:r>
                  <w:r>
                    <w:rPr>
                      <w:rFonts w:hint="default" w:ascii="Times New Roman" w:hAnsi="Times New Roman" w:eastAsia="宋体" w:cs="Times New Roman"/>
                      <w:caps w:val="0"/>
                      <w:color w:val="auto"/>
                      <w:sz w:val="21"/>
                      <w:szCs w:val="21"/>
                      <w:highlight w:val="none"/>
                    </w:rPr>
                    <w:t>保护区</w:t>
                  </w:r>
                  <w:r>
                    <w:rPr>
                      <w:rFonts w:hint="default" w:ascii="Times New Roman" w:hAnsi="Times New Roman" w:eastAsia="宋体" w:cs="Times New Roman"/>
                      <w:caps w:val="0"/>
                      <w:color w:val="auto"/>
                      <w:sz w:val="21"/>
                      <w:szCs w:val="21"/>
                      <w:highlight w:val="none"/>
                      <w:lang w:val="en-US" w:eastAsia="zh-CN"/>
                    </w:rPr>
                    <w:t>范围内</w:t>
                  </w:r>
                  <w:r>
                    <w:rPr>
                      <w:rFonts w:hint="default" w:ascii="Times New Roman" w:hAnsi="Times New Roman" w:eastAsia="宋体" w:cs="Times New Roman"/>
                      <w:caps w:val="0"/>
                      <w:color w:val="auto"/>
                      <w:sz w:val="21"/>
                      <w:szCs w:val="21"/>
                      <w:highlight w:val="none"/>
                    </w:rPr>
                    <w:t>，在采取各项环保措施前提下，对海域环境影响可以接受。</w:t>
                  </w:r>
                </w:p>
                <w:p w14:paraId="2831949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78026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169" w:hRule="atLeast"/>
                <w:jc w:val="center"/>
              </w:trPr>
              <w:tc>
                <w:tcPr>
                  <w:tcW w:w="361" w:type="dxa"/>
                  <w:vMerge w:val="continue"/>
                  <w:tcBorders>
                    <w:tl2br w:val="nil"/>
                    <w:tr2bl w:val="nil"/>
                  </w:tcBorders>
                  <w:noWrap w:val="0"/>
                  <w:tcMar>
                    <w:left w:w="28" w:type="dxa"/>
                    <w:right w:w="28" w:type="dxa"/>
                  </w:tcMar>
                  <w:vAlign w:val="center"/>
                </w:tcPr>
                <w:p w14:paraId="40F4787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3274892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11.严格按照相关法律法规及海洋国土空间规划等要求，规范设置和监管入海排污口。禁止采挖海砂、设置直排排污口及其他破坏河口生态功能的开发活动。</w:t>
                  </w:r>
                </w:p>
              </w:tc>
              <w:tc>
                <w:tcPr>
                  <w:tcW w:w="1827" w:type="dxa"/>
                  <w:tcBorders>
                    <w:tl2br w:val="nil"/>
                    <w:tr2bl w:val="nil"/>
                  </w:tcBorders>
                  <w:noWrap w:val="0"/>
                  <w:tcMar>
                    <w:left w:w="28" w:type="dxa"/>
                    <w:right w:w="28" w:type="dxa"/>
                  </w:tcMar>
                  <w:vAlign w:val="center"/>
                </w:tcPr>
                <w:p w14:paraId="4A87558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eastAsia" w:cs="Times New Roman"/>
                      <w:caps w:val="0"/>
                      <w:color w:val="auto"/>
                      <w:sz w:val="21"/>
                      <w:szCs w:val="21"/>
                      <w:highlight w:val="none"/>
                      <w:lang w:val="en-US" w:eastAsia="zh-CN"/>
                    </w:rPr>
                    <w:t>生活污水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，不在码头设置排污口。</w:t>
                  </w:r>
                </w:p>
                <w:p w14:paraId="7DD76DD4">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472BD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6443632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A31397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827" w:type="dxa"/>
                  <w:tcBorders>
                    <w:tl2br w:val="nil"/>
                    <w:tr2bl w:val="nil"/>
                  </w:tcBorders>
                  <w:noWrap w:val="0"/>
                  <w:tcMar>
                    <w:left w:w="28" w:type="dxa"/>
                    <w:right w:w="28" w:type="dxa"/>
                  </w:tcMar>
                  <w:vAlign w:val="center"/>
                </w:tcPr>
                <w:p w14:paraId="227046A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本项目不涉及该条所述活动。</w:t>
                  </w:r>
                </w:p>
                <w:p w14:paraId="4BE57A1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5A83B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187F3D8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3D4D414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13.严格用途管制，坚持陆海统筹，严禁国家产业政策淘汰类、限制类项目在滨海湿地布局，实现山水林田湖草整体保护、系统修复、综合治理</w:t>
                  </w:r>
                </w:p>
              </w:tc>
              <w:tc>
                <w:tcPr>
                  <w:tcW w:w="1827" w:type="dxa"/>
                  <w:tcBorders>
                    <w:tl2br w:val="nil"/>
                    <w:tr2bl w:val="nil"/>
                  </w:tcBorders>
                  <w:noWrap w:val="0"/>
                  <w:tcMar>
                    <w:left w:w="28" w:type="dxa"/>
                    <w:right w:w="28" w:type="dxa"/>
                  </w:tcMar>
                  <w:vAlign w:val="center"/>
                </w:tcPr>
                <w:p w14:paraId="258514A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，属于产业结构调整目录中</w:t>
                  </w:r>
                  <w:r>
                    <w:rPr>
                      <w:rFonts w:hint="default" w:ascii="Times New Roman" w:hAnsi="Times New Roman" w:cs="Times New Roman"/>
                      <w:caps w:val="0"/>
                      <w:color w:val="auto"/>
                      <w:sz w:val="21"/>
                      <w:szCs w:val="21"/>
                      <w:highlight w:val="none"/>
                      <w:lang w:val="en-US" w:eastAsia="zh-CN"/>
                    </w:rPr>
                    <w:t>允许建设</w:t>
                  </w:r>
                  <w:r>
                    <w:rPr>
                      <w:rFonts w:hint="default" w:ascii="Times New Roman" w:hAnsi="Times New Roman" w:eastAsia="宋体" w:cs="Times New Roman"/>
                      <w:caps w:val="0"/>
                      <w:color w:val="auto"/>
                      <w:sz w:val="21"/>
                      <w:szCs w:val="21"/>
                      <w:highlight w:val="none"/>
                    </w:rPr>
                    <w:t>项目。</w:t>
                  </w:r>
                </w:p>
                <w:p w14:paraId="4980651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54B9B7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restart"/>
                  <w:tcBorders>
                    <w:tl2br w:val="nil"/>
                    <w:tr2bl w:val="nil"/>
                  </w:tcBorders>
                  <w:noWrap w:val="0"/>
                  <w:tcMar>
                    <w:left w:w="28" w:type="dxa"/>
                    <w:right w:w="28" w:type="dxa"/>
                  </w:tcMar>
                  <w:vAlign w:val="center"/>
                </w:tcPr>
                <w:p w14:paraId="5C445093">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污染物排放管控</w:t>
                  </w:r>
                </w:p>
              </w:tc>
              <w:tc>
                <w:tcPr>
                  <w:tcW w:w="4670" w:type="dxa"/>
                  <w:tcBorders>
                    <w:tl2br w:val="nil"/>
                    <w:tr2bl w:val="nil"/>
                  </w:tcBorders>
                  <w:noWrap w:val="0"/>
                  <w:tcMar>
                    <w:left w:w="28" w:type="dxa"/>
                    <w:right w:w="28" w:type="dxa"/>
                  </w:tcMar>
                  <w:vAlign w:val="center"/>
                </w:tcPr>
                <w:p w14:paraId="492827F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2.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w:t>
                  </w:r>
                </w:p>
              </w:tc>
              <w:tc>
                <w:tcPr>
                  <w:tcW w:w="1827" w:type="dxa"/>
                  <w:tcBorders>
                    <w:tl2br w:val="nil"/>
                    <w:tr2bl w:val="nil"/>
                  </w:tcBorders>
                  <w:noWrap w:val="0"/>
                  <w:tcMar>
                    <w:left w:w="28" w:type="dxa"/>
                    <w:right w:w="28" w:type="dxa"/>
                  </w:tcMar>
                  <w:vAlign w:val="center"/>
                </w:tcPr>
                <w:p w14:paraId="67FC373A">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eastAsia" w:cs="Times New Roman"/>
                      <w:caps w:val="0"/>
                      <w:color w:val="auto"/>
                      <w:sz w:val="21"/>
                      <w:szCs w:val="21"/>
                      <w:highlight w:val="none"/>
                      <w:lang w:val="en-US" w:eastAsia="zh-CN"/>
                    </w:rPr>
                    <w:t>生活</w:t>
                  </w:r>
                  <w:r>
                    <w:rPr>
                      <w:rFonts w:hint="default" w:ascii="Times New Roman" w:hAnsi="Times New Roman" w:eastAsia="宋体" w:cs="Times New Roman"/>
                      <w:caps w:val="0"/>
                      <w:color w:val="auto"/>
                      <w:sz w:val="21"/>
                      <w:szCs w:val="21"/>
                      <w:highlight w:val="none"/>
                    </w:rPr>
                    <w:t>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不外排。</w:t>
                  </w:r>
                </w:p>
                <w:p w14:paraId="32870B05">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2D66A2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04" w:hRule="atLeast"/>
                <w:jc w:val="center"/>
              </w:trPr>
              <w:tc>
                <w:tcPr>
                  <w:tcW w:w="361" w:type="dxa"/>
                  <w:vMerge w:val="continue"/>
                  <w:tcBorders>
                    <w:tl2br w:val="nil"/>
                    <w:tr2bl w:val="nil"/>
                  </w:tcBorders>
                  <w:noWrap w:val="0"/>
                  <w:tcMar>
                    <w:left w:w="28" w:type="dxa"/>
                    <w:right w:w="28" w:type="dxa"/>
                  </w:tcMar>
                  <w:vAlign w:val="center"/>
                </w:tcPr>
                <w:p w14:paraId="645D54EA">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3DF262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3.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827" w:type="dxa"/>
                  <w:tcBorders>
                    <w:tl2br w:val="nil"/>
                    <w:tr2bl w:val="nil"/>
                  </w:tcBorders>
                  <w:noWrap w:val="0"/>
                  <w:tcMar>
                    <w:left w:w="28" w:type="dxa"/>
                    <w:right w:w="28" w:type="dxa"/>
                  </w:tcMar>
                  <w:vAlign w:val="center"/>
                </w:tcPr>
                <w:p w14:paraId="10DAD95B">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，污水</w:t>
                  </w:r>
                  <w:r>
                    <w:rPr>
                      <w:rFonts w:hint="default" w:ascii="Times New Roman" w:hAnsi="Times New Roman" w:cs="Times New Roman"/>
                      <w:caps w:val="0"/>
                      <w:color w:val="auto"/>
                      <w:sz w:val="21"/>
                      <w:szCs w:val="21"/>
                      <w:highlight w:val="none"/>
                      <w:lang w:val="en-US" w:eastAsia="zh-CN"/>
                    </w:rPr>
                    <w:t>进入市政污水管网，</w:t>
                  </w:r>
                  <w:r>
                    <w:rPr>
                      <w:rFonts w:hint="default" w:ascii="Times New Roman" w:hAnsi="Times New Roman" w:eastAsia="宋体" w:cs="Times New Roman"/>
                      <w:caps w:val="0"/>
                      <w:color w:val="auto"/>
                      <w:sz w:val="21"/>
                      <w:szCs w:val="21"/>
                      <w:highlight w:val="none"/>
                    </w:rPr>
                    <w:t>不在码头设置排污口排放。</w:t>
                  </w:r>
                </w:p>
                <w:p w14:paraId="06F10CE3">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D1DC1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5E6CB6C6">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40523F3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10.加强海陆联动，严格控制陆源污染物排放。规范入海排污口设置，全面清理非法或设置不合理的入海排污口。</w:t>
                  </w:r>
                </w:p>
              </w:tc>
              <w:tc>
                <w:tcPr>
                  <w:tcW w:w="1827" w:type="dxa"/>
                  <w:tcBorders>
                    <w:tl2br w:val="nil"/>
                    <w:tr2bl w:val="nil"/>
                  </w:tcBorders>
                  <w:noWrap w:val="0"/>
                  <w:tcMar>
                    <w:left w:w="28" w:type="dxa"/>
                    <w:right w:w="28" w:type="dxa"/>
                  </w:tcMar>
                  <w:vAlign w:val="center"/>
                </w:tcPr>
                <w:p w14:paraId="7D37B57B">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配套</w:t>
                  </w:r>
                  <w:r>
                    <w:rPr>
                      <w:rFonts w:hint="default" w:ascii="Times New Roman" w:hAnsi="Times New Roman" w:eastAsia="宋体" w:cs="Times New Roman"/>
                      <w:caps w:val="0"/>
                      <w:color w:val="auto"/>
                      <w:sz w:val="21"/>
                      <w:szCs w:val="21"/>
                      <w:highlight w:val="none"/>
                    </w:rPr>
                    <w:t>码头</w:t>
                  </w:r>
                  <w:r>
                    <w:rPr>
                      <w:rFonts w:hint="eastAsia" w:cs="Times New Roman"/>
                      <w:caps w:val="0"/>
                      <w:color w:val="auto"/>
                      <w:sz w:val="21"/>
                      <w:szCs w:val="21"/>
                      <w:highlight w:val="none"/>
                      <w:lang w:eastAsia="zh-CN"/>
                    </w:rPr>
                    <w:t>的</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default" w:ascii="Times New Roman" w:hAnsi="Times New Roman" w:cs="Times New Roman"/>
                      <w:caps w:val="0"/>
                      <w:color w:val="auto"/>
                      <w:sz w:val="21"/>
                      <w:szCs w:val="21"/>
                      <w:highlight w:val="none"/>
                      <w:lang w:eastAsia="zh-CN"/>
                    </w:rPr>
                    <w:t>本项目</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，不在码头设置排污口排放。</w:t>
                  </w:r>
                </w:p>
                <w:p w14:paraId="5519FC4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328665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continue"/>
                  <w:tcBorders>
                    <w:tl2br w:val="nil"/>
                    <w:tr2bl w:val="nil"/>
                  </w:tcBorders>
                  <w:noWrap w:val="0"/>
                  <w:tcMar>
                    <w:left w:w="28" w:type="dxa"/>
                    <w:right w:w="28" w:type="dxa"/>
                  </w:tcMar>
                  <w:vAlign w:val="center"/>
                </w:tcPr>
                <w:p w14:paraId="60C551FA">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5386D9E1">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11.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827" w:type="dxa"/>
                  <w:tcBorders>
                    <w:tl2br w:val="nil"/>
                    <w:tr2bl w:val="nil"/>
                  </w:tcBorders>
                  <w:noWrap w:val="0"/>
                  <w:tcMar>
                    <w:left w:w="28" w:type="dxa"/>
                    <w:right w:w="28" w:type="dxa"/>
                  </w:tcMar>
                  <w:vAlign w:val="center"/>
                </w:tcPr>
                <w:p w14:paraId="2C6CF5E1">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为配套</w:t>
                  </w:r>
                  <w:r>
                    <w:rPr>
                      <w:rFonts w:hint="default" w:ascii="Times New Roman" w:hAnsi="Times New Roman" w:eastAsia="宋体" w:cs="Times New Roman"/>
                      <w:caps w:val="0"/>
                      <w:color w:val="auto"/>
                      <w:sz w:val="21"/>
                      <w:szCs w:val="21"/>
                      <w:highlight w:val="none"/>
                    </w:rPr>
                    <w:t>码头</w:t>
                  </w:r>
                  <w:r>
                    <w:rPr>
                      <w:rFonts w:hint="eastAsia" w:cs="Times New Roman"/>
                      <w:caps w:val="0"/>
                      <w:color w:val="auto"/>
                      <w:sz w:val="21"/>
                      <w:szCs w:val="21"/>
                      <w:highlight w:val="none"/>
                      <w:lang w:eastAsia="zh-CN"/>
                    </w:rPr>
                    <w:t>的</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，不</w:t>
                  </w:r>
                  <w:r>
                    <w:rPr>
                      <w:rFonts w:hint="default" w:ascii="Times New Roman" w:hAnsi="Times New Roman" w:cs="Times New Roman"/>
                      <w:caps w:val="0"/>
                      <w:color w:val="auto"/>
                      <w:sz w:val="21"/>
                      <w:szCs w:val="21"/>
                      <w:highlight w:val="none"/>
                      <w:lang w:val="en-US" w:eastAsia="zh-CN"/>
                    </w:rPr>
                    <w:t>设计船舶污染</w:t>
                  </w:r>
                  <w:r>
                    <w:rPr>
                      <w:rFonts w:hint="default" w:ascii="Times New Roman" w:hAnsi="Times New Roman" w:eastAsia="宋体" w:cs="Times New Roman"/>
                      <w:caps w:val="0"/>
                      <w:color w:val="auto"/>
                      <w:sz w:val="21"/>
                      <w:szCs w:val="21"/>
                      <w:highlight w:val="none"/>
                    </w:rPr>
                    <w:t>。</w:t>
                  </w:r>
                </w:p>
                <w:p w14:paraId="7584AA2E">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5FB3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continue"/>
                  <w:tcBorders>
                    <w:tl2br w:val="nil"/>
                    <w:tr2bl w:val="nil"/>
                  </w:tcBorders>
                  <w:noWrap w:val="0"/>
                  <w:tcMar>
                    <w:left w:w="28" w:type="dxa"/>
                    <w:right w:w="28" w:type="dxa"/>
                  </w:tcMar>
                  <w:vAlign w:val="center"/>
                </w:tcPr>
                <w:p w14:paraId="231119E5">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5AFD698">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12.加强港口码头环保基础设施处理和建设。完善堆场防风抑尘设施，降低扬尘污染。钦州港区实行雨污分流和污水分质处理，防止堆场废水通过雨水沟直排入海，完善配套污水处理设施和管网建设，实现污水集中处理、回用或达标排放。</w:t>
                  </w:r>
                </w:p>
              </w:tc>
              <w:tc>
                <w:tcPr>
                  <w:tcW w:w="1827" w:type="dxa"/>
                  <w:tcBorders>
                    <w:tl2br w:val="nil"/>
                    <w:tr2bl w:val="nil"/>
                  </w:tcBorders>
                  <w:noWrap w:val="0"/>
                  <w:tcMar>
                    <w:left w:w="28" w:type="dxa"/>
                    <w:right w:w="28" w:type="dxa"/>
                  </w:tcMar>
                  <w:vAlign w:val="center"/>
                </w:tcPr>
                <w:p w14:paraId="0321076C">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w:t>
                  </w:r>
                  <w:r>
                    <w:rPr>
                      <w:rFonts w:hint="default" w:ascii="Times New Roman" w:hAnsi="Times New Roman" w:eastAsia="宋体" w:cs="Times New Roman"/>
                      <w:caps w:val="0"/>
                      <w:color w:val="auto"/>
                      <w:sz w:val="21"/>
                      <w:szCs w:val="21"/>
                      <w:highlight w:val="none"/>
                      <w:lang w:val="en-US" w:eastAsia="zh-CN"/>
                    </w:rPr>
                    <w:t>排入</w:t>
                  </w:r>
                  <w:r>
                    <w:rPr>
                      <w:rFonts w:hint="default" w:ascii="Times New Roman" w:hAnsi="Times New Roman" w:eastAsia="宋体" w:cs="Times New Roman"/>
                      <w:caps w:val="0"/>
                      <w:color w:val="auto"/>
                      <w:highlight w:val="none"/>
                    </w:rPr>
                    <w:t>大榄坪污水处理厂</w:t>
                  </w:r>
                  <w:r>
                    <w:rPr>
                      <w:rFonts w:hint="default" w:ascii="Times New Roman" w:hAnsi="Times New Roman" w:eastAsia="宋体" w:cs="Times New Roman"/>
                      <w:caps w:val="0"/>
                      <w:color w:val="auto"/>
                      <w:sz w:val="21"/>
                      <w:szCs w:val="21"/>
                      <w:highlight w:val="none"/>
                    </w:rPr>
                    <w:t>。</w:t>
                  </w:r>
                </w:p>
                <w:p w14:paraId="4006000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1B66D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752" w:hRule="atLeast"/>
                <w:jc w:val="center"/>
              </w:trPr>
              <w:tc>
                <w:tcPr>
                  <w:tcW w:w="361" w:type="dxa"/>
                  <w:vMerge w:val="continue"/>
                  <w:tcBorders>
                    <w:tl2br w:val="nil"/>
                    <w:tr2bl w:val="nil"/>
                  </w:tcBorders>
                  <w:noWrap w:val="0"/>
                  <w:tcMar>
                    <w:left w:w="28" w:type="dxa"/>
                    <w:right w:w="28" w:type="dxa"/>
                  </w:tcMar>
                  <w:vAlign w:val="center"/>
                </w:tcPr>
                <w:p w14:paraId="55933E1D">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764F1417">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827" w:type="dxa"/>
                  <w:tcBorders>
                    <w:tl2br w:val="nil"/>
                    <w:tr2bl w:val="nil"/>
                  </w:tcBorders>
                  <w:noWrap w:val="0"/>
                  <w:tcMar>
                    <w:left w:w="28" w:type="dxa"/>
                    <w:right w:w="28" w:type="dxa"/>
                  </w:tcMar>
                  <w:vAlign w:val="center"/>
                </w:tcPr>
                <w:p w14:paraId="31B116C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项目为</w:t>
                  </w:r>
                  <w:r>
                    <w:rPr>
                      <w:rFonts w:hint="default" w:ascii="Times New Roman" w:hAnsi="Times New Roman" w:cs="Times New Roman"/>
                      <w:caps w:val="0"/>
                      <w:color w:val="auto"/>
                      <w:sz w:val="21"/>
                      <w:szCs w:val="21"/>
                      <w:highlight w:val="none"/>
                      <w:lang w:val="en-US" w:eastAsia="zh-CN"/>
                    </w:rPr>
                    <w:t>集装箱修理项目</w:t>
                  </w:r>
                  <w:r>
                    <w:rPr>
                      <w:rFonts w:hint="default" w:ascii="Times New Roman" w:hAnsi="Times New Roman" w:eastAsia="宋体" w:cs="Times New Roman"/>
                      <w:caps w:val="0"/>
                      <w:color w:val="auto"/>
                      <w:sz w:val="21"/>
                      <w:szCs w:val="21"/>
                      <w:highlight w:val="none"/>
                    </w:rPr>
                    <w:t>，</w:t>
                  </w:r>
                  <w:r>
                    <w:rPr>
                      <w:rFonts w:hint="eastAsia" w:cs="Times New Roman"/>
                      <w:caps w:val="0"/>
                      <w:color w:val="auto"/>
                      <w:sz w:val="21"/>
                      <w:szCs w:val="21"/>
                      <w:highlight w:val="none"/>
                      <w:lang w:val="en-US" w:eastAsia="zh-CN"/>
                    </w:rPr>
                    <w:t>生活</w:t>
                  </w:r>
                  <w:r>
                    <w:rPr>
                      <w:rFonts w:hint="default" w:ascii="Times New Roman" w:hAnsi="Times New Roman" w:cs="Times New Roman"/>
                      <w:caps w:val="0"/>
                      <w:color w:val="auto"/>
                      <w:sz w:val="21"/>
                      <w:szCs w:val="21"/>
                      <w:highlight w:val="none"/>
                      <w:lang w:eastAsia="zh-CN"/>
                    </w:rPr>
                    <w:t>污水进入市政污水管网</w:t>
                  </w:r>
                  <w:r>
                    <w:rPr>
                      <w:rFonts w:hint="default" w:ascii="Times New Roman" w:hAnsi="Times New Roman" w:eastAsia="宋体" w:cs="Times New Roman"/>
                      <w:caps w:val="0"/>
                      <w:color w:val="auto"/>
                      <w:sz w:val="21"/>
                      <w:szCs w:val="21"/>
                      <w:highlight w:val="none"/>
                    </w:rPr>
                    <w:t>，不在码头设置排污口排放。</w:t>
                  </w:r>
                </w:p>
                <w:p w14:paraId="206062CE">
                  <w:pPr>
                    <w:pStyle w:val="149"/>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符合</w:t>
                  </w:r>
                  <w:r>
                    <w:rPr>
                      <w:rFonts w:hint="default" w:ascii="Times New Roman" w:hAnsi="Times New Roman" w:eastAsia="宋体" w:cs="Times New Roman"/>
                      <w:b/>
                      <w:bCs/>
                      <w:caps w:val="0"/>
                      <w:color w:val="auto"/>
                      <w:sz w:val="21"/>
                      <w:szCs w:val="21"/>
                      <w:highlight w:val="none"/>
                    </w:rPr>
                    <w:t>。</w:t>
                  </w:r>
                </w:p>
              </w:tc>
            </w:tr>
            <w:tr w14:paraId="0CE72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restart"/>
                  <w:tcBorders>
                    <w:tl2br w:val="nil"/>
                    <w:tr2bl w:val="nil"/>
                  </w:tcBorders>
                  <w:noWrap w:val="0"/>
                  <w:tcMar>
                    <w:left w:w="28" w:type="dxa"/>
                    <w:right w:w="28" w:type="dxa"/>
                  </w:tcMar>
                  <w:vAlign w:val="center"/>
                </w:tcPr>
                <w:p w14:paraId="088A754E">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环境风险防控</w:t>
                  </w:r>
                </w:p>
              </w:tc>
              <w:tc>
                <w:tcPr>
                  <w:tcW w:w="4670" w:type="dxa"/>
                  <w:tcBorders>
                    <w:tl2br w:val="nil"/>
                    <w:tr2bl w:val="nil"/>
                  </w:tcBorders>
                  <w:noWrap w:val="0"/>
                  <w:tcMar>
                    <w:left w:w="28" w:type="dxa"/>
                    <w:right w:w="28" w:type="dxa"/>
                  </w:tcMar>
                  <w:vAlign w:val="center"/>
                </w:tcPr>
                <w:p w14:paraId="16D1087C">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1.</w:t>
                  </w:r>
                  <w:r>
                    <w:rPr>
                      <w:rStyle w:val="151"/>
                      <w:rFonts w:hint="default" w:ascii="Times New Roman" w:hAnsi="Times New Roman" w:eastAsia="宋体" w:cs="Times New Roman"/>
                      <w:caps w:val="0"/>
                      <w:color w:val="auto"/>
                      <w:sz w:val="21"/>
                      <w:szCs w:val="21"/>
                      <w:highlight w:val="none"/>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827" w:type="dxa"/>
                  <w:tcBorders>
                    <w:tl2br w:val="nil"/>
                    <w:tr2bl w:val="nil"/>
                  </w:tcBorders>
                  <w:noWrap w:val="0"/>
                  <w:tcMar>
                    <w:left w:w="28" w:type="dxa"/>
                    <w:right w:w="28" w:type="dxa"/>
                  </w:tcMar>
                  <w:vAlign w:val="center"/>
                </w:tcPr>
                <w:p w14:paraId="31AA927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项目运营后按要求开展风险评估，制订突发环境应急预案，健全企业应急制度管理。</w:t>
                  </w:r>
                </w:p>
                <w:p w14:paraId="029B0E04">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7A88F1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43" w:hRule="atLeast"/>
                <w:jc w:val="center"/>
              </w:trPr>
              <w:tc>
                <w:tcPr>
                  <w:tcW w:w="361" w:type="dxa"/>
                  <w:vMerge w:val="continue"/>
                  <w:tcBorders>
                    <w:tl2br w:val="nil"/>
                    <w:tr2bl w:val="nil"/>
                  </w:tcBorders>
                  <w:noWrap w:val="0"/>
                  <w:tcMar>
                    <w:left w:w="28" w:type="dxa"/>
                    <w:right w:w="28" w:type="dxa"/>
                  </w:tcMar>
                  <w:vAlign w:val="center"/>
                </w:tcPr>
                <w:p w14:paraId="076CC2F5">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0909742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6.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827" w:type="dxa"/>
                  <w:tcBorders>
                    <w:tl2br w:val="nil"/>
                    <w:tr2bl w:val="nil"/>
                  </w:tcBorders>
                  <w:noWrap w:val="0"/>
                  <w:tcMar>
                    <w:left w:w="28" w:type="dxa"/>
                    <w:right w:w="28" w:type="dxa"/>
                  </w:tcMar>
                  <w:vAlign w:val="center"/>
                </w:tcPr>
                <w:p w14:paraId="39B167AF">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项目运营后按要求开展风险评估，制订突发环境应急预案，健全企业应急制度管理。</w:t>
                  </w:r>
                </w:p>
                <w:p w14:paraId="78D744F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r w14:paraId="4A6D45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55" w:hRule="atLeast"/>
                <w:jc w:val="center"/>
              </w:trPr>
              <w:tc>
                <w:tcPr>
                  <w:tcW w:w="361" w:type="dxa"/>
                  <w:vMerge w:val="restart"/>
                  <w:tcBorders>
                    <w:tl2br w:val="nil"/>
                    <w:tr2bl w:val="nil"/>
                  </w:tcBorders>
                  <w:noWrap w:val="0"/>
                  <w:tcMar>
                    <w:left w:w="28" w:type="dxa"/>
                    <w:right w:w="28" w:type="dxa"/>
                  </w:tcMar>
                  <w:vAlign w:val="center"/>
                </w:tcPr>
                <w:p w14:paraId="7ADBC1D4">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资源开发利用效率要求</w:t>
                  </w:r>
                </w:p>
              </w:tc>
              <w:tc>
                <w:tcPr>
                  <w:tcW w:w="4670" w:type="dxa"/>
                  <w:tcBorders>
                    <w:tl2br w:val="nil"/>
                    <w:tr2bl w:val="nil"/>
                  </w:tcBorders>
                  <w:noWrap w:val="0"/>
                  <w:tcMar>
                    <w:left w:w="28" w:type="dxa"/>
                    <w:right w:w="28" w:type="dxa"/>
                  </w:tcMar>
                  <w:vAlign w:val="center"/>
                </w:tcPr>
                <w:p w14:paraId="57A600D4">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2.土地资源：严格执行自治区下达的土地资源利用总量及效率管控指标要求。突出节约集约用海原则，合理控制规模，优化空间布局，提高海域空间资源的整体使用效能。</w:t>
                  </w:r>
                </w:p>
              </w:tc>
              <w:tc>
                <w:tcPr>
                  <w:tcW w:w="1827" w:type="dxa"/>
                  <w:tcBorders>
                    <w:tl2br w:val="nil"/>
                    <w:tr2bl w:val="nil"/>
                  </w:tcBorders>
                  <w:noWrap w:val="0"/>
                  <w:tcMar>
                    <w:left w:w="28" w:type="dxa"/>
                    <w:right w:w="28" w:type="dxa"/>
                  </w:tcMar>
                  <w:vAlign w:val="center"/>
                </w:tcPr>
                <w:p w14:paraId="363B7B3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本项目</w:t>
                  </w:r>
                  <w:r>
                    <w:rPr>
                      <w:rFonts w:hint="default" w:ascii="Times New Roman" w:hAnsi="Times New Roman" w:cs="Times New Roman"/>
                      <w:caps w:val="0"/>
                      <w:color w:val="auto"/>
                      <w:sz w:val="21"/>
                      <w:szCs w:val="21"/>
                      <w:highlight w:val="none"/>
                      <w:lang w:val="en-US" w:eastAsia="zh-CN"/>
                    </w:rPr>
                    <w:t>选址位于</w:t>
                  </w:r>
                  <w:r>
                    <w:rPr>
                      <w:rFonts w:hint="default" w:ascii="Times New Roman" w:hAnsi="Times New Roman" w:eastAsia="宋体" w:cs="Times New Roman"/>
                      <w:caps w:val="0"/>
                      <w:color w:val="auto"/>
                      <w:sz w:val="21"/>
                      <w:szCs w:val="21"/>
                      <w:highlight w:val="none"/>
                      <w:lang w:val="en-US" w:eastAsia="zh-CN"/>
                    </w:rPr>
                    <w:t>现有</w:t>
                  </w:r>
                  <w:r>
                    <w:rPr>
                      <w:rFonts w:hint="default" w:ascii="Times New Roman" w:hAnsi="Times New Roman" w:cs="Times New Roman"/>
                      <w:caps w:val="0"/>
                      <w:color w:val="auto"/>
                      <w:sz w:val="21"/>
                      <w:szCs w:val="21"/>
                      <w:highlight w:val="none"/>
                      <w:lang w:val="en-US" w:eastAsia="zh-CN"/>
                    </w:rPr>
                    <w:t>码头内，配套码头建设</w:t>
                  </w:r>
                  <w:r>
                    <w:rPr>
                      <w:rFonts w:hint="default" w:ascii="Times New Roman" w:hAnsi="Times New Roman" w:eastAsia="宋体" w:cs="Times New Roman"/>
                      <w:caps w:val="0"/>
                      <w:color w:val="auto"/>
                      <w:sz w:val="21"/>
                      <w:szCs w:val="21"/>
                      <w:highlight w:val="none"/>
                    </w:rPr>
                    <w:t>，不涉及新增占地和用海。</w:t>
                  </w:r>
                  <w:r>
                    <w:rPr>
                      <w:rFonts w:hint="default" w:ascii="Times New Roman" w:hAnsi="Times New Roman" w:eastAsia="宋体" w:cs="Times New Roman"/>
                      <w:b/>
                      <w:bCs/>
                      <w:caps w:val="0"/>
                      <w:color w:val="auto"/>
                      <w:sz w:val="21"/>
                      <w:szCs w:val="21"/>
                      <w:highlight w:val="none"/>
                    </w:rPr>
                    <w:t>符合。</w:t>
                  </w:r>
                </w:p>
              </w:tc>
            </w:tr>
            <w:tr w14:paraId="7CF3E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38" w:hRule="atLeast"/>
                <w:jc w:val="center"/>
              </w:trPr>
              <w:tc>
                <w:tcPr>
                  <w:tcW w:w="361" w:type="dxa"/>
                  <w:vMerge w:val="continue"/>
                  <w:tcBorders>
                    <w:tl2br w:val="nil"/>
                    <w:tr2bl w:val="nil"/>
                  </w:tcBorders>
                  <w:noWrap w:val="0"/>
                  <w:tcMar>
                    <w:left w:w="28" w:type="dxa"/>
                    <w:right w:w="28" w:type="dxa"/>
                  </w:tcMar>
                  <w:vAlign w:val="center"/>
                </w:tcPr>
                <w:p w14:paraId="010BCB58">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aps w:val="0"/>
                      <w:color w:val="auto"/>
                      <w:sz w:val="21"/>
                      <w:szCs w:val="21"/>
                      <w:highlight w:val="none"/>
                    </w:rPr>
                  </w:pPr>
                </w:p>
              </w:tc>
              <w:tc>
                <w:tcPr>
                  <w:tcW w:w="4670" w:type="dxa"/>
                  <w:tcBorders>
                    <w:tl2br w:val="nil"/>
                    <w:tr2bl w:val="nil"/>
                  </w:tcBorders>
                  <w:noWrap w:val="0"/>
                  <w:tcMar>
                    <w:left w:w="28" w:type="dxa"/>
                    <w:right w:w="28" w:type="dxa"/>
                  </w:tcMar>
                  <w:vAlign w:val="center"/>
                </w:tcPr>
                <w:p w14:paraId="2E84F14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caps w:val="0"/>
                      <w:color w:val="auto"/>
                      <w:sz w:val="21"/>
                      <w:szCs w:val="21"/>
                      <w:highlight w:val="none"/>
                    </w:rPr>
                  </w:pPr>
                  <w:r>
                    <w:rPr>
                      <w:rStyle w:val="150"/>
                      <w:rFonts w:hint="default" w:ascii="Times New Roman" w:hAnsi="Times New Roman" w:eastAsia="宋体" w:cs="Times New Roman"/>
                      <w:caps w:val="0"/>
                      <w:color w:val="auto"/>
                      <w:sz w:val="21"/>
                      <w:szCs w:val="21"/>
                      <w:highlight w:val="none"/>
                    </w:rPr>
                    <w:t>5.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827" w:type="dxa"/>
                  <w:tcBorders>
                    <w:tl2br w:val="nil"/>
                    <w:tr2bl w:val="nil"/>
                  </w:tcBorders>
                  <w:noWrap w:val="0"/>
                  <w:tcMar>
                    <w:left w:w="28" w:type="dxa"/>
                    <w:right w:w="28" w:type="dxa"/>
                  </w:tcMar>
                  <w:vAlign w:val="center"/>
                </w:tcPr>
                <w:p w14:paraId="379B6C6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本次项目完全利用原有项目申请岸线，不涉及新增岸线。</w:t>
                  </w:r>
                </w:p>
                <w:p w14:paraId="625E8AA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b/>
                      <w:bCs/>
                      <w:caps w:val="0"/>
                      <w:color w:val="auto"/>
                      <w:sz w:val="21"/>
                      <w:szCs w:val="21"/>
                      <w:highlight w:val="none"/>
                    </w:rPr>
                    <w:t>符合。</w:t>
                  </w:r>
                </w:p>
              </w:tc>
            </w:tr>
          </w:tbl>
          <w:p w14:paraId="7B0168A3">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aps w:val="0"/>
                <w:color w:val="auto"/>
                <w:sz w:val="21"/>
                <w:szCs w:val="21"/>
                <w:highlight w:val="none"/>
                <w:lang w:val="en-US" w:eastAsia="zh-CN"/>
              </w:rPr>
              <w:t>2</w:t>
            </w:r>
            <w:r>
              <w:rPr>
                <w:rFonts w:hint="default" w:ascii="Times New Roman" w:hAnsi="Times New Roman" w:eastAsia="宋体" w:cs="Times New Roman"/>
                <w:b/>
                <w:bCs/>
                <w:caps w:val="0"/>
                <w:color w:val="auto"/>
                <w:sz w:val="21"/>
                <w:szCs w:val="21"/>
                <w:highlight w:val="none"/>
              </w:rPr>
              <w:t>项目与钦州综合保税区重点管控单元相符性</w:t>
            </w:r>
          </w:p>
          <w:tbl>
            <w:tblPr>
              <w:tblStyle w:val="46"/>
              <w:tblW w:w="66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4546"/>
              <w:gridCol w:w="1565"/>
            </w:tblGrid>
            <w:tr w14:paraId="12167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588" w:type="dxa"/>
                  <w:tcBorders>
                    <w:tl2br w:val="nil"/>
                    <w:tr2bl w:val="nil"/>
                  </w:tcBorders>
                  <w:noWrap w:val="0"/>
                  <w:tcMar>
                    <w:left w:w="28" w:type="dxa"/>
                    <w:right w:w="28" w:type="dxa"/>
                  </w:tcMar>
                  <w:vAlign w:val="center"/>
                </w:tcPr>
                <w:p w14:paraId="251BBA44">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管控类别</w:t>
                  </w:r>
                </w:p>
              </w:tc>
              <w:tc>
                <w:tcPr>
                  <w:tcW w:w="4546" w:type="dxa"/>
                  <w:tcBorders>
                    <w:tl2br w:val="nil"/>
                    <w:tr2bl w:val="nil"/>
                  </w:tcBorders>
                  <w:noWrap w:val="0"/>
                  <w:tcMar>
                    <w:left w:w="28" w:type="dxa"/>
                    <w:right w:w="28" w:type="dxa"/>
                  </w:tcMar>
                  <w:vAlign w:val="center"/>
                </w:tcPr>
                <w:p w14:paraId="23EF362A">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生态环境准入及管控要求</w:t>
                  </w:r>
                </w:p>
              </w:tc>
              <w:tc>
                <w:tcPr>
                  <w:tcW w:w="1565" w:type="dxa"/>
                  <w:tcBorders>
                    <w:tl2br w:val="nil"/>
                    <w:tr2bl w:val="nil"/>
                  </w:tcBorders>
                  <w:noWrap w:val="0"/>
                  <w:tcMar>
                    <w:left w:w="28" w:type="dxa"/>
                    <w:right w:w="28" w:type="dxa"/>
                  </w:tcMar>
                  <w:vAlign w:val="center"/>
                </w:tcPr>
                <w:p w14:paraId="29054C18">
                  <w:pPr>
                    <w:pStyle w:val="1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相符性分析</w:t>
                  </w:r>
                </w:p>
              </w:tc>
            </w:tr>
            <w:tr w14:paraId="537F8F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8" w:hRule="atLeast"/>
                <w:jc w:val="center"/>
              </w:trPr>
              <w:tc>
                <w:tcPr>
                  <w:tcW w:w="588" w:type="dxa"/>
                  <w:tcBorders>
                    <w:tl2br w:val="nil"/>
                    <w:tr2bl w:val="nil"/>
                  </w:tcBorders>
                  <w:noWrap w:val="0"/>
                  <w:tcMar>
                    <w:left w:w="28" w:type="dxa"/>
                    <w:right w:w="28" w:type="dxa"/>
                  </w:tcMar>
                  <w:vAlign w:val="center"/>
                </w:tcPr>
                <w:p w14:paraId="39674FF2">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空间布局约束</w:t>
                  </w:r>
                </w:p>
              </w:tc>
              <w:tc>
                <w:tcPr>
                  <w:tcW w:w="4546" w:type="dxa"/>
                  <w:tcBorders>
                    <w:tl2br w:val="nil"/>
                    <w:tr2bl w:val="nil"/>
                  </w:tcBorders>
                  <w:noWrap w:val="0"/>
                  <w:tcMar>
                    <w:left w:w="28" w:type="dxa"/>
                    <w:right w:w="28" w:type="dxa"/>
                  </w:tcMar>
                  <w:vAlign w:val="center"/>
                </w:tcPr>
                <w:p w14:paraId="4B1F2BDD">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1、居住用地周边严控布局潜在污染扰民和环境风险突出的建设项目。</w:t>
                  </w:r>
                </w:p>
                <w:p w14:paraId="238CF20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2、不得引进与园区产业定位不符的产业，引进项目清洁生产水平须达到国内同行业先进水平。</w:t>
                  </w:r>
                </w:p>
                <w:p w14:paraId="089186C4">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3、园区产业准入执行《广西壮族自治区人民政府办公厅关于印发北钦防一体化产业协同发展限制布局清单（工业类2021年版）的通知》（桂政办函〔2021〕4号）要求，限制新建不符合综合保税区产业政策的产品加工制造和产业服务项目。</w:t>
                  </w:r>
                </w:p>
              </w:tc>
              <w:tc>
                <w:tcPr>
                  <w:tcW w:w="1565" w:type="dxa"/>
                  <w:tcBorders>
                    <w:tl2br w:val="nil"/>
                    <w:tr2bl w:val="nil"/>
                  </w:tcBorders>
                  <w:noWrap w:val="0"/>
                  <w:tcMar>
                    <w:left w:w="28" w:type="dxa"/>
                    <w:right w:w="28" w:type="dxa"/>
                  </w:tcMar>
                  <w:vAlign w:val="center"/>
                </w:tcPr>
                <w:p w14:paraId="679CEEA6">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项目为符合规划的码头项目，符合保税</w:t>
                  </w:r>
                  <w:r>
                    <w:rPr>
                      <w:rFonts w:hint="eastAsia" w:cs="Times New Roman"/>
                      <w:b w:val="0"/>
                      <w:bCs w:val="0"/>
                      <w:caps w:val="0"/>
                      <w:color w:val="auto"/>
                      <w:sz w:val="21"/>
                      <w:szCs w:val="21"/>
                      <w:highlight w:val="none"/>
                      <w:u w:val="none"/>
                      <w:lang w:val="en-US" w:eastAsia="zh-CN"/>
                    </w:rPr>
                    <w:t>港</w:t>
                  </w:r>
                  <w:r>
                    <w:rPr>
                      <w:rFonts w:hint="default" w:ascii="Times New Roman" w:hAnsi="Times New Roman" w:eastAsia="宋体" w:cs="Times New Roman"/>
                      <w:b w:val="0"/>
                      <w:bCs w:val="0"/>
                      <w:caps w:val="0"/>
                      <w:color w:val="auto"/>
                      <w:sz w:val="21"/>
                      <w:szCs w:val="21"/>
                      <w:highlight w:val="none"/>
                      <w:u w:val="none"/>
                    </w:rPr>
                    <w:t>区规划，与周边居民用地距离较远。</w:t>
                  </w:r>
                </w:p>
                <w:p w14:paraId="4FD59EA7">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lang w:val="en-US" w:eastAsia="zh-CN"/>
                    </w:rPr>
                  </w:pPr>
                  <w:r>
                    <w:rPr>
                      <w:rFonts w:hint="default" w:ascii="Times New Roman" w:hAnsi="Times New Roman" w:eastAsia="宋体" w:cs="Times New Roman"/>
                      <w:b/>
                      <w:bCs/>
                      <w:caps w:val="0"/>
                      <w:color w:val="auto"/>
                      <w:sz w:val="21"/>
                      <w:szCs w:val="21"/>
                      <w:highlight w:val="none"/>
                      <w:u w:val="none"/>
                    </w:rPr>
                    <w:t>符合</w:t>
                  </w:r>
                  <w:r>
                    <w:rPr>
                      <w:rFonts w:hint="default" w:ascii="Times New Roman" w:hAnsi="Times New Roman" w:eastAsia="宋体" w:cs="Times New Roman"/>
                      <w:b/>
                      <w:bCs/>
                      <w:caps w:val="0"/>
                      <w:color w:val="auto"/>
                      <w:sz w:val="21"/>
                      <w:szCs w:val="21"/>
                      <w:highlight w:val="none"/>
                      <w:u w:val="none"/>
                      <w:lang w:eastAsia="zh-CN"/>
                    </w:rPr>
                    <w:t>。</w:t>
                  </w:r>
                </w:p>
              </w:tc>
            </w:tr>
            <w:tr w14:paraId="1FDD5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6" w:hRule="atLeast"/>
                <w:jc w:val="center"/>
              </w:trPr>
              <w:tc>
                <w:tcPr>
                  <w:tcW w:w="588" w:type="dxa"/>
                  <w:tcBorders>
                    <w:tl2br w:val="nil"/>
                    <w:tr2bl w:val="nil"/>
                  </w:tcBorders>
                  <w:noWrap w:val="0"/>
                  <w:tcMar>
                    <w:left w:w="28" w:type="dxa"/>
                    <w:right w:w="28" w:type="dxa"/>
                  </w:tcMar>
                  <w:vAlign w:val="center"/>
                </w:tcPr>
                <w:p w14:paraId="3A51E9F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污染物排放管控</w:t>
                  </w:r>
                </w:p>
              </w:tc>
              <w:tc>
                <w:tcPr>
                  <w:tcW w:w="4546" w:type="dxa"/>
                  <w:tcBorders>
                    <w:tl2br w:val="nil"/>
                    <w:tr2bl w:val="nil"/>
                  </w:tcBorders>
                  <w:noWrap w:val="0"/>
                  <w:tcMar>
                    <w:left w:w="28" w:type="dxa"/>
                    <w:right w:w="28" w:type="dxa"/>
                  </w:tcMar>
                  <w:vAlign w:val="center"/>
                </w:tcPr>
                <w:p w14:paraId="0DE139B6">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1148D0D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2、强化工业企业无组织排放管理。</w:t>
                  </w:r>
                </w:p>
                <w:p w14:paraId="4204F007">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3、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w:t>
                  </w:r>
                </w:p>
                <w:p w14:paraId="79F526BF">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4、工业固废以循环经济的理念进行处置，逐步实行垃圾分类收集，危险工业垃圾独立安全处置。</w:t>
                  </w:r>
                </w:p>
              </w:tc>
              <w:tc>
                <w:tcPr>
                  <w:tcW w:w="1565" w:type="dxa"/>
                  <w:tcBorders>
                    <w:tl2br w:val="nil"/>
                    <w:tr2bl w:val="nil"/>
                  </w:tcBorders>
                  <w:noWrap w:val="0"/>
                  <w:tcMar>
                    <w:left w:w="28" w:type="dxa"/>
                    <w:right w:w="28" w:type="dxa"/>
                  </w:tcMar>
                  <w:vAlign w:val="center"/>
                </w:tcPr>
                <w:p w14:paraId="5EF062CD">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项目</w:t>
                  </w:r>
                  <w:r>
                    <w:rPr>
                      <w:rFonts w:hint="eastAsia" w:cs="Times New Roman"/>
                      <w:b w:val="0"/>
                      <w:bCs w:val="0"/>
                      <w:caps w:val="0"/>
                      <w:color w:val="auto"/>
                      <w:sz w:val="21"/>
                      <w:szCs w:val="21"/>
                      <w:highlight w:val="none"/>
                      <w:u w:val="none"/>
                      <w:lang w:val="en-US" w:eastAsia="zh-CN"/>
                    </w:rPr>
                    <w:t>生活</w:t>
                  </w:r>
                  <w:r>
                    <w:rPr>
                      <w:rFonts w:hint="default" w:ascii="Times New Roman" w:hAnsi="Times New Roman" w:eastAsia="宋体" w:cs="Times New Roman"/>
                      <w:b w:val="0"/>
                      <w:bCs w:val="0"/>
                      <w:caps w:val="0"/>
                      <w:color w:val="auto"/>
                      <w:sz w:val="21"/>
                      <w:szCs w:val="21"/>
                      <w:highlight w:val="none"/>
                      <w:u w:val="none"/>
                    </w:rPr>
                    <w:t>污水</w:t>
                  </w:r>
                  <w:r>
                    <w:rPr>
                      <w:rFonts w:hint="default" w:ascii="Times New Roman" w:hAnsi="Times New Roman" w:cs="Times New Roman"/>
                      <w:b w:val="0"/>
                      <w:bCs w:val="0"/>
                      <w:caps w:val="0"/>
                      <w:color w:val="auto"/>
                      <w:sz w:val="21"/>
                      <w:szCs w:val="21"/>
                      <w:highlight w:val="none"/>
                      <w:u w:val="none"/>
                      <w:lang w:val="en-US" w:eastAsia="zh-CN"/>
                    </w:rPr>
                    <w:t>排入市政管网</w:t>
                  </w:r>
                  <w:r>
                    <w:rPr>
                      <w:rFonts w:hint="default" w:ascii="Times New Roman" w:hAnsi="Times New Roman" w:eastAsia="宋体" w:cs="Times New Roman"/>
                      <w:b w:val="0"/>
                      <w:bCs w:val="0"/>
                      <w:caps w:val="0"/>
                      <w:color w:val="auto"/>
                      <w:sz w:val="21"/>
                      <w:szCs w:val="21"/>
                      <w:highlight w:val="none"/>
                      <w:u w:val="none"/>
                    </w:rPr>
                    <w:t>，不涉及自设排放口；项目</w:t>
                  </w:r>
                  <w:r>
                    <w:rPr>
                      <w:rFonts w:hint="default" w:ascii="Times New Roman" w:hAnsi="Times New Roman" w:cs="Times New Roman"/>
                      <w:b w:val="0"/>
                      <w:bCs w:val="0"/>
                      <w:caps w:val="0"/>
                      <w:color w:val="auto"/>
                      <w:sz w:val="21"/>
                      <w:szCs w:val="21"/>
                      <w:highlight w:val="none"/>
                      <w:u w:val="none"/>
                      <w:lang w:val="en-US" w:eastAsia="zh-CN"/>
                    </w:rPr>
                    <w:t>刷漆产生的废气收集处理后有组织排放，</w:t>
                  </w:r>
                  <w:r>
                    <w:rPr>
                      <w:rStyle w:val="150"/>
                      <w:rFonts w:hint="default" w:ascii="Times New Roman" w:hAnsi="Times New Roman" w:eastAsia="宋体" w:cs="Times New Roman"/>
                      <w:b w:val="0"/>
                      <w:bCs w:val="0"/>
                      <w:caps w:val="0"/>
                      <w:color w:val="auto"/>
                      <w:sz w:val="21"/>
                      <w:szCs w:val="21"/>
                      <w:highlight w:val="none"/>
                      <w:u w:val="none"/>
                    </w:rPr>
                    <w:t>严格控制挥发性有机污染物排放</w:t>
                  </w:r>
                  <w:r>
                    <w:rPr>
                      <w:rFonts w:hint="default" w:ascii="Times New Roman" w:hAnsi="Times New Roman" w:eastAsia="宋体" w:cs="Times New Roman"/>
                      <w:b w:val="0"/>
                      <w:bCs w:val="0"/>
                      <w:caps w:val="0"/>
                      <w:color w:val="auto"/>
                      <w:sz w:val="21"/>
                      <w:szCs w:val="21"/>
                      <w:highlight w:val="none"/>
                      <w:u w:val="none"/>
                    </w:rPr>
                    <w:t>；项目危险废物</w:t>
                  </w:r>
                  <w:r>
                    <w:rPr>
                      <w:rFonts w:hint="default" w:ascii="Times New Roman" w:hAnsi="Times New Roman" w:cs="Times New Roman"/>
                      <w:b w:val="0"/>
                      <w:bCs w:val="0"/>
                      <w:caps w:val="0"/>
                      <w:color w:val="auto"/>
                      <w:sz w:val="21"/>
                      <w:szCs w:val="21"/>
                      <w:highlight w:val="none"/>
                      <w:u w:val="none"/>
                      <w:lang w:val="en-US" w:eastAsia="zh-CN"/>
                    </w:rPr>
                    <w:t>依托码头的</w:t>
                  </w:r>
                  <w:r>
                    <w:rPr>
                      <w:rFonts w:hint="default" w:ascii="Times New Roman" w:hAnsi="Times New Roman" w:eastAsia="宋体" w:cs="Times New Roman"/>
                      <w:b w:val="0"/>
                      <w:bCs w:val="0"/>
                      <w:caps w:val="0"/>
                      <w:color w:val="auto"/>
                      <w:sz w:val="21"/>
                      <w:szCs w:val="21"/>
                      <w:highlight w:val="none"/>
                      <w:u w:val="none"/>
                    </w:rPr>
                    <w:t>危废暂存</w:t>
                  </w:r>
                  <w:r>
                    <w:rPr>
                      <w:rFonts w:hint="default" w:ascii="Times New Roman" w:hAnsi="Times New Roman" w:cs="Times New Roman"/>
                      <w:b w:val="0"/>
                      <w:bCs w:val="0"/>
                      <w:caps w:val="0"/>
                      <w:color w:val="auto"/>
                      <w:sz w:val="21"/>
                      <w:szCs w:val="21"/>
                      <w:highlight w:val="none"/>
                      <w:u w:val="none"/>
                      <w:lang w:eastAsia="zh-CN"/>
                    </w:rPr>
                    <w:t>库</w:t>
                  </w:r>
                  <w:r>
                    <w:rPr>
                      <w:rFonts w:hint="default" w:ascii="Times New Roman" w:hAnsi="Times New Roman" w:eastAsia="宋体" w:cs="Times New Roman"/>
                      <w:b w:val="0"/>
                      <w:bCs w:val="0"/>
                      <w:caps w:val="0"/>
                      <w:color w:val="auto"/>
                      <w:sz w:val="21"/>
                      <w:szCs w:val="21"/>
                      <w:highlight w:val="none"/>
                      <w:u w:val="none"/>
                    </w:rPr>
                    <w:t>暂存，委托有资质单位接收处置。</w:t>
                  </w:r>
                </w:p>
                <w:p w14:paraId="377FEA9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r w14:paraId="6D653C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1" w:hRule="atLeast"/>
                <w:jc w:val="center"/>
              </w:trPr>
              <w:tc>
                <w:tcPr>
                  <w:tcW w:w="588" w:type="dxa"/>
                  <w:tcBorders>
                    <w:tl2br w:val="nil"/>
                    <w:tr2bl w:val="nil"/>
                  </w:tcBorders>
                  <w:noWrap w:val="0"/>
                  <w:tcMar>
                    <w:left w:w="28" w:type="dxa"/>
                    <w:right w:w="28" w:type="dxa"/>
                  </w:tcMar>
                  <w:vAlign w:val="center"/>
                </w:tcPr>
                <w:p w14:paraId="282FCB03">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环境风险防控</w:t>
                  </w:r>
                </w:p>
              </w:tc>
              <w:tc>
                <w:tcPr>
                  <w:tcW w:w="4546" w:type="dxa"/>
                  <w:tcBorders>
                    <w:tl2br w:val="nil"/>
                    <w:tr2bl w:val="nil"/>
                  </w:tcBorders>
                  <w:noWrap w:val="0"/>
                  <w:tcMar>
                    <w:left w:w="28" w:type="dxa"/>
                    <w:right w:w="28" w:type="dxa"/>
                  </w:tcMar>
                  <w:vAlign w:val="center"/>
                </w:tcPr>
                <w:p w14:paraId="58C6C9CE">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1、入区项目应严格落实环境保护措施和环境风险防范措施，确保园区周边麻兰岛旅游度假区、鹿耳环江红树林生态安全。</w:t>
                  </w:r>
                </w:p>
                <w:p w14:paraId="1693E823">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2、开展环境风险评估，制定突发环境事件应急预案并备案，配备应急能力和物资，建设环境应急队伍，并定期演练。企业、园区与地方人民政府环境应急预案应当有机衔接。</w:t>
                  </w:r>
                </w:p>
              </w:tc>
              <w:tc>
                <w:tcPr>
                  <w:tcW w:w="1565" w:type="dxa"/>
                  <w:tcBorders>
                    <w:tl2br w:val="nil"/>
                    <w:tr2bl w:val="nil"/>
                  </w:tcBorders>
                  <w:noWrap w:val="0"/>
                  <w:tcMar>
                    <w:left w:w="28" w:type="dxa"/>
                    <w:right w:w="28" w:type="dxa"/>
                  </w:tcMar>
                  <w:vAlign w:val="center"/>
                </w:tcPr>
                <w:p w14:paraId="5C632999">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现有码头已编制应急预案并备案，本次</w:t>
                  </w:r>
                  <w:r>
                    <w:rPr>
                      <w:rFonts w:hint="default" w:ascii="Times New Roman" w:hAnsi="Times New Roman" w:cs="Times New Roman"/>
                      <w:b w:val="0"/>
                      <w:bCs w:val="0"/>
                      <w:caps w:val="0"/>
                      <w:color w:val="auto"/>
                      <w:sz w:val="21"/>
                      <w:szCs w:val="21"/>
                      <w:highlight w:val="none"/>
                      <w:u w:val="none"/>
                      <w:lang w:val="en-US" w:eastAsia="zh-CN"/>
                    </w:rPr>
                    <w:t>项目为配套项目，建设完成后</w:t>
                  </w:r>
                  <w:r>
                    <w:rPr>
                      <w:rFonts w:hint="default" w:ascii="Times New Roman" w:hAnsi="Times New Roman" w:eastAsia="宋体" w:cs="Times New Roman"/>
                      <w:b w:val="0"/>
                      <w:bCs w:val="0"/>
                      <w:caps w:val="0"/>
                      <w:color w:val="auto"/>
                      <w:sz w:val="21"/>
                      <w:szCs w:val="21"/>
                      <w:highlight w:val="none"/>
                      <w:u w:val="none"/>
                    </w:rPr>
                    <w:t>将对应急预案进行修编并重新备案，纳入港区和市区应急预案。</w:t>
                  </w:r>
                </w:p>
                <w:p w14:paraId="5DFDABA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r w14:paraId="77855E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3" w:hRule="atLeast"/>
                <w:jc w:val="center"/>
              </w:trPr>
              <w:tc>
                <w:tcPr>
                  <w:tcW w:w="588" w:type="dxa"/>
                  <w:tcBorders>
                    <w:tl2br w:val="nil"/>
                    <w:tr2bl w:val="nil"/>
                  </w:tcBorders>
                  <w:noWrap w:val="0"/>
                  <w:tcMar>
                    <w:left w:w="28" w:type="dxa"/>
                    <w:right w:w="28" w:type="dxa"/>
                  </w:tcMar>
                  <w:vAlign w:val="center"/>
                </w:tcPr>
                <w:p w14:paraId="49CBD520">
                  <w:pPr>
                    <w:pStyle w:val="14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资源开发利用效率要求</w:t>
                  </w:r>
                </w:p>
              </w:tc>
              <w:tc>
                <w:tcPr>
                  <w:tcW w:w="4546" w:type="dxa"/>
                  <w:tcBorders>
                    <w:tl2br w:val="nil"/>
                    <w:tr2bl w:val="nil"/>
                  </w:tcBorders>
                  <w:noWrap w:val="0"/>
                  <w:tcMar>
                    <w:left w:w="28" w:type="dxa"/>
                    <w:right w:w="28" w:type="dxa"/>
                  </w:tcMar>
                  <w:vAlign w:val="center"/>
                </w:tcPr>
                <w:p w14:paraId="7E761BA5">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1、提高工业用水循环利用率，减少工业新鲜水用量，提高企业中水回用率。</w:t>
                  </w:r>
                </w:p>
                <w:p w14:paraId="1ABED596">
                  <w:pPr>
                    <w:keepNext w:val="0"/>
                    <w:keepLines w:val="0"/>
                    <w:suppressLineNumbers w:val="0"/>
                    <w:spacing w:before="0" w:beforeAutospacing="0" w:after="0" w:afterAutospacing="0" w:line="240" w:lineRule="auto"/>
                    <w:ind w:left="0" w:right="0" w:firstLine="0" w:firstLineChars="0"/>
                    <w:rPr>
                      <w:rStyle w:val="150"/>
                      <w:rFonts w:hint="default" w:ascii="Times New Roman" w:hAnsi="Times New Roman" w:eastAsia="宋体" w:cs="Times New Roman"/>
                      <w:b w:val="0"/>
                      <w:bCs w:val="0"/>
                      <w:caps w:val="0"/>
                      <w:color w:val="auto"/>
                      <w:sz w:val="21"/>
                      <w:szCs w:val="21"/>
                      <w:highlight w:val="none"/>
                      <w:u w:val="none"/>
                    </w:rPr>
                  </w:pPr>
                  <w:r>
                    <w:rPr>
                      <w:rStyle w:val="150"/>
                      <w:rFonts w:hint="default" w:ascii="Times New Roman" w:hAnsi="Times New Roman" w:eastAsia="宋体" w:cs="Times New Roman"/>
                      <w:b w:val="0"/>
                      <w:bCs w:val="0"/>
                      <w:caps w:val="0"/>
                      <w:color w:val="auto"/>
                      <w:sz w:val="21"/>
                      <w:szCs w:val="21"/>
                      <w:highlight w:val="none"/>
                      <w:u w:val="none"/>
                    </w:rPr>
                    <w:t>2、推进区域土地节约集约利用，优先保障区域主导产业发展用地。</w:t>
                  </w:r>
                </w:p>
              </w:tc>
              <w:tc>
                <w:tcPr>
                  <w:tcW w:w="1565" w:type="dxa"/>
                  <w:tcBorders>
                    <w:tl2br w:val="nil"/>
                    <w:tr2bl w:val="nil"/>
                  </w:tcBorders>
                  <w:noWrap w:val="0"/>
                  <w:tcMar>
                    <w:left w:w="28" w:type="dxa"/>
                    <w:right w:w="28" w:type="dxa"/>
                  </w:tcMar>
                  <w:vAlign w:val="center"/>
                </w:tcPr>
                <w:p w14:paraId="0B91CBB0">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val="0"/>
                      <w:bCs w:val="0"/>
                      <w:caps w:val="0"/>
                      <w:color w:val="auto"/>
                      <w:sz w:val="21"/>
                      <w:szCs w:val="21"/>
                      <w:highlight w:val="none"/>
                      <w:u w:val="none"/>
                    </w:rPr>
                    <w:t>本次项目不新增用地，项目</w:t>
                  </w:r>
                  <w:r>
                    <w:rPr>
                      <w:rFonts w:hint="eastAsia" w:cs="Times New Roman"/>
                      <w:b w:val="0"/>
                      <w:bCs w:val="0"/>
                      <w:caps w:val="0"/>
                      <w:color w:val="auto"/>
                      <w:sz w:val="21"/>
                      <w:szCs w:val="21"/>
                      <w:highlight w:val="none"/>
                      <w:u w:val="none"/>
                      <w:lang w:val="en-US" w:eastAsia="zh-CN"/>
                    </w:rPr>
                    <w:t>生活</w:t>
                  </w:r>
                  <w:r>
                    <w:rPr>
                      <w:rFonts w:hint="default" w:ascii="Times New Roman" w:hAnsi="Times New Roman" w:eastAsia="宋体" w:cs="Times New Roman"/>
                      <w:b w:val="0"/>
                      <w:bCs w:val="0"/>
                      <w:caps w:val="0"/>
                      <w:color w:val="auto"/>
                      <w:sz w:val="21"/>
                      <w:szCs w:val="21"/>
                      <w:highlight w:val="none"/>
                      <w:u w:val="none"/>
                    </w:rPr>
                    <w:t>污水</w:t>
                  </w:r>
                  <w:r>
                    <w:rPr>
                      <w:rFonts w:hint="default" w:ascii="Times New Roman" w:hAnsi="Times New Roman" w:cs="Times New Roman"/>
                      <w:b w:val="0"/>
                      <w:bCs w:val="0"/>
                      <w:caps w:val="0"/>
                      <w:color w:val="auto"/>
                      <w:sz w:val="21"/>
                      <w:szCs w:val="21"/>
                      <w:highlight w:val="none"/>
                      <w:u w:val="none"/>
                      <w:lang w:val="en-US" w:eastAsia="zh-CN"/>
                    </w:rPr>
                    <w:t>排入市政管网，</w:t>
                  </w:r>
                  <w:r>
                    <w:rPr>
                      <w:rFonts w:hint="default" w:ascii="Times New Roman" w:hAnsi="Times New Roman" w:eastAsia="宋体" w:cs="Times New Roman"/>
                      <w:b w:val="0"/>
                      <w:bCs w:val="0"/>
                      <w:caps w:val="0"/>
                      <w:color w:val="auto"/>
                      <w:sz w:val="21"/>
                      <w:szCs w:val="21"/>
                      <w:highlight w:val="none"/>
                      <w:u w:val="none"/>
                      <w:lang w:val="en-US" w:eastAsia="zh-CN"/>
                    </w:rPr>
                    <w:t>不外排</w:t>
                  </w:r>
                  <w:r>
                    <w:rPr>
                      <w:rFonts w:hint="default" w:ascii="Times New Roman" w:hAnsi="Times New Roman" w:eastAsia="宋体" w:cs="Times New Roman"/>
                      <w:b w:val="0"/>
                      <w:bCs w:val="0"/>
                      <w:caps w:val="0"/>
                      <w:color w:val="auto"/>
                      <w:sz w:val="21"/>
                      <w:szCs w:val="21"/>
                      <w:highlight w:val="none"/>
                      <w:u w:val="none"/>
                    </w:rPr>
                    <w:t>。</w:t>
                  </w:r>
                </w:p>
                <w:p w14:paraId="26FDB1A2">
                  <w:pPr>
                    <w:pStyle w:val="149"/>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符合。</w:t>
                  </w:r>
                </w:p>
              </w:tc>
            </w:tr>
          </w:tbl>
          <w:p w14:paraId="32D812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根据上表分析，本项目与生态环境准入及管控要求相符。</w:t>
            </w:r>
          </w:p>
          <w:p w14:paraId="1C909B1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）环境质量底线</w:t>
            </w:r>
          </w:p>
          <w:p w14:paraId="4516534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项目所在区域大气、地表水和噪声环境现状均能符合相应的环境标准要求，待项目建成投产后，通过采取相应的环保措施，可将污染物排放降至最低程度，保持区域环境质量。</w:t>
            </w:r>
          </w:p>
          <w:p w14:paraId="1188AAD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）资源利用上线</w:t>
            </w:r>
          </w:p>
          <w:p w14:paraId="2BFF68F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项目运营期以电为能源，用电由区域电网供给，用水由区域供水管网供给。项目年耗电量、耗水量较少，市政供给可满足项目需求，不会超过区域水资源和能源资源利用上线要求。</w:t>
            </w:r>
          </w:p>
          <w:p w14:paraId="7D820E6C">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）环境准入负面清单</w:t>
            </w:r>
          </w:p>
          <w:p w14:paraId="76EFB7D3">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u w:val="none"/>
                <w:lang w:eastAsia="zh-CN"/>
              </w:rPr>
              <w:t>本项目各污染物均采取相应措施处理达标后排放，污染物排放量小，不属于高水耗、高物耗项目，项目符合国家和广西相关产业政策</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kern w:val="2"/>
                <w:sz w:val="24"/>
                <w:highlight w:val="none"/>
              </w:rPr>
              <w:t>《钦州港总体规划（2019－2035年）环境影响报告书》</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项目不属于工业园限制、禁止引入项目，</w:t>
            </w:r>
            <w:r>
              <w:rPr>
                <w:rFonts w:hint="default" w:ascii="Times New Roman" w:hAnsi="Times New Roman" w:eastAsia="宋体" w:cs="Times New Roman"/>
                <w:b w:val="0"/>
                <w:bCs w:val="0"/>
                <w:color w:val="auto"/>
                <w:sz w:val="24"/>
                <w:highlight w:val="none"/>
                <w:lang w:val="en-US" w:eastAsia="zh-CN"/>
              </w:rPr>
              <w:t>不在园区入园项目负面清单</w:t>
            </w:r>
            <w:r>
              <w:rPr>
                <w:rFonts w:hint="default" w:ascii="Times New Roman" w:hAnsi="Times New Roman" w:cs="Times New Roman"/>
                <w:color w:val="auto"/>
                <w:kern w:val="0"/>
                <w:sz w:val="24"/>
                <w:szCs w:val="24"/>
                <w:highlight w:val="none"/>
              </w:rPr>
              <w:t>，符合园区的准入条件。</w:t>
            </w:r>
          </w:p>
          <w:p w14:paraId="0A4CF32E">
            <w:pPr>
              <w:keepNext w:val="0"/>
              <w:keepLines w:val="0"/>
              <w:suppressLineNumbers w:val="0"/>
              <w:autoSpaceDE/>
              <w:autoSpaceDN/>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综上所述，项目符合</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三线一单</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的要求。</w:t>
            </w:r>
          </w:p>
          <w:p w14:paraId="13E148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、产业政策相符性分析</w:t>
            </w:r>
          </w:p>
          <w:p w14:paraId="56730A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，本项目不属于国家《产业结构调整指导目录》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中的</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鼓励类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，为产业政策允许建设项目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本项目已获得</w:t>
            </w:r>
            <w:r>
              <w:rPr>
                <w:rFonts w:hint="default" w:ascii="Times New Roman" w:hAnsi="Times New Roman" w:eastAsia="宋体" w:cs="Times New Roman"/>
                <w:color w:val="auto"/>
                <w:sz w:val="24"/>
                <w:szCs w:val="24"/>
                <w:highlight w:val="none"/>
                <w:lang w:eastAsia="zh-CN"/>
              </w:rPr>
              <w:t>广西自贸区钦州港片区行政审批局</w:t>
            </w:r>
            <w:r>
              <w:rPr>
                <w:rFonts w:hint="default" w:ascii="Times New Roman" w:hAnsi="Times New Roman" w:eastAsia="宋体" w:cs="Times New Roman"/>
                <w:color w:val="auto"/>
                <w:sz w:val="24"/>
                <w:szCs w:val="24"/>
                <w:highlight w:val="none"/>
              </w:rPr>
              <w:t>的《广西壮族自治区投资项目备案证明》（项目代码：</w:t>
            </w:r>
            <w:r>
              <w:rPr>
                <w:rFonts w:hint="default" w:ascii="Times New Roman" w:hAnsi="Times New Roman" w:cs="Times New Roman"/>
                <w:color w:val="auto"/>
                <w:sz w:val="24"/>
                <w:szCs w:val="24"/>
                <w:highlight w:val="none"/>
                <w:lang w:val="en-US" w:eastAsia="zh-CN"/>
              </w:rPr>
              <w:t>2412-450704-04-01-623078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fr-FR"/>
              </w:rPr>
              <w:t>，项目的建设符合国家现行产业政策</w:t>
            </w:r>
            <w:r>
              <w:rPr>
                <w:rFonts w:hint="default" w:ascii="Times New Roman" w:hAnsi="Times New Roman" w:cs="Times New Roman"/>
                <w:color w:val="auto"/>
                <w:kern w:val="0"/>
                <w:sz w:val="24"/>
                <w:szCs w:val="24"/>
                <w:highlight w:val="none"/>
                <w:lang w:eastAsia="zh-CN"/>
              </w:rPr>
              <w:t>。</w:t>
            </w:r>
          </w:p>
          <w:p w14:paraId="41E47F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lang w:val="en-US" w:eastAsia="zh-CN"/>
              </w:rPr>
              <w:t>3</w:t>
            </w:r>
            <w:r>
              <w:rPr>
                <w:rFonts w:hint="default" w:ascii="Times New Roman" w:hAnsi="Times New Roman" w:eastAsia="宋体" w:cs="Times New Roman"/>
                <w:b/>
                <w:bCs/>
                <w:color w:val="auto"/>
                <w:sz w:val="24"/>
                <w:szCs w:val="24"/>
                <w:highlight w:val="none"/>
                <w:u w:val="none"/>
              </w:rPr>
              <w:t>、选址</w:t>
            </w:r>
            <w:r>
              <w:rPr>
                <w:rFonts w:hint="default" w:ascii="Times New Roman" w:hAnsi="Times New Roman" w:cs="Times New Roman"/>
                <w:b/>
                <w:bCs/>
                <w:color w:val="auto"/>
                <w:sz w:val="24"/>
                <w:szCs w:val="24"/>
                <w:highlight w:val="none"/>
                <w:u w:val="none"/>
                <w:lang w:eastAsia="zh-CN"/>
              </w:rPr>
              <w:t>合理</w:t>
            </w:r>
            <w:r>
              <w:rPr>
                <w:rFonts w:hint="default" w:ascii="Times New Roman" w:hAnsi="Times New Roman" w:eastAsia="宋体" w:cs="Times New Roman"/>
                <w:b/>
                <w:bCs/>
                <w:color w:val="auto"/>
                <w:sz w:val="24"/>
                <w:szCs w:val="24"/>
                <w:highlight w:val="none"/>
                <w:u w:val="none"/>
              </w:rPr>
              <w:t>性分析</w:t>
            </w:r>
          </w:p>
          <w:p w14:paraId="01964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u w:val="single"/>
              </w:rPr>
              <w:t>本项目</w:t>
            </w:r>
            <w:r>
              <w:rPr>
                <w:rFonts w:hint="default" w:ascii="Times New Roman" w:hAnsi="Times New Roman" w:cs="Times New Roman"/>
                <w:color w:val="auto"/>
                <w:sz w:val="24"/>
                <w:szCs w:val="24"/>
                <w:highlight w:val="none"/>
                <w:u w:val="single"/>
                <w:lang w:val="en-US" w:eastAsia="zh-CN"/>
              </w:rPr>
              <w:t>位于钦州港大榄坪南作业区5号泊位后方堆场内</w:t>
            </w:r>
            <w:r>
              <w:rPr>
                <w:rFonts w:hint="default" w:ascii="Times New Roman" w:hAnsi="Times New Roman" w:cs="Times New Roman"/>
                <w:color w:val="auto"/>
                <w:sz w:val="24"/>
                <w:szCs w:val="24"/>
                <w:highlight w:val="none"/>
                <w:u w:val="single"/>
                <w:lang w:val="zh-CN" w:eastAsia="zh-CN"/>
              </w:rPr>
              <w:t>，</w:t>
            </w:r>
            <w:r>
              <w:rPr>
                <w:rFonts w:hint="default" w:ascii="Times New Roman" w:hAnsi="Times New Roman" w:eastAsia="宋体" w:cs="Times New Roman"/>
                <w:color w:val="auto"/>
                <w:sz w:val="24"/>
                <w:szCs w:val="24"/>
                <w:highlight w:val="none"/>
                <w:u w:val="single"/>
              </w:rPr>
              <w:t>项目中心地理坐标为：</w:t>
            </w:r>
            <w:r>
              <w:rPr>
                <w:rFonts w:hint="default" w:ascii="Times New Roman" w:hAnsi="Times New Roman" w:cs="Times New Roman"/>
                <w:color w:val="auto"/>
                <w:sz w:val="24"/>
                <w:szCs w:val="24"/>
                <w:highlight w:val="none"/>
                <w:u w:val="single"/>
              </w:rPr>
              <w:t>东经</w:t>
            </w:r>
            <w:r>
              <w:rPr>
                <w:rFonts w:hint="default" w:ascii="Times New Roman" w:hAnsi="Times New Roman" w:cs="Times New Roman"/>
                <w:bCs/>
                <w:color w:val="auto"/>
                <w:sz w:val="24"/>
                <w:szCs w:val="24"/>
                <w:highlight w:val="none"/>
                <w:u w:val="single"/>
                <w:lang w:val="en-US" w:eastAsia="zh-CN"/>
              </w:rPr>
              <w:t>108°39'15.878"</w:t>
            </w:r>
            <w:r>
              <w:rPr>
                <w:rFonts w:hint="default" w:ascii="Times New Roman" w:hAnsi="Times New Roman" w:eastAsia="宋体" w:cs="Times New Roman"/>
                <w:bCs/>
                <w:color w:val="auto"/>
                <w:sz w:val="24"/>
                <w:szCs w:val="24"/>
                <w:highlight w:val="none"/>
                <w:u w:val="single"/>
                <w:lang w:val="en-US" w:eastAsia="zh-CN"/>
              </w:rPr>
              <w:t>，北纬</w:t>
            </w:r>
            <w:r>
              <w:rPr>
                <w:rFonts w:hint="default" w:ascii="Times New Roman" w:hAnsi="Times New Roman" w:cs="Times New Roman"/>
                <w:bCs/>
                <w:color w:val="auto"/>
                <w:sz w:val="24"/>
                <w:szCs w:val="24"/>
                <w:highlight w:val="none"/>
                <w:u w:val="single"/>
                <w:lang w:val="en-US" w:eastAsia="zh-CN"/>
              </w:rPr>
              <w:t>21°40'32.556"</w:t>
            </w:r>
            <w:r>
              <w:rPr>
                <w:rFonts w:hint="eastAsia" w:cs="Times New Roman"/>
                <w:bCs/>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rPr>
              <w:t>详细地理位置见</w:t>
            </w:r>
            <w:r>
              <w:rPr>
                <w:rFonts w:hint="default" w:ascii="Times New Roman" w:hAnsi="Times New Roman" w:eastAsia="宋体" w:cs="Times New Roman"/>
                <w:b w:val="0"/>
                <w:bCs w:val="0"/>
                <w:color w:val="auto"/>
                <w:sz w:val="24"/>
                <w:szCs w:val="24"/>
                <w:highlight w:val="none"/>
                <w:u w:val="single"/>
              </w:rPr>
              <w:t>附图</w:t>
            </w:r>
            <w:r>
              <w:rPr>
                <w:rFonts w:hint="default" w:ascii="Times New Roman" w:hAnsi="Times New Roman" w:eastAsia="宋体" w:cs="Times New Roman"/>
                <w:b w:val="0"/>
                <w:bCs w:val="0"/>
                <w:color w:val="auto"/>
                <w:sz w:val="24"/>
                <w:szCs w:val="24"/>
                <w:highlight w:val="none"/>
                <w:u w:val="single"/>
                <w:lang w:val="en-US" w:eastAsia="zh-CN"/>
              </w:rPr>
              <w:t>1</w:t>
            </w:r>
            <w:r>
              <w:rPr>
                <w:rFonts w:hint="default" w:ascii="Times New Roman" w:hAnsi="Times New Roman" w:eastAsia="宋体" w:cs="Times New Roman"/>
                <w:bCs/>
                <w:color w:val="auto"/>
                <w:sz w:val="24"/>
                <w:szCs w:val="24"/>
                <w:highlight w:val="none"/>
                <w:u w:val="single"/>
                <w:lang w:val="en-US" w:eastAsia="zh-CN"/>
              </w:rPr>
              <w:t>。</w:t>
            </w:r>
            <w:r>
              <w:rPr>
                <w:rFonts w:hint="eastAsia" w:cs="Times New Roman"/>
                <w:color w:val="auto"/>
                <w:sz w:val="24"/>
                <w:szCs w:val="24"/>
                <w:highlight w:val="none"/>
                <w:u w:val="single"/>
                <w:lang w:val="en-US" w:eastAsia="zh-CN"/>
              </w:rPr>
              <w:t>属于</w:t>
            </w:r>
            <w:r>
              <w:rPr>
                <w:rFonts w:hint="eastAsia" w:ascii="Times New Roman" w:hAnsi="Times New Roman" w:cs="Times New Roman"/>
                <w:color w:val="auto"/>
                <w:sz w:val="24"/>
                <w:szCs w:val="24"/>
                <w:highlight w:val="none"/>
                <w:u w:val="single"/>
                <w:lang w:val="en-US" w:eastAsia="zh-CN"/>
              </w:rPr>
              <w:t>《钦州港大榄坪南作业区1#-6#泊位新增危险货物集装箱项目（重大变动）》用地内，依托</w:t>
            </w:r>
            <w:r>
              <w:rPr>
                <w:rFonts w:hint="eastAsia" w:cs="Times New Roman"/>
                <w:color w:val="auto"/>
                <w:sz w:val="24"/>
                <w:szCs w:val="24"/>
                <w:highlight w:val="none"/>
                <w:u w:val="single"/>
                <w:lang w:val="en-US" w:eastAsia="zh-CN"/>
              </w:rPr>
              <w:t>该</w:t>
            </w:r>
            <w:r>
              <w:rPr>
                <w:rFonts w:hint="eastAsia" w:ascii="Times New Roman" w:hAnsi="Times New Roman" w:cs="Times New Roman"/>
                <w:color w:val="auto"/>
                <w:sz w:val="24"/>
                <w:szCs w:val="24"/>
                <w:highlight w:val="none"/>
                <w:u w:val="single"/>
                <w:lang w:val="en-US" w:eastAsia="zh-CN"/>
              </w:rPr>
              <w:t>项目内原有的机修车间进行改建生产，以及依托原有危险废物暂存间暂存本项目产生的危险废物。本项目建成主要服务</w:t>
            </w:r>
            <w:r>
              <w:rPr>
                <w:rFonts w:hint="default" w:ascii="Times New Roman" w:hAnsi="Times New Roman" w:cs="Times New Roman"/>
                <w:color w:val="auto"/>
                <w:sz w:val="24"/>
                <w:szCs w:val="24"/>
                <w:highlight w:val="none"/>
                <w:u w:val="single"/>
                <w:lang w:val="en-US" w:eastAsia="zh-CN"/>
              </w:rPr>
              <w:t>广西北部湾国际集装箱码头有限公司</w:t>
            </w:r>
            <w:r>
              <w:rPr>
                <w:rFonts w:hint="eastAsia" w:ascii="Times New Roman" w:hAnsi="Times New Roman" w:cs="Times New Roman"/>
                <w:color w:val="auto"/>
                <w:sz w:val="24"/>
                <w:szCs w:val="24"/>
                <w:highlight w:val="none"/>
                <w:u w:val="single"/>
                <w:lang w:val="en-US" w:eastAsia="zh-CN"/>
              </w:rPr>
              <w:t>码头内进出港的集装箱，不对集装箱进行前处理，仅进行修理；涉及装载危险化学品、危险废物的集装箱需保证无危险化学品、危险废物的沾染方可送修。</w:t>
            </w:r>
            <w:r>
              <w:rPr>
                <w:rFonts w:hint="default" w:ascii="Times New Roman" w:hAnsi="Times New Roman" w:cs="Times New Roman"/>
                <w:color w:val="auto"/>
                <w:sz w:val="24"/>
                <w:highlight w:val="none"/>
                <w:u w:val="none"/>
              </w:rPr>
              <w:t>项目主要</w:t>
            </w:r>
            <w:r>
              <w:rPr>
                <w:rFonts w:hint="default" w:ascii="Times New Roman" w:hAnsi="Times New Roman" w:cs="Times New Roman"/>
                <w:color w:val="auto"/>
                <w:sz w:val="24"/>
                <w:highlight w:val="none"/>
                <w:u w:val="none"/>
                <w:lang w:eastAsia="zh-CN"/>
              </w:rPr>
              <w:t>为</w:t>
            </w:r>
            <w:r>
              <w:rPr>
                <w:rFonts w:hint="default" w:ascii="Times New Roman" w:hAnsi="Times New Roman" w:cs="Times New Roman"/>
                <w:color w:val="auto"/>
                <w:sz w:val="24"/>
                <w:highlight w:val="none"/>
                <w:u w:val="none"/>
                <w:lang w:val="en-US" w:eastAsia="zh-CN"/>
              </w:rPr>
              <w:t>集装箱修理</w:t>
            </w:r>
            <w:r>
              <w:rPr>
                <w:rFonts w:hint="default" w:ascii="Times New Roman" w:hAnsi="Times New Roman" w:cs="Times New Roman"/>
                <w:color w:val="auto"/>
                <w:sz w:val="24"/>
                <w:highlight w:val="none"/>
                <w:u w:val="none"/>
              </w:rPr>
              <w:t>，</w:t>
            </w:r>
            <w:r>
              <w:rPr>
                <w:rFonts w:hint="default" w:ascii="Times New Roman" w:hAnsi="Times New Roman" w:cs="Times New Roman"/>
                <w:color w:val="auto"/>
                <w:sz w:val="24"/>
                <w:highlight w:val="none"/>
                <w:u w:val="none"/>
                <w:lang w:eastAsia="zh-CN"/>
              </w:rPr>
              <w:t>符合园区发展规划。</w:t>
            </w:r>
            <w:r>
              <w:rPr>
                <w:rFonts w:hint="default" w:ascii="Times New Roman" w:hAnsi="Times New Roman" w:cs="Times New Roman"/>
                <w:color w:val="auto"/>
                <w:sz w:val="24"/>
                <w:szCs w:val="24"/>
                <w:highlight w:val="none"/>
                <w:u w:val="none"/>
                <w:lang w:eastAsia="zh-CN"/>
              </w:rPr>
              <w:t>项目所在区域</w:t>
            </w:r>
            <w:r>
              <w:rPr>
                <w:rFonts w:hint="default" w:ascii="Times New Roman" w:hAnsi="Times New Roman" w:eastAsia="宋体" w:cs="Times New Roman"/>
                <w:color w:val="auto"/>
                <w:sz w:val="24"/>
                <w:szCs w:val="24"/>
                <w:highlight w:val="none"/>
                <w:u w:val="none"/>
                <w:lang w:eastAsia="zh-CN"/>
              </w:rPr>
              <w:t>不涉及</w:t>
            </w:r>
            <w:r>
              <w:rPr>
                <w:rFonts w:hint="default" w:ascii="Times New Roman" w:hAnsi="Times New Roman" w:eastAsia="宋体" w:cs="Times New Roman"/>
                <w:color w:val="auto"/>
                <w:sz w:val="24"/>
                <w:szCs w:val="24"/>
                <w:highlight w:val="none"/>
                <w:u w:val="none"/>
              </w:rPr>
              <w:t>饮用水源保护区、自然保护区和风景名胜区等敏感目标。项目所在地区域交通便利，基础设施完善，本项目的建设将有利于带动区域经济发展。</w:t>
            </w:r>
            <w:r>
              <w:rPr>
                <w:rFonts w:hint="default" w:ascii="Times New Roman" w:hAnsi="Times New Roman" w:cs="Times New Roman"/>
                <w:color w:val="auto"/>
                <w:sz w:val="24"/>
                <w:highlight w:val="none"/>
                <w:u w:val="none"/>
              </w:rPr>
              <w:t>项目选址符合相关要求</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u w:val="none"/>
              </w:rPr>
              <w:t>项目选址合理</w:t>
            </w:r>
            <w:r>
              <w:rPr>
                <w:rFonts w:hint="default" w:ascii="Times New Roman" w:hAnsi="Times New Roman" w:cs="Times New Roman"/>
                <w:color w:val="auto"/>
                <w:sz w:val="24"/>
                <w:szCs w:val="24"/>
                <w:highlight w:val="none"/>
                <w:u w:val="none"/>
                <w:lang w:eastAsia="zh-CN"/>
              </w:rPr>
              <w:t>。</w:t>
            </w:r>
          </w:p>
          <w:p w14:paraId="68D7C955">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2" w:firstLineChars="200"/>
              <w:textAlignment w:val="auto"/>
              <w:rPr>
                <w:rFonts w:hint="default" w:ascii="Times New Roman" w:hAnsi="Times New Roman" w:eastAsia="宋体" w:cs="Times New Roman"/>
                <w:color w:val="auto"/>
                <w:sz w:val="24"/>
                <w:szCs w:val="22"/>
                <w:highlight w:val="none"/>
                <w:u w:val="none"/>
                <w:lang w:val="en-US" w:eastAsia="zh-CN"/>
              </w:rPr>
            </w:pPr>
            <w:r>
              <w:rPr>
                <w:rFonts w:hint="default" w:ascii="Times New Roman" w:hAnsi="Times New Roman" w:eastAsia="宋体" w:cs="Times New Roman"/>
                <w:color w:val="auto"/>
                <w:sz w:val="24"/>
                <w:szCs w:val="22"/>
                <w:highlight w:val="none"/>
                <w:u w:val="none"/>
                <w:lang w:val="en-US" w:eastAsia="zh-CN"/>
              </w:rPr>
              <w:t>4、与相关生态环境保护法律法规政策、生态环境保护规划的符合性</w:t>
            </w:r>
          </w:p>
          <w:p w14:paraId="645E35C0">
            <w:pPr>
              <w:pStyle w:val="5"/>
              <w:keepNext/>
              <w:keepLines/>
              <w:pageBreakBefore w:val="0"/>
              <w:widowControl w:val="0"/>
              <w:suppressLineNumbers w:val="0"/>
              <w:kinsoku/>
              <w:wordWrap/>
              <w:overflowPunct/>
              <w:topLinePunct w:val="0"/>
              <w:autoSpaceDE/>
              <w:autoSpaceDN/>
              <w:bidi w:val="0"/>
              <w:adjustRightInd/>
              <w:snapToGrid/>
              <w:spacing w:before="0" w:after="0" w:line="480" w:lineRule="exact"/>
              <w:ind w:left="0" w:right="0" w:firstLine="480" w:firstLineChars="200"/>
              <w:textAlignment w:val="auto"/>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项目与相关法律法规政策、生态</w:t>
            </w:r>
            <w:r>
              <w:rPr>
                <w:rFonts w:hint="default" w:ascii="Times New Roman" w:hAnsi="Times New Roman" w:eastAsia="宋体" w:cs="Times New Roman"/>
                <w:b w:val="0"/>
                <w:bCs w:val="0"/>
                <w:color w:val="auto"/>
                <w:sz w:val="24"/>
                <w:highlight w:val="none"/>
                <w:u w:val="none"/>
                <w:lang w:val="en-US" w:eastAsia="zh-CN"/>
              </w:rPr>
              <w:t>环境保护规划符合性分析见表</w:t>
            </w:r>
            <w:r>
              <w:rPr>
                <w:rFonts w:hint="default" w:ascii="Times New Roman" w:hAnsi="Times New Roman" w:eastAsia="宋体" w:cs="Times New Roman"/>
                <w:b/>
                <w:bCs/>
                <w:caps w:val="0"/>
                <w:color w:val="auto"/>
                <w:sz w:val="21"/>
                <w:szCs w:val="21"/>
                <w:highlight w:val="none"/>
                <w:lang w:val="en-US" w:eastAsia="zh-CN"/>
              </w:rPr>
              <w:t>1-</w:t>
            </w:r>
            <w:r>
              <w:rPr>
                <w:rFonts w:hint="default" w:ascii="Times New Roman" w:hAnsi="Times New Roman" w:eastAsia="宋体" w:cs="Times New Roman"/>
                <w:b w:val="0"/>
                <w:bCs w:val="0"/>
                <w:color w:val="auto"/>
                <w:sz w:val="24"/>
                <w:highlight w:val="none"/>
                <w:u w:val="none"/>
                <w:lang w:val="en-US" w:eastAsia="zh-CN"/>
              </w:rPr>
              <w:t>3。</w:t>
            </w:r>
          </w:p>
          <w:p w14:paraId="1F5E3A6A">
            <w:pPr>
              <w:keepNext w:val="0"/>
              <w:keepLines w:val="0"/>
              <w:suppressLineNumbers w:val="0"/>
              <w:autoSpaceDE w:val="0"/>
              <w:autoSpaceDN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u w:val="none"/>
                <w:lang w:val="zh-CN"/>
              </w:rPr>
            </w:pPr>
            <w:r>
              <w:rPr>
                <w:rFonts w:hint="default" w:ascii="Times New Roman" w:hAnsi="Times New Roman" w:eastAsia="宋体" w:cs="Times New Roman"/>
                <w:b/>
                <w:bCs/>
                <w:color w:val="auto"/>
                <w:sz w:val="24"/>
                <w:szCs w:val="24"/>
                <w:highlight w:val="none"/>
                <w:u w:val="none"/>
                <w:lang w:val="zh-CN"/>
              </w:rPr>
              <w:t>表</w:t>
            </w:r>
            <w:r>
              <w:rPr>
                <w:rFonts w:hint="eastAsia" w:cs="Times New Roman"/>
                <w:b/>
                <w:bCs/>
                <w:caps w:val="0"/>
                <w:color w:val="auto"/>
                <w:sz w:val="21"/>
                <w:szCs w:val="21"/>
                <w:highlight w:val="none"/>
                <w:lang w:val="en-US" w:eastAsia="zh-CN"/>
              </w:rPr>
              <w:t>1-</w:t>
            </w:r>
            <w:r>
              <w:rPr>
                <w:rFonts w:hint="default" w:ascii="Times New Roman" w:hAnsi="Times New Roman" w:cs="Times New Roman"/>
                <w:b/>
                <w:bCs/>
                <w:color w:val="auto"/>
                <w:sz w:val="24"/>
                <w:szCs w:val="24"/>
                <w:highlight w:val="none"/>
                <w:u w:val="none"/>
                <w:lang w:val="en-US" w:eastAsia="zh-CN"/>
              </w:rPr>
              <w:t>3</w:t>
            </w:r>
            <w:r>
              <w:rPr>
                <w:rFonts w:hint="default" w:ascii="Times New Roman" w:hAnsi="Times New Roman" w:eastAsia="宋体" w:cs="Times New Roman"/>
                <w:b/>
                <w:bCs/>
                <w:color w:val="auto"/>
                <w:sz w:val="24"/>
                <w:szCs w:val="24"/>
                <w:highlight w:val="none"/>
                <w:u w:val="none"/>
                <w:lang w:val="zh-CN"/>
              </w:rPr>
              <w:t>项目与相关法律法规符合性分析一览表</w:t>
            </w:r>
          </w:p>
          <w:tbl>
            <w:tblPr>
              <w:tblStyle w:val="4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0"/>
              <w:gridCol w:w="1135"/>
              <w:gridCol w:w="2605"/>
              <w:gridCol w:w="2422"/>
              <w:gridCol w:w="264"/>
            </w:tblGrid>
            <w:tr w14:paraId="377D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tcBorders>
                    <w:tl2br w:val="nil"/>
                    <w:tr2bl w:val="nil"/>
                  </w:tcBorders>
                  <w:vAlign w:val="center"/>
                </w:tcPr>
                <w:p w14:paraId="5F1EF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序号</w:t>
                  </w:r>
                </w:p>
              </w:tc>
              <w:tc>
                <w:tcPr>
                  <w:tcW w:w="847" w:type="pct"/>
                  <w:tcBorders>
                    <w:tl2br w:val="nil"/>
                    <w:tr2bl w:val="nil"/>
                  </w:tcBorders>
                  <w:vAlign w:val="center"/>
                </w:tcPr>
                <w:p w14:paraId="3A018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名称</w:t>
                  </w:r>
                </w:p>
              </w:tc>
              <w:tc>
                <w:tcPr>
                  <w:tcW w:w="1945" w:type="pct"/>
                  <w:tcBorders>
                    <w:tl2br w:val="nil"/>
                    <w:tr2bl w:val="nil"/>
                  </w:tcBorders>
                  <w:vAlign w:val="center"/>
                </w:tcPr>
                <w:p w14:paraId="7B1DF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相关内容</w:t>
                  </w:r>
                </w:p>
              </w:tc>
              <w:tc>
                <w:tcPr>
                  <w:tcW w:w="1808" w:type="pct"/>
                  <w:tcBorders>
                    <w:tl2br w:val="nil"/>
                    <w:tr2bl w:val="nil"/>
                  </w:tcBorders>
                  <w:vAlign w:val="center"/>
                </w:tcPr>
                <w:p w14:paraId="56E61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项目内容</w:t>
                  </w:r>
                </w:p>
              </w:tc>
              <w:tc>
                <w:tcPr>
                  <w:tcW w:w="197" w:type="pct"/>
                  <w:tcBorders>
                    <w:tl2br w:val="nil"/>
                    <w:tr2bl w:val="nil"/>
                  </w:tcBorders>
                  <w:vAlign w:val="center"/>
                </w:tcPr>
                <w:p w14:paraId="4280C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符合性</w:t>
                  </w:r>
                </w:p>
              </w:tc>
            </w:tr>
            <w:tr w14:paraId="0A82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5" w:hRule="atLeast"/>
                <w:jc w:val="center"/>
              </w:trPr>
              <w:tc>
                <w:tcPr>
                  <w:tcW w:w="201" w:type="pct"/>
                  <w:tcBorders>
                    <w:tl2br w:val="nil"/>
                    <w:tr2bl w:val="nil"/>
                  </w:tcBorders>
                  <w:vAlign w:val="center"/>
                </w:tcPr>
                <w:p w14:paraId="76C18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1</w:t>
                  </w:r>
                </w:p>
              </w:tc>
              <w:tc>
                <w:tcPr>
                  <w:tcW w:w="847" w:type="pct"/>
                  <w:tcBorders>
                    <w:tl2br w:val="nil"/>
                    <w:tr2bl w:val="nil"/>
                  </w:tcBorders>
                  <w:vAlign w:val="center"/>
                </w:tcPr>
                <w:p w14:paraId="00A7C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w:t>
                  </w:r>
                  <w:r>
                    <w:rPr>
                      <w:rFonts w:hint="eastAsia" w:cs="Times New Roman"/>
                      <w:b w:val="0"/>
                      <w:bCs/>
                      <w:color w:val="auto"/>
                      <w:spacing w:val="0"/>
                      <w:sz w:val="21"/>
                      <w:szCs w:val="21"/>
                      <w:highlight w:val="none"/>
                      <w:u w:val="none"/>
                      <w:lang w:eastAsia="zh-CN"/>
                    </w:rPr>
                    <w:t>中华人民共和国大气污染防治法</w:t>
                  </w:r>
                  <w:r>
                    <w:rPr>
                      <w:rFonts w:hint="default" w:ascii="Times New Roman" w:hAnsi="Times New Roman" w:eastAsia="宋体" w:cs="Times New Roman"/>
                      <w:b w:val="0"/>
                      <w:bCs/>
                      <w:color w:val="auto"/>
                      <w:spacing w:val="0"/>
                      <w:sz w:val="21"/>
                      <w:szCs w:val="21"/>
                      <w:highlight w:val="none"/>
                      <w:u w:val="none"/>
                    </w:rPr>
                    <w:t>》</w:t>
                  </w:r>
                </w:p>
              </w:tc>
              <w:tc>
                <w:tcPr>
                  <w:tcW w:w="1945" w:type="pct"/>
                  <w:tcBorders>
                    <w:tl2br w:val="nil"/>
                    <w:tr2bl w:val="nil"/>
                  </w:tcBorders>
                  <w:vAlign w:val="center"/>
                </w:tcPr>
                <w:p w14:paraId="7CD51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产生含挥发性有机物废气的生产和服务活动，应当在密闭空间或者设备中进行，并按照规定安装、使用污染防治设施；无法密闭的，应当采取措施减少废气排放</w:t>
                  </w:r>
                </w:p>
              </w:tc>
              <w:tc>
                <w:tcPr>
                  <w:tcW w:w="1808" w:type="pct"/>
                  <w:tcBorders>
                    <w:tl2br w:val="nil"/>
                    <w:tr2bl w:val="nil"/>
                  </w:tcBorders>
                  <w:vAlign w:val="center"/>
                </w:tcPr>
                <w:p w14:paraId="0560C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single"/>
                    </w:rPr>
                    <w:t>本项目</w:t>
                  </w:r>
                  <w:r>
                    <w:rPr>
                      <w:rFonts w:hint="default" w:ascii="Times New Roman" w:hAnsi="Times New Roman" w:eastAsia="宋体" w:cs="Times New Roman"/>
                      <w:b w:val="0"/>
                      <w:bCs/>
                      <w:color w:val="auto"/>
                      <w:spacing w:val="0"/>
                      <w:sz w:val="21"/>
                      <w:szCs w:val="21"/>
                      <w:highlight w:val="none"/>
                      <w:u w:val="single"/>
                      <w:lang w:val="en-US" w:eastAsia="zh-CN"/>
                    </w:rPr>
                    <w:t>对</w:t>
                  </w:r>
                  <w:r>
                    <w:rPr>
                      <w:rFonts w:hint="default" w:ascii="Times New Roman" w:hAnsi="Times New Roman" w:cs="Times New Roman"/>
                      <w:b w:val="0"/>
                      <w:bCs/>
                      <w:color w:val="auto"/>
                      <w:spacing w:val="0"/>
                      <w:sz w:val="21"/>
                      <w:szCs w:val="21"/>
                      <w:highlight w:val="none"/>
                      <w:u w:val="single"/>
                      <w:lang w:val="en-US" w:eastAsia="zh-CN"/>
                    </w:rPr>
                    <w:t>刷漆、晾干</w:t>
                  </w:r>
                  <w:r>
                    <w:rPr>
                      <w:rFonts w:hint="default" w:ascii="Times New Roman" w:hAnsi="Times New Roman" w:eastAsia="宋体" w:cs="Times New Roman"/>
                      <w:b w:val="0"/>
                      <w:bCs/>
                      <w:color w:val="auto"/>
                      <w:spacing w:val="0"/>
                      <w:sz w:val="21"/>
                      <w:szCs w:val="21"/>
                      <w:highlight w:val="none"/>
                      <w:u w:val="single"/>
                      <w:lang w:val="en-US" w:eastAsia="zh-CN"/>
                    </w:rPr>
                    <w:t>废气</w:t>
                  </w:r>
                  <w:r>
                    <w:rPr>
                      <w:rFonts w:hint="default" w:ascii="Times New Roman" w:hAnsi="Times New Roman" w:eastAsia="宋体" w:cs="Times New Roman"/>
                      <w:b w:val="0"/>
                      <w:bCs/>
                      <w:color w:val="auto"/>
                      <w:spacing w:val="0"/>
                      <w:sz w:val="21"/>
                      <w:szCs w:val="21"/>
                      <w:highlight w:val="none"/>
                      <w:u w:val="single"/>
                    </w:rPr>
                    <w:t>进行</w:t>
                  </w:r>
                  <w:r>
                    <w:rPr>
                      <w:rFonts w:hint="eastAsia" w:cs="Times New Roman"/>
                      <w:b w:val="0"/>
                      <w:bCs/>
                      <w:color w:val="auto"/>
                      <w:spacing w:val="0"/>
                      <w:sz w:val="21"/>
                      <w:szCs w:val="21"/>
                      <w:highlight w:val="none"/>
                      <w:u w:val="single"/>
                      <w:lang w:val="en-US" w:eastAsia="zh-CN"/>
                    </w:rPr>
                    <w:t>密闭</w:t>
                  </w:r>
                  <w:r>
                    <w:rPr>
                      <w:rFonts w:hint="default" w:ascii="Times New Roman" w:hAnsi="Times New Roman" w:eastAsia="宋体" w:cs="Times New Roman"/>
                      <w:b w:val="0"/>
                      <w:bCs/>
                      <w:color w:val="auto"/>
                      <w:spacing w:val="0"/>
                      <w:sz w:val="21"/>
                      <w:szCs w:val="21"/>
                      <w:highlight w:val="none"/>
                      <w:u w:val="single"/>
                    </w:rPr>
                    <w:t>收集</w:t>
                  </w:r>
                  <w:r>
                    <w:rPr>
                      <w:rFonts w:hint="eastAsia" w:cs="Times New Roman"/>
                      <w:b w:val="0"/>
                      <w:bCs/>
                      <w:color w:val="auto"/>
                      <w:spacing w:val="0"/>
                      <w:sz w:val="21"/>
                      <w:szCs w:val="21"/>
                      <w:highlight w:val="none"/>
                      <w:u w:val="single"/>
                      <w:lang w:val="en-US" w:eastAsia="zh-CN"/>
                    </w:rPr>
                    <w:t>并</w:t>
                  </w:r>
                  <w:r>
                    <w:rPr>
                      <w:rFonts w:hint="default" w:ascii="Times New Roman" w:hAnsi="Times New Roman" w:eastAsia="宋体" w:cs="Times New Roman"/>
                      <w:color w:val="auto"/>
                      <w:sz w:val="21"/>
                      <w:szCs w:val="21"/>
                      <w:highlight w:val="none"/>
                      <w:u w:val="single"/>
                    </w:rPr>
                    <w:t>设置</w:t>
                  </w:r>
                  <w:r>
                    <w:rPr>
                      <w:rFonts w:hint="default" w:ascii="Times New Roman" w:hAnsi="Times New Roman" w:cs="Times New Roman"/>
                      <w:color w:val="auto"/>
                      <w:sz w:val="21"/>
                      <w:szCs w:val="21"/>
                      <w:highlight w:val="none"/>
                      <w:u w:val="single"/>
                      <w:lang w:val="en-US" w:eastAsia="zh-CN"/>
                    </w:rPr>
                    <w:t>二级</w:t>
                  </w:r>
                  <w:r>
                    <w:rPr>
                      <w:rFonts w:hint="default" w:ascii="Times New Roman" w:hAnsi="Times New Roman" w:eastAsia="宋体" w:cs="Times New Roman"/>
                      <w:color w:val="auto"/>
                      <w:sz w:val="21"/>
                      <w:szCs w:val="21"/>
                      <w:highlight w:val="none"/>
                      <w:u w:val="single"/>
                    </w:rPr>
                    <w:t>活性炭吸附</w:t>
                  </w:r>
                  <w:r>
                    <w:rPr>
                      <w:rFonts w:hint="default" w:ascii="Times New Roman" w:hAnsi="Times New Roman" w:eastAsia="宋体" w:cs="Times New Roman"/>
                      <w:b w:val="0"/>
                      <w:bCs/>
                      <w:color w:val="auto"/>
                      <w:spacing w:val="0"/>
                      <w:sz w:val="21"/>
                      <w:szCs w:val="21"/>
                      <w:highlight w:val="none"/>
                      <w:u w:val="single"/>
                    </w:rPr>
                    <w:t>，减少了有机物的排放</w:t>
                  </w:r>
                </w:p>
              </w:tc>
              <w:tc>
                <w:tcPr>
                  <w:tcW w:w="197" w:type="pct"/>
                  <w:tcBorders>
                    <w:tl2br w:val="nil"/>
                    <w:tr2bl w:val="nil"/>
                  </w:tcBorders>
                  <w:vAlign w:val="center"/>
                </w:tcPr>
                <w:p w14:paraId="63EF3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符合</w:t>
                  </w:r>
                </w:p>
              </w:tc>
            </w:tr>
            <w:tr w14:paraId="4461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2" w:hRule="atLeast"/>
                <w:jc w:val="center"/>
              </w:trPr>
              <w:tc>
                <w:tcPr>
                  <w:tcW w:w="201" w:type="pct"/>
                  <w:tcBorders>
                    <w:tl2br w:val="nil"/>
                    <w:tr2bl w:val="nil"/>
                  </w:tcBorders>
                  <w:vAlign w:val="center"/>
                </w:tcPr>
                <w:p w14:paraId="4FA8C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2</w:t>
                  </w:r>
                </w:p>
              </w:tc>
              <w:tc>
                <w:tcPr>
                  <w:tcW w:w="847" w:type="pct"/>
                  <w:tcBorders>
                    <w:tl2br w:val="nil"/>
                    <w:tr2bl w:val="nil"/>
                  </w:tcBorders>
                  <w:vAlign w:val="center"/>
                </w:tcPr>
                <w:p w14:paraId="2460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lang w:val="en-US" w:eastAsia="zh-CN"/>
                    </w:rPr>
                    <w:t>《</w:t>
                  </w:r>
                  <w:r>
                    <w:rPr>
                      <w:rFonts w:hint="eastAsia" w:cs="Times New Roman"/>
                      <w:b w:val="0"/>
                      <w:bCs/>
                      <w:color w:val="auto"/>
                      <w:spacing w:val="0"/>
                      <w:sz w:val="21"/>
                      <w:szCs w:val="21"/>
                      <w:highlight w:val="none"/>
                      <w:u w:val="none"/>
                      <w:lang w:val="en-US" w:eastAsia="zh-CN"/>
                    </w:rPr>
                    <w:t>中华人民共和国固体废物污染环境防治法</w:t>
                  </w:r>
                  <w:r>
                    <w:rPr>
                      <w:rFonts w:hint="default" w:ascii="Times New Roman" w:hAnsi="Times New Roman" w:eastAsia="宋体" w:cs="Times New Roman"/>
                      <w:b w:val="0"/>
                      <w:bCs/>
                      <w:color w:val="auto"/>
                      <w:spacing w:val="0"/>
                      <w:sz w:val="21"/>
                      <w:szCs w:val="21"/>
                      <w:highlight w:val="none"/>
                      <w:u w:val="none"/>
                      <w:lang w:val="en-US" w:eastAsia="zh-CN"/>
                    </w:rPr>
                    <w:t>》</w:t>
                  </w:r>
                </w:p>
              </w:tc>
              <w:tc>
                <w:tcPr>
                  <w:tcW w:w="1945" w:type="pct"/>
                  <w:tcBorders>
                    <w:tl2br w:val="nil"/>
                    <w:tr2bl w:val="nil"/>
                  </w:tcBorders>
                  <w:vAlign w:val="center"/>
                </w:tcPr>
                <w:p w14:paraId="38E37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收集、贮存危险废物，应当按照危险废物特性分类进行</w:t>
                  </w:r>
                  <w:r>
                    <w:rPr>
                      <w:rFonts w:hint="default" w:ascii="Times New Roman" w:hAnsi="Times New Roman" w:eastAsia="宋体" w:cs="Times New Roman"/>
                      <w:b w:val="0"/>
                      <w:bCs/>
                      <w:color w:val="auto"/>
                      <w:spacing w:val="0"/>
                      <w:sz w:val="21"/>
                      <w:szCs w:val="21"/>
                      <w:highlight w:val="none"/>
                      <w:u w:val="none"/>
                      <w:lang w:eastAsia="zh-CN"/>
                    </w:rPr>
                    <w:t>；贮存危险废物应当采取符合国家环境保护标准的防护措施</w:t>
                  </w:r>
                </w:p>
              </w:tc>
              <w:tc>
                <w:tcPr>
                  <w:tcW w:w="1808" w:type="pct"/>
                  <w:tcBorders>
                    <w:tl2br w:val="nil"/>
                    <w:tr2bl w:val="nil"/>
                  </w:tcBorders>
                  <w:vAlign w:val="center"/>
                </w:tcPr>
                <w:p w14:paraId="5F51B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本项目对</w:t>
                  </w:r>
                  <w:r>
                    <w:rPr>
                      <w:rFonts w:hint="default" w:ascii="Times New Roman" w:hAnsi="Times New Roman" w:cs="Times New Roman"/>
                      <w:b w:val="0"/>
                      <w:bCs/>
                      <w:color w:val="auto"/>
                      <w:spacing w:val="0"/>
                      <w:sz w:val="21"/>
                      <w:szCs w:val="21"/>
                      <w:highlight w:val="none"/>
                      <w:u w:val="none"/>
                      <w:lang w:val="en-US" w:eastAsia="zh-CN"/>
                    </w:rPr>
                    <w:t>废矿物油</w:t>
                  </w:r>
                  <w:r>
                    <w:rPr>
                      <w:rFonts w:hint="default" w:ascii="Times New Roman" w:hAnsi="Times New Roman" w:eastAsia="宋体"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油漆桶</w:t>
                  </w:r>
                  <w:r>
                    <w:rPr>
                      <w:rFonts w:hint="default" w:ascii="Times New Roman" w:hAnsi="Times New Roman" w:eastAsia="宋体" w:cs="Times New Roman"/>
                      <w:b w:val="0"/>
                      <w:bCs/>
                      <w:color w:val="auto"/>
                      <w:spacing w:val="0"/>
                      <w:sz w:val="21"/>
                      <w:szCs w:val="21"/>
                      <w:highlight w:val="none"/>
                      <w:u w:val="none"/>
                      <w:lang w:val="en-US" w:eastAsia="zh-CN"/>
                    </w:rPr>
                    <w:t>、废活性炭等危险废物分类</w:t>
                  </w:r>
                  <w:r>
                    <w:rPr>
                      <w:rFonts w:hint="default" w:ascii="Times New Roman" w:hAnsi="Times New Roman" w:eastAsia="宋体" w:cs="Times New Roman"/>
                      <w:b w:val="0"/>
                      <w:bCs/>
                      <w:color w:val="auto"/>
                      <w:spacing w:val="0"/>
                      <w:sz w:val="21"/>
                      <w:szCs w:val="21"/>
                      <w:highlight w:val="none"/>
                      <w:u w:val="none"/>
                    </w:rPr>
                    <w:t>收集、贮存</w:t>
                  </w:r>
                  <w:r>
                    <w:rPr>
                      <w:rFonts w:hint="default" w:ascii="Times New Roman" w:hAnsi="Times New Roman" w:eastAsia="宋体"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lang w:val="en-US" w:eastAsia="zh-CN"/>
                    </w:rPr>
                    <w:t>并按照《危险废物贮存污染控制标准》(GB18597-2023</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规定对危险废物贮存库采取相应防治措施</w:t>
                  </w:r>
                  <w:r>
                    <w:rPr>
                      <w:rFonts w:hint="eastAsia" w:cs="Times New Roman"/>
                      <w:b w:val="0"/>
                      <w:bCs/>
                      <w:color w:val="auto"/>
                      <w:spacing w:val="0"/>
                      <w:sz w:val="21"/>
                      <w:szCs w:val="21"/>
                      <w:highlight w:val="none"/>
                      <w:u w:val="none"/>
                      <w:lang w:val="en-US" w:eastAsia="zh-CN"/>
                    </w:rPr>
                    <w:t>，</w:t>
                  </w:r>
                  <w:r>
                    <w:rPr>
                      <w:rFonts w:hint="eastAsia" w:cs="Times New Roman"/>
                      <w:b w:val="0"/>
                      <w:bCs/>
                      <w:color w:val="auto"/>
                      <w:spacing w:val="0"/>
                      <w:sz w:val="21"/>
                      <w:szCs w:val="21"/>
                      <w:highlight w:val="none"/>
                      <w:u w:val="single"/>
                      <w:lang w:val="en-US" w:eastAsia="zh-CN"/>
                    </w:rPr>
                    <w:t>本项目依托原项目的危废暂存间，位置详见附图5</w:t>
                  </w:r>
                </w:p>
              </w:tc>
              <w:tc>
                <w:tcPr>
                  <w:tcW w:w="197" w:type="pct"/>
                  <w:tcBorders>
                    <w:tl2br w:val="nil"/>
                    <w:tr2bl w:val="nil"/>
                  </w:tcBorders>
                  <w:vAlign w:val="center"/>
                </w:tcPr>
                <w:p w14:paraId="5BC56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符合</w:t>
                  </w:r>
                </w:p>
              </w:tc>
            </w:tr>
            <w:tr w14:paraId="4F20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tcBorders>
                    <w:tl2br w:val="nil"/>
                    <w:tr2bl w:val="nil"/>
                  </w:tcBorders>
                  <w:vAlign w:val="center"/>
                </w:tcPr>
                <w:p w14:paraId="1B040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3</w:t>
                  </w:r>
                </w:p>
              </w:tc>
              <w:tc>
                <w:tcPr>
                  <w:tcW w:w="847" w:type="pct"/>
                  <w:tcBorders>
                    <w:tl2br w:val="nil"/>
                    <w:tr2bl w:val="nil"/>
                  </w:tcBorders>
                  <w:vAlign w:val="center"/>
                </w:tcPr>
                <w:p w14:paraId="75BFE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《广西壮族自治区大气污染防治条例》</w:t>
                  </w:r>
                </w:p>
              </w:tc>
              <w:tc>
                <w:tcPr>
                  <w:tcW w:w="1945" w:type="pct"/>
                  <w:tcBorders>
                    <w:tl2br w:val="nil"/>
                    <w:tr2bl w:val="nil"/>
                  </w:tcBorders>
                  <w:vAlign w:val="center"/>
                </w:tcPr>
                <w:p w14:paraId="4F06C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产生挥发性有机物废气的活动，应当使用低挥发性有机物含量的原料和工艺，按照规定在密闭空间或者设备中进行，并安装、使用污染防治设施；无法密闭的，应当采取措施减少废气排放</w:t>
                  </w:r>
                </w:p>
              </w:tc>
              <w:tc>
                <w:tcPr>
                  <w:tcW w:w="1808" w:type="pct"/>
                  <w:tcBorders>
                    <w:tl2br w:val="nil"/>
                    <w:tr2bl w:val="nil"/>
                  </w:tcBorders>
                  <w:vAlign w:val="center"/>
                </w:tcPr>
                <w:p w14:paraId="77E8F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eastAsia="宋体" w:cs="Times New Roman"/>
                      <w:b w:val="0"/>
                      <w:bCs/>
                      <w:color w:val="auto"/>
                      <w:spacing w:val="0"/>
                      <w:sz w:val="21"/>
                      <w:szCs w:val="21"/>
                      <w:highlight w:val="none"/>
                      <w:u w:val="none"/>
                      <w:lang w:val="en-US" w:eastAsia="zh-CN"/>
                    </w:rPr>
                    <w:t>对</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eastAsia="宋体" w:cs="Times New Roman"/>
                      <w:b w:val="0"/>
                      <w:bCs/>
                      <w:color w:val="auto"/>
                      <w:spacing w:val="0"/>
                      <w:sz w:val="21"/>
                      <w:szCs w:val="21"/>
                      <w:highlight w:val="none"/>
                      <w:u w:val="none"/>
                    </w:rPr>
                    <w:t>进行</w:t>
                  </w:r>
                  <w:r>
                    <w:rPr>
                      <w:rFonts w:hint="eastAsia" w:cs="Times New Roman"/>
                      <w:b w:val="0"/>
                      <w:bCs/>
                      <w:color w:val="auto"/>
                      <w:spacing w:val="0"/>
                      <w:sz w:val="21"/>
                      <w:szCs w:val="21"/>
                      <w:highlight w:val="none"/>
                      <w:u w:val="none"/>
                      <w:lang w:val="en-US" w:eastAsia="zh-CN"/>
                    </w:rPr>
                    <w:t>密闭</w:t>
                  </w:r>
                  <w:r>
                    <w:rPr>
                      <w:rFonts w:hint="default" w:ascii="Times New Roman" w:hAnsi="Times New Roman" w:eastAsia="宋体" w:cs="Times New Roman"/>
                      <w:b w:val="0"/>
                      <w:bCs/>
                      <w:color w:val="auto"/>
                      <w:spacing w:val="0"/>
                      <w:sz w:val="21"/>
                      <w:szCs w:val="21"/>
                      <w:highlight w:val="none"/>
                      <w:u w:val="none"/>
                    </w:rPr>
                    <w:t>收集、净化，减少了有机物的排放</w:t>
                  </w:r>
                  <w:r>
                    <w:rPr>
                      <w:rFonts w:hint="default" w:ascii="Times New Roman" w:hAnsi="Times New Roman" w:eastAsia="宋体"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lang w:val="en-US" w:eastAsia="zh-CN"/>
                    </w:rPr>
                    <w:t>使用的</w:t>
                  </w:r>
                  <w:r>
                    <w:rPr>
                      <w:rFonts w:hint="default" w:ascii="Times New Roman" w:hAnsi="Times New Roman" w:cs="Times New Roman"/>
                      <w:b w:val="0"/>
                      <w:bCs/>
                      <w:color w:val="auto"/>
                      <w:spacing w:val="0"/>
                      <w:sz w:val="21"/>
                      <w:szCs w:val="21"/>
                      <w:highlight w:val="none"/>
                      <w:u w:val="none"/>
                      <w:lang w:val="en-US" w:eastAsia="zh-CN"/>
                    </w:rPr>
                    <w:t>各类涂料</w:t>
                  </w:r>
                  <w:r>
                    <w:rPr>
                      <w:rFonts w:hint="default" w:ascii="Times New Roman" w:hAnsi="Times New Roman" w:eastAsia="宋体" w:cs="Times New Roman"/>
                      <w:b w:val="0"/>
                      <w:bCs/>
                      <w:color w:val="auto"/>
                      <w:spacing w:val="0"/>
                      <w:sz w:val="21"/>
                      <w:szCs w:val="21"/>
                      <w:highlight w:val="none"/>
                      <w:u w:val="none"/>
                      <w:lang w:val="en-US" w:eastAsia="zh-CN"/>
                    </w:rPr>
                    <w:t>挥发性有机物含量满足《低挥发性有机化合物含量涂料产品技术要求》(GB/T38597-2020</w:t>
                  </w:r>
                  <w:r>
                    <w:rPr>
                      <w:rFonts w:hint="eastAsia"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等要求</w:t>
                  </w:r>
                </w:p>
              </w:tc>
              <w:tc>
                <w:tcPr>
                  <w:tcW w:w="197" w:type="pct"/>
                  <w:tcBorders>
                    <w:tl2br w:val="nil"/>
                    <w:tr2bl w:val="nil"/>
                  </w:tcBorders>
                  <w:vAlign w:val="center"/>
                </w:tcPr>
                <w:p w14:paraId="67B17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r>
            <w:tr w14:paraId="245A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tcBorders>
                    <w:tl2br w:val="nil"/>
                    <w:tr2bl w:val="nil"/>
                  </w:tcBorders>
                  <w:vAlign w:val="center"/>
                </w:tcPr>
                <w:p w14:paraId="4EDEF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4</w:t>
                  </w:r>
                </w:p>
              </w:tc>
              <w:tc>
                <w:tcPr>
                  <w:tcW w:w="847" w:type="pct"/>
                  <w:tcBorders>
                    <w:tl2br w:val="nil"/>
                    <w:tr2bl w:val="nil"/>
                  </w:tcBorders>
                  <w:vAlign w:val="center"/>
                </w:tcPr>
                <w:p w14:paraId="03462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《广西壮族自治区固体废物污染环境防治条例》</w:t>
                  </w:r>
                </w:p>
              </w:tc>
              <w:tc>
                <w:tcPr>
                  <w:tcW w:w="1945" w:type="pct"/>
                  <w:tcBorders>
                    <w:tl2br w:val="nil"/>
                    <w:tr2bl w:val="nil"/>
                  </w:tcBorders>
                  <w:vAlign w:val="center"/>
                </w:tcPr>
                <w:p w14:paraId="326E7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lang w:val="en-US" w:eastAsia="zh-CN"/>
                    </w:rPr>
                    <w:t>危险废物应当按照特性分类贮存，采用专用容器或者包装物，并采取符合国家环境保护标准的防护措施。产生危险废物的单位贮存具有易燃性或者反应性的危险废物，贮存期限不得超过一年</w:t>
                  </w:r>
                </w:p>
              </w:tc>
              <w:tc>
                <w:tcPr>
                  <w:tcW w:w="1808" w:type="pct"/>
                  <w:tcBorders>
                    <w:tl2br w:val="nil"/>
                    <w:tr2bl w:val="nil"/>
                  </w:tcBorders>
                  <w:vAlign w:val="center"/>
                </w:tcPr>
                <w:p w14:paraId="6950A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项目对各项危险废物进行分类贮存，采用专用容器或者包装物，并按照《危险废物贮存污染控制标准》(GB18597-2023</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规定对危险废物贮存库采取相应防治措施。贮存库中危险废物贮存期为一年</w:t>
                  </w:r>
                </w:p>
              </w:tc>
              <w:tc>
                <w:tcPr>
                  <w:tcW w:w="197" w:type="pct"/>
                  <w:tcBorders>
                    <w:tl2br w:val="nil"/>
                    <w:tr2bl w:val="nil"/>
                  </w:tcBorders>
                  <w:vAlign w:val="center"/>
                </w:tcPr>
                <w:p w14:paraId="24CC1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符合</w:t>
                  </w:r>
                </w:p>
              </w:tc>
            </w:tr>
            <w:tr w14:paraId="477C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7" w:hRule="atLeast"/>
                <w:jc w:val="center"/>
              </w:trPr>
              <w:tc>
                <w:tcPr>
                  <w:tcW w:w="201" w:type="pct"/>
                  <w:vMerge w:val="restart"/>
                  <w:tcBorders>
                    <w:tl2br w:val="nil"/>
                    <w:tr2bl w:val="nil"/>
                  </w:tcBorders>
                  <w:vAlign w:val="center"/>
                </w:tcPr>
                <w:p w14:paraId="5996D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5</w:t>
                  </w:r>
                </w:p>
              </w:tc>
              <w:tc>
                <w:tcPr>
                  <w:tcW w:w="847" w:type="pct"/>
                  <w:vMerge w:val="restart"/>
                  <w:tcBorders>
                    <w:tl2br w:val="nil"/>
                    <w:tr2bl w:val="nil"/>
                  </w:tcBorders>
                  <w:vAlign w:val="center"/>
                </w:tcPr>
                <w:p w14:paraId="7C512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《重点行业挥发性有机物综合治理方案》</w:t>
                  </w:r>
                </w:p>
              </w:tc>
              <w:tc>
                <w:tcPr>
                  <w:tcW w:w="1945" w:type="pct"/>
                  <w:tcBorders>
                    <w:tl2br w:val="nil"/>
                    <w:tr2bl w:val="nil"/>
                  </w:tcBorders>
                  <w:vAlign w:val="center"/>
                </w:tcPr>
                <w:p w14:paraId="6794F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积极推进使用低</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无</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VOCs含量原辅材料和环境友好型技术替代</w:t>
                  </w:r>
                </w:p>
              </w:tc>
              <w:tc>
                <w:tcPr>
                  <w:tcW w:w="1808" w:type="pct"/>
                  <w:tcBorders>
                    <w:tl2br w:val="nil"/>
                    <w:tr2bl w:val="nil"/>
                  </w:tcBorders>
                  <w:vAlign w:val="center"/>
                </w:tcPr>
                <w:p w14:paraId="4B964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w:t>
                  </w:r>
                  <w:r>
                    <w:rPr>
                      <w:rFonts w:hint="default" w:ascii="Times New Roman" w:hAnsi="Times New Roman" w:eastAsia="宋体" w:cs="Times New Roman"/>
                      <w:b w:val="0"/>
                      <w:bCs/>
                      <w:color w:val="auto"/>
                      <w:spacing w:val="0"/>
                      <w:sz w:val="21"/>
                      <w:szCs w:val="21"/>
                      <w:highlight w:val="none"/>
                      <w:u w:val="none"/>
                      <w:lang w:val="en-US" w:eastAsia="zh-CN"/>
                    </w:rPr>
                    <w:t>使用的</w:t>
                  </w:r>
                  <w:r>
                    <w:rPr>
                      <w:rFonts w:hint="default" w:ascii="Times New Roman" w:hAnsi="Times New Roman" w:cs="Times New Roman"/>
                      <w:b w:val="0"/>
                      <w:bCs/>
                      <w:color w:val="auto"/>
                      <w:spacing w:val="0"/>
                      <w:sz w:val="21"/>
                      <w:szCs w:val="21"/>
                      <w:highlight w:val="none"/>
                      <w:u w:val="none"/>
                      <w:lang w:val="en-US" w:eastAsia="zh-CN"/>
                    </w:rPr>
                    <w:t>各类涂料的</w:t>
                  </w:r>
                  <w:r>
                    <w:rPr>
                      <w:rFonts w:hint="default" w:ascii="Times New Roman" w:hAnsi="Times New Roman" w:eastAsia="宋体" w:cs="Times New Roman"/>
                      <w:b w:val="0"/>
                      <w:bCs/>
                      <w:color w:val="auto"/>
                      <w:spacing w:val="0"/>
                      <w:sz w:val="21"/>
                      <w:szCs w:val="21"/>
                      <w:highlight w:val="none"/>
                      <w:u w:val="none"/>
                      <w:lang w:val="en-US" w:eastAsia="zh-CN"/>
                    </w:rPr>
                    <w:t>挥发性有机物含量满足《低挥发性有机化合物含量涂料产品技术要求》(GB/T38597-2020</w:t>
                  </w:r>
                  <w:r>
                    <w:rPr>
                      <w:rFonts w:hint="eastAsia" w:cs="Times New Roman"/>
                      <w:b w:val="0"/>
                      <w:bCs/>
                      <w:color w:val="auto"/>
                      <w:spacing w:val="0"/>
                      <w:sz w:val="21"/>
                      <w:szCs w:val="21"/>
                      <w:highlight w:val="none"/>
                      <w:u w:val="none"/>
                      <w:lang w:val="en-US" w:eastAsia="zh-CN"/>
                    </w:rPr>
                    <w:t>）</w:t>
                  </w:r>
                  <w:r>
                    <w:rPr>
                      <w:rFonts w:hint="default" w:ascii="Times New Roman" w:hAnsi="Times New Roman" w:cs="Times New Roman"/>
                      <w:b w:val="0"/>
                      <w:bCs/>
                      <w:color w:val="auto"/>
                      <w:spacing w:val="0"/>
                      <w:sz w:val="21"/>
                      <w:szCs w:val="21"/>
                      <w:highlight w:val="none"/>
                      <w:u w:val="none"/>
                      <w:lang w:val="en-US" w:eastAsia="zh-CN"/>
                    </w:rPr>
                    <w:t>等要求</w:t>
                  </w:r>
                </w:p>
              </w:tc>
              <w:tc>
                <w:tcPr>
                  <w:tcW w:w="197" w:type="pct"/>
                  <w:tcBorders>
                    <w:tl2br w:val="nil"/>
                    <w:tr2bl w:val="nil"/>
                  </w:tcBorders>
                  <w:vAlign w:val="center"/>
                </w:tcPr>
                <w:p w14:paraId="54AD7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031B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7B1ED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54065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E944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含VOCs物料应储存于密闭容器、包装袋，高效密封储罐，封闭式储库、料仓等</w:t>
                  </w:r>
                </w:p>
              </w:tc>
              <w:tc>
                <w:tcPr>
                  <w:tcW w:w="1808" w:type="pct"/>
                  <w:tcBorders>
                    <w:tl2br w:val="nil"/>
                    <w:tr2bl w:val="nil"/>
                  </w:tcBorders>
                  <w:vAlign w:val="center"/>
                </w:tcPr>
                <w:p w14:paraId="643EA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本项目使用漆料储存于密封的包装桶内</w:t>
                  </w:r>
                </w:p>
              </w:tc>
              <w:tc>
                <w:tcPr>
                  <w:tcW w:w="197" w:type="pct"/>
                  <w:tcBorders>
                    <w:tl2br w:val="nil"/>
                    <w:tr2bl w:val="nil"/>
                  </w:tcBorders>
                  <w:vAlign w:val="center"/>
                </w:tcPr>
                <w:p w14:paraId="65A3B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B88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6DE6F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1AAB8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D1F0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rPr>
                    <w:t>通过采用全密闭、连续化、自动化等生产技术，以及高效工艺与设备等，减少工艺过程无组织排放</w:t>
                  </w:r>
                </w:p>
              </w:tc>
              <w:tc>
                <w:tcPr>
                  <w:tcW w:w="1808" w:type="pct"/>
                  <w:tcBorders>
                    <w:tl2br w:val="nil"/>
                    <w:tr2bl w:val="nil"/>
                  </w:tcBorders>
                  <w:vAlign w:val="center"/>
                </w:tcPr>
                <w:p w14:paraId="23494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项目刷漆、晾干采用</w:t>
                  </w:r>
                  <w:r>
                    <w:rPr>
                      <w:rFonts w:hint="default" w:ascii="Times New Roman" w:hAnsi="Times New Roman" w:eastAsia="宋体" w:cs="Times New Roman"/>
                      <w:b w:val="0"/>
                      <w:bCs/>
                      <w:color w:val="auto"/>
                      <w:spacing w:val="0"/>
                      <w:sz w:val="21"/>
                      <w:szCs w:val="21"/>
                      <w:highlight w:val="none"/>
                      <w:u w:val="none"/>
                    </w:rPr>
                    <w:t>全密闭、连续化、自动化等生产技术</w:t>
                  </w:r>
                  <w:r>
                    <w:rPr>
                      <w:rFonts w:hint="default" w:ascii="Times New Roman" w:hAnsi="Times New Roman" w:cs="Times New Roman"/>
                      <w:b w:val="0"/>
                      <w:bCs/>
                      <w:color w:val="auto"/>
                      <w:spacing w:val="0"/>
                      <w:sz w:val="21"/>
                      <w:szCs w:val="21"/>
                      <w:highlight w:val="none"/>
                      <w:u w:val="none"/>
                      <w:lang w:eastAsia="zh-CN"/>
                    </w:rPr>
                    <w:t>，</w:t>
                  </w:r>
                  <w:r>
                    <w:rPr>
                      <w:rFonts w:hint="default" w:ascii="Times New Roman" w:hAnsi="Times New Roman" w:cs="Times New Roman"/>
                      <w:b w:val="0"/>
                      <w:bCs/>
                      <w:color w:val="auto"/>
                      <w:spacing w:val="0"/>
                      <w:sz w:val="21"/>
                      <w:szCs w:val="21"/>
                      <w:highlight w:val="none"/>
                      <w:u w:val="none"/>
                      <w:lang w:val="en-US" w:eastAsia="zh-CN"/>
                    </w:rPr>
                    <w:t>减少了</w:t>
                  </w:r>
                  <w:r>
                    <w:rPr>
                      <w:rFonts w:hint="default" w:ascii="Times New Roman" w:hAnsi="Times New Roman" w:eastAsia="宋体" w:cs="Times New Roman"/>
                      <w:b w:val="0"/>
                      <w:bCs/>
                      <w:color w:val="auto"/>
                      <w:spacing w:val="0"/>
                      <w:sz w:val="21"/>
                      <w:szCs w:val="21"/>
                      <w:highlight w:val="none"/>
                      <w:u w:val="none"/>
                    </w:rPr>
                    <w:t>工艺过程无组织排放</w:t>
                  </w:r>
                </w:p>
              </w:tc>
              <w:tc>
                <w:tcPr>
                  <w:tcW w:w="197" w:type="pct"/>
                  <w:tcBorders>
                    <w:tl2br w:val="nil"/>
                    <w:tr2bl w:val="nil"/>
                  </w:tcBorders>
                  <w:vAlign w:val="center"/>
                </w:tcPr>
                <w:p w14:paraId="3813D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264F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74F16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6727D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08761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采用全密闭集气罩或密闭空间的，除行业有特殊要求外，应保持微负压状态，并根据相关规范合理设置通风量</w:t>
                  </w:r>
                </w:p>
              </w:tc>
              <w:tc>
                <w:tcPr>
                  <w:tcW w:w="1808" w:type="pct"/>
                  <w:tcBorders>
                    <w:tl2br w:val="nil"/>
                    <w:tr2bl w:val="nil"/>
                  </w:tcBorders>
                  <w:vAlign w:val="center"/>
                </w:tcPr>
                <w:p w14:paraId="0EF88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项目刷漆、晾干工序在相对密闭空间进行，保持微负压状态</w:t>
                  </w:r>
                </w:p>
              </w:tc>
              <w:tc>
                <w:tcPr>
                  <w:tcW w:w="197" w:type="pct"/>
                  <w:tcBorders>
                    <w:tl2br w:val="nil"/>
                    <w:tr2bl w:val="nil"/>
                  </w:tcBorders>
                  <w:vAlign w:val="center"/>
                </w:tcPr>
                <w:p w14:paraId="28BA2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1861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34637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21495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2B01B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采用一次性活性炭吸附技术的，应定期更换活性炭，废旧活性炭应再生或处理处置</w:t>
                  </w:r>
                </w:p>
              </w:tc>
              <w:tc>
                <w:tcPr>
                  <w:tcW w:w="1808" w:type="pct"/>
                  <w:tcBorders>
                    <w:tl2br w:val="nil"/>
                    <w:tr2bl w:val="nil"/>
                  </w:tcBorders>
                  <w:vAlign w:val="center"/>
                </w:tcPr>
                <w:p w14:paraId="2F166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采用二级活性炭吸附技术，更换的废活性炭委托资质单位处置</w:t>
                  </w:r>
                </w:p>
              </w:tc>
              <w:tc>
                <w:tcPr>
                  <w:tcW w:w="197" w:type="pct"/>
                  <w:tcBorders>
                    <w:tl2br w:val="nil"/>
                    <w:tr2bl w:val="nil"/>
                  </w:tcBorders>
                  <w:vAlign w:val="center"/>
                </w:tcPr>
                <w:p w14:paraId="1A0A9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1767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restart"/>
                  <w:tcBorders>
                    <w:tl2br w:val="nil"/>
                    <w:tr2bl w:val="nil"/>
                  </w:tcBorders>
                  <w:vAlign w:val="center"/>
                </w:tcPr>
                <w:p w14:paraId="6F372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6</w:t>
                  </w:r>
                </w:p>
              </w:tc>
              <w:tc>
                <w:tcPr>
                  <w:tcW w:w="847" w:type="pct"/>
                  <w:vMerge w:val="restart"/>
                  <w:tcBorders>
                    <w:tl2br w:val="nil"/>
                    <w:tr2bl w:val="nil"/>
                  </w:tcBorders>
                  <w:vAlign w:val="center"/>
                </w:tcPr>
                <w:p w14:paraId="20345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《挥发性有机物</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VOCs</w:t>
                  </w:r>
                  <w:r>
                    <w:rPr>
                      <w:rFonts w:hint="eastAsia" w:cs="Times New Roman"/>
                      <w:b w:val="0"/>
                      <w:bCs/>
                      <w:color w:val="auto"/>
                      <w:spacing w:val="0"/>
                      <w:sz w:val="21"/>
                      <w:szCs w:val="21"/>
                      <w:highlight w:val="none"/>
                      <w:u w:val="none"/>
                      <w:lang w:val="en-US" w:eastAsia="zh-CN"/>
                    </w:rPr>
                    <w:t>）</w:t>
                  </w:r>
                  <w:r>
                    <w:rPr>
                      <w:rFonts w:hint="default" w:ascii="Times New Roman" w:hAnsi="Times New Roman" w:eastAsia="宋体" w:cs="Times New Roman"/>
                      <w:b w:val="0"/>
                      <w:bCs/>
                      <w:color w:val="auto"/>
                      <w:spacing w:val="0"/>
                      <w:sz w:val="21"/>
                      <w:szCs w:val="21"/>
                      <w:highlight w:val="none"/>
                      <w:u w:val="none"/>
                      <w:lang w:val="en-US" w:eastAsia="zh-CN"/>
                    </w:rPr>
                    <w:t>污染防治技术政策》</w:t>
                  </w:r>
                </w:p>
              </w:tc>
              <w:tc>
                <w:tcPr>
                  <w:tcW w:w="1945" w:type="pct"/>
                  <w:tcBorders>
                    <w:tl2br w:val="nil"/>
                    <w:tr2bl w:val="nil"/>
                  </w:tcBorders>
                  <w:vAlign w:val="center"/>
                </w:tcPr>
                <w:p w14:paraId="1C059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对于不能再生的过滤材料、吸附剂及催化剂等净化材料，应按照国家固体废物管理的相关规定处理处置</w:t>
                  </w:r>
                </w:p>
              </w:tc>
              <w:tc>
                <w:tcPr>
                  <w:tcW w:w="1808" w:type="pct"/>
                  <w:tcBorders>
                    <w:tl2br w:val="nil"/>
                    <w:tr2bl w:val="nil"/>
                  </w:tcBorders>
                  <w:vAlign w:val="center"/>
                </w:tcPr>
                <w:p w14:paraId="3C533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采用二级活性炭吸附技术，更换的废活性炭委托资质单位处置</w:t>
                  </w:r>
                </w:p>
              </w:tc>
              <w:tc>
                <w:tcPr>
                  <w:tcW w:w="197" w:type="pct"/>
                  <w:tcBorders>
                    <w:tl2br w:val="nil"/>
                    <w:tr2bl w:val="nil"/>
                  </w:tcBorders>
                  <w:vAlign w:val="center"/>
                </w:tcPr>
                <w:p w14:paraId="12FED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55BE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vMerge w:val="continue"/>
                  <w:tcBorders>
                    <w:tl2br w:val="nil"/>
                    <w:tr2bl w:val="nil"/>
                  </w:tcBorders>
                  <w:vAlign w:val="center"/>
                </w:tcPr>
                <w:p w14:paraId="60272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3DD33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461F2DB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cs="Times New Roman"/>
                      <w:bCs/>
                      <w:color w:val="auto"/>
                      <w:kern w:val="0"/>
                      <w:sz w:val="21"/>
                      <w:szCs w:val="21"/>
                      <w:highlight w:val="none"/>
                      <w:lang w:val="zh-CN"/>
                    </w:rPr>
                    <w:t>含VOCs产品的使用过程中，应采取废气收集措施，提高废气收集效率，减少废气的无组织排放与逸散，并对收集后的废气进行回收或处理后达标排放。</w:t>
                  </w:r>
                </w:p>
              </w:tc>
              <w:tc>
                <w:tcPr>
                  <w:tcW w:w="1808" w:type="pct"/>
                  <w:tcBorders>
                    <w:tl2br w:val="nil"/>
                    <w:tr2bl w:val="nil"/>
                  </w:tcBorders>
                  <w:vAlign w:val="center"/>
                </w:tcPr>
                <w:p w14:paraId="1A167FC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）有组织达标排放，少量无组织散逸的通过厂房内轴流风机加强通风换气。</w:t>
                  </w:r>
                </w:p>
              </w:tc>
              <w:tc>
                <w:tcPr>
                  <w:tcW w:w="197" w:type="pct"/>
                  <w:tcBorders>
                    <w:tl2br w:val="nil"/>
                    <w:tr2bl w:val="nil"/>
                  </w:tcBorders>
                  <w:vAlign w:val="center"/>
                </w:tcPr>
                <w:p w14:paraId="764EE42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303F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continue"/>
                  <w:tcBorders>
                    <w:tl2br w:val="nil"/>
                    <w:tr2bl w:val="nil"/>
                  </w:tcBorders>
                  <w:vAlign w:val="center"/>
                </w:tcPr>
                <w:p w14:paraId="3D275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754E4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3D943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应尽量避免无VOCs净化、回收措施的露天喷涂作业</w:t>
                  </w:r>
                </w:p>
              </w:tc>
              <w:tc>
                <w:tcPr>
                  <w:tcW w:w="1808" w:type="pct"/>
                  <w:tcBorders>
                    <w:tl2br w:val="nil"/>
                    <w:tr2bl w:val="nil"/>
                  </w:tcBorders>
                  <w:vAlign w:val="center"/>
                </w:tcPr>
                <w:p w14:paraId="121D6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本项目刷漆、晾干在密闭的生产线内进行，对喷涂产生</w:t>
                  </w:r>
                  <w:r>
                    <w:rPr>
                      <w:rFonts w:hint="default" w:ascii="Times New Roman" w:hAnsi="Times New Roman" w:eastAsia="宋体" w:cs="Times New Roman"/>
                      <w:b w:val="0"/>
                      <w:bCs/>
                      <w:color w:val="auto"/>
                      <w:spacing w:val="0"/>
                      <w:sz w:val="21"/>
                      <w:szCs w:val="21"/>
                      <w:highlight w:val="none"/>
                      <w:u w:val="none"/>
                    </w:rPr>
                    <w:t>VOCs</w:t>
                  </w:r>
                  <w:r>
                    <w:rPr>
                      <w:rFonts w:hint="default" w:ascii="Times New Roman" w:hAnsi="Times New Roman" w:cs="Times New Roman"/>
                      <w:b w:val="0"/>
                      <w:bCs/>
                      <w:color w:val="auto"/>
                      <w:spacing w:val="0"/>
                      <w:sz w:val="21"/>
                      <w:szCs w:val="21"/>
                      <w:highlight w:val="none"/>
                      <w:u w:val="none"/>
                      <w:lang w:val="en-US" w:eastAsia="zh-CN"/>
                    </w:rPr>
                    <w:t>进行收集、净化</w:t>
                  </w:r>
                </w:p>
              </w:tc>
              <w:tc>
                <w:tcPr>
                  <w:tcW w:w="197" w:type="pct"/>
                  <w:tcBorders>
                    <w:tl2br w:val="nil"/>
                    <w:tr2bl w:val="nil"/>
                  </w:tcBorders>
                  <w:vAlign w:val="center"/>
                </w:tcPr>
                <w:p w14:paraId="5FE30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328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17027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2A3C1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33CC0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鼓励使用水性涂料、高固份涂料、粉末涂料、紫外光固化</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UV</w:t>
                  </w:r>
                  <w:r>
                    <w:rPr>
                      <w:rFonts w:hint="eastAsia" w:cs="Times New Roman"/>
                      <w:b w:val="0"/>
                      <w:bCs/>
                      <w:color w:val="auto"/>
                      <w:spacing w:val="0"/>
                      <w:sz w:val="21"/>
                      <w:szCs w:val="21"/>
                      <w:highlight w:val="none"/>
                      <w:u w:val="none"/>
                      <w:lang w:eastAsia="zh-CN"/>
                    </w:rPr>
                    <w:t>）</w:t>
                  </w:r>
                  <w:r>
                    <w:rPr>
                      <w:rFonts w:hint="default" w:ascii="Times New Roman" w:hAnsi="Times New Roman" w:eastAsia="宋体" w:cs="Times New Roman"/>
                      <w:b w:val="0"/>
                      <w:bCs/>
                      <w:color w:val="auto"/>
                      <w:spacing w:val="0"/>
                      <w:sz w:val="21"/>
                      <w:szCs w:val="21"/>
                      <w:highlight w:val="none"/>
                      <w:u w:val="none"/>
                    </w:rPr>
                    <w:t>涂料等环保型涂料</w:t>
                  </w:r>
                </w:p>
              </w:tc>
              <w:tc>
                <w:tcPr>
                  <w:tcW w:w="1808" w:type="pct"/>
                  <w:tcBorders>
                    <w:tl2br w:val="nil"/>
                    <w:tr2bl w:val="nil"/>
                  </w:tcBorders>
                  <w:vAlign w:val="center"/>
                </w:tcPr>
                <w:p w14:paraId="37AAA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本项目涂装以粉末涂料涂装为主</w:t>
                  </w:r>
                </w:p>
              </w:tc>
              <w:tc>
                <w:tcPr>
                  <w:tcW w:w="197" w:type="pct"/>
                  <w:tcBorders>
                    <w:tl2br w:val="nil"/>
                    <w:tr2bl w:val="nil"/>
                  </w:tcBorders>
                  <w:vAlign w:val="center"/>
                </w:tcPr>
                <w:p w14:paraId="43C9A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744F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1" w:hRule="atLeast"/>
                <w:jc w:val="center"/>
              </w:trPr>
              <w:tc>
                <w:tcPr>
                  <w:tcW w:w="201" w:type="pct"/>
                  <w:vMerge w:val="restart"/>
                  <w:tcBorders>
                    <w:tl2br w:val="nil"/>
                    <w:tr2bl w:val="nil"/>
                  </w:tcBorders>
                  <w:vAlign w:val="center"/>
                </w:tcPr>
                <w:p w14:paraId="2C40D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7</w:t>
                  </w:r>
                </w:p>
              </w:tc>
              <w:tc>
                <w:tcPr>
                  <w:tcW w:w="847" w:type="pct"/>
                  <w:vMerge w:val="restart"/>
                  <w:tcBorders>
                    <w:tl2br w:val="nil"/>
                    <w:tr2bl w:val="nil"/>
                  </w:tcBorders>
                  <w:vAlign w:val="center"/>
                </w:tcPr>
                <w:p w14:paraId="16F3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《挥发性有机物无组织排放控制标准》</w:t>
                  </w:r>
                </w:p>
              </w:tc>
              <w:tc>
                <w:tcPr>
                  <w:tcW w:w="1945" w:type="pct"/>
                  <w:tcBorders>
                    <w:tl2br w:val="nil"/>
                    <w:tr2bl w:val="nil"/>
                  </w:tcBorders>
                  <w:vAlign w:val="center"/>
                </w:tcPr>
                <w:p w14:paraId="576F6F91">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VOCs物料应储存于密闭的容器、包装袋、储罐、储库、料仓中。盛装VOCs物料的容器或包装袋应存放于室内，或存放于设置有雨棚、遮阳和防渗设施的专用场地。盛装VOCs物料的容器或装袋在非取用状态时应加盖、封口，保持密闭。VOCs物料储库、料仓应满足密闭空间的要求。</w:t>
                  </w:r>
                </w:p>
              </w:tc>
              <w:tc>
                <w:tcPr>
                  <w:tcW w:w="1808" w:type="pct"/>
                  <w:tcBorders>
                    <w:tl2br w:val="nil"/>
                    <w:tr2bl w:val="nil"/>
                  </w:tcBorders>
                  <w:vAlign w:val="center"/>
                </w:tcPr>
                <w:p w14:paraId="6CB9D8C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本项目</w:t>
                  </w:r>
                  <w:r>
                    <w:rPr>
                      <w:rFonts w:hint="default" w:ascii="Times New Roman" w:hAnsi="Times New Roman" w:cs="Times New Roman"/>
                      <w:bCs/>
                      <w:color w:val="auto"/>
                      <w:kern w:val="0"/>
                      <w:sz w:val="21"/>
                      <w:szCs w:val="21"/>
                      <w:highlight w:val="none"/>
                      <w:lang w:val="zh-CN"/>
                    </w:rPr>
                    <w:t>含VOCs原辅料</w:t>
                  </w:r>
                  <w:r>
                    <w:rPr>
                      <w:rFonts w:hint="default" w:ascii="Times New Roman" w:hAnsi="Times New Roman" w:cs="Times New Roman"/>
                      <w:color w:val="auto"/>
                      <w:kern w:val="0"/>
                      <w:sz w:val="21"/>
                      <w:szCs w:val="21"/>
                      <w:highlight w:val="none"/>
                    </w:rPr>
                    <w:t>储存于密闭的包装桶、罐内，且存放在室内，</w:t>
                  </w:r>
                  <w:r>
                    <w:rPr>
                      <w:rFonts w:hint="default" w:ascii="Times New Roman" w:hAnsi="Times New Roman" w:cs="Times New Roman"/>
                      <w:color w:val="auto"/>
                      <w:sz w:val="21"/>
                      <w:szCs w:val="21"/>
                      <w:highlight w:val="none"/>
                    </w:rPr>
                    <w:t>VOCs物料储库、料仓均满足密闭空间的要求。</w:t>
                  </w:r>
                </w:p>
              </w:tc>
              <w:tc>
                <w:tcPr>
                  <w:tcW w:w="197" w:type="pct"/>
                  <w:tcBorders>
                    <w:tl2br w:val="nil"/>
                    <w:tr2bl w:val="nil"/>
                  </w:tcBorders>
                  <w:vAlign w:val="center"/>
                </w:tcPr>
                <w:p w14:paraId="4057CD1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7230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201" w:type="pct"/>
                  <w:vMerge w:val="continue"/>
                  <w:tcBorders>
                    <w:tl2br w:val="nil"/>
                    <w:tr2bl w:val="nil"/>
                  </w:tcBorders>
                  <w:vAlign w:val="center"/>
                </w:tcPr>
                <w:p w14:paraId="7D992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3311D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5B59E706">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808" w:type="pct"/>
                  <w:tcBorders>
                    <w:tl2br w:val="nil"/>
                    <w:tr2bl w:val="nil"/>
                  </w:tcBorders>
                  <w:vAlign w:val="center"/>
                </w:tcPr>
                <w:p w14:paraId="3AF5448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工序产生的有机废气采用负压密闭收集，通过项目设置的“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w:t>
                  </w:r>
                </w:p>
              </w:tc>
              <w:tc>
                <w:tcPr>
                  <w:tcW w:w="197" w:type="pct"/>
                  <w:tcBorders>
                    <w:tl2br w:val="nil"/>
                    <w:tr2bl w:val="nil"/>
                  </w:tcBorders>
                  <w:vAlign w:val="center"/>
                </w:tcPr>
                <w:p w14:paraId="548A6E2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0344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4" w:hRule="atLeast"/>
                <w:jc w:val="center"/>
              </w:trPr>
              <w:tc>
                <w:tcPr>
                  <w:tcW w:w="201" w:type="pct"/>
                  <w:vMerge w:val="continue"/>
                  <w:tcBorders>
                    <w:tl2br w:val="nil"/>
                    <w:tr2bl w:val="nil"/>
                  </w:tcBorders>
                  <w:vAlign w:val="center"/>
                </w:tcPr>
                <w:p w14:paraId="2D40F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04C78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27DE27DB">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1808" w:type="pct"/>
                  <w:tcBorders>
                    <w:tl2br w:val="nil"/>
                    <w:tr2bl w:val="nil"/>
                  </w:tcBorders>
                  <w:vAlign w:val="center"/>
                </w:tcPr>
                <w:p w14:paraId="10E0423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 w:val="0"/>
                      <w:bCs/>
                      <w:color w:val="auto"/>
                      <w:spacing w:val="0"/>
                      <w:sz w:val="21"/>
                      <w:szCs w:val="21"/>
                      <w:highlight w:val="none"/>
                      <w:u w:val="none"/>
                      <w:lang w:val="en-US" w:eastAsia="zh-CN"/>
                    </w:rPr>
                    <w:t>刷漆、晾干</w:t>
                  </w:r>
                  <w:r>
                    <w:rPr>
                      <w:rFonts w:hint="default" w:ascii="Times New Roman" w:hAnsi="Times New Roman" w:cs="Times New Roman"/>
                      <w:bCs/>
                      <w:color w:val="auto"/>
                      <w:kern w:val="0"/>
                      <w:sz w:val="21"/>
                      <w:szCs w:val="21"/>
                      <w:highlight w:val="none"/>
                    </w:rPr>
                    <w:t>工序产生的有机废气采用负压密闭收集，通过项目设置的“</w:t>
                  </w:r>
                  <w:r>
                    <w:rPr>
                      <w:rFonts w:hint="eastAsia" w:cs="Times New Roman"/>
                      <w:bCs/>
                      <w:color w:val="auto"/>
                      <w:kern w:val="0"/>
                      <w:sz w:val="21"/>
                      <w:szCs w:val="21"/>
                      <w:highlight w:val="none"/>
                      <w:lang w:eastAsia="zh-CN"/>
                    </w:rPr>
                    <w:t>二级活性炭吸附</w:t>
                  </w:r>
                  <w:r>
                    <w:rPr>
                      <w:rFonts w:hint="default" w:ascii="Times New Roman" w:hAnsi="Times New Roman" w:cs="Times New Roman"/>
                      <w:bCs/>
                      <w:color w:val="auto"/>
                      <w:kern w:val="0"/>
                      <w:sz w:val="21"/>
                      <w:szCs w:val="21"/>
                      <w:highlight w:val="none"/>
                    </w:rPr>
                    <w:t>”处理后经1根15米高排气筒（DA00</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rPr>
                    <w:t>）有组织达标排放</w:t>
                  </w:r>
                </w:p>
              </w:tc>
              <w:tc>
                <w:tcPr>
                  <w:tcW w:w="197" w:type="pct"/>
                  <w:tcBorders>
                    <w:tl2br w:val="nil"/>
                    <w:tr2bl w:val="nil"/>
                  </w:tcBorders>
                  <w:vAlign w:val="center"/>
                </w:tcPr>
                <w:p w14:paraId="14704AD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2D12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2" w:hRule="atLeast"/>
                <w:jc w:val="center"/>
              </w:trPr>
              <w:tc>
                <w:tcPr>
                  <w:tcW w:w="201" w:type="pct"/>
                  <w:vMerge w:val="continue"/>
                  <w:tcBorders>
                    <w:tl2br w:val="nil"/>
                    <w:tr2bl w:val="nil"/>
                  </w:tcBorders>
                  <w:vAlign w:val="center"/>
                </w:tcPr>
                <w:p w14:paraId="20328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7D0DF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72F33855">
                  <w:pPr>
                    <w:pStyle w:val="145"/>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color w:val="auto"/>
                      <w:sz w:val="21"/>
                      <w:szCs w:val="21"/>
                      <w:highlight w:val="none"/>
                    </w:rPr>
                    <w:t>企业应建立台账，记录含VOCs原辅材料和含VOCs产品的名称、使用量、回收量、废弃量、去向以及VOCs含量等信息。台账保存期限不少于3年。</w:t>
                  </w:r>
                </w:p>
              </w:tc>
              <w:tc>
                <w:tcPr>
                  <w:tcW w:w="1808" w:type="pct"/>
                  <w:tcBorders>
                    <w:tl2br w:val="nil"/>
                    <w:tr2bl w:val="nil"/>
                  </w:tcBorders>
                  <w:vAlign w:val="center"/>
                </w:tcPr>
                <w:p w14:paraId="01E4A26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本项目在运行过程中，企业将建立台账，记录底漆、中间漆、面漆、稀释剂等原料的</w:t>
                  </w:r>
                  <w:r>
                    <w:rPr>
                      <w:rFonts w:hint="default" w:ascii="Times New Roman" w:hAnsi="Times New Roman" w:cs="Times New Roman"/>
                      <w:color w:val="auto"/>
                      <w:sz w:val="21"/>
                      <w:szCs w:val="21"/>
                      <w:highlight w:val="none"/>
                    </w:rPr>
                    <w:t>名称、使用量、回收量、废弃量、去向以及VOCs含量等信息。台账保存期限不少于3年。</w:t>
                  </w:r>
                </w:p>
              </w:tc>
              <w:tc>
                <w:tcPr>
                  <w:tcW w:w="197" w:type="pct"/>
                  <w:tcBorders>
                    <w:tl2br w:val="nil"/>
                    <w:tr2bl w:val="nil"/>
                  </w:tcBorders>
                  <w:vAlign w:val="center"/>
                </w:tcPr>
                <w:p w14:paraId="1EC921E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color w:val="auto"/>
                      <w:kern w:val="0"/>
                      <w:sz w:val="21"/>
                      <w:szCs w:val="21"/>
                      <w:highlight w:val="none"/>
                    </w:rPr>
                    <w:t>符合</w:t>
                  </w:r>
                </w:p>
              </w:tc>
            </w:tr>
            <w:tr w14:paraId="5819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1" w:hRule="atLeast"/>
                <w:jc w:val="center"/>
              </w:trPr>
              <w:tc>
                <w:tcPr>
                  <w:tcW w:w="201" w:type="pct"/>
                  <w:vMerge w:val="restart"/>
                  <w:tcBorders>
                    <w:tl2br w:val="nil"/>
                    <w:tr2bl w:val="nil"/>
                  </w:tcBorders>
                  <w:vAlign w:val="center"/>
                </w:tcPr>
                <w:p w14:paraId="7B588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8</w:t>
                  </w:r>
                </w:p>
              </w:tc>
              <w:tc>
                <w:tcPr>
                  <w:tcW w:w="847" w:type="pct"/>
                  <w:vMerge w:val="restart"/>
                  <w:tcBorders>
                    <w:tl2br w:val="nil"/>
                    <w:tr2bl w:val="nil"/>
                  </w:tcBorders>
                  <w:vAlign w:val="center"/>
                </w:tcPr>
                <w:p w14:paraId="3AB0B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《关于加快解决当前挥发性有机物治理突出问题的通知》</w:t>
                  </w:r>
                </w:p>
              </w:tc>
              <w:tc>
                <w:tcPr>
                  <w:tcW w:w="1945" w:type="pct"/>
                  <w:tcBorders>
                    <w:tl2br w:val="nil"/>
                    <w:tr2bl w:val="nil"/>
                  </w:tcBorders>
                  <w:vAlign w:val="center"/>
                </w:tcPr>
                <w:p w14:paraId="59B2C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产生VOCs的生产环节优先采用密闭设备、在密闭空间中操作或采用全密闭集气罩收集方式，并保持负压运行</w:t>
                  </w:r>
                </w:p>
              </w:tc>
              <w:tc>
                <w:tcPr>
                  <w:tcW w:w="1808" w:type="pct"/>
                  <w:tcBorders>
                    <w:tl2br w:val="nil"/>
                    <w:tr2bl w:val="nil"/>
                  </w:tcBorders>
                  <w:vAlign w:val="center"/>
                </w:tcPr>
                <w:p w14:paraId="4E254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项目刷漆、晾干工序在相对密闭空间进行，保持微负压状态</w:t>
                  </w:r>
                </w:p>
              </w:tc>
              <w:tc>
                <w:tcPr>
                  <w:tcW w:w="197" w:type="pct"/>
                  <w:tcBorders>
                    <w:tl2br w:val="nil"/>
                    <w:tr2bl w:val="nil"/>
                  </w:tcBorders>
                  <w:vAlign w:val="center"/>
                </w:tcPr>
                <w:p w14:paraId="1D933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5F43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continue"/>
                  <w:tcBorders>
                    <w:tl2br w:val="nil"/>
                    <w:tr2bl w:val="nil"/>
                  </w:tcBorders>
                  <w:vAlign w:val="center"/>
                </w:tcPr>
                <w:p w14:paraId="0F6C7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0FBE1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761EF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除恶臭异味治理外，一般不使用低温等离子、光催化、光氧化等技术</w:t>
                  </w:r>
                </w:p>
              </w:tc>
              <w:tc>
                <w:tcPr>
                  <w:tcW w:w="1808" w:type="pct"/>
                  <w:tcBorders>
                    <w:tl2br w:val="nil"/>
                    <w:tr2bl w:val="nil"/>
                  </w:tcBorders>
                  <w:vAlign w:val="center"/>
                </w:tcPr>
                <w:p w14:paraId="3F744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本项目对刷漆、晾干</w:t>
                  </w:r>
                  <w:r>
                    <w:rPr>
                      <w:rFonts w:hint="default" w:ascii="Times New Roman" w:hAnsi="Times New Roman" w:eastAsia="宋体" w:cs="Times New Roman"/>
                      <w:b w:val="0"/>
                      <w:bCs/>
                      <w:color w:val="auto"/>
                      <w:spacing w:val="0"/>
                      <w:sz w:val="21"/>
                      <w:szCs w:val="21"/>
                      <w:highlight w:val="none"/>
                      <w:u w:val="none"/>
                      <w:lang w:val="en-US" w:eastAsia="zh-CN"/>
                    </w:rPr>
                    <w:t>废气</w:t>
                  </w:r>
                  <w:r>
                    <w:rPr>
                      <w:rFonts w:hint="default" w:ascii="Times New Roman" w:hAnsi="Times New Roman" w:cs="Times New Roman"/>
                      <w:b w:val="0"/>
                      <w:bCs/>
                      <w:color w:val="auto"/>
                      <w:spacing w:val="0"/>
                      <w:sz w:val="21"/>
                      <w:szCs w:val="21"/>
                      <w:highlight w:val="none"/>
                      <w:u w:val="none"/>
                      <w:lang w:val="en-US" w:eastAsia="zh-CN"/>
                    </w:rPr>
                    <w:t>采用的二级</w:t>
                  </w:r>
                  <w:r>
                    <w:rPr>
                      <w:rFonts w:hint="default" w:ascii="Times New Roman" w:hAnsi="Times New Roman" w:eastAsia="宋体" w:cs="Times New Roman"/>
                      <w:b w:val="0"/>
                      <w:bCs/>
                      <w:color w:val="auto"/>
                      <w:spacing w:val="0"/>
                      <w:sz w:val="21"/>
                      <w:szCs w:val="21"/>
                      <w:highlight w:val="none"/>
                      <w:u w:val="none"/>
                    </w:rPr>
                    <w:t>活性炭吸附</w:t>
                  </w:r>
                  <w:r>
                    <w:rPr>
                      <w:rFonts w:hint="default" w:ascii="Times New Roman" w:hAnsi="Times New Roman" w:cs="Times New Roman"/>
                      <w:b w:val="0"/>
                      <w:bCs/>
                      <w:color w:val="auto"/>
                      <w:spacing w:val="0"/>
                      <w:sz w:val="21"/>
                      <w:szCs w:val="21"/>
                      <w:highlight w:val="none"/>
                      <w:u w:val="none"/>
                      <w:lang w:val="en-US" w:eastAsia="zh-CN"/>
                    </w:rPr>
                    <w:t>技术</w:t>
                  </w:r>
                </w:p>
              </w:tc>
              <w:tc>
                <w:tcPr>
                  <w:tcW w:w="197" w:type="pct"/>
                  <w:tcBorders>
                    <w:tl2br w:val="nil"/>
                    <w:tr2bl w:val="nil"/>
                  </w:tcBorders>
                  <w:vAlign w:val="center"/>
                </w:tcPr>
                <w:p w14:paraId="35B5B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4360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01" w:type="pct"/>
                  <w:vMerge w:val="restart"/>
                  <w:tcBorders>
                    <w:tl2br w:val="nil"/>
                    <w:tr2bl w:val="nil"/>
                  </w:tcBorders>
                  <w:vAlign w:val="center"/>
                </w:tcPr>
                <w:p w14:paraId="7C4E6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9</w:t>
                  </w:r>
                </w:p>
              </w:tc>
              <w:tc>
                <w:tcPr>
                  <w:tcW w:w="847" w:type="pct"/>
                  <w:vMerge w:val="restart"/>
                  <w:tcBorders>
                    <w:tl2br w:val="nil"/>
                    <w:tr2bl w:val="nil"/>
                  </w:tcBorders>
                  <w:vAlign w:val="center"/>
                </w:tcPr>
                <w:p w14:paraId="0E0A4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eastAsia="宋体" w:cs="Times New Roman"/>
                      <w:b w:val="0"/>
                      <w:bCs/>
                      <w:color w:val="auto"/>
                      <w:spacing w:val="0"/>
                      <w:sz w:val="21"/>
                      <w:szCs w:val="21"/>
                      <w:highlight w:val="none"/>
                      <w:u w:val="none"/>
                      <w:lang w:val="en-US" w:eastAsia="zh-CN"/>
                    </w:rPr>
                    <w:t>《广西壮族自治区“十四五”空气质量全面改善规划》</w:t>
                  </w:r>
                </w:p>
              </w:tc>
              <w:tc>
                <w:tcPr>
                  <w:tcW w:w="1945" w:type="pct"/>
                  <w:tcBorders>
                    <w:tl2br w:val="nil"/>
                    <w:tr2bl w:val="nil"/>
                  </w:tcBorders>
                  <w:vAlign w:val="center"/>
                </w:tcPr>
                <w:p w14:paraId="6B261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eastAsia="zh-CN"/>
                    </w:rPr>
                  </w:pPr>
                  <w:r>
                    <w:rPr>
                      <w:rFonts w:hint="default" w:ascii="Times New Roman" w:hAnsi="Times New Roman" w:eastAsia="宋体" w:cs="Times New Roman"/>
                      <w:b w:val="0"/>
                      <w:bCs/>
                      <w:color w:val="auto"/>
                      <w:spacing w:val="0"/>
                      <w:sz w:val="21"/>
                      <w:szCs w:val="21"/>
                      <w:highlight w:val="none"/>
                      <w:u w:val="none"/>
                      <w:lang w:eastAsia="zh-CN"/>
                    </w:rPr>
                    <w:t>加快推广使用水性、粉末、高固体分、无溶剂、辐射固化等低VOCs含量的涂料</w:t>
                  </w:r>
                </w:p>
              </w:tc>
              <w:tc>
                <w:tcPr>
                  <w:tcW w:w="1808" w:type="pct"/>
                  <w:tcBorders>
                    <w:tl2br w:val="nil"/>
                    <w:tr2bl w:val="nil"/>
                  </w:tcBorders>
                  <w:vAlign w:val="center"/>
                </w:tcPr>
                <w:p w14:paraId="78343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本项目涂装以粉末涂料涂装为主</w:t>
                  </w:r>
                </w:p>
              </w:tc>
              <w:tc>
                <w:tcPr>
                  <w:tcW w:w="197" w:type="pct"/>
                  <w:tcBorders>
                    <w:tl2br w:val="nil"/>
                    <w:tr2bl w:val="nil"/>
                  </w:tcBorders>
                  <w:vAlign w:val="center"/>
                </w:tcPr>
                <w:p w14:paraId="271EE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r w14:paraId="2FEA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201" w:type="pct"/>
                  <w:vMerge w:val="continue"/>
                  <w:tcBorders>
                    <w:tl2br w:val="nil"/>
                    <w:tr2bl w:val="nil"/>
                  </w:tcBorders>
                  <w:vAlign w:val="center"/>
                </w:tcPr>
                <w:p w14:paraId="24EEC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p>
              </w:tc>
              <w:tc>
                <w:tcPr>
                  <w:tcW w:w="847" w:type="pct"/>
                  <w:vMerge w:val="continue"/>
                  <w:tcBorders>
                    <w:tl2br w:val="nil"/>
                    <w:tr2bl w:val="nil"/>
                  </w:tcBorders>
                  <w:vAlign w:val="center"/>
                </w:tcPr>
                <w:p w14:paraId="61CFF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p>
              </w:tc>
              <w:tc>
                <w:tcPr>
                  <w:tcW w:w="1945" w:type="pct"/>
                  <w:tcBorders>
                    <w:tl2br w:val="nil"/>
                    <w:tr2bl w:val="nil"/>
                  </w:tcBorders>
                  <w:vAlign w:val="center"/>
                </w:tcPr>
                <w:p w14:paraId="0F0BB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rPr>
                  </w:pPr>
                  <w:r>
                    <w:rPr>
                      <w:rFonts w:hint="default" w:ascii="Times New Roman" w:hAnsi="Times New Roman" w:eastAsia="宋体" w:cs="Times New Roman"/>
                      <w:b w:val="0"/>
                      <w:bCs/>
                      <w:color w:val="auto"/>
                      <w:spacing w:val="0"/>
                      <w:sz w:val="21"/>
                      <w:szCs w:val="21"/>
                      <w:highlight w:val="none"/>
                      <w:u w:val="none"/>
                    </w:rPr>
                    <w:t>减少工艺过程无组织排放和逸散，提高VOCs集中收集和综合治理效率</w:t>
                  </w:r>
                </w:p>
              </w:tc>
              <w:tc>
                <w:tcPr>
                  <w:tcW w:w="1808" w:type="pct"/>
                  <w:tcBorders>
                    <w:tl2br w:val="nil"/>
                    <w:tr2bl w:val="nil"/>
                  </w:tcBorders>
                  <w:vAlign w:val="center"/>
                </w:tcPr>
                <w:p w14:paraId="7C29E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项目刷漆、晾干在相对密闭空间进行，保持微负压状态，提升收集效率，减少无组织排放</w:t>
                  </w:r>
                </w:p>
              </w:tc>
              <w:tc>
                <w:tcPr>
                  <w:tcW w:w="197" w:type="pct"/>
                  <w:tcBorders>
                    <w:tl2br w:val="nil"/>
                    <w:tr2bl w:val="nil"/>
                  </w:tcBorders>
                  <w:vAlign w:val="center"/>
                </w:tcPr>
                <w:p w14:paraId="2FDF7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0"/>
                      <w:sz w:val="21"/>
                      <w:szCs w:val="21"/>
                      <w:highlight w:val="none"/>
                      <w:u w:val="none"/>
                      <w:lang w:val="en-US" w:eastAsia="zh-CN"/>
                    </w:rPr>
                  </w:pPr>
                  <w:r>
                    <w:rPr>
                      <w:rFonts w:hint="default" w:ascii="Times New Roman" w:hAnsi="Times New Roman" w:cs="Times New Roman"/>
                      <w:b w:val="0"/>
                      <w:bCs/>
                      <w:color w:val="auto"/>
                      <w:spacing w:val="0"/>
                      <w:sz w:val="21"/>
                      <w:szCs w:val="21"/>
                      <w:highlight w:val="none"/>
                      <w:u w:val="none"/>
                      <w:lang w:val="en-US" w:eastAsia="zh-CN"/>
                    </w:rPr>
                    <w:t>符合</w:t>
                  </w:r>
                </w:p>
              </w:tc>
            </w:tr>
          </w:tbl>
          <w:p w14:paraId="5198F6A4">
            <w:pPr>
              <w:pStyle w:val="19"/>
              <w:keepNext w:val="0"/>
              <w:keepLines w:val="0"/>
              <w:suppressLineNumbers w:val="0"/>
              <w:spacing w:beforeAutospacing="0" w:afterAutospacing="0"/>
              <w:ind w:left="0"/>
              <w:rPr>
                <w:rFonts w:hint="default" w:ascii="Times New Roman" w:hAnsi="Times New Roman" w:cs="Times New Roman"/>
                <w:color w:val="auto"/>
                <w:highlight w:val="none"/>
                <w:lang w:val="en-US" w:eastAsia="zh-CN"/>
              </w:rPr>
            </w:pPr>
          </w:p>
        </w:tc>
      </w:tr>
    </w:tbl>
    <w:p w14:paraId="63A26E0F">
      <w:pPr>
        <w:spacing w:line="360" w:lineRule="auto"/>
        <w:outlineLvl w:val="0"/>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DEC32E7">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bookmarkEnd w:id="3"/>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01ECA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A187303">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8320" w:type="dxa"/>
            <w:noWrap w:val="0"/>
            <w:vAlign w:val="center"/>
          </w:tcPr>
          <w:p w14:paraId="3ADD853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1、项目由来</w:t>
            </w:r>
          </w:p>
          <w:p w14:paraId="6174AF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2004年8月，钦州市环境科学研究所编制完成《广西钦州港大榄坪1#散杂货泊位项目环境影响报告书》、《广西钦州港大榄坪2#散杂货泊位项目环境影响报告书》。2004年9月，原广西壮族自治区环境保护厅以“桂环管字〔2004〕309号及桂环管字〔2004〕308号”批复了环境影响报告书。</w:t>
            </w:r>
          </w:p>
          <w:p w14:paraId="049479F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2007年10月，钦州港大榄坪1#、2#泊位工程开工建设，2009年12月竣工并进行试生产。</w:t>
            </w:r>
          </w:p>
          <w:p w14:paraId="4E0632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2011年1月，原广西壮族自治区环境保护厅以（桂环验〔2011〕16号）通过钦州港大榄坪1#、2#泊位工程竣工环境保护验收。建设规模为7万吨（水工按10万设计）多用途泊位2个（保留改造成为集装箱泊位的条件），码头总长767m，设计年吞吐量为600万吨（集装箱75万TEU+件杂货40万吨），货种为白糖、钛矿、钢管等，不涉及危险品。码头岸线长767m，占地78hm</w:t>
            </w:r>
            <w:r>
              <w:rPr>
                <w:rFonts w:hint="default" w:ascii="Times New Roman" w:hAnsi="Times New Roman" w:eastAsia="宋体" w:cs="Times New Roman"/>
                <w:caps w:val="0"/>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rPr>
              <w:t>。建设内容主要有集装箱堆场、预留危险品堆场、件杂货堆场及港区道路等。</w:t>
            </w:r>
          </w:p>
          <w:p w14:paraId="427019D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2021年，大榄坪南作业区1#、2#泊位工程原运营单位广西钦州国际集装箱码头有限公司委托开展了《钦州港大榄坪南作业区1#</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2</w:t>
            </w:r>
            <w:r>
              <w:rPr>
                <w:rFonts w:hint="default" w:ascii="Times New Roman" w:hAnsi="Times New Roman" w:eastAsia="宋体" w:cs="Times New Roman"/>
                <w:caps w:val="0"/>
                <w:color w:val="auto"/>
                <w:sz w:val="24"/>
                <w:szCs w:val="24"/>
                <w:highlight w:val="none"/>
              </w:rPr>
              <w:t>#泊位新增危险货物集装箱项目环境影响报告书》编制工作，主要对码头新增危险货物集装箱作业、堆场及吞吐量变化开展影响分析论证，并于2021年10月获得钦州市生态环境局《关于钦州港大榄坪南作业区1#</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2</w:t>
            </w:r>
            <w:r>
              <w:rPr>
                <w:rFonts w:hint="default" w:ascii="Times New Roman" w:hAnsi="Times New Roman" w:eastAsia="宋体" w:cs="Times New Roman"/>
                <w:caps w:val="0"/>
                <w:color w:val="auto"/>
                <w:sz w:val="24"/>
                <w:szCs w:val="24"/>
                <w:highlight w:val="none"/>
              </w:rPr>
              <w:t>#泊位新增危险货物集装箱项目环境影响报告书的批复》（自贸钦港审批环﹝2021﹞9号）。2021年12月，该码头组织开展了自主验收会议，通过竣工环境保护验收。</w:t>
            </w:r>
          </w:p>
          <w:p w14:paraId="6975D2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2022年10月，</w:t>
            </w:r>
            <w:r>
              <w:rPr>
                <w:rFonts w:hint="default" w:ascii="Times New Roman" w:hAnsi="Times New Roman" w:eastAsia="宋体" w:cs="Times New Roman"/>
                <w:caps w:val="0"/>
                <w:color w:val="auto"/>
                <w:sz w:val="24"/>
                <w:szCs w:val="24"/>
                <w:highlight w:val="none"/>
              </w:rPr>
              <w:t>广西北部湾国际集装箱码头有限公司</w:t>
            </w:r>
            <w:r>
              <w:rPr>
                <w:rFonts w:hint="default" w:ascii="Times New Roman" w:hAnsi="Times New Roman" w:eastAsia="宋体" w:cs="Times New Roman"/>
                <w:caps w:val="0"/>
                <w:color w:val="auto"/>
                <w:sz w:val="24"/>
                <w:szCs w:val="24"/>
                <w:highlight w:val="none"/>
                <w:lang w:val="en-US" w:eastAsia="zh-CN"/>
              </w:rPr>
              <w:t>委托广西交科集团有限公司编制完成《钦州港大榄坪南作业区1#~6#泊位新增危险货物集装箱项目环境影响报告书》，并于2022年11月30日取得钦州市生态环境局的批复（批文号：自贸钦审批环〔2022〕47号）。根据调查，钦州港大榄坪南作业区1#~6#泊位新增危险货物集装箱项目未建设，未开展环境保护验收工作。</w:t>
            </w:r>
          </w:p>
          <w:p w14:paraId="5A62C90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lang w:val="en-US" w:eastAsia="zh-CN"/>
              </w:rPr>
              <w:t>202</w:t>
            </w:r>
            <w:r>
              <w:rPr>
                <w:rFonts w:hint="default" w:ascii="Times New Roman" w:hAnsi="Times New Roman" w:cs="Times New Roman"/>
                <w:caps w:val="0"/>
                <w:color w:val="auto"/>
                <w:sz w:val="24"/>
                <w:szCs w:val="24"/>
                <w:highlight w:val="none"/>
                <w:lang w:val="en-US" w:eastAsia="zh-CN"/>
              </w:rPr>
              <w:t>4</w:t>
            </w:r>
            <w:r>
              <w:rPr>
                <w:rFonts w:hint="default" w:ascii="Times New Roman" w:hAnsi="Times New Roman" w:eastAsia="宋体" w:cs="Times New Roman"/>
                <w:caps w:val="0"/>
                <w:color w:val="auto"/>
                <w:sz w:val="24"/>
                <w:szCs w:val="24"/>
                <w:highlight w:val="none"/>
                <w:lang w:val="en-US" w:eastAsia="zh-CN"/>
              </w:rPr>
              <w:t>年</w:t>
            </w:r>
            <w:r>
              <w:rPr>
                <w:rFonts w:hint="default" w:ascii="Times New Roman" w:hAnsi="Times New Roman" w:cs="Times New Roman"/>
                <w:caps w:val="0"/>
                <w:color w:val="auto"/>
                <w:sz w:val="24"/>
                <w:szCs w:val="24"/>
                <w:highlight w:val="none"/>
                <w:lang w:val="en-US" w:eastAsia="zh-CN"/>
              </w:rPr>
              <w:t>7</w:t>
            </w:r>
            <w:r>
              <w:rPr>
                <w:rFonts w:hint="default" w:ascii="Times New Roman" w:hAnsi="Times New Roman" w:eastAsia="宋体" w:cs="Times New Roman"/>
                <w:caps w:val="0"/>
                <w:color w:val="auto"/>
                <w:sz w:val="24"/>
                <w:szCs w:val="24"/>
                <w:highlight w:val="none"/>
                <w:lang w:val="en-US" w:eastAsia="zh-CN"/>
              </w:rPr>
              <w:t>月，</w:t>
            </w:r>
            <w:r>
              <w:rPr>
                <w:rFonts w:hint="default" w:ascii="Times New Roman" w:hAnsi="Times New Roman" w:eastAsia="宋体" w:cs="Times New Roman"/>
                <w:caps w:val="0"/>
                <w:color w:val="auto"/>
                <w:sz w:val="24"/>
                <w:szCs w:val="24"/>
                <w:highlight w:val="none"/>
              </w:rPr>
              <w:t>广西北部湾国际集装箱码头有限公司</w:t>
            </w:r>
            <w:r>
              <w:rPr>
                <w:rFonts w:hint="default" w:ascii="Times New Roman" w:hAnsi="Times New Roman" w:eastAsia="宋体" w:cs="Times New Roman"/>
                <w:caps w:val="0"/>
                <w:color w:val="auto"/>
                <w:sz w:val="24"/>
                <w:szCs w:val="24"/>
                <w:highlight w:val="none"/>
                <w:lang w:val="en-US" w:eastAsia="zh-CN"/>
              </w:rPr>
              <w:t>委托</w:t>
            </w:r>
            <w:r>
              <w:rPr>
                <w:rFonts w:hint="default" w:ascii="Times New Roman" w:hAnsi="Times New Roman" w:eastAsia="宋体" w:cs="Times New Roman"/>
                <w:caps w:val="0"/>
                <w:color w:val="auto"/>
                <w:sz w:val="24"/>
                <w:szCs w:val="24"/>
                <w:highlight w:val="none"/>
              </w:rPr>
              <w:t>广西中冠智合生态环境有限公司</w:t>
            </w:r>
            <w:r>
              <w:rPr>
                <w:rFonts w:hint="default" w:ascii="Times New Roman" w:hAnsi="Times New Roman" w:eastAsia="宋体" w:cs="Times New Roman"/>
                <w:caps w:val="0"/>
                <w:color w:val="auto"/>
                <w:sz w:val="24"/>
                <w:szCs w:val="24"/>
                <w:highlight w:val="none"/>
                <w:lang w:val="en-US" w:eastAsia="zh-CN"/>
              </w:rPr>
              <w:t>编制完成《</w:t>
            </w:r>
            <w:r>
              <w:rPr>
                <w:rFonts w:hint="default" w:ascii="Times New Roman" w:hAnsi="Times New Roman" w:eastAsia="宋体" w:cs="Times New Roman"/>
                <w:caps w:val="0"/>
                <w:color w:val="auto"/>
                <w:sz w:val="24"/>
                <w:szCs w:val="24"/>
                <w:highlight w:val="none"/>
              </w:rPr>
              <w:t>钦州港大榄坪南作业区1#-6#泊位新增危险货物集装箱项目（重大变动）</w:t>
            </w:r>
            <w:r>
              <w:rPr>
                <w:rFonts w:hint="default" w:ascii="Times New Roman" w:hAnsi="Times New Roman" w:eastAsia="宋体" w:cs="Times New Roman"/>
                <w:caps w:val="0"/>
                <w:color w:val="auto"/>
                <w:sz w:val="24"/>
                <w:szCs w:val="24"/>
                <w:highlight w:val="none"/>
                <w:lang w:val="en-US" w:eastAsia="zh-CN"/>
              </w:rPr>
              <w:t>》并于2024年7月31日取得钦州市生态环境局的批复（批文号：自贸钦审批环〔2024〕39号）。根据调查，</w:t>
            </w:r>
            <w:r>
              <w:rPr>
                <w:rFonts w:hint="default" w:ascii="Times New Roman" w:hAnsi="Times New Roman" w:cs="Times New Roman"/>
                <w:caps w:val="0"/>
                <w:color w:val="auto"/>
                <w:sz w:val="24"/>
                <w:szCs w:val="24"/>
                <w:highlight w:val="none"/>
                <w:lang w:val="en-US" w:eastAsia="zh-CN"/>
              </w:rPr>
              <w:t>已</w:t>
            </w:r>
            <w:r>
              <w:rPr>
                <w:rFonts w:hint="default" w:ascii="Times New Roman" w:hAnsi="Times New Roman" w:eastAsia="宋体" w:cs="Times New Roman"/>
                <w:caps w:val="0"/>
                <w:color w:val="auto"/>
                <w:sz w:val="24"/>
                <w:szCs w:val="24"/>
                <w:highlight w:val="none"/>
                <w:lang w:val="en-US" w:eastAsia="zh-CN"/>
              </w:rPr>
              <w:t>开展环境保护验收工作。</w:t>
            </w:r>
          </w:p>
          <w:p w14:paraId="41AD775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广西北部湾国际集装箱码头有限公司</w:t>
            </w:r>
            <w:r>
              <w:rPr>
                <w:rFonts w:hint="default" w:ascii="Times New Roman" w:hAnsi="Times New Roman" w:cs="Times New Roman"/>
                <w:caps w:val="0"/>
                <w:color w:val="auto"/>
                <w:sz w:val="24"/>
                <w:szCs w:val="24"/>
                <w:highlight w:val="none"/>
                <w:lang w:val="en-US" w:eastAsia="zh-CN"/>
              </w:rPr>
              <w:t>码头</w:t>
            </w:r>
            <w:r>
              <w:rPr>
                <w:rFonts w:hint="default" w:ascii="Times New Roman" w:hAnsi="Times New Roman" w:eastAsia="宋体" w:cs="Times New Roman"/>
                <w:caps w:val="0"/>
                <w:color w:val="auto"/>
                <w:sz w:val="24"/>
                <w:szCs w:val="24"/>
                <w:highlight w:val="none"/>
                <w:lang w:val="en-US" w:eastAsia="zh-CN"/>
              </w:rPr>
              <w:t>转运过程中会出现集装箱破损的情况，导致货品无法正常出港。为就近修补码头转运过程产生的破损集装箱，拟在码头区域内</w:t>
            </w:r>
            <w:r>
              <w:rPr>
                <w:rFonts w:hint="default" w:ascii="Times New Roman" w:hAnsi="Times New Roman" w:cs="Times New Roman"/>
                <w:caps w:val="0"/>
                <w:color w:val="auto"/>
                <w:sz w:val="24"/>
                <w:szCs w:val="24"/>
                <w:highlight w:val="none"/>
                <w:lang w:val="en-US" w:eastAsia="zh-CN"/>
              </w:rPr>
              <w:t>配套</w:t>
            </w:r>
            <w:r>
              <w:rPr>
                <w:rFonts w:hint="default" w:ascii="Times New Roman" w:hAnsi="Times New Roman" w:eastAsia="宋体" w:cs="Times New Roman"/>
                <w:caps w:val="0"/>
                <w:color w:val="auto"/>
                <w:sz w:val="24"/>
                <w:szCs w:val="24"/>
                <w:highlight w:val="none"/>
                <w:lang w:val="en-US" w:eastAsia="zh-CN"/>
              </w:rPr>
              <w:t>建设广西北部湾国际集装箱码头有限公司集装箱修理项目，</w:t>
            </w:r>
            <w:r>
              <w:rPr>
                <w:rFonts w:hint="eastAsia" w:cs="Times New Roman"/>
                <w:caps w:val="0"/>
                <w:color w:val="auto"/>
                <w:sz w:val="24"/>
                <w:szCs w:val="24"/>
                <w:highlight w:val="none"/>
                <w:lang w:val="en-US" w:eastAsia="zh-CN"/>
              </w:rPr>
              <w:t>本项目用地为现有码头项目的维修车间，本项目建成后，</w:t>
            </w:r>
            <w:r>
              <w:rPr>
                <w:rFonts w:hint="default" w:ascii="Times New Roman" w:hAnsi="Times New Roman" w:eastAsia="宋体" w:cs="Times New Roman"/>
                <w:caps w:val="0"/>
                <w:color w:val="auto"/>
                <w:sz w:val="24"/>
                <w:szCs w:val="24"/>
                <w:highlight w:val="none"/>
                <w:lang w:val="en-US" w:eastAsia="zh-CN"/>
              </w:rPr>
              <w:t>年修理集装箱约为18000个，配套建设修箱区、放箱区、验箱区</w:t>
            </w:r>
            <w:r>
              <w:rPr>
                <w:rFonts w:hint="default" w:ascii="Times New Roman" w:hAnsi="Times New Roman" w:cs="Times New Roman"/>
                <w:color w:val="auto"/>
                <w:sz w:val="24"/>
                <w:highlight w:val="none"/>
              </w:rPr>
              <w:t>及其他公用工程、环保工程等</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olor w:val="auto"/>
                <w:sz w:val="24"/>
                <w:szCs w:val="24"/>
                <w:highlight w:val="none"/>
                <w:u w:val="single"/>
                <w:lang w:val="en-US" w:eastAsia="zh-CN"/>
              </w:rPr>
              <w:t>本项目建成主要服务</w:t>
            </w:r>
            <w:r>
              <w:rPr>
                <w:rFonts w:hint="default" w:ascii="Times New Roman" w:hAnsi="Times New Roman" w:cs="Times New Roman"/>
                <w:color w:val="auto"/>
                <w:sz w:val="24"/>
                <w:szCs w:val="24"/>
                <w:highlight w:val="none"/>
                <w:u w:val="single"/>
                <w:lang w:val="en-US" w:eastAsia="zh-CN"/>
              </w:rPr>
              <w:t>广西北部湾国际集装箱码头有限公司</w:t>
            </w:r>
            <w:r>
              <w:rPr>
                <w:rFonts w:hint="eastAsia" w:ascii="Times New Roman" w:hAnsi="Times New Roman" w:cs="Times New Roman"/>
                <w:color w:val="auto"/>
                <w:sz w:val="24"/>
                <w:szCs w:val="24"/>
                <w:highlight w:val="none"/>
                <w:u w:val="single"/>
                <w:lang w:val="en-US" w:eastAsia="zh-CN"/>
              </w:rPr>
              <w:t>码头内进出港的集装箱</w:t>
            </w:r>
            <w:r>
              <w:rPr>
                <w:rFonts w:hint="eastAsia" w:cs="Times New Roman"/>
                <w:color w:val="auto"/>
                <w:sz w:val="24"/>
                <w:szCs w:val="24"/>
                <w:highlight w:val="none"/>
                <w:u w:val="single"/>
                <w:lang w:val="en-US" w:eastAsia="zh-CN"/>
              </w:rPr>
              <w:t>，</w:t>
            </w:r>
            <w:r>
              <w:rPr>
                <w:rFonts w:hint="eastAsia" w:ascii="Times New Roman" w:hAnsi="Times New Roman" w:cs="Times New Roman"/>
                <w:color w:val="auto"/>
                <w:sz w:val="24"/>
                <w:szCs w:val="24"/>
                <w:highlight w:val="none"/>
                <w:u w:val="single"/>
                <w:lang w:val="en-US" w:eastAsia="zh-CN"/>
              </w:rPr>
              <w:t>不对集装箱进行前处理，仅进行修理</w:t>
            </w:r>
            <w:r>
              <w:rPr>
                <w:rFonts w:hint="eastAsia" w:cs="Times New Roman"/>
                <w:color w:val="auto"/>
                <w:sz w:val="24"/>
                <w:szCs w:val="24"/>
                <w:highlight w:val="none"/>
                <w:u w:val="single"/>
                <w:lang w:val="en-US" w:eastAsia="zh-CN"/>
              </w:rPr>
              <w:t>一般进行装载普通货物的集装箱进行修理，若遇装载</w:t>
            </w:r>
            <w:r>
              <w:rPr>
                <w:rFonts w:hint="eastAsia" w:ascii="Times New Roman" w:hAnsi="Times New Roman" w:cs="Times New Roman"/>
                <w:color w:val="auto"/>
                <w:sz w:val="24"/>
                <w:szCs w:val="24"/>
                <w:highlight w:val="none"/>
                <w:u w:val="single"/>
                <w:lang w:val="en-US" w:eastAsia="zh-CN"/>
              </w:rPr>
              <w:t>危险化学品、危险废物</w:t>
            </w:r>
            <w:r>
              <w:rPr>
                <w:rFonts w:hint="eastAsia" w:cs="Times New Roman"/>
                <w:color w:val="auto"/>
                <w:sz w:val="24"/>
                <w:szCs w:val="24"/>
                <w:highlight w:val="none"/>
                <w:u w:val="single"/>
                <w:lang w:val="en-US" w:eastAsia="zh-CN"/>
              </w:rPr>
              <w:t>的破损集装箱，需进行处理后，保证无</w:t>
            </w:r>
            <w:r>
              <w:rPr>
                <w:rFonts w:hint="eastAsia" w:ascii="Times New Roman" w:hAnsi="Times New Roman" w:cs="Times New Roman"/>
                <w:color w:val="auto"/>
                <w:sz w:val="24"/>
                <w:szCs w:val="24"/>
                <w:highlight w:val="none"/>
                <w:u w:val="single"/>
                <w:lang w:val="en-US" w:eastAsia="zh-CN"/>
              </w:rPr>
              <w:t>危险化学品、危险废物</w:t>
            </w:r>
            <w:r>
              <w:rPr>
                <w:rFonts w:hint="eastAsia" w:cs="Times New Roman"/>
                <w:color w:val="auto"/>
                <w:sz w:val="24"/>
                <w:szCs w:val="24"/>
                <w:highlight w:val="none"/>
                <w:u w:val="single"/>
                <w:lang w:val="en-US" w:eastAsia="zh-CN"/>
              </w:rPr>
              <w:t>的沾染方可送修</w:t>
            </w:r>
            <w:r>
              <w:rPr>
                <w:rFonts w:hint="eastAsia" w:ascii="Times New Roman" w:hAnsi="Times New Roman" w:cs="Times New Roman"/>
                <w:color w:val="auto"/>
                <w:sz w:val="24"/>
                <w:szCs w:val="24"/>
                <w:highlight w:val="none"/>
                <w:u w:val="single"/>
                <w:lang w:val="en-US" w:eastAsia="zh-CN"/>
              </w:rPr>
              <w:t>。</w:t>
            </w:r>
          </w:p>
          <w:p w14:paraId="7FC4716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根据《中华人民共和国环境保护法》和《中华人民共和国环境影响评价法》等有关法律法规以及《建设项目环境影响评价分类管理名录》（2021年版），项目属于“</w:t>
            </w:r>
            <w:r>
              <w:rPr>
                <w:rFonts w:hint="default" w:ascii="Times New Roman" w:hAnsi="Times New Roman" w:cs="Times New Roman"/>
                <w:color w:val="auto"/>
                <w:sz w:val="24"/>
                <w:szCs w:val="24"/>
                <w:highlight w:val="none"/>
                <w:lang w:eastAsia="zh-CN"/>
              </w:rPr>
              <w:t>四十、</w:t>
            </w:r>
            <w:r>
              <w:rPr>
                <w:rFonts w:hint="default" w:ascii="Times New Roman" w:hAnsi="Times New Roman" w:cs="Times New Roman"/>
                <w:color w:val="auto"/>
                <w:sz w:val="24"/>
                <w:szCs w:val="24"/>
                <w:highlight w:val="none"/>
                <w:lang w:val="en-US" w:eastAsia="zh-CN"/>
              </w:rPr>
              <w:t>金属制品、机械和设备修理业43-</w:t>
            </w:r>
            <w:r>
              <w:rPr>
                <w:rFonts w:hint="default" w:ascii="Times New Roman" w:hAnsi="Times New Roman" w:cs="Times New Roman"/>
                <w:color w:val="auto"/>
                <w:sz w:val="24"/>
                <w:szCs w:val="24"/>
                <w:highlight w:val="none"/>
                <w:lang w:eastAsia="zh-CN"/>
              </w:rPr>
              <w:t>86、金属制品修理431</w:t>
            </w:r>
            <w:r>
              <w:rPr>
                <w:rFonts w:hint="default" w:ascii="Times New Roman" w:hAnsi="Times New Roman" w:eastAsia="宋体" w:cs="Times New Roman"/>
                <w:b w:val="0"/>
                <w:bCs w:val="0"/>
                <w:color w:val="auto"/>
                <w:sz w:val="24"/>
                <w:szCs w:val="24"/>
                <w:highlight w:val="none"/>
                <w:lang w:val="en-US" w:eastAsia="zh-CN"/>
              </w:rPr>
              <w:t>”，应该编制环境影响报告表。</w:t>
            </w:r>
          </w:p>
          <w:p w14:paraId="46274D5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、项目概况</w:t>
            </w:r>
          </w:p>
          <w:p w14:paraId="5203A3A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项目名称：</w:t>
            </w:r>
            <w:r>
              <w:rPr>
                <w:rFonts w:hint="default" w:ascii="Times New Roman" w:hAnsi="Times New Roman" w:cs="Times New Roman"/>
                <w:b w:val="0"/>
                <w:bCs w:val="0"/>
                <w:color w:val="auto"/>
                <w:sz w:val="24"/>
                <w:szCs w:val="24"/>
                <w:highlight w:val="none"/>
                <w:lang w:val="en-US" w:eastAsia="zh-CN"/>
              </w:rPr>
              <w:t>广西北部湾国际集装箱码头有限公司集装箱修理项目</w:t>
            </w:r>
          </w:p>
          <w:p w14:paraId="20E5BA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highlight w:val="none"/>
              </w:rPr>
              <w:t>建设单位：</w:t>
            </w:r>
            <w:r>
              <w:rPr>
                <w:rFonts w:hint="default" w:ascii="Times New Roman" w:hAnsi="Times New Roman" w:cs="Times New Roman"/>
                <w:b w:val="0"/>
                <w:bCs w:val="0"/>
                <w:color w:val="auto"/>
                <w:sz w:val="24"/>
                <w:szCs w:val="24"/>
                <w:highlight w:val="none"/>
                <w:lang w:val="en-US" w:eastAsia="zh-CN"/>
              </w:rPr>
              <w:t>广西北部湾国际集装箱码头有限公司</w:t>
            </w:r>
          </w:p>
          <w:p w14:paraId="5910B29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建设性质：</w:t>
            </w:r>
            <w:r>
              <w:rPr>
                <w:rFonts w:hint="eastAsia" w:cs="Times New Roman"/>
                <w:color w:val="auto"/>
                <w:kern w:val="0"/>
                <w:sz w:val="24"/>
                <w:highlight w:val="none"/>
                <w:lang w:val="en-US" w:eastAsia="zh-CN"/>
              </w:rPr>
              <w:t>改、扩</w:t>
            </w:r>
            <w:r>
              <w:rPr>
                <w:rFonts w:hint="default" w:ascii="Times New Roman" w:hAnsi="Times New Roman" w:cs="Times New Roman"/>
                <w:color w:val="auto"/>
                <w:kern w:val="0"/>
                <w:sz w:val="24"/>
                <w:highlight w:val="none"/>
                <w:lang w:eastAsia="zh-CN"/>
              </w:rPr>
              <w:t>建</w:t>
            </w:r>
          </w:p>
          <w:p w14:paraId="201D24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strike w:val="0"/>
                <w:dstrike w:val="0"/>
                <w:color w:val="auto"/>
                <w:sz w:val="24"/>
                <w:highlight w:val="none"/>
                <w:u w:val="none"/>
                <w:lang w:eastAsia="zh-CN"/>
              </w:rPr>
            </w:pPr>
            <w:r>
              <w:rPr>
                <w:rFonts w:hint="default" w:ascii="Times New Roman" w:hAnsi="Times New Roman" w:eastAsia="宋体" w:cs="Times New Roman"/>
                <w:color w:val="auto"/>
                <w:kern w:val="0"/>
                <w:sz w:val="24"/>
                <w:highlight w:val="none"/>
              </w:rPr>
              <w:t>项目地址：</w:t>
            </w:r>
            <w:r>
              <w:rPr>
                <w:rFonts w:hint="default" w:ascii="Times New Roman" w:hAnsi="Times New Roman" w:cs="Times New Roman"/>
                <w:strike w:val="0"/>
                <w:dstrike w:val="0"/>
                <w:color w:val="auto"/>
                <w:sz w:val="24"/>
                <w:szCs w:val="24"/>
                <w:highlight w:val="none"/>
                <w:u w:val="none"/>
                <w:lang w:val="en-US" w:eastAsia="zh-CN"/>
              </w:rPr>
              <w:t>广西北部湾国际集装箱码头有限公司大榄坪南作业区5号泊位后方堆场</w:t>
            </w:r>
            <w:r>
              <w:rPr>
                <w:rFonts w:hint="default" w:ascii="Times New Roman" w:hAnsi="Times New Roman" w:cs="Times New Roman"/>
                <w:strike w:val="0"/>
                <w:dstrike w:val="0"/>
                <w:color w:val="auto"/>
                <w:sz w:val="24"/>
                <w:szCs w:val="24"/>
                <w:highlight w:val="none"/>
                <w:u w:val="none"/>
                <w:lang w:eastAsia="zh-CN"/>
              </w:rPr>
              <w:t>内</w:t>
            </w:r>
          </w:p>
          <w:p w14:paraId="337F00B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rPr>
              <w:t>占地面积：</w:t>
            </w:r>
            <w:r>
              <w:rPr>
                <w:rFonts w:hint="default" w:ascii="Times New Roman" w:hAnsi="Times New Roman" w:cs="Times New Roman"/>
                <w:color w:val="auto"/>
                <w:sz w:val="24"/>
                <w:szCs w:val="24"/>
                <w:highlight w:val="none"/>
                <w:lang w:val="en-US" w:eastAsia="zh-CN"/>
              </w:rPr>
              <w:t>15000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olor w:val="auto"/>
                <w:kern w:val="0"/>
                <w:sz w:val="24"/>
                <w:highlight w:val="none"/>
              </w:rPr>
              <w:t>建筑面积：</w:t>
            </w:r>
            <w:r>
              <w:rPr>
                <w:rFonts w:hint="eastAsia" w:cs="Times New Roman"/>
                <w:color w:val="auto"/>
                <w:sz w:val="24"/>
                <w:szCs w:val="24"/>
                <w:highlight w:val="none"/>
                <w:lang w:val="en-US" w:eastAsia="zh-CN"/>
              </w:rPr>
              <w:t>1500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利用现有厂房为维修车间厂房</w:t>
            </w:r>
            <w:r>
              <w:rPr>
                <w:rFonts w:hint="default" w:ascii="Times New Roman" w:hAnsi="Times New Roman" w:cs="Times New Roman"/>
                <w:color w:val="auto"/>
                <w:sz w:val="24"/>
                <w:szCs w:val="24"/>
                <w:highlight w:val="none"/>
              </w:rPr>
              <w:t>。</w:t>
            </w:r>
          </w:p>
          <w:p w14:paraId="48A28DA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color w:val="auto"/>
                <w:kern w:val="0"/>
                <w:sz w:val="24"/>
                <w:highlight w:val="none"/>
              </w:rPr>
              <w:t>项目总投资：</w:t>
            </w:r>
            <w:r>
              <w:rPr>
                <w:rFonts w:hint="default" w:ascii="Times New Roman" w:hAnsi="Times New Roman" w:cs="Times New Roman"/>
                <w:color w:val="auto"/>
                <w:sz w:val="24"/>
                <w:szCs w:val="24"/>
                <w:highlight w:val="none"/>
                <w:lang w:val="en-US" w:eastAsia="zh-CN"/>
              </w:rPr>
              <w:t>200</w:t>
            </w:r>
            <w:r>
              <w:rPr>
                <w:rFonts w:hint="default" w:ascii="Times New Roman" w:hAnsi="Times New Roman" w:eastAsia="宋体" w:cs="Times New Roman"/>
                <w:color w:val="auto"/>
                <w:sz w:val="24"/>
                <w:highlight w:val="none"/>
              </w:rPr>
              <w:t>万元人民币</w:t>
            </w:r>
          </w:p>
          <w:p w14:paraId="77A57BB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、项目工程内容</w:t>
            </w:r>
          </w:p>
          <w:p w14:paraId="20A41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eastAsia="宋体" w:cs="Times New Roman"/>
                <w:caps w:val="0"/>
                <w:color w:val="auto"/>
                <w:sz w:val="24"/>
                <w:szCs w:val="24"/>
                <w:highlight w:val="none"/>
                <w:u w:val="single"/>
                <w:lang w:val="en-US" w:eastAsia="zh-CN"/>
              </w:rPr>
              <w:t>本项目占地面积15000m</w:t>
            </w:r>
            <w:r>
              <w:rPr>
                <w:rFonts w:hint="default" w:ascii="Times New Roman" w:hAnsi="Times New Roman" w:eastAsia="宋体" w:cs="Times New Roman"/>
                <w:caps w:val="0"/>
                <w:color w:val="auto"/>
                <w:sz w:val="24"/>
                <w:szCs w:val="24"/>
                <w:highlight w:val="none"/>
                <w:u w:val="single"/>
                <w:vertAlign w:val="superscript"/>
                <w:lang w:val="en-US" w:eastAsia="zh-CN"/>
              </w:rPr>
              <w:t>2</w:t>
            </w:r>
            <w:r>
              <w:rPr>
                <w:rFonts w:hint="default" w:ascii="Times New Roman" w:hAnsi="Times New Roman" w:eastAsia="宋体" w:cs="Times New Roman"/>
                <w:caps w:val="0"/>
                <w:color w:val="auto"/>
                <w:sz w:val="24"/>
                <w:szCs w:val="24"/>
                <w:highlight w:val="none"/>
                <w:u w:val="single"/>
                <w:lang w:val="en-US" w:eastAsia="zh-CN"/>
              </w:rPr>
              <w:t>，建筑面积</w:t>
            </w:r>
            <w:r>
              <w:rPr>
                <w:rFonts w:hint="eastAsia" w:cs="Times New Roman"/>
                <w:caps w:val="0"/>
                <w:color w:val="auto"/>
                <w:sz w:val="24"/>
                <w:szCs w:val="24"/>
                <w:highlight w:val="none"/>
                <w:u w:val="single"/>
                <w:lang w:val="en-US" w:eastAsia="zh-CN"/>
              </w:rPr>
              <w:t>15</w:t>
            </w:r>
            <w:r>
              <w:rPr>
                <w:rFonts w:hint="default" w:ascii="Times New Roman" w:hAnsi="Times New Roman" w:eastAsia="宋体" w:cs="Times New Roman"/>
                <w:caps w:val="0"/>
                <w:color w:val="auto"/>
                <w:sz w:val="24"/>
                <w:szCs w:val="24"/>
                <w:highlight w:val="none"/>
                <w:u w:val="single"/>
                <w:lang w:val="en-US" w:eastAsia="zh-CN"/>
              </w:rPr>
              <w:t>00m</w:t>
            </w:r>
            <w:r>
              <w:rPr>
                <w:rFonts w:hint="default" w:ascii="Times New Roman" w:hAnsi="Times New Roman" w:eastAsia="宋体" w:cs="Times New Roman"/>
                <w:caps w:val="0"/>
                <w:color w:val="auto"/>
                <w:sz w:val="24"/>
                <w:szCs w:val="24"/>
                <w:highlight w:val="none"/>
                <w:u w:val="single"/>
                <w:vertAlign w:val="superscript"/>
                <w:lang w:val="en-US" w:eastAsia="zh-CN"/>
              </w:rPr>
              <w:t>2</w:t>
            </w:r>
            <w:r>
              <w:rPr>
                <w:rFonts w:hint="default" w:ascii="Times New Roman" w:hAnsi="Times New Roman" w:eastAsia="宋体" w:cs="Times New Roman"/>
                <w:caps w:val="0"/>
                <w:color w:val="auto"/>
                <w:sz w:val="24"/>
                <w:szCs w:val="24"/>
                <w:highlight w:val="none"/>
                <w:u w:val="single"/>
                <w:lang w:val="en-US" w:eastAsia="zh-CN"/>
              </w:rPr>
              <w:t>，年修理集装箱约为18000个，</w:t>
            </w:r>
            <w:r>
              <w:rPr>
                <w:rFonts w:hint="eastAsia" w:cs="Times New Roman"/>
                <w:caps w:val="0"/>
                <w:color w:val="auto"/>
                <w:sz w:val="24"/>
                <w:szCs w:val="24"/>
                <w:highlight w:val="none"/>
                <w:u w:val="single"/>
                <w:lang w:val="en-US" w:eastAsia="zh-CN"/>
              </w:rPr>
              <w:t>涉及刷漆的集装箱约10%，约1800个，</w:t>
            </w:r>
            <w:r>
              <w:rPr>
                <w:rFonts w:hint="eastAsia" w:ascii="Times New Roman" w:hAnsi="Times New Roman" w:cs="Times New Roman"/>
                <w:color w:val="auto"/>
                <w:kern w:val="2"/>
                <w:sz w:val="24"/>
                <w:szCs w:val="24"/>
                <w:highlight w:val="none"/>
                <w:u w:val="single"/>
                <w:lang w:val="en-US" w:eastAsia="zh-CN" w:bidi="ar-SA"/>
              </w:rPr>
              <w:t>刷漆</w:t>
            </w:r>
            <w:r>
              <w:rPr>
                <w:rFonts w:hint="default" w:ascii="Times New Roman" w:hAnsi="Times New Roman" w:eastAsia="宋体" w:cs="Times New Roman"/>
                <w:color w:val="auto"/>
                <w:kern w:val="2"/>
                <w:sz w:val="24"/>
                <w:szCs w:val="24"/>
                <w:highlight w:val="none"/>
                <w:u w:val="single"/>
                <w:lang w:val="en-US" w:eastAsia="zh-CN" w:bidi="ar-SA"/>
              </w:rPr>
              <w:t>修箱车间</w:t>
            </w:r>
            <w:r>
              <w:rPr>
                <w:rFonts w:hint="eastAsia" w:cs="Times New Roman"/>
                <w:color w:val="auto"/>
                <w:kern w:val="2"/>
                <w:sz w:val="24"/>
                <w:szCs w:val="24"/>
                <w:highlight w:val="none"/>
                <w:u w:val="single"/>
                <w:lang w:val="en-US" w:eastAsia="zh-CN" w:bidi="ar-SA"/>
              </w:rPr>
              <w:t>30</w:t>
            </w:r>
            <w:r>
              <w:rPr>
                <w:rFonts w:hint="default" w:ascii="Times New Roman" w:hAnsi="Times New Roman" w:cs="Times New Roman"/>
                <w:color w:val="auto"/>
                <w:kern w:val="2"/>
                <w:sz w:val="24"/>
                <w:szCs w:val="24"/>
                <w:highlight w:val="none"/>
                <w:u w:val="single"/>
                <w:lang w:val="en-US" w:eastAsia="zh-CN" w:bidi="ar-SA"/>
              </w:rPr>
              <w:t>0</w:t>
            </w:r>
            <w:r>
              <w:rPr>
                <w:rFonts w:hint="default" w:ascii="Times New Roman" w:hAnsi="Times New Roman" w:eastAsia="宋体"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w:t>
            </w:r>
            <w:r>
              <w:rPr>
                <w:rFonts w:hint="eastAsia" w:ascii="Times New Roman" w:hAnsi="Times New Roman" w:cs="Times New Roman"/>
                <w:color w:val="auto"/>
                <w:kern w:val="2"/>
                <w:sz w:val="24"/>
                <w:szCs w:val="24"/>
                <w:highlight w:val="none"/>
                <w:u w:val="single"/>
                <w:lang w:val="en-US" w:eastAsia="zh-CN" w:bidi="ar-SA"/>
              </w:rPr>
              <w:t>15</w:t>
            </w:r>
            <w:r>
              <w:rPr>
                <w:rFonts w:hint="default" w:ascii="Times New Roman" w:hAnsi="Times New Roman" w:eastAsia="宋体" w:cs="Times New Roman"/>
                <w:color w:val="auto"/>
                <w:kern w:val="2"/>
                <w:sz w:val="24"/>
                <w:szCs w:val="24"/>
                <w:highlight w:val="none"/>
                <w:u w:val="single"/>
                <w:lang w:val="en-US" w:eastAsia="zh-CN" w:bidi="ar-SA"/>
              </w:rPr>
              <w:t>m×</w:t>
            </w:r>
            <w:r>
              <w:rPr>
                <w:rFonts w:hint="eastAsia" w:cs="Times New Roman"/>
                <w:color w:val="auto"/>
                <w:kern w:val="2"/>
                <w:sz w:val="24"/>
                <w:szCs w:val="24"/>
                <w:highlight w:val="none"/>
                <w:u w:val="single"/>
                <w:lang w:val="en-US" w:eastAsia="zh-CN" w:bidi="ar-SA"/>
              </w:rPr>
              <w:t>20</w:t>
            </w:r>
            <w:r>
              <w:rPr>
                <w:rFonts w:hint="default" w:ascii="Times New Roman" w:hAnsi="Times New Roman" w:eastAsia="宋体" w:cs="Times New Roman"/>
                <w:color w:val="auto"/>
                <w:kern w:val="2"/>
                <w:sz w:val="24"/>
                <w:szCs w:val="24"/>
                <w:highlight w:val="none"/>
                <w:u w:val="single"/>
                <w:lang w:val="en-US" w:eastAsia="zh-CN" w:bidi="ar-SA"/>
              </w:rPr>
              <w:t>m），高4.5m，</w:t>
            </w:r>
            <w:r>
              <w:rPr>
                <w:rFonts w:hint="eastAsia" w:ascii="Times New Roman" w:hAnsi="Times New Roman" w:cs="Times New Roman"/>
                <w:color w:val="auto"/>
                <w:kern w:val="2"/>
                <w:sz w:val="24"/>
                <w:szCs w:val="24"/>
                <w:highlight w:val="none"/>
                <w:u w:val="single"/>
                <w:lang w:val="en-US" w:eastAsia="zh-CN" w:bidi="ar-SA"/>
              </w:rPr>
              <w:t>最多可同时修理</w:t>
            </w:r>
            <w:r>
              <w:rPr>
                <w:rFonts w:hint="eastAsia" w:cs="Times New Roman"/>
                <w:color w:val="auto"/>
                <w:kern w:val="2"/>
                <w:sz w:val="24"/>
                <w:szCs w:val="24"/>
                <w:highlight w:val="none"/>
                <w:u w:val="single"/>
                <w:lang w:val="en-US" w:eastAsia="zh-CN" w:bidi="ar-SA"/>
              </w:rPr>
              <w:t>6</w:t>
            </w:r>
            <w:r>
              <w:rPr>
                <w:rFonts w:hint="eastAsia" w:ascii="Times New Roman" w:hAnsi="Times New Roman" w:cs="Times New Roman"/>
                <w:color w:val="auto"/>
                <w:kern w:val="2"/>
                <w:sz w:val="24"/>
                <w:szCs w:val="24"/>
                <w:highlight w:val="none"/>
                <w:u w:val="single"/>
                <w:lang w:val="en-US" w:eastAsia="zh-CN" w:bidi="ar-SA"/>
              </w:rPr>
              <w:t>个集装箱，刷漆及晾干需在刷修箱车间放置1天，每年可对</w:t>
            </w:r>
            <w:r>
              <w:rPr>
                <w:rFonts w:hint="eastAsia" w:cs="Times New Roman"/>
                <w:color w:val="auto"/>
                <w:kern w:val="2"/>
                <w:sz w:val="24"/>
                <w:szCs w:val="24"/>
                <w:highlight w:val="none"/>
                <w:u w:val="single"/>
                <w:lang w:val="en-US" w:eastAsia="zh-CN" w:bidi="ar-SA"/>
              </w:rPr>
              <w:t>1980</w:t>
            </w:r>
            <w:r>
              <w:rPr>
                <w:rFonts w:hint="eastAsia" w:ascii="Times New Roman" w:hAnsi="Times New Roman" w:cs="Times New Roman"/>
                <w:color w:val="auto"/>
                <w:kern w:val="2"/>
                <w:sz w:val="24"/>
                <w:szCs w:val="24"/>
                <w:highlight w:val="none"/>
                <w:u w:val="single"/>
                <w:lang w:val="en-US" w:eastAsia="zh-CN" w:bidi="ar-SA"/>
              </w:rPr>
              <w:t>个集装箱进行刷漆</w:t>
            </w:r>
            <w:r>
              <w:rPr>
                <w:rFonts w:hint="eastAsia" w:cs="Times New Roman"/>
                <w:color w:val="auto"/>
                <w:kern w:val="2"/>
                <w:sz w:val="24"/>
                <w:szCs w:val="24"/>
                <w:highlight w:val="none"/>
                <w:u w:val="single"/>
                <w:lang w:val="en-US" w:eastAsia="zh-CN" w:bidi="ar-SA"/>
              </w:rPr>
              <w:t>，则刷漆修箱车间可轮转本项目所需刷漆的集装箱</w:t>
            </w:r>
            <w:r>
              <w:rPr>
                <w:rFonts w:hint="eastAsia" w:ascii="Times New Roman" w:hAnsi="Times New Roman" w:cs="Times New Roman"/>
                <w:color w:val="auto"/>
                <w:kern w:val="2"/>
                <w:sz w:val="24"/>
                <w:szCs w:val="24"/>
                <w:highlight w:val="none"/>
                <w:u w:val="single"/>
                <w:lang w:val="en-US" w:eastAsia="zh-CN" w:bidi="ar-SA"/>
              </w:rPr>
              <w:t>。</w:t>
            </w:r>
            <w:r>
              <w:rPr>
                <w:rFonts w:hint="default" w:ascii="Times New Roman" w:hAnsi="Times New Roman" w:eastAsia="宋体" w:cs="Times New Roman"/>
                <w:color w:val="auto"/>
                <w:kern w:val="2"/>
                <w:sz w:val="24"/>
                <w:szCs w:val="24"/>
                <w:highlight w:val="none"/>
                <w:u w:val="single"/>
                <w:lang w:val="en-US" w:eastAsia="zh-CN" w:bidi="ar-SA"/>
              </w:rPr>
              <w:t>40尺大箱表面积为126.72m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，20尺小箱表面积为69.12m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，年修箱330天，单个标箱补漆面积约</w:t>
            </w:r>
            <w:r>
              <w:rPr>
                <w:rFonts w:hint="eastAsia" w:cs="Times New Roman"/>
                <w:color w:val="auto"/>
                <w:kern w:val="2"/>
                <w:sz w:val="24"/>
                <w:szCs w:val="24"/>
                <w:highlight w:val="none"/>
                <w:u w:val="single"/>
                <w:lang w:val="en-US" w:eastAsia="zh-CN" w:bidi="ar-SA"/>
              </w:rPr>
              <w:t>2.5</w:t>
            </w:r>
            <w:r>
              <w:rPr>
                <w:rFonts w:hint="default" w:ascii="Times New Roman" w:hAnsi="Times New Roman"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，占标箱总表面积的</w:t>
            </w:r>
            <w:r>
              <w:rPr>
                <w:rFonts w:hint="eastAsia" w:cs="Times New Roman"/>
                <w:color w:val="auto"/>
                <w:kern w:val="2"/>
                <w:sz w:val="24"/>
                <w:szCs w:val="24"/>
                <w:highlight w:val="none"/>
                <w:u w:val="single"/>
                <w:lang w:val="en-US" w:eastAsia="zh-CN" w:bidi="ar-SA"/>
              </w:rPr>
              <w:t>3.62</w:t>
            </w:r>
            <w:r>
              <w:rPr>
                <w:rFonts w:hint="default" w:ascii="Times New Roman" w:hAnsi="Times New Roman" w:cs="Times New Roman"/>
                <w:color w:val="auto"/>
                <w:kern w:val="2"/>
                <w:sz w:val="24"/>
                <w:szCs w:val="24"/>
                <w:highlight w:val="none"/>
                <w:u w:val="single"/>
                <w:lang w:val="en-US" w:eastAsia="zh-CN" w:bidi="ar-SA"/>
              </w:rPr>
              <w:t>%</w:t>
            </w:r>
            <w:r>
              <w:rPr>
                <w:rFonts w:hint="default" w:ascii="Times New Roman" w:hAnsi="Times New Roman" w:eastAsia="宋体" w:cs="Times New Roman"/>
                <w:color w:val="auto"/>
                <w:kern w:val="2"/>
                <w:sz w:val="24"/>
                <w:szCs w:val="24"/>
                <w:highlight w:val="none"/>
                <w:u w:val="single"/>
                <w:lang w:val="en-US" w:eastAsia="zh-CN" w:bidi="ar-SA"/>
              </w:rPr>
              <w:t>（比表面积69.12m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），每</w:t>
            </w:r>
            <w:r>
              <w:rPr>
                <w:rFonts w:hint="eastAsia" w:cs="Times New Roman"/>
                <w:color w:val="auto"/>
                <w:kern w:val="2"/>
                <w:sz w:val="24"/>
                <w:szCs w:val="24"/>
                <w:highlight w:val="none"/>
                <w:u w:val="single"/>
                <w:lang w:val="en-US" w:eastAsia="zh-CN" w:bidi="ar-SA"/>
              </w:rPr>
              <w:t>年涉及刷漆的集装箱约</w:t>
            </w:r>
            <w:r>
              <w:rPr>
                <w:rFonts w:hint="eastAsia" w:cs="Times New Roman"/>
                <w:caps w:val="0"/>
                <w:color w:val="auto"/>
                <w:sz w:val="24"/>
                <w:szCs w:val="24"/>
                <w:highlight w:val="none"/>
                <w:u w:val="single"/>
                <w:lang w:val="en-US" w:eastAsia="zh-CN"/>
              </w:rPr>
              <w:t>1800个</w:t>
            </w:r>
            <w:r>
              <w:rPr>
                <w:rFonts w:hint="default" w:ascii="Times New Roman" w:hAnsi="Times New Roman" w:eastAsia="宋体" w:cs="Times New Roman"/>
                <w:color w:val="auto"/>
                <w:kern w:val="2"/>
                <w:sz w:val="24"/>
                <w:szCs w:val="24"/>
                <w:highlight w:val="none"/>
                <w:u w:val="single"/>
                <w:lang w:val="en-US" w:eastAsia="zh-CN" w:bidi="ar-SA"/>
              </w:rPr>
              <w:t>，年修箱需补漆面积约</w:t>
            </w:r>
            <w:r>
              <w:rPr>
                <w:rFonts w:hint="eastAsia" w:cs="Times New Roman"/>
                <w:color w:val="auto"/>
                <w:kern w:val="2"/>
                <w:sz w:val="24"/>
                <w:szCs w:val="24"/>
                <w:highlight w:val="none"/>
                <w:u w:val="single"/>
                <w:lang w:val="en-US" w:eastAsia="zh-CN" w:bidi="ar-SA"/>
              </w:rPr>
              <w:t>4500</w:t>
            </w:r>
            <w:r>
              <w:rPr>
                <w:rFonts w:hint="default" w:ascii="Times New Roman" w:hAnsi="Times New Roman" w:cs="Times New Roman"/>
                <w:color w:val="auto"/>
                <w:kern w:val="2"/>
                <w:sz w:val="24"/>
                <w:szCs w:val="24"/>
                <w:highlight w:val="none"/>
                <w:u w:val="single"/>
                <w:lang w:val="en-US" w:eastAsia="zh-CN" w:bidi="ar-SA"/>
              </w:rPr>
              <w:t>m</w:t>
            </w:r>
            <w:r>
              <w:rPr>
                <w:rFonts w:hint="default" w:ascii="Times New Roman" w:hAnsi="Times New Roman" w:eastAsia="宋体" w:cs="Times New Roman"/>
                <w:color w:val="auto"/>
                <w:kern w:val="2"/>
                <w:sz w:val="24"/>
                <w:szCs w:val="24"/>
                <w:highlight w:val="none"/>
                <w:u w:val="single"/>
                <w:vertAlign w:val="superscript"/>
                <w:lang w:val="en-US" w:eastAsia="zh-CN" w:bidi="ar-SA"/>
              </w:rPr>
              <w:t>2</w:t>
            </w:r>
            <w:r>
              <w:rPr>
                <w:rFonts w:hint="default" w:ascii="Times New Roman" w:hAnsi="Times New Roman" w:eastAsia="宋体" w:cs="Times New Roman"/>
                <w:color w:val="auto"/>
                <w:kern w:val="2"/>
                <w:sz w:val="24"/>
                <w:szCs w:val="24"/>
                <w:highlight w:val="none"/>
                <w:u w:val="single"/>
                <w:lang w:val="en-US" w:eastAsia="zh-CN" w:bidi="ar-SA"/>
              </w:rPr>
              <w:t>。</w:t>
            </w:r>
          </w:p>
          <w:p w14:paraId="763DD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aps w:val="0"/>
                <w:color w:val="auto"/>
                <w:sz w:val="24"/>
                <w:szCs w:val="24"/>
                <w:highlight w:val="none"/>
                <w:u w:val="single"/>
                <w:lang w:val="en-US" w:eastAsia="zh-CN"/>
              </w:rPr>
              <w:t>其余集装箱为一般简单机修，</w:t>
            </w:r>
            <w:r>
              <w:rPr>
                <w:rFonts w:hint="default" w:ascii="Times New Roman" w:hAnsi="Times New Roman" w:eastAsia="宋体" w:cs="Times New Roman"/>
                <w:caps w:val="0"/>
                <w:color w:val="auto"/>
                <w:sz w:val="24"/>
                <w:szCs w:val="24"/>
                <w:highlight w:val="none"/>
                <w:u w:val="single"/>
                <w:lang w:val="en-US" w:eastAsia="zh-CN"/>
              </w:rPr>
              <w:t>验箱后发现并标记好残损位置的空集装箱进行胶条、通风口、螺丝、箱号、手柄、锁等零部件的更换，部分箱体破损需进行焊割、焊接</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配套建设修箱区、放箱区、验箱区</w:t>
            </w:r>
            <w:r>
              <w:rPr>
                <w:rFonts w:hint="default" w:ascii="Times New Roman" w:hAnsi="Times New Roman" w:cs="Times New Roman"/>
                <w:color w:val="auto"/>
                <w:sz w:val="24"/>
                <w:highlight w:val="none"/>
              </w:rPr>
              <w:t>及其他公用工程、环保工程等</w:t>
            </w:r>
            <w:r>
              <w:rPr>
                <w:rFonts w:hint="default" w:ascii="Times New Roman" w:hAnsi="Times New Roman" w:cs="Times New Roman"/>
                <w:color w:val="auto"/>
                <w:sz w:val="24"/>
                <w:szCs w:val="24"/>
                <w:highlight w:val="none"/>
              </w:rPr>
              <w:t>。项目主要工程建设内容见下表</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p>
          <w:p w14:paraId="09A4D6B3">
            <w:pPr>
              <w:keepNext w:val="0"/>
              <w:keepLines w:val="0"/>
              <w:pageBreakBefore w:val="0"/>
              <w:suppressLineNumbers w:val="0"/>
              <w:kinsoku/>
              <w:wordWrap/>
              <w:overflowPunct/>
              <w:topLinePunct w:val="0"/>
              <w:bidi w:val="0"/>
              <w:spacing w:before="0" w:beforeAutospacing="0" w:after="0" w:afterAutospacing="0" w:line="240" w:lineRule="auto"/>
              <w:ind w:left="0" w:right="0" w:firstLine="482" w:firstLineChars="20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项目主要工程内容一览表</w:t>
            </w:r>
          </w:p>
          <w:tbl>
            <w:tblPr>
              <w:tblStyle w:val="142"/>
              <w:tblW w:w="8097"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1082"/>
              <w:gridCol w:w="4521"/>
              <w:gridCol w:w="1865"/>
            </w:tblGrid>
            <w:tr w14:paraId="14D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629" w:type="dxa"/>
                  <w:noWrap w:val="0"/>
                  <w:vAlign w:val="center"/>
                </w:tcPr>
                <w:p w14:paraId="48BCD504">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工程</w:t>
                  </w:r>
                  <w:r>
                    <w:rPr>
                      <w:rFonts w:hint="default" w:ascii="Times New Roman" w:hAnsi="Times New Roman" w:eastAsia="宋体" w:cs="Times New Roman"/>
                      <w:b/>
                      <w:bCs/>
                      <w:color w:val="auto"/>
                      <w:sz w:val="21"/>
                      <w:szCs w:val="21"/>
                      <w:highlight w:val="none"/>
                    </w:rPr>
                    <w:t>内容</w:t>
                  </w:r>
                </w:p>
              </w:tc>
              <w:tc>
                <w:tcPr>
                  <w:tcW w:w="1082" w:type="dxa"/>
                  <w:noWrap w:val="0"/>
                  <w:vAlign w:val="center"/>
                </w:tcPr>
                <w:p w14:paraId="2D439758">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指标</w:t>
                  </w:r>
                  <w:r>
                    <w:rPr>
                      <w:rFonts w:hint="default" w:ascii="Times New Roman" w:hAnsi="Times New Roman" w:eastAsia="宋体" w:cs="Times New Roman"/>
                      <w:b/>
                      <w:bCs/>
                      <w:color w:val="auto"/>
                      <w:sz w:val="21"/>
                      <w:szCs w:val="21"/>
                      <w:highlight w:val="none"/>
                    </w:rPr>
                    <w:t>名称</w:t>
                  </w:r>
                </w:p>
              </w:tc>
              <w:tc>
                <w:tcPr>
                  <w:tcW w:w="4521" w:type="dxa"/>
                  <w:noWrap w:val="0"/>
                  <w:vAlign w:val="center"/>
                </w:tcPr>
                <w:p w14:paraId="07EA807D">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工程建设内容及规模</w:t>
                  </w:r>
                </w:p>
              </w:tc>
              <w:tc>
                <w:tcPr>
                  <w:tcW w:w="1865" w:type="dxa"/>
                  <w:noWrap w:val="0"/>
                  <w:vAlign w:val="center"/>
                </w:tcPr>
                <w:p w14:paraId="7C193634">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08E8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1" w:hRule="atLeast"/>
              </w:trPr>
              <w:tc>
                <w:tcPr>
                  <w:tcW w:w="629" w:type="dxa"/>
                  <w:noWrap w:val="0"/>
                  <w:vAlign w:val="center"/>
                </w:tcPr>
                <w:p w14:paraId="1CD79618">
                  <w:pPr>
                    <w:pStyle w:val="143"/>
                    <w:spacing w:before="69" w:line="23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主体</w:t>
                  </w:r>
                  <w:r>
                    <w:rPr>
                      <w:rFonts w:hint="default" w:ascii="Times New Roman" w:hAnsi="Times New Roman" w:cs="Times New Roman"/>
                      <w:color w:val="auto"/>
                      <w:spacing w:val="-5"/>
                      <w:highlight w:val="none"/>
                    </w:rPr>
                    <w:t>工程</w:t>
                  </w:r>
                </w:p>
              </w:tc>
              <w:tc>
                <w:tcPr>
                  <w:tcW w:w="1082" w:type="dxa"/>
                  <w:noWrap w:val="0"/>
                  <w:vAlign w:val="center"/>
                </w:tcPr>
                <w:p w14:paraId="52D462F1">
                  <w:pPr>
                    <w:pStyle w:val="143"/>
                    <w:spacing w:before="69"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修箱区</w:t>
                  </w:r>
                </w:p>
              </w:tc>
              <w:tc>
                <w:tcPr>
                  <w:tcW w:w="4521" w:type="dxa"/>
                  <w:noWrap w:val="0"/>
                  <w:vAlign w:val="center"/>
                </w:tcPr>
                <w:p w14:paraId="3E0A98B8">
                  <w:pPr>
                    <w:pStyle w:val="143"/>
                    <w:spacing w:before="32" w:line="236" w:lineRule="auto"/>
                    <w:ind w:left="0" w:leftChars="0" w:right="65" w:rightChars="0" w:firstLine="0" w:firstLineChars="0"/>
                    <w:jc w:val="center"/>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2"/>
                      <w:sz w:val="21"/>
                      <w:szCs w:val="21"/>
                      <w:highlight w:val="none"/>
                      <w:u w:val="none"/>
                      <w:lang w:val="en-US" w:eastAsia="zh-CN" w:bidi="ar-SA"/>
                    </w:rPr>
                    <w:t>其中</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修箱车间为钢结构密闭车间，</w:t>
                  </w:r>
                  <w:r>
                    <w:rPr>
                      <w:rFonts w:hint="default" w:ascii="Times New Roman" w:hAnsi="Times New Roman" w:cs="Times New Roman"/>
                      <w:color w:val="auto"/>
                      <w:kern w:val="2"/>
                      <w:sz w:val="21"/>
                      <w:szCs w:val="21"/>
                      <w:highlight w:val="none"/>
                      <w:u w:val="none"/>
                      <w:lang w:val="en-US" w:eastAsia="zh-CN" w:bidi="ar-SA"/>
                    </w:rPr>
                    <w:t>简单机修工序在</w:t>
                  </w:r>
                  <w:r>
                    <w:rPr>
                      <w:rFonts w:hint="eastAsia"/>
                      <w:color w:val="auto"/>
                      <w:highlight w:val="none"/>
                      <w:lang w:val="en-US" w:eastAsia="zh-CN"/>
                    </w:rPr>
                    <w:t>钢结构</w:t>
                  </w:r>
                  <w:r>
                    <w:rPr>
                      <w:rFonts w:hint="default" w:ascii="Times New Roman" w:hAnsi="Times New Roman" w:cs="Times New Roman"/>
                      <w:color w:val="auto"/>
                      <w:kern w:val="2"/>
                      <w:sz w:val="21"/>
                      <w:szCs w:val="21"/>
                      <w:highlight w:val="none"/>
                      <w:u w:val="none"/>
                      <w:lang w:val="en-US" w:eastAsia="zh-CN" w:bidi="ar-SA"/>
                    </w:rPr>
                    <w:t>厂房内进行，</w:t>
                  </w:r>
                  <w:r>
                    <w:rPr>
                      <w:rFonts w:hint="default" w:ascii="Times New Roman" w:hAnsi="Times New Roman" w:eastAsia="宋体" w:cs="Times New Roman"/>
                      <w:color w:val="auto"/>
                      <w:kern w:val="2"/>
                      <w:sz w:val="21"/>
                      <w:szCs w:val="21"/>
                      <w:highlight w:val="none"/>
                      <w:u w:val="none"/>
                      <w:lang w:val="en-US" w:eastAsia="zh-CN" w:bidi="ar-SA"/>
                    </w:rPr>
                    <w:t>其他区域均露天，其中</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w:t>
                  </w:r>
                  <w:r>
                    <w:rPr>
                      <w:rFonts w:hint="eastAsia" w:ascii="Times New Roman" w:hAnsi="Times New Roman" w:cs="Times New Roman"/>
                      <w:color w:val="auto"/>
                      <w:kern w:val="2"/>
                      <w:sz w:val="21"/>
                      <w:szCs w:val="21"/>
                      <w:highlight w:val="none"/>
                      <w:u w:val="none"/>
                      <w:lang w:val="en-US" w:eastAsia="zh-CN" w:bidi="ar-SA"/>
                    </w:rPr>
                    <w:t>30</w:t>
                  </w:r>
                  <w:r>
                    <w:rPr>
                      <w:rFonts w:hint="default" w:ascii="Times New Roman" w:hAnsi="Times New Roman"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cs="Times New Roman"/>
                      <w:color w:val="auto"/>
                      <w:kern w:val="2"/>
                      <w:sz w:val="21"/>
                      <w:szCs w:val="21"/>
                      <w:highlight w:val="none"/>
                      <w:u w:val="none"/>
                      <w:lang w:val="en-US" w:eastAsia="zh-CN" w:bidi="ar-SA"/>
                    </w:rPr>
                    <w:t>15</w:t>
                  </w:r>
                  <w:r>
                    <w:rPr>
                      <w:rFonts w:hint="default" w:ascii="Times New Roman" w:hAnsi="Times New Roman" w:eastAsia="宋体" w:cs="Times New Roman"/>
                      <w:color w:val="auto"/>
                      <w:kern w:val="2"/>
                      <w:sz w:val="21"/>
                      <w:szCs w:val="21"/>
                      <w:highlight w:val="none"/>
                      <w:u w:val="none"/>
                      <w:lang w:val="en-US" w:eastAsia="zh-CN" w:bidi="ar-SA"/>
                    </w:rPr>
                    <w:t>m×</w:t>
                  </w:r>
                  <w:r>
                    <w:rPr>
                      <w:rFonts w:hint="eastAsia" w:ascii="Times New Roman" w:hAnsi="Times New Roman" w:cs="Times New Roman"/>
                      <w:color w:val="auto"/>
                      <w:kern w:val="2"/>
                      <w:sz w:val="21"/>
                      <w:szCs w:val="21"/>
                      <w:highlight w:val="none"/>
                      <w:u w:val="none"/>
                      <w:lang w:val="en-US" w:eastAsia="zh-CN" w:bidi="ar-SA"/>
                    </w:rPr>
                    <w:t>20</w:t>
                  </w:r>
                  <w:r>
                    <w:rPr>
                      <w:rFonts w:hint="default" w:ascii="Times New Roman" w:hAnsi="Times New Roman" w:eastAsia="宋体" w:cs="Times New Roman"/>
                      <w:color w:val="auto"/>
                      <w:kern w:val="2"/>
                      <w:sz w:val="21"/>
                      <w:szCs w:val="21"/>
                      <w:highlight w:val="none"/>
                      <w:u w:val="none"/>
                      <w:lang w:val="en-US" w:eastAsia="zh-CN" w:bidi="ar-SA"/>
                    </w:rPr>
                    <w:t>m），高4.5m</w:t>
                  </w:r>
                  <w:r>
                    <w:rPr>
                      <w:rFonts w:hint="eastAsia" w:ascii="Times New Roman" w:hAnsi="Times New Roman"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年修箱18000个集装箱，包括约1800个40尺大箱（12m×2.4m×2.4m）折合3600个标准箱，16200个20尺小箱（6m×2.4m×2.4m）折合16200个标准箱。</w:t>
                  </w:r>
                  <w:r>
                    <w:rPr>
                      <w:rFonts w:hint="default" w:ascii="Times New Roman" w:hAnsi="Times New Roman" w:cs="Times New Roman"/>
                      <w:color w:val="auto"/>
                      <w:kern w:val="2"/>
                      <w:sz w:val="21"/>
                      <w:szCs w:val="21"/>
                      <w:highlight w:val="none"/>
                      <w:u w:val="none"/>
                      <w:lang w:val="en-US" w:eastAsia="zh-CN" w:bidi="ar-SA"/>
                    </w:rPr>
                    <w:t>普通机修</w:t>
                  </w:r>
                  <w:r>
                    <w:rPr>
                      <w:rFonts w:hint="eastAsia" w:ascii="Times New Roman" w:hAnsi="Times New Roman" w:cs="Times New Roman"/>
                      <w:color w:val="auto"/>
                      <w:kern w:val="2"/>
                      <w:sz w:val="21"/>
                      <w:szCs w:val="21"/>
                      <w:highlight w:val="none"/>
                      <w:u w:val="none"/>
                      <w:lang w:val="en-US" w:eastAsia="zh-CN" w:bidi="ar-SA"/>
                    </w:rPr>
                    <w:t>车间</w:t>
                  </w:r>
                  <w:r>
                    <w:rPr>
                      <w:rFonts w:hint="default" w:ascii="Times New Roman" w:hAnsi="Times New Roman" w:cs="Times New Roman"/>
                      <w:color w:val="auto"/>
                      <w:kern w:val="2"/>
                      <w:sz w:val="21"/>
                      <w:szCs w:val="21"/>
                      <w:highlight w:val="none"/>
                      <w:u w:val="none"/>
                      <w:lang w:val="en-US" w:eastAsia="zh-CN" w:bidi="ar-SA"/>
                    </w:rPr>
                    <w:t>面积为</w:t>
                  </w:r>
                  <w:r>
                    <w:rPr>
                      <w:rFonts w:hint="eastAsia" w:ascii="Times New Roman" w:hAnsi="Times New Roman" w:cs="Times New Roman"/>
                      <w:color w:val="auto"/>
                      <w:kern w:val="2"/>
                      <w:sz w:val="21"/>
                      <w:szCs w:val="21"/>
                      <w:highlight w:val="none"/>
                      <w:u w:val="none"/>
                      <w:lang w:val="en-US" w:eastAsia="zh-CN" w:bidi="ar-SA"/>
                    </w:rPr>
                    <w:t>10</w:t>
                  </w:r>
                  <w:r>
                    <w:rPr>
                      <w:rFonts w:hint="default" w:ascii="Times New Roman" w:hAnsi="Times New Roman" w:cs="Times New Roman"/>
                      <w:color w:val="auto"/>
                      <w:kern w:val="2"/>
                      <w:sz w:val="21"/>
                      <w:szCs w:val="21"/>
                      <w:highlight w:val="none"/>
                      <w:u w:val="none"/>
                      <w:lang w:val="en-US" w:eastAsia="zh-CN" w:bidi="ar-SA"/>
                    </w:rPr>
                    <w:t>00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p>
              </w:tc>
              <w:tc>
                <w:tcPr>
                  <w:tcW w:w="1865" w:type="dxa"/>
                  <w:noWrap w:val="0"/>
                  <w:vAlign w:val="center"/>
                </w:tcPr>
                <w:p w14:paraId="17B21241">
                  <w:pPr>
                    <w:pStyle w:val="143"/>
                    <w:spacing w:before="21" w:line="234" w:lineRule="auto"/>
                    <w:ind w:left="0" w:leftChars="0" w:right="65" w:rightChars="0" w:firstLine="0" w:firstLineChars="0"/>
                    <w:jc w:val="center"/>
                    <w:rPr>
                      <w:rFonts w:hint="eastAsia" w:ascii="Times New Roman" w:hAnsi="Times New Roman" w:eastAsia="宋体" w:cs="Times New Roman"/>
                      <w:color w:val="auto"/>
                      <w:spacing w:val="-1"/>
                      <w:highlight w:val="none"/>
                      <w:lang w:val="en-US" w:eastAsia="zh-CN"/>
                    </w:rPr>
                  </w:pPr>
                  <w:r>
                    <w:rPr>
                      <w:rFonts w:hint="default" w:ascii="Times New Roman" w:hAnsi="Times New Roman" w:cs="Times New Roman"/>
                      <w:color w:val="auto"/>
                      <w:spacing w:val="10"/>
                      <w:highlight w:val="none"/>
                    </w:rPr>
                    <w:t>简单机修车间，主要验箱后发现并标记</w:t>
                  </w:r>
                  <w:r>
                    <w:rPr>
                      <w:rFonts w:hint="default" w:ascii="Times New Roman" w:hAnsi="Times New Roman" w:cs="Times New Roman"/>
                      <w:color w:val="auto"/>
                      <w:spacing w:val="9"/>
                      <w:highlight w:val="none"/>
                    </w:rPr>
                    <w:t>好残损位置的空集装箱进行胶条、通风口、螺丝、箱号、手柄、锁等零部件的更换，部分箱体破损需进行焊割、焊</w:t>
                  </w:r>
                  <w:r>
                    <w:rPr>
                      <w:rFonts w:hint="default" w:ascii="Times New Roman" w:hAnsi="Times New Roman" w:cs="Times New Roman"/>
                      <w:color w:val="auto"/>
                      <w:highlight w:val="none"/>
                    </w:rPr>
                    <w:t>接，少数需要补漆的</w:t>
                  </w:r>
                  <w:r>
                    <w:rPr>
                      <w:rFonts w:hint="eastAsia" w:ascii="Times New Roman" w:hAnsi="Times New Roman" w:cs="Times New Roman"/>
                      <w:color w:val="auto"/>
                      <w:highlight w:val="none"/>
                      <w:lang w:val="en-US" w:eastAsia="zh-CN"/>
                    </w:rPr>
                    <w:t>在</w:t>
                  </w:r>
                  <w:r>
                    <w:rPr>
                      <w:rFonts w:hint="eastAsia" w:ascii="Times New Roman" w:hAnsi="Times New Roman" w:cs="Times New Roman"/>
                      <w:color w:val="auto"/>
                      <w:kern w:val="2"/>
                      <w:sz w:val="21"/>
                      <w:szCs w:val="21"/>
                      <w:highlight w:val="none"/>
                      <w:u w:val="none"/>
                      <w:lang w:val="en-US" w:eastAsia="zh-CN" w:bidi="ar-SA"/>
                    </w:rPr>
                    <w:t>刷漆</w:t>
                  </w:r>
                  <w:r>
                    <w:rPr>
                      <w:rFonts w:hint="default" w:ascii="Times New Roman" w:hAnsi="Times New Roman" w:eastAsia="宋体" w:cs="Times New Roman"/>
                      <w:color w:val="auto"/>
                      <w:kern w:val="2"/>
                      <w:sz w:val="21"/>
                      <w:szCs w:val="21"/>
                      <w:highlight w:val="none"/>
                      <w:u w:val="none"/>
                      <w:lang w:val="en-US" w:eastAsia="zh-CN" w:bidi="ar-SA"/>
                    </w:rPr>
                    <w:t>修箱车间</w:t>
                  </w:r>
                  <w:r>
                    <w:rPr>
                      <w:rFonts w:hint="default" w:ascii="Times New Roman" w:hAnsi="Times New Roman" w:cs="Times New Roman"/>
                      <w:color w:val="auto"/>
                      <w:highlight w:val="none"/>
                    </w:rPr>
                    <w:t>进行人工手动刷漆。</w:t>
                  </w:r>
                </w:p>
              </w:tc>
            </w:tr>
            <w:tr w14:paraId="2165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8" w:hRule="atLeast"/>
              </w:trPr>
              <w:tc>
                <w:tcPr>
                  <w:tcW w:w="629" w:type="dxa"/>
                  <w:noWrap w:val="0"/>
                  <w:vAlign w:val="center"/>
                </w:tcPr>
                <w:p w14:paraId="25612588">
                  <w:pPr>
                    <w:pStyle w:val="143"/>
                    <w:spacing w:before="68" w:line="23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储运工</w:t>
                  </w:r>
                  <w:r>
                    <w:rPr>
                      <w:rFonts w:hint="default" w:ascii="Times New Roman" w:hAnsi="Times New Roman" w:cs="Times New Roman"/>
                      <w:color w:val="auto"/>
                      <w:highlight w:val="none"/>
                    </w:rPr>
                    <w:t>程</w:t>
                  </w:r>
                </w:p>
              </w:tc>
              <w:tc>
                <w:tcPr>
                  <w:tcW w:w="1082" w:type="dxa"/>
                  <w:noWrap w:val="0"/>
                  <w:vAlign w:val="center"/>
                </w:tcPr>
                <w:p w14:paraId="1A42369A">
                  <w:pPr>
                    <w:pStyle w:val="143"/>
                    <w:spacing w:before="69"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放箱区</w:t>
                  </w:r>
                </w:p>
              </w:tc>
              <w:tc>
                <w:tcPr>
                  <w:tcW w:w="4521" w:type="dxa"/>
                  <w:noWrap w:val="0"/>
                  <w:vAlign w:val="center"/>
                </w:tcPr>
                <w:p w14:paraId="69078E3D">
                  <w:pPr>
                    <w:pStyle w:val="143"/>
                    <w:spacing w:before="40"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露天，占地</w:t>
                  </w:r>
                  <w:r>
                    <w:rPr>
                      <w:rFonts w:hint="default" w:ascii="Times New Roman" w:hAnsi="Times New Roman" w:eastAsia="宋体" w:cs="Times New Roman"/>
                      <w:color w:val="auto"/>
                      <w:kern w:val="2"/>
                      <w:sz w:val="21"/>
                      <w:szCs w:val="21"/>
                      <w:highlight w:val="none"/>
                      <w:lang w:val="en-US" w:eastAsia="zh-CN" w:bidi="ar-SA"/>
                    </w:rPr>
                    <w:t>面积</w:t>
                  </w:r>
                  <w:r>
                    <w:rPr>
                      <w:rFonts w:hint="eastAsia" w:ascii="Times New Roman" w:hAnsi="Times New Roman" w:cs="Times New Roman"/>
                      <w:color w:val="auto"/>
                      <w:kern w:val="2"/>
                      <w:sz w:val="21"/>
                      <w:szCs w:val="21"/>
                      <w:highlight w:val="none"/>
                      <w:lang w:val="en-US" w:eastAsia="zh-CN" w:bidi="ar-SA"/>
                    </w:rPr>
                    <w:t>8</w:t>
                  </w:r>
                  <w:r>
                    <w:rPr>
                      <w:rFonts w:hint="default" w:ascii="Times New Roman" w:hAnsi="Times New Roman" w:cs="Times New Roman"/>
                      <w:color w:val="auto"/>
                      <w:kern w:val="2"/>
                      <w:sz w:val="21"/>
                      <w:szCs w:val="21"/>
                      <w:highlight w:val="none"/>
                      <w:lang w:val="en-US" w:eastAsia="zh-CN" w:bidi="ar-SA"/>
                    </w:rPr>
                    <w:t>000</w:t>
                  </w:r>
                  <w:r>
                    <w:rPr>
                      <w:rFonts w:hint="default" w:ascii="Times New Roman" w:hAnsi="Times New Roman" w:eastAsia="Times New Roman" w:cs="Times New Roman"/>
                      <w:color w:val="auto"/>
                      <w:spacing w:val="-2"/>
                      <w:highlight w:val="none"/>
                    </w:rPr>
                    <w:t>m</w:t>
                  </w:r>
                  <w:r>
                    <w:rPr>
                      <w:rFonts w:hint="default" w:ascii="Times New Roman" w:hAnsi="Times New Roman" w:eastAsia="Times New Roman" w:cs="Times New Roman"/>
                      <w:color w:val="auto"/>
                      <w:spacing w:val="-2"/>
                      <w:position w:val="6"/>
                      <w:sz w:val="13"/>
                      <w:szCs w:val="13"/>
                      <w:highlight w:val="none"/>
                    </w:rPr>
                    <w:t>2</w:t>
                  </w:r>
                  <w:r>
                    <w:rPr>
                      <w:rFonts w:hint="default" w:ascii="Times New Roman" w:hAnsi="Times New Roman" w:cs="Times New Roman"/>
                      <w:color w:val="auto"/>
                      <w:spacing w:val="-2"/>
                      <w:highlight w:val="none"/>
                    </w:rPr>
                    <w:t>，放置空集装箱，空集装箱仅暂存</w:t>
                  </w:r>
                  <w:r>
                    <w:rPr>
                      <w:rFonts w:hint="default" w:ascii="Times New Roman" w:hAnsi="Times New Roman" w:cs="Times New Roman"/>
                      <w:color w:val="auto"/>
                      <w:spacing w:val="-1"/>
                      <w:highlight w:val="none"/>
                    </w:rPr>
                    <w:t>在本堆场，所有权归属各船舶公司或码头，最多放置</w:t>
                  </w:r>
                  <w:r>
                    <w:rPr>
                      <w:rFonts w:hint="default" w:ascii="Times New Roman" w:hAnsi="Times New Roman" w:cs="Times New Roman"/>
                      <w:color w:val="auto"/>
                      <w:spacing w:val="-20"/>
                      <w:highlight w:val="none"/>
                      <w:lang w:val="en-US" w:eastAsia="zh-CN"/>
                    </w:rPr>
                    <w:t>2</w:t>
                  </w:r>
                  <w:r>
                    <w:rPr>
                      <w:rFonts w:hint="default" w:ascii="Times New Roman" w:hAnsi="Times New Roman" w:cs="Times New Roman"/>
                      <w:color w:val="auto"/>
                      <w:spacing w:val="-1"/>
                      <w:highlight w:val="none"/>
                    </w:rPr>
                    <w:t>万箱空箱，空箱规格：</w:t>
                  </w:r>
                  <w:r>
                    <w:rPr>
                      <w:rFonts w:hint="default" w:ascii="Times New Roman" w:hAnsi="Times New Roman" w:eastAsia="Times New Roman" w:cs="Times New Roman"/>
                      <w:color w:val="auto"/>
                      <w:spacing w:val="-1"/>
                      <w:highlight w:val="none"/>
                    </w:rPr>
                    <w:t>20</w:t>
                  </w:r>
                  <w:r>
                    <w:rPr>
                      <w:rFonts w:hint="default" w:ascii="Times New Roman" w:hAnsi="Times New Roman" w:cs="Times New Roman"/>
                      <w:color w:val="auto"/>
                      <w:spacing w:val="-1"/>
                      <w:highlight w:val="none"/>
                    </w:rPr>
                    <w:t>尺小箱（</w:t>
                  </w:r>
                  <w:r>
                    <w:rPr>
                      <w:rFonts w:hint="default" w:ascii="Times New Roman" w:hAnsi="Times New Roman" w:eastAsia="Times New Roman" w:cs="Times New Roman"/>
                      <w:color w:val="auto"/>
                      <w:spacing w:val="-1"/>
                      <w:highlight w:val="none"/>
                    </w:rPr>
                    <w:t>6m×2.4m×2.4m</w:t>
                  </w:r>
                  <w:r>
                    <w:rPr>
                      <w:rFonts w:hint="default" w:ascii="Times New Roman" w:hAnsi="Times New Roman" w:cs="Times New Roman"/>
                      <w:color w:val="auto"/>
                      <w:spacing w:val="-42"/>
                      <w:highlight w:val="none"/>
                    </w:rPr>
                    <w:t>），</w:t>
                  </w:r>
                  <w:r>
                    <w:rPr>
                      <w:rFonts w:hint="default" w:ascii="Times New Roman" w:hAnsi="Times New Roman" w:eastAsia="Times New Roman" w:cs="Times New Roman"/>
                      <w:color w:val="auto"/>
                      <w:spacing w:val="-1"/>
                      <w:highlight w:val="none"/>
                    </w:rPr>
                    <w:t>40</w:t>
                  </w:r>
                  <w:r>
                    <w:rPr>
                      <w:rFonts w:hint="default" w:ascii="Times New Roman" w:hAnsi="Times New Roman" w:cs="Times New Roman"/>
                      <w:color w:val="auto"/>
                      <w:spacing w:val="-1"/>
                      <w:highlight w:val="none"/>
                    </w:rPr>
                    <w:t>尺箱</w:t>
                  </w:r>
                  <w:r>
                    <w:rPr>
                      <w:rFonts w:hint="default" w:ascii="Times New Roman" w:hAnsi="Times New Roman" w:cs="Times New Roman"/>
                      <w:color w:val="auto"/>
                      <w:highlight w:val="none"/>
                    </w:rPr>
                    <w:t>（</w:t>
                  </w:r>
                  <w:r>
                    <w:rPr>
                      <w:rFonts w:hint="default" w:ascii="Times New Roman" w:hAnsi="Times New Roman" w:eastAsia="Times New Roman" w:cs="Times New Roman"/>
                      <w:color w:val="auto"/>
                      <w:highlight w:val="none"/>
                    </w:rPr>
                    <w:t>12m×2.4m×2.4m</w:t>
                  </w:r>
                  <w:r>
                    <w:rPr>
                      <w:rFonts w:hint="default" w:ascii="Times New Roman" w:hAnsi="Times New Roman" w:cs="Times New Roman"/>
                      <w:color w:val="auto"/>
                      <w:spacing w:val="-51"/>
                      <w:highlight w:val="none"/>
                    </w:rPr>
                    <w:t>）</w:t>
                  </w:r>
                </w:p>
              </w:tc>
              <w:tc>
                <w:tcPr>
                  <w:tcW w:w="1865" w:type="dxa"/>
                  <w:noWrap w:val="0"/>
                  <w:vAlign w:val="center"/>
                </w:tcPr>
                <w:p w14:paraId="40F7DA1D">
                  <w:pPr>
                    <w:pStyle w:val="143"/>
                    <w:spacing w:before="40" w:line="221" w:lineRule="auto"/>
                    <w:ind w:left="0" w:leftChars="0" w:right="65" w:rightChars="0" w:firstLine="0" w:firstLineChars="0"/>
                    <w:jc w:val="center"/>
                    <w:rPr>
                      <w:rFonts w:hint="default" w:ascii="Times New Roman" w:hAnsi="Times New Roman" w:eastAsia="宋体" w:cs="Times New Roman"/>
                      <w:color w:val="auto"/>
                      <w:spacing w:val="-2"/>
                      <w:highlight w:val="none"/>
                      <w:lang w:val="en-US" w:eastAsia="zh-CN"/>
                    </w:rPr>
                  </w:pPr>
                  <w:r>
                    <w:rPr>
                      <w:rFonts w:hint="default" w:ascii="Times New Roman" w:hAnsi="Times New Roman" w:cs="Times New Roman"/>
                      <w:color w:val="auto"/>
                      <w:spacing w:val="-2"/>
                      <w:highlight w:val="none"/>
                      <w:lang w:val="en-US" w:eastAsia="zh-CN"/>
                    </w:rPr>
                    <w:t>依托原有</w:t>
                  </w:r>
                  <w:r>
                    <w:rPr>
                      <w:rFonts w:hint="eastAsia"/>
                      <w:color w:val="auto"/>
                      <w:highlight w:val="none"/>
                      <w:lang w:val="en-US" w:eastAsia="zh-CN"/>
                    </w:rPr>
                    <w:t>混凝土地面，直接堆放</w:t>
                  </w:r>
                </w:p>
              </w:tc>
            </w:tr>
            <w:tr w14:paraId="295C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629" w:type="dxa"/>
                  <w:vMerge w:val="restart"/>
                  <w:noWrap w:val="0"/>
                  <w:vAlign w:val="center"/>
                </w:tcPr>
                <w:p w14:paraId="6FF06AF1">
                  <w:pPr>
                    <w:pStyle w:val="143"/>
                    <w:spacing w:before="68" w:line="23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辅助</w:t>
                  </w:r>
                  <w:r>
                    <w:rPr>
                      <w:rFonts w:hint="default" w:ascii="Times New Roman" w:hAnsi="Times New Roman" w:cs="Times New Roman"/>
                      <w:color w:val="auto"/>
                      <w:spacing w:val="-5"/>
                      <w:highlight w:val="none"/>
                    </w:rPr>
                    <w:t>工程</w:t>
                  </w:r>
                </w:p>
              </w:tc>
              <w:tc>
                <w:tcPr>
                  <w:tcW w:w="1082" w:type="dxa"/>
                  <w:noWrap w:val="0"/>
                  <w:vAlign w:val="center"/>
                </w:tcPr>
                <w:p w14:paraId="59B1E05B">
                  <w:pPr>
                    <w:pStyle w:val="143"/>
                    <w:spacing w:before="42" w:line="198"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验箱区</w:t>
                  </w:r>
                </w:p>
              </w:tc>
              <w:tc>
                <w:tcPr>
                  <w:tcW w:w="4521" w:type="dxa"/>
                  <w:noWrap w:val="0"/>
                  <w:vAlign w:val="center"/>
                </w:tcPr>
                <w:p w14:paraId="4293BA91">
                  <w:pPr>
                    <w:pStyle w:val="143"/>
                    <w:spacing w:before="42" w:line="198"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露天，占地面积</w:t>
                  </w:r>
                  <w:r>
                    <w:rPr>
                      <w:rFonts w:hint="eastAsia" w:ascii="Times New Roman" w:hAnsi="Times New Roman" w:cs="Times New Roman"/>
                      <w:color w:val="auto"/>
                      <w:spacing w:val="-3"/>
                      <w:highlight w:val="none"/>
                      <w:lang w:val="en-US" w:eastAsia="zh-CN"/>
                    </w:rPr>
                    <w:t>50</w:t>
                  </w:r>
                  <w:r>
                    <w:rPr>
                      <w:rFonts w:hint="default" w:ascii="Times New Roman" w:hAnsi="Times New Roman" w:eastAsia="宋体" w:cs="Times New Roman"/>
                      <w:color w:val="auto"/>
                      <w:kern w:val="2"/>
                      <w:sz w:val="21"/>
                      <w:szCs w:val="21"/>
                      <w:highlight w:val="none"/>
                      <w:u w:val="none"/>
                      <w:lang w:val="en-US" w:eastAsia="zh-CN" w:bidi="ar-SA"/>
                    </w:rPr>
                    <w:t>00m</w:t>
                  </w:r>
                  <w:r>
                    <w:rPr>
                      <w:rFonts w:hint="default" w:ascii="Times New Roman" w:hAnsi="Times New Roman" w:eastAsia="Times New Roman" w:cs="Times New Roman"/>
                      <w:color w:val="auto"/>
                      <w:spacing w:val="-3"/>
                      <w:position w:val="6"/>
                      <w:sz w:val="13"/>
                      <w:szCs w:val="13"/>
                      <w:highlight w:val="none"/>
                    </w:rPr>
                    <w:t>2</w:t>
                  </w:r>
                  <w:r>
                    <w:rPr>
                      <w:rFonts w:hint="default" w:ascii="Times New Roman" w:hAnsi="Times New Roman" w:cs="Times New Roman"/>
                      <w:color w:val="auto"/>
                      <w:spacing w:val="-3"/>
                      <w:highlight w:val="none"/>
                    </w:rPr>
                    <w:t>，人工目视检验</w:t>
                  </w:r>
                </w:p>
              </w:tc>
              <w:tc>
                <w:tcPr>
                  <w:tcW w:w="1865" w:type="dxa"/>
                  <w:noWrap w:val="0"/>
                  <w:vAlign w:val="center"/>
                </w:tcPr>
                <w:p w14:paraId="01292071">
                  <w:pPr>
                    <w:pStyle w:val="143"/>
                    <w:spacing w:before="42" w:line="198" w:lineRule="auto"/>
                    <w:ind w:left="0" w:leftChars="0" w:right="65" w:rightChars="0" w:firstLine="0" w:firstLineChars="0"/>
                    <w:jc w:val="center"/>
                    <w:rPr>
                      <w:rFonts w:hint="default" w:ascii="Times New Roman" w:hAnsi="Times New Roman" w:cs="Times New Roman"/>
                      <w:color w:val="auto"/>
                      <w:spacing w:val="-3"/>
                      <w:highlight w:val="none"/>
                    </w:rPr>
                  </w:pPr>
                  <w:r>
                    <w:rPr>
                      <w:rFonts w:hint="default" w:ascii="Times New Roman" w:hAnsi="Times New Roman" w:cs="Times New Roman"/>
                      <w:color w:val="auto"/>
                      <w:spacing w:val="-2"/>
                      <w:highlight w:val="none"/>
                      <w:lang w:val="en-US" w:eastAsia="zh-CN"/>
                    </w:rPr>
                    <w:t>依托原有</w:t>
                  </w:r>
                  <w:r>
                    <w:rPr>
                      <w:rFonts w:hint="eastAsia"/>
                      <w:color w:val="auto"/>
                      <w:highlight w:val="none"/>
                      <w:lang w:val="en-US" w:eastAsia="zh-CN"/>
                    </w:rPr>
                    <w:t>混凝土地面，直接堆放</w:t>
                  </w:r>
                </w:p>
              </w:tc>
            </w:tr>
            <w:tr w14:paraId="0B40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629" w:type="dxa"/>
                  <w:vMerge w:val="continue"/>
                  <w:noWrap w:val="0"/>
                  <w:vAlign w:val="center"/>
                </w:tcPr>
                <w:p w14:paraId="3561BCEB">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049111C2">
                  <w:pPr>
                    <w:pStyle w:val="143"/>
                    <w:spacing w:before="46" w:line="195"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办公区</w:t>
                  </w:r>
                </w:p>
              </w:tc>
              <w:tc>
                <w:tcPr>
                  <w:tcW w:w="4521" w:type="dxa"/>
                  <w:noWrap w:val="0"/>
                  <w:vAlign w:val="center"/>
                </w:tcPr>
                <w:p w14:paraId="1690E2F0">
                  <w:pPr>
                    <w:pStyle w:val="143"/>
                    <w:spacing w:before="46" w:line="195" w:lineRule="auto"/>
                    <w:ind w:left="0" w:leftChars="0" w:right="65" w:rightChars="0" w:firstLine="0" w:firstLineChars="0"/>
                    <w:jc w:val="center"/>
                    <w:rPr>
                      <w:rFonts w:hint="default" w:ascii="Times New Roman" w:hAnsi="Times New Roman" w:eastAsia="Times New Roman" w:cs="Times New Roman"/>
                      <w:color w:val="auto"/>
                      <w:sz w:val="13"/>
                      <w:szCs w:val="13"/>
                      <w:highlight w:val="none"/>
                    </w:rPr>
                  </w:pPr>
                  <w:r>
                    <w:rPr>
                      <w:rFonts w:hint="default" w:ascii="Times New Roman" w:hAnsi="Times New Roman" w:cs="Times New Roman"/>
                      <w:color w:val="auto"/>
                      <w:spacing w:val="-1"/>
                      <w:highlight w:val="none"/>
                    </w:rPr>
                    <w:t>室内，依托厂区现有办公楼，占地面积</w:t>
                  </w:r>
                  <w:r>
                    <w:rPr>
                      <w:rFonts w:hint="default" w:ascii="Times New Roman" w:hAnsi="Times New Roman" w:eastAsia="宋体" w:cs="Times New Roman"/>
                      <w:color w:val="auto"/>
                      <w:kern w:val="2"/>
                      <w:sz w:val="21"/>
                      <w:szCs w:val="21"/>
                      <w:highlight w:val="none"/>
                      <w:u w:val="none"/>
                      <w:lang w:val="en-US" w:eastAsia="zh-CN" w:bidi="ar-SA"/>
                    </w:rPr>
                    <w:t>200</w:t>
                  </w:r>
                  <w:r>
                    <w:rPr>
                      <w:rFonts w:hint="default" w:ascii="Times New Roman" w:hAnsi="Times New Roman" w:eastAsia="Times New Roman" w:cs="Times New Roman"/>
                      <w:color w:val="auto"/>
                      <w:spacing w:val="-1"/>
                      <w:highlight w:val="none"/>
                    </w:rPr>
                    <w:t>m</w:t>
                  </w:r>
                  <w:r>
                    <w:rPr>
                      <w:rFonts w:hint="default" w:ascii="Times New Roman" w:hAnsi="Times New Roman" w:eastAsia="Times New Roman" w:cs="Times New Roman"/>
                      <w:color w:val="auto"/>
                      <w:spacing w:val="-1"/>
                      <w:position w:val="6"/>
                      <w:sz w:val="13"/>
                      <w:szCs w:val="13"/>
                      <w:highlight w:val="none"/>
                    </w:rPr>
                    <w:t>2</w:t>
                  </w:r>
                </w:p>
              </w:tc>
              <w:tc>
                <w:tcPr>
                  <w:tcW w:w="1865" w:type="dxa"/>
                  <w:noWrap w:val="0"/>
                  <w:vAlign w:val="center"/>
                </w:tcPr>
                <w:p w14:paraId="6D7606A4">
                  <w:pPr>
                    <w:pStyle w:val="143"/>
                    <w:spacing w:before="46" w:line="195" w:lineRule="auto"/>
                    <w:ind w:left="0" w:leftChars="0" w:right="65" w:rightChars="0" w:firstLine="0" w:firstLineChars="0"/>
                    <w:jc w:val="center"/>
                    <w:rPr>
                      <w:rFonts w:hint="default" w:ascii="Times New Roman" w:hAnsi="Times New Roman" w:cs="Times New Roman"/>
                      <w:color w:val="auto"/>
                      <w:spacing w:val="-1"/>
                      <w:highlight w:val="none"/>
                    </w:rPr>
                  </w:pPr>
                  <w:r>
                    <w:rPr>
                      <w:rFonts w:hint="default" w:ascii="Times New Roman" w:hAnsi="Times New Roman" w:cs="Times New Roman"/>
                      <w:color w:val="auto"/>
                      <w:spacing w:val="-2"/>
                      <w:highlight w:val="none"/>
                      <w:lang w:val="en-US" w:eastAsia="zh-CN"/>
                    </w:rPr>
                    <w:t>依托原有</w:t>
                  </w:r>
                </w:p>
              </w:tc>
            </w:tr>
            <w:tr w14:paraId="4975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rPr>
              <w:tc>
                <w:tcPr>
                  <w:tcW w:w="629" w:type="dxa"/>
                  <w:vMerge w:val="continue"/>
                  <w:noWrap w:val="0"/>
                  <w:vAlign w:val="center"/>
                </w:tcPr>
                <w:p w14:paraId="68FFE54E">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2010A14B">
                  <w:pPr>
                    <w:pStyle w:val="143"/>
                    <w:spacing w:before="43" w:line="218" w:lineRule="auto"/>
                    <w:ind w:left="0" w:leftChars="0" w:right="65" w:rightChars="0"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spacing w:val="-3"/>
                      <w:highlight w:val="none"/>
                    </w:rPr>
                    <w:t>原料及焊</w:t>
                  </w:r>
                  <w:r>
                    <w:rPr>
                      <w:rFonts w:hint="default" w:ascii="Times New Roman" w:hAnsi="Times New Roman" w:cs="Times New Roman"/>
                      <w:color w:val="auto"/>
                      <w:spacing w:val="-2"/>
                      <w:highlight w:val="none"/>
                    </w:rPr>
                    <w:t>材存放</w:t>
                  </w:r>
                  <w:r>
                    <w:rPr>
                      <w:rFonts w:hint="eastAsia" w:ascii="Times New Roman" w:hAnsi="Times New Roman" w:cs="Times New Roman"/>
                      <w:color w:val="auto"/>
                      <w:spacing w:val="-2"/>
                      <w:highlight w:val="none"/>
                      <w:lang w:val="en-US" w:eastAsia="zh-CN"/>
                    </w:rPr>
                    <w:t>库房</w:t>
                  </w:r>
                </w:p>
              </w:tc>
              <w:tc>
                <w:tcPr>
                  <w:tcW w:w="4521" w:type="dxa"/>
                  <w:noWrap w:val="0"/>
                  <w:vAlign w:val="center"/>
                </w:tcPr>
                <w:p w14:paraId="7C0916B7">
                  <w:pPr>
                    <w:pStyle w:val="143"/>
                    <w:spacing w:before="180" w:line="234" w:lineRule="auto"/>
                    <w:ind w:left="0" w:leftChars="0" w:right="65" w:rightChars="0" w:firstLine="0" w:firstLineChars="0"/>
                    <w:jc w:val="center"/>
                    <w:rPr>
                      <w:rFonts w:hint="default" w:ascii="Times New Roman" w:hAnsi="Times New Roman" w:eastAsia="Times New Roman" w:cs="Times New Roman"/>
                      <w:color w:val="auto"/>
                      <w:sz w:val="13"/>
                      <w:szCs w:val="13"/>
                      <w:highlight w:val="none"/>
                    </w:rPr>
                  </w:pPr>
                  <w:r>
                    <w:rPr>
                      <w:rFonts w:hint="default" w:ascii="Times New Roman" w:hAnsi="Times New Roman" w:eastAsia="宋体" w:cs="Times New Roman"/>
                      <w:color w:val="auto"/>
                      <w:kern w:val="2"/>
                      <w:sz w:val="21"/>
                      <w:szCs w:val="21"/>
                      <w:highlight w:val="none"/>
                      <w:lang w:val="en-US" w:eastAsia="zh-CN" w:bidi="ar-SA"/>
                    </w:rPr>
                    <w:t>室内，依托厂区现有</w:t>
                  </w:r>
                  <w:r>
                    <w:rPr>
                      <w:rFonts w:hint="default" w:ascii="Times New Roman" w:hAnsi="Times New Roman" w:cs="Times New Roman"/>
                      <w:color w:val="auto"/>
                      <w:spacing w:val="-1"/>
                      <w:highlight w:val="none"/>
                    </w:rPr>
                    <w:t>库房，占地面积</w:t>
                  </w:r>
                  <w:r>
                    <w:rPr>
                      <w:rFonts w:hint="eastAsia" w:ascii="Times New Roman" w:hAnsi="Times New Roman" w:eastAsia="宋体" w:cs="Times New Roman"/>
                      <w:color w:val="auto"/>
                      <w:spacing w:val="-1"/>
                      <w:highlight w:val="none"/>
                      <w:lang w:val="en-US" w:eastAsia="zh-CN"/>
                    </w:rPr>
                    <w:t>180</w:t>
                  </w:r>
                  <w:r>
                    <w:rPr>
                      <w:rFonts w:hint="default" w:ascii="Times New Roman" w:hAnsi="Times New Roman" w:eastAsia="Times New Roman" w:cs="Times New Roman"/>
                      <w:color w:val="auto"/>
                      <w:spacing w:val="-1"/>
                      <w:highlight w:val="none"/>
                    </w:rPr>
                    <w:t>m</w:t>
                  </w:r>
                  <w:r>
                    <w:rPr>
                      <w:rFonts w:hint="default" w:ascii="Times New Roman" w:hAnsi="Times New Roman" w:eastAsia="Times New Roman" w:cs="Times New Roman"/>
                      <w:color w:val="auto"/>
                      <w:spacing w:val="-1"/>
                      <w:position w:val="6"/>
                      <w:sz w:val="13"/>
                      <w:szCs w:val="13"/>
                      <w:highlight w:val="none"/>
                    </w:rPr>
                    <w:t>2</w:t>
                  </w:r>
                </w:p>
              </w:tc>
              <w:tc>
                <w:tcPr>
                  <w:tcW w:w="1865" w:type="dxa"/>
                  <w:noWrap w:val="0"/>
                  <w:vAlign w:val="center"/>
                </w:tcPr>
                <w:p w14:paraId="531EBC26">
                  <w:pPr>
                    <w:pStyle w:val="143"/>
                    <w:spacing w:before="180" w:line="234" w:lineRule="auto"/>
                    <w:ind w:left="0" w:leftChars="0" w:right="65"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2"/>
                      <w:highlight w:val="none"/>
                      <w:lang w:val="en-US" w:eastAsia="zh-CN"/>
                    </w:rPr>
                    <w:t>依托原有</w:t>
                  </w:r>
                </w:p>
              </w:tc>
            </w:tr>
            <w:tr w14:paraId="3AEE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629" w:type="dxa"/>
                  <w:vMerge w:val="restart"/>
                  <w:noWrap w:val="0"/>
                  <w:vAlign w:val="center"/>
                </w:tcPr>
                <w:p w14:paraId="3DED2EF5">
                  <w:pPr>
                    <w:pStyle w:val="143"/>
                    <w:spacing w:beforeAutospacing="0" w:line="222" w:lineRule="auto"/>
                    <w:ind w:left="0" w:leftChars="0" w:right="65" w:rightChars="0" w:firstLine="0" w:firstLineChars="0"/>
                    <w:jc w:val="center"/>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公用工</w:t>
                  </w:r>
                </w:p>
                <w:p w14:paraId="0AC5B660">
                  <w:pPr>
                    <w:pStyle w:val="143"/>
                    <w:spacing w:beforeAutospacing="0" w:line="221" w:lineRule="auto"/>
                    <w:ind w:right="65"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程</w:t>
                  </w:r>
                </w:p>
              </w:tc>
              <w:tc>
                <w:tcPr>
                  <w:tcW w:w="1082" w:type="dxa"/>
                  <w:noWrap w:val="0"/>
                  <w:vAlign w:val="center"/>
                </w:tcPr>
                <w:p w14:paraId="209033DE">
                  <w:pPr>
                    <w:pStyle w:val="143"/>
                    <w:spacing w:before="135"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给水工程</w:t>
                  </w:r>
                </w:p>
              </w:tc>
              <w:tc>
                <w:tcPr>
                  <w:tcW w:w="4521" w:type="dxa"/>
                  <w:noWrap w:val="0"/>
                  <w:vAlign w:val="center"/>
                </w:tcPr>
                <w:p w14:paraId="4D34FE35">
                  <w:pPr>
                    <w:pStyle w:val="143"/>
                    <w:spacing w:before="135" w:line="22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市政给水管网提供</w:t>
                  </w:r>
                </w:p>
              </w:tc>
              <w:tc>
                <w:tcPr>
                  <w:tcW w:w="1865" w:type="dxa"/>
                  <w:noWrap w:val="0"/>
                  <w:vAlign w:val="center"/>
                </w:tcPr>
                <w:p w14:paraId="6E584EAB">
                  <w:pPr>
                    <w:pStyle w:val="143"/>
                    <w:spacing w:before="135" w:line="220" w:lineRule="auto"/>
                    <w:ind w:left="0" w:leftChars="0" w:right="65" w:rightChars="0" w:firstLine="0" w:firstLineChars="0"/>
                    <w:jc w:val="center"/>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lang w:val="en-US" w:eastAsia="zh-CN"/>
                    </w:rPr>
                    <w:t>依托原有</w:t>
                  </w:r>
                </w:p>
              </w:tc>
            </w:tr>
            <w:tr w14:paraId="5261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9" w:type="dxa"/>
                  <w:vMerge w:val="continue"/>
                  <w:noWrap w:val="0"/>
                  <w:vAlign w:val="center"/>
                </w:tcPr>
                <w:p w14:paraId="71C5816C">
                  <w:pPr>
                    <w:pStyle w:val="143"/>
                    <w:spacing w:beforeAutospacing="0" w:line="221" w:lineRule="auto"/>
                    <w:ind w:right="65" w:rightChars="0"/>
                    <w:jc w:val="center"/>
                    <w:rPr>
                      <w:rFonts w:hint="default" w:ascii="Times New Roman" w:hAnsi="Times New Roman" w:cs="Times New Roman"/>
                      <w:color w:val="auto"/>
                      <w:highlight w:val="none"/>
                    </w:rPr>
                  </w:pPr>
                </w:p>
              </w:tc>
              <w:tc>
                <w:tcPr>
                  <w:tcW w:w="1082" w:type="dxa"/>
                  <w:noWrap w:val="0"/>
                  <w:vAlign w:val="center"/>
                </w:tcPr>
                <w:p w14:paraId="4A18AD31">
                  <w:pPr>
                    <w:pStyle w:val="143"/>
                    <w:spacing w:before="6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排水工程</w:t>
                  </w:r>
                </w:p>
              </w:tc>
              <w:tc>
                <w:tcPr>
                  <w:tcW w:w="4521" w:type="dxa"/>
                  <w:noWrap w:val="0"/>
                  <w:vAlign w:val="center"/>
                </w:tcPr>
                <w:p w14:paraId="1325EEC2">
                  <w:pPr>
                    <w:pStyle w:val="143"/>
                    <w:spacing w:before="23" w:line="222"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w:t>
                  </w:r>
                  <w:r>
                    <w:rPr>
                      <w:rFonts w:hint="default" w:ascii="Times New Roman" w:hAnsi="Times New Roman" w:cs="Times New Roman"/>
                      <w:color w:val="auto"/>
                      <w:highlight w:val="none"/>
                      <w:u w:val="none" w:color="auto"/>
                    </w:rPr>
                    <w:t>水经化粪池预处理后排入市政污水管网，最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1865" w:type="dxa"/>
                  <w:noWrap w:val="0"/>
                  <w:vAlign w:val="center"/>
                </w:tcPr>
                <w:p w14:paraId="2763950C">
                  <w:pPr>
                    <w:pStyle w:val="143"/>
                    <w:spacing w:before="23" w:line="222"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lang w:val="en-US" w:eastAsia="zh-CN"/>
                    </w:rPr>
                    <w:t>依托原有</w:t>
                  </w:r>
                </w:p>
              </w:tc>
            </w:tr>
            <w:tr w14:paraId="7429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atLeast"/>
              </w:trPr>
              <w:tc>
                <w:tcPr>
                  <w:tcW w:w="629" w:type="dxa"/>
                  <w:vMerge w:val="continue"/>
                  <w:noWrap w:val="0"/>
                  <w:vAlign w:val="center"/>
                </w:tcPr>
                <w:p w14:paraId="664FF7AB">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7446215A">
                  <w:pPr>
                    <w:pStyle w:val="143"/>
                    <w:spacing w:before="125" w:line="220"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供电系统</w:t>
                  </w:r>
                </w:p>
              </w:tc>
              <w:tc>
                <w:tcPr>
                  <w:tcW w:w="4521" w:type="dxa"/>
                  <w:noWrap w:val="0"/>
                  <w:vAlign w:val="center"/>
                </w:tcPr>
                <w:p w14:paraId="6DB0B0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市政供电系统</w:t>
                  </w:r>
                </w:p>
              </w:tc>
              <w:tc>
                <w:tcPr>
                  <w:tcW w:w="1865" w:type="dxa"/>
                  <w:noWrap w:val="0"/>
                  <w:vAlign w:val="center"/>
                </w:tcPr>
                <w:p w14:paraId="301E7423">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2"/>
                      <w:highlight w:val="none"/>
                      <w:lang w:val="en-US" w:eastAsia="zh-CN"/>
                    </w:rPr>
                    <w:t>依托原有</w:t>
                  </w:r>
                </w:p>
              </w:tc>
            </w:tr>
            <w:tr w14:paraId="7D28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trPr>
              <w:tc>
                <w:tcPr>
                  <w:tcW w:w="629" w:type="dxa"/>
                  <w:vMerge w:val="restart"/>
                  <w:noWrap w:val="0"/>
                  <w:vAlign w:val="center"/>
                </w:tcPr>
                <w:p w14:paraId="1838BE1B">
                  <w:pPr>
                    <w:pStyle w:val="143"/>
                    <w:spacing w:before="68" w:line="23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环保工</w:t>
                  </w:r>
                  <w:r>
                    <w:rPr>
                      <w:rFonts w:hint="default" w:ascii="Times New Roman" w:hAnsi="Times New Roman" w:cs="Times New Roman"/>
                      <w:color w:val="auto"/>
                      <w:highlight w:val="none"/>
                    </w:rPr>
                    <w:t>程</w:t>
                  </w:r>
                </w:p>
              </w:tc>
              <w:tc>
                <w:tcPr>
                  <w:tcW w:w="1082" w:type="dxa"/>
                  <w:noWrap w:val="0"/>
                  <w:vAlign w:val="center"/>
                </w:tcPr>
                <w:p w14:paraId="74B3B39D">
                  <w:pPr>
                    <w:pStyle w:val="143"/>
                    <w:spacing w:before="30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废气治理</w:t>
                  </w:r>
                </w:p>
              </w:tc>
              <w:tc>
                <w:tcPr>
                  <w:tcW w:w="4521" w:type="dxa"/>
                  <w:noWrap w:val="0"/>
                  <w:vAlign w:val="center"/>
                </w:tcPr>
                <w:p w14:paraId="611712CD">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10"/>
                      <w:sz w:val="21"/>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项目切割</w:t>
                  </w:r>
                  <w:r>
                    <w:rPr>
                      <w:rFonts w:hint="eastAsia" w:cs="Times New Roman"/>
                      <w:bCs/>
                      <w:color w:val="auto"/>
                      <w:szCs w:val="21"/>
                      <w:highlight w:val="none"/>
                      <w:u w:val="none"/>
                      <w:lang w:val="en-US" w:eastAsia="zh-CN"/>
                    </w:rPr>
                    <w:t>烟尘和</w:t>
                  </w:r>
                  <w:r>
                    <w:rPr>
                      <w:rFonts w:hint="default" w:ascii="Times New Roman" w:hAnsi="Times New Roman" w:cs="Times New Roman"/>
                      <w:bCs/>
                      <w:color w:val="auto"/>
                      <w:szCs w:val="21"/>
                      <w:highlight w:val="none"/>
                      <w:u w:val="none"/>
                      <w:lang w:val="en-US" w:eastAsia="zh-CN"/>
                    </w:rPr>
                    <w:t>木板开料废气在厂房内无组织排放，</w:t>
                  </w:r>
                  <w:r>
                    <w:rPr>
                      <w:rFonts w:hint="default" w:ascii="Times New Roman" w:hAnsi="Times New Roman" w:cs="Times New Roman"/>
                      <w:bCs/>
                      <w:color w:val="auto"/>
                      <w:spacing w:val="-10"/>
                      <w:sz w:val="21"/>
                      <w:szCs w:val="21"/>
                      <w:highlight w:val="none"/>
                      <w:u w:val="none"/>
                      <w:lang w:val="en-US" w:eastAsia="zh-CN"/>
                    </w:rPr>
                    <w:t>厂房内设置排气扇等通风装置</w:t>
                  </w:r>
                  <w:r>
                    <w:rPr>
                      <w:rFonts w:hint="eastAsia" w:cs="Times New Roman"/>
                      <w:bCs/>
                      <w:color w:val="auto"/>
                      <w:spacing w:val="-10"/>
                      <w:sz w:val="21"/>
                      <w:szCs w:val="21"/>
                      <w:highlight w:val="none"/>
                      <w:u w:val="none"/>
                      <w:lang w:val="en-US" w:eastAsia="zh-CN"/>
                    </w:rPr>
                    <w:t>，</w:t>
                  </w:r>
                  <w:r>
                    <w:rPr>
                      <w:rFonts w:hint="eastAsia" w:ascii="Times New Roman" w:hAnsi="Times New Roman" w:cs="Times New Roman"/>
                      <w:strike w:val="0"/>
                      <w:dstrike w:val="0"/>
                      <w:color w:val="auto"/>
                      <w:spacing w:val="-2"/>
                      <w:sz w:val="21"/>
                      <w:szCs w:val="21"/>
                      <w:highlight w:val="none"/>
                      <w:lang w:val="en-US" w:eastAsia="zh-CN"/>
                    </w:rPr>
                    <w:t>通过厂房四周设置的轴流风机无组织排放</w:t>
                  </w:r>
                  <w:r>
                    <w:rPr>
                      <w:rFonts w:hint="eastAsia" w:cs="Times New Roman"/>
                      <w:strike w:val="0"/>
                      <w:dstrike w:val="0"/>
                      <w:color w:val="auto"/>
                      <w:spacing w:val="-2"/>
                      <w:sz w:val="21"/>
                      <w:szCs w:val="21"/>
                      <w:highlight w:val="none"/>
                      <w:lang w:val="en-US" w:eastAsia="zh-CN"/>
                    </w:rPr>
                    <w:t>；</w:t>
                  </w:r>
                </w:p>
                <w:p w14:paraId="05DBAA8D">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10"/>
                      <w:sz w:val="21"/>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项目焊接</w:t>
                  </w:r>
                  <w:r>
                    <w:rPr>
                      <w:rFonts w:hint="default" w:ascii="Times New Roman" w:hAnsi="Times New Roman" w:cs="Times New Roman"/>
                      <w:color w:val="auto"/>
                      <w:highlight w:val="none"/>
                      <w:u w:val="none"/>
                      <w:lang w:val="en-US" w:eastAsia="zh-CN"/>
                    </w:rPr>
                    <w:t>烟尘</w:t>
                  </w:r>
                  <w:r>
                    <w:rPr>
                      <w:rFonts w:hint="default" w:ascii="Times New Roman" w:hAnsi="Times New Roman" w:cs="Times New Roman"/>
                      <w:bCs/>
                      <w:color w:val="auto"/>
                      <w:szCs w:val="21"/>
                      <w:highlight w:val="none"/>
                      <w:u w:val="none"/>
                      <w:lang w:val="en-US" w:eastAsia="zh-CN"/>
                    </w:rPr>
                    <w:t>采用</w:t>
                  </w: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处理后在厂房内无组织</w:t>
                  </w:r>
                  <w:r>
                    <w:rPr>
                      <w:rFonts w:hint="default" w:ascii="Times New Roman" w:hAnsi="Times New Roman" w:cs="Times New Roman"/>
                      <w:bCs/>
                      <w:color w:val="auto"/>
                      <w:szCs w:val="21"/>
                      <w:highlight w:val="none"/>
                      <w:u w:val="none"/>
                      <w:lang w:eastAsia="zh-CN"/>
                    </w:rPr>
                    <w:t>排放；</w:t>
                  </w:r>
                </w:p>
                <w:p w14:paraId="14545C3C">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rPr>
                    <w:t>修箱车间</w:t>
                  </w:r>
                  <w:r>
                    <w:rPr>
                      <w:rFonts w:hint="default" w:ascii="Times New Roman" w:hAnsi="Times New Roman" w:cs="Times New Roman"/>
                      <w:color w:val="auto"/>
                      <w:sz w:val="21"/>
                      <w:szCs w:val="21"/>
                      <w:highlight w:val="none"/>
                      <w:lang w:val="en-US" w:eastAsia="zh-CN"/>
                    </w:rPr>
                    <w:t>刷漆、晾干</w:t>
                  </w:r>
                  <w:r>
                    <w:rPr>
                      <w:rFonts w:hint="default" w:ascii="Times New Roman" w:hAnsi="Times New Roman" w:eastAsia="宋体" w:cs="Times New Roman"/>
                      <w:color w:val="auto"/>
                      <w:sz w:val="21"/>
                      <w:szCs w:val="21"/>
                      <w:highlight w:val="none"/>
                    </w:rPr>
                    <w:t>负压收集废气、废气处理设施设置</w:t>
                  </w:r>
                  <w:r>
                    <w:rPr>
                      <w:rFonts w:hint="default" w:ascii="Times New Roman" w:hAnsi="Times New Roman"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活性炭吸附装置，处理达标后经1根15m排气筒排放；</w:t>
                  </w:r>
                </w:p>
              </w:tc>
              <w:tc>
                <w:tcPr>
                  <w:tcW w:w="1865" w:type="dxa"/>
                  <w:noWrap w:val="0"/>
                  <w:vAlign w:val="center"/>
                </w:tcPr>
                <w:p w14:paraId="096DC1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w:t>
                  </w:r>
                </w:p>
              </w:tc>
            </w:tr>
            <w:tr w14:paraId="79C7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629" w:type="dxa"/>
                  <w:vMerge w:val="continue"/>
                  <w:noWrap w:val="0"/>
                  <w:vAlign w:val="center"/>
                </w:tcPr>
                <w:p w14:paraId="16B66CCC">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058F5331">
                  <w:pPr>
                    <w:pStyle w:val="143"/>
                    <w:spacing w:before="36" w:line="20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噪声治理</w:t>
                  </w:r>
                </w:p>
              </w:tc>
              <w:tc>
                <w:tcPr>
                  <w:tcW w:w="4521" w:type="dxa"/>
                  <w:noWrap w:val="0"/>
                  <w:vAlign w:val="center"/>
                </w:tcPr>
                <w:p w14:paraId="1937C5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隔声、减振</w:t>
                  </w:r>
                </w:p>
              </w:tc>
              <w:tc>
                <w:tcPr>
                  <w:tcW w:w="1865" w:type="dxa"/>
                  <w:noWrap w:val="0"/>
                  <w:vAlign w:val="center"/>
                </w:tcPr>
                <w:p w14:paraId="35DC21B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新增</w:t>
                  </w:r>
                </w:p>
              </w:tc>
            </w:tr>
            <w:tr w14:paraId="6FC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629" w:type="dxa"/>
                  <w:vMerge w:val="continue"/>
                  <w:noWrap w:val="0"/>
                  <w:vAlign w:val="center"/>
                </w:tcPr>
                <w:p w14:paraId="5452A6EE">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37032459">
                  <w:pPr>
                    <w:pStyle w:val="143"/>
                    <w:spacing w:before="68" w:line="221" w:lineRule="auto"/>
                    <w:ind w:left="0" w:leftChars="0" w:right="6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固废治理</w:t>
                  </w:r>
                </w:p>
              </w:tc>
              <w:tc>
                <w:tcPr>
                  <w:tcW w:w="4521" w:type="dxa"/>
                  <w:noWrap w:val="0"/>
                  <w:vAlign w:val="center"/>
                </w:tcPr>
                <w:p w14:paraId="1F15A4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本项目产生的一般固废包括集装箱清扫废物，除尘灰、废焊丝，暂存于厂区一般固废暂存间内，位于厂区东北角，面积</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，最大可储存</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t，定期交由</w:t>
                  </w:r>
                  <w:r>
                    <w:rPr>
                      <w:rFonts w:hint="default" w:ascii="Times New Roman" w:hAnsi="Times New Roman" w:cs="Times New Roman"/>
                      <w:color w:val="auto"/>
                      <w:sz w:val="21"/>
                      <w:szCs w:val="21"/>
                      <w:highlight w:val="none"/>
                      <w:lang w:val="en-US" w:eastAsia="zh-CN"/>
                    </w:rPr>
                    <w:t>市政</w:t>
                  </w:r>
                  <w:r>
                    <w:rPr>
                      <w:rFonts w:hint="default" w:ascii="Times New Roman" w:hAnsi="Times New Roman" w:eastAsia="宋体" w:cs="Times New Roman"/>
                      <w:color w:val="auto"/>
                      <w:sz w:val="21"/>
                      <w:szCs w:val="21"/>
                      <w:highlight w:val="none"/>
                    </w:rPr>
                    <w:t>清运。</w:t>
                  </w:r>
                </w:p>
              </w:tc>
              <w:tc>
                <w:tcPr>
                  <w:tcW w:w="1865" w:type="dxa"/>
                  <w:noWrap w:val="0"/>
                  <w:vAlign w:val="center"/>
                </w:tcPr>
                <w:p w14:paraId="18D97E83">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新增</w:t>
                  </w:r>
                </w:p>
              </w:tc>
            </w:tr>
            <w:tr w14:paraId="26F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629" w:type="dxa"/>
                  <w:vMerge w:val="continue"/>
                  <w:noWrap w:val="0"/>
                  <w:vAlign w:val="center"/>
                </w:tcPr>
                <w:p w14:paraId="57ECB913">
                  <w:pPr>
                    <w:ind w:left="0" w:leftChars="0" w:right="65" w:rightChars="0" w:firstLine="0" w:firstLineChars="0"/>
                    <w:jc w:val="center"/>
                    <w:rPr>
                      <w:rFonts w:hint="default" w:ascii="Times New Roman" w:hAnsi="Times New Roman" w:cs="Times New Roman"/>
                      <w:color w:val="auto"/>
                      <w:sz w:val="21"/>
                      <w:highlight w:val="none"/>
                    </w:rPr>
                  </w:pPr>
                </w:p>
              </w:tc>
              <w:tc>
                <w:tcPr>
                  <w:tcW w:w="1082" w:type="dxa"/>
                  <w:noWrap w:val="0"/>
                  <w:vAlign w:val="center"/>
                </w:tcPr>
                <w:p w14:paraId="5B0E7294">
                  <w:pPr>
                    <w:pStyle w:val="143"/>
                    <w:spacing w:before="68" w:line="221" w:lineRule="auto"/>
                    <w:ind w:left="0" w:leftChars="0" w:right="65" w:rightChars="0" w:firstLine="0" w:firstLineChars="0"/>
                    <w:jc w:val="center"/>
                    <w:rPr>
                      <w:rFonts w:hint="default" w:ascii="Times New Roman" w:hAnsi="Times New Roman" w:eastAsia="宋体" w:cs="Times New Roman"/>
                      <w:color w:val="auto"/>
                      <w:spacing w:val="-6"/>
                      <w:highlight w:val="none"/>
                      <w:lang w:val="en-US" w:eastAsia="zh-CN"/>
                    </w:rPr>
                  </w:pPr>
                  <w:r>
                    <w:rPr>
                      <w:rFonts w:hint="default" w:ascii="Times New Roman" w:hAnsi="Times New Roman" w:cs="Times New Roman"/>
                      <w:color w:val="auto"/>
                      <w:spacing w:val="-6"/>
                      <w:highlight w:val="none"/>
                      <w:lang w:val="en-US" w:eastAsia="zh-CN"/>
                    </w:rPr>
                    <w:t>危险废物治理</w:t>
                  </w:r>
                </w:p>
              </w:tc>
              <w:tc>
                <w:tcPr>
                  <w:tcW w:w="4521" w:type="dxa"/>
                  <w:noWrap w:val="0"/>
                  <w:vAlign w:val="center"/>
                </w:tcPr>
                <w:p w14:paraId="1AEE79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依托现有危废暂存间，定期委托有危险废物处理资质的单位处置</w:t>
                  </w:r>
                  <w:r>
                    <w:rPr>
                      <w:rFonts w:hint="eastAsia" w:cs="Times New Roman"/>
                      <w:b w:val="0"/>
                      <w:bCs/>
                      <w:color w:val="auto"/>
                      <w:spacing w:val="0"/>
                      <w:sz w:val="21"/>
                      <w:szCs w:val="21"/>
                      <w:highlight w:val="none"/>
                      <w:u w:val="none"/>
                      <w:lang w:val="en-US" w:eastAsia="zh-CN"/>
                    </w:rPr>
                    <w:t>，本项目依托原项目的危废暂存间，位置详见附图5。</w:t>
                  </w:r>
                </w:p>
              </w:tc>
              <w:tc>
                <w:tcPr>
                  <w:tcW w:w="1865" w:type="dxa"/>
                  <w:noWrap w:val="0"/>
                  <w:vAlign w:val="center"/>
                </w:tcPr>
                <w:p w14:paraId="3A146D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依托原有危废暂存间</w:t>
                  </w:r>
                </w:p>
              </w:tc>
            </w:tr>
          </w:tbl>
          <w:p w14:paraId="4AD1EAC8">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rPr>
              <w:t>、主要设备设施</w:t>
            </w:r>
          </w:p>
          <w:p w14:paraId="7270EE7E">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项目生产设备见表</w:t>
            </w: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rPr>
              <w:t>2。</w:t>
            </w:r>
          </w:p>
          <w:p w14:paraId="1377D4E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
                <w:color w:val="auto"/>
                <w:sz w:val="24"/>
                <w:highlight w:val="none"/>
                <w:lang w:val="en-GB"/>
              </w:rPr>
              <w:t>表</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lang w:val="en-GB"/>
              </w:rPr>
              <w:t>主要生产设备一览表</w:t>
            </w:r>
          </w:p>
          <w:tbl>
            <w:tblPr>
              <w:tblStyle w:val="142"/>
              <w:tblW w:w="7956"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2552"/>
              <w:gridCol w:w="1485"/>
              <w:gridCol w:w="1074"/>
              <w:gridCol w:w="1979"/>
            </w:tblGrid>
            <w:tr w14:paraId="43CE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866" w:type="dxa"/>
                  <w:noWrap w:val="0"/>
                  <w:vAlign w:val="center"/>
                </w:tcPr>
                <w:p w14:paraId="010C799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2" w:type="dxa"/>
                  <w:noWrap w:val="0"/>
                  <w:vAlign w:val="center"/>
                </w:tcPr>
                <w:p w14:paraId="1EDE3FD8">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名称</w:t>
                  </w:r>
                </w:p>
              </w:tc>
              <w:tc>
                <w:tcPr>
                  <w:tcW w:w="1485" w:type="dxa"/>
                  <w:noWrap w:val="0"/>
                  <w:vAlign w:val="center"/>
                </w:tcPr>
                <w:p w14:paraId="7ACDEB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1074" w:type="dxa"/>
                  <w:noWrap w:val="0"/>
                  <w:vAlign w:val="center"/>
                </w:tcPr>
                <w:p w14:paraId="5419F456">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数量</w:t>
                  </w:r>
                </w:p>
              </w:tc>
              <w:tc>
                <w:tcPr>
                  <w:tcW w:w="1979" w:type="dxa"/>
                  <w:noWrap w:val="0"/>
                  <w:vAlign w:val="center"/>
                </w:tcPr>
                <w:p w14:paraId="6B0CB3F5">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7FB6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6E4640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52" w:type="dxa"/>
                  <w:noWrap w:val="0"/>
                  <w:vAlign w:val="top"/>
                </w:tcPr>
                <w:p w14:paraId="7C8906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叉车</w:t>
                  </w:r>
                </w:p>
              </w:tc>
              <w:tc>
                <w:tcPr>
                  <w:tcW w:w="1485" w:type="dxa"/>
                  <w:noWrap w:val="0"/>
                  <w:vAlign w:val="top"/>
                </w:tcPr>
                <w:p w14:paraId="5BDFFB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合力</w:t>
                  </w:r>
                </w:p>
              </w:tc>
              <w:tc>
                <w:tcPr>
                  <w:tcW w:w="1074" w:type="dxa"/>
                  <w:noWrap w:val="0"/>
                  <w:vAlign w:val="top"/>
                </w:tcPr>
                <w:p w14:paraId="2B9C69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656EA35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1B6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866" w:type="dxa"/>
                  <w:noWrap w:val="0"/>
                  <w:vAlign w:val="top"/>
                </w:tcPr>
                <w:p w14:paraId="747B69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52" w:type="dxa"/>
                  <w:noWrap w:val="0"/>
                  <w:vAlign w:val="top"/>
                </w:tcPr>
                <w:p w14:paraId="0C78D5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集装箱堆垛机（空箱码放）</w:t>
                  </w:r>
                </w:p>
              </w:tc>
              <w:tc>
                <w:tcPr>
                  <w:tcW w:w="1485" w:type="dxa"/>
                  <w:noWrap w:val="0"/>
                  <w:vAlign w:val="top"/>
                </w:tcPr>
                <w:p w14:paraId="4CDE74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卡尔玛</w:t>
                  </w:r>
                </w:p>
              </w:tc>
              <w:tc>
                <w:tcPr>
                  <w:tcW w:w="1074" w:type="dxa"/>
                  <w:noWrap w:val="0"/>
                  <w:vAlign w:val="top"/>
                </w:tcPr>
                <w:p w14:paraId="470B73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30279C3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0D22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0CEF4F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52" w:type="dxa"/>
                  <w:noWrap w:val="0"/>
                  <w:vAlign w:val="top"/>
                </w:tcPr>
                <w:p w14:paraId="53DF5E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装载机（空箱堆放）</w:t>
                  </w:r>
                </w:p>
              </w:tc>
              <w:tc>
                <w:tcPr>
                  <w:tcW w:w="1485" w:type="dxa"/>
                  <w:noWrap w:val="0"/>
                  <w:vAlign w:val="top"/>
                </w:tcPr>
                <w:p w14:paraId="263F3D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4" w:type="dxa"/>
                  <w:noWrap w:val="0"/>
                  <w:vAlign w:val="top"/>
                </w:tcPr>
                <w:p w14:paraId="6A7CCA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442355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4EA8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1EC65A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552" w:type="dxa"/>
                  <w:noWrap w:val="0"/>
                  <w:vAlign w:val="top"/>
                </w:tcPr>
                <w:p w14:paraId="2863C4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二氧保护焊机</w:t>
                  </w:r>
                </w:p>
              </w:tc>
              <w:tc>
                <w:tcPr>
                  <w:tcW w:w="1485" w:type="dxa"/>
                  <w:noWrap w:val="0"/>
                  <w:vAlign w:val="top"/>
                </w:tcPr>
                <w:p w14:paraId="20FBC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NBC2506F</w:t>
                  </w:r>
                </w:p>
              </w:tc>
              <w:tc>
                <w:tcPr>
                  <w:tcW w:w="1074" w:type="dxa"/>
                  <w:noWrap w:val="0"/>
                  <w:vAlign w:val="top"/>
                </w:tcPr>
                <w:p w14:paraId="65E9FB0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2093E03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瑞玲</w:t>
                  </w:r>
                </w:p>
              </w:tc>
            </w:tr>
            <w:tr w14:paraId="7C24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067E93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552" w:type="dxa"/>
                  <w:noWrap w:val="0"/>
                  <w:vAlign w:val="top"/>
                </w:tcPr>
                <w:p w14:paraId="66AEED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二氧保护焊机（切割）</w:t>
                  </w:r>
                </w:p>
              </w:tc>
              <w:tc>
                <w:tcPr>
                  <w:tcW w:w="1485" w:type="dxa"/>
                  <w:noWrap w:val="0"/>
                  <w:vAlign w:val="top"/>
                </w:tcPr>
                <w:p w14:paraId="6089FF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NBC3006F</w:t>
                  </w:r>
                </w:p>
              </w:tc>
              <w:tc>
                <w:tcPr>
                  <w:tcW w:w="1074" w:type="dxa"/>
                  <w:noWrap w:val="0"/>
                  <w:vAlign w:val="top"/>
                </w:tcPr>
                <w:p w14:paraId="0F1EFB6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6E7C646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锐龙</w:t>
                  </w:r>
                </w:p>
              </w:tc>
            </w:tr>
            <w:tr w14:paraId="594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7085BF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52" w:type="dxa"/>
                  <w:noWrap w:val="0"/>
                  <w:vAlign w:val="top"/>
                </w:tcPr>
                <w:p w14:paraId="0E9E74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w:t>
                  </w:r>
                </w:p>
              </w:tc>
              <w:tc>
                <w:tcPr>
                  <w:tcW w:w="1485" w:type="dxa"/>
                  <w:noWrap w:val="0"/>
                  <w:vAlign w:val="top"/>
                </w:tcPr>
                <w:p w14:paraId="5E869A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WSME315B</w:t>
                  </w:r>
                </w:p>
              </w:tc>
              <w:tc>
                <w:tcPr>
                  <w:tcW w:w="1074" w:type="dxa"/>
                  <w:noWrap w:val="0"/>
                  <w:vAlign w:val="top"/>
                </w:tcPr>
                <w:p w14:paraId="0F18D24A">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C51A8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锐龙</w:t>
                  </w:r>
                </w:p>
              </w:tc>
            </w:tr>
            <w:tr w14:paraId="1F7E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91DDC4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2" w:type="dxa"/>
                  <w:noWrap w:val="0"/>
                  <w:vAlign w:val="top"/>
                </w:tcPr>
                <w:p w14:paraId="530708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电动扳手</w:t>
                  </w:r>
                </w:p>
              </w:tc>
              <w:tc>
                <w:tcPr>
                  <w:tcW w:w="1485" w:type="dxa"/>
                  <w:noWrap w:val="0"/>
                  <w:vAlign w:val="top"/>
                </w:tcPr>
                <w:p w14:paraId="3C02BD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1620W</w:t>
                  </w:r>
                </w:p>
              </w:tc>
              <w:tc>
                <w:tcPr>
                  <w:tcW w:w="1074" w:type="dxa"/>
                  <w:noWrap w:val="0"/>
                  <w:vAlign w:val="top"/>
                </w:tcPr>
                <w:p w14:paraId="31C8C100">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7240138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096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77E45C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552" w:type="dxa"/>
                  <w:noWrap w:val="0"/>
                  <w:vAlign w:val="top"/>
                </w:tcPr>
                <w:p w14:paraId="5713DA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电锯</w:t>
                  </w:r>
                </w:p>
              </w:tc>
              <w:tc>
                <w:tcPr>
                  <w:tcW w:w="1485" w:type="dxa"/>
                  <w:noWrap w:val="0"/>
                  <w:vAlign w:val="top"/>
                </w:tcPr>
                <w:p w14:paraId="7F2D6E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1520W</w:t>
                  </w:r>
                </w:p>
              </w:tc>
              <w:tc>
                <w:tcPr>
                  <w:tcW w:w="1074" w:type="dxa"/>
                  <w:noWrap w:val="0"/>
                  <w:vAlign w:val="top"/>
                </w:tcPr>
                <w:p w14:paraId="68CC39AF">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087FEC6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DAC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41BA3B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552" w:type="dxa"/>
                  <w:noWrap w:val="0"/>
                  <w:vAlign w:val="top"/>
                </w:tcPr>
                <w:p w14:paraId="6D5F0E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手电钻</w:t>
                  </w:r>
                </w:p>
              </w:tc>
              <w:tc>
                <w:tcPr>
                  <w:tcW w:w="1485" w:type="dxa"/>
                  <w:noWrap w:val="0"/>
                  <w:vAlign w:val="top"/>
                </w:tcPr>
                <w:p w14:paraId="3915B7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w:t>
                  </w:r>
                </w:p>
              </w:tc>
              <w:tc>
                <w:tcPr>
                  <w:tcW w:w="1074" w:type="dxa"/>
                  <w:noWrap w:val="0"/>
                  <w:vAlign w:val="top"/>
                </w:tcPr>
                <w:p w14:paraId="71D3DA0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5872FC6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49E6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5D615D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552" w:type="dxa"/>
                  <w:noWrap w:val="0"/>
                  <w:vAlign w:val="top"/>
                </w:tcPr>
                <w:p w14:paraId="076F3A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往复锯</w:t>
                  </w:r>
                </w:p>
              </w:tc>
              <w:tc>
                <w:tcPr>
                  <w:tcW w:w="1485" w:type="dxa"/>
                  <w:noWrap w:val="0"/>
                  <w:vAlign w:val="top"/>
                </w:tcPr>
                <w:p w14:paraId="039A5E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590W</w:t>
                  </w:r>
                </w:p>
              </w:tc>
              <w:tc>
                <w:tcPr>
                  <w:tcW w:w="1074" w:type="dxa"/>
                  <w:noWrap w:val="0"/>
                  <w:vAlign w:val="top"/>
                </w:tcPr>
                <w:p w14:paraId="2BF4BD48">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1979" w:type="dxa"/>
                  <w:shd w:val="clear" w:color="auto" w:fill="auto"/>
                  <w:noWrap w:val="0"/>
                  <w:vAlign w:val="top"/>
                </w:tcPr>
                <w:p w14:paraId="3C41BA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东成</w:t>
                  </w:r>
                </w:p>
              </w:tc>
            </w:tr>
            <w:tr w14:paraId="613D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49B49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552" w:type="dxa"/>
                  <w:noWrap w:val="0"/>
                  <w:vAlign w:val="top"/>
                </w:tcPr>
                <w:p w14:paraId="2DD9CB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4FC95C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SDJ90</w:t>
                  </w:r>
                </w:p>
              </w:tc>
              <w:tc>
                <w:tcPr>
                  <w:tcW w:w="1074" w:type="dxa"/>
                  <w:noWrap w:val="0"/>
                  <w:vAlign w:val="top"/>
                </w:tcPr>
                <w:p w14:paraId="1BD929C0">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60B2C98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Sany</w:t>
                  </w:r>
                </w:p>
              </w:tc>
            </w:tr>
            <w:tr w14:paraId="1F28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6E86C6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552" w:type="dxa"/>
                  <w:noWrap w:val="0"/>
                  <w:vAlign w:val="top"/>
                </w:tcPr>
                <w:p w14:paraId="10CFA0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399224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ECT80</w:t>
                  </w:r>
                </w:p>
              </w:tc>
              <w:tc>
                <w:tcPr>
                  <w:tcW w:w="1074" w:type="dxa"/>
                  <w:noWrap w:val="0"/>
                  <w:vAlign w:val="top"/>
                </w:tcPr>
                <w:p w14:paraId="0F53CC6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08C025E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Kalmar</w:t>
                  </w:r>
                </w:p>
              </w:tc>
            </w:tr>
            <w:tr w14:paraId="21CD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8890D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552" w:type="dxa"/>
                  <w:noWrap w:val="0"/>
                  <w:vAlign w:val="top"/>
                </w:tcPr>
                <w:p w14:paraId="716B4A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集装箱堆高机</w:t>
                  </w:r>
                </w:p>
              </w:tc>
              <w:tc>
                <w:tcPr>
                  <w:tcW w:w="1485" w:type="dxa"/>
                  <w:noWrap w:val="0"/>
                  <w:vAlign w:val="top"/>
                </w:tcPr>
                <w:p w14:paraId="04C88E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ECT90</w:t>
                  </w:r>
                </w:p>
              </w:tc>
              <w:tc>
                <w:tcPr>
                  <w:tcW w:w="1074" w:type="dxa"/>
                  <w:noWrap w:val="0"/>
                  <w:vAlign w:val="top"/>
                </w:tcPr>
                <w:p w14:paraId="769F43F7">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1979" w:type="dxa"/>
                  <w:shd w:val="clear" w:color="auto" w:fill="auto"/>
                  <w:noWrap w:val="0"/>
                  <w:vAlign w:val="top"/>
                </w:tcPr>
                <w:p w14:paraId="5A58BC2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Kalmar</w:t>
                  </w:r>
                </w:p>
              </w:tc>
            </w:tr>
            <w:tr w14:paraId="047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E6BA8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552" w:type="dxa"/>
                  <w:shd w:val="clear" w:color="auto" w:fill="auto"/>
                  <w:noWrap w:val="0"/>
                  <w:vAlign w:val="top"/>
                </w:tcPr>
                <w:p w14:paraId="0A10B8F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修箱专用配电箱</w:t>
                  </w:r>
                </w:p>
              </w:tc>
              <w:tc>
                <w:tcPr>
                  <w:tcW w:w="1485" w:type="dxa"/>
                  <w:shd w:val="clear" w:color="auto" w:fill="auto"/>
                  <w:noWrap w:val="0"/>
                  <w:vAlign w:val="top"/>
                </w:tcPr>
                <w:p w14:paraId="709BCE7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65C7F5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979" w:type="dxa"/>
                  <w:shd w:val="clear" w:color="auto" w:fill="auto"/>
                  <w:noWrap w:val="0"/>
                  <w:vAlign w:val="top"/>
                </w:tcPr>
                <w:p w14:paraId="5DFF938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定制</w:t>
                  </w:r>
                </w:p>
              </w:tc>
            </w:tr>
            <w:tr w14:paraId="535F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3F376E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552" w:type="dxa"/>
                  <w:shd w:val="clear" w:color="auto" w:fill="auto"/>
                  <w:noWrap w:val="0"/>
                  <w:vAlign w:val="top"/>
                </w:tcPr>
                <w:p w14:paraId="2CD50519">
                  <w:pPr>
                    <w:jc w:val="center"/>
                    <w:rPr>
                      <w:rFonts w:hint="default" w:ascii="Times New Roman" w:hAnsi="Times New Roman" w:eastAsia="宋体" w:cs="Times New Roman"/>
                      <w:color w:val="auto"/>
                      <w:sz w:val="21"/>
                      <w:szCs w:val="21"/>
                      <w:highlight w:val="none"/>
                    </w:rPr>
                  </w:pPr>
                  <w:r>
                    <w:rPr>
                      <w:rFonts w:hint="eastAsia"/>
                      <w:color w:val="auto"/>
                      <w:highlight w:val="none"/>
                    </w:rPr>
                    <w:t>移动式焊接烟尘净化器</w:t>
                  </w:r>
                </w:p>
              </w:tc>
              <w:tc>
                <w:tcPr>
                  <w:tcW w:w="1485" w:type="dxa"/>
                  <w:shd w:val="clear" w:color="auto" w:fill="auto"/>
                  <w:noWrap w:val="0"/>
                  <w:vAlign w:val="top"/>
                </w:tcPr>
                <w:p w14:paraId="37B970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4E0B2A2F">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979" w:type="dxa"/>
                  <w:shd w:val="clear" w:color="auto" w:fill="auto"/>
                  <w:noWrap w:val="0"/>
                  <w:vAlign w:val="top"/>
                </w:tcPr>
                <w:p w14:paraId="355230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77F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866" w:type="dxa"/>
                  <w:noWrap w:val="0"/>
                  <w:vAlign w:val="top"/>
                </w:tcPr>
                <w:p w14:paraId="277356E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2552" w:type="dxa"/>
                  <w:shd w:val="clear" w:color="auto" w:fill="auto"/>
                  <w:noWrap w:val="0"/>
                  <w:vAlign w:val="top"/>
                </w:tcPr>
                <w:p w14:paraId="7EBF6F9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刷漆</w:t>
                  </w:r>
                  <w:r>
                    <w:rPr>
                      <w:rFonts w:hint="default" w:ascii="Times New Roman" w:hAnsi="Times New Roman" w:eastAsia="宋体" w:cs="Times New Roman"/>
                      <w:color w:val="auto"/>
                      <w:sz w:val="21"/>
                      <w:szCs w:val="21"/>
                      <w:highlight w:val="none"/>
                    </w:rPr>
                    <w:t>废气处理设备</w:t>
                  </w:r>
                </w:p>
              </w:tc>
              <w:tc>
                <w:tcPr>
                  <w:tcW w:w="1485" w:type="dxa"/>
                  <w:shd w:val="clear" w:color="auto" w:fill="auto"/>
                  <w:noWrap w:val="0"/>
                  <w:vAlign w:val="top"/>
                </w:tcPr>
                <w:p w14:paraId="0767DC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74" w:type="dxa"/>
                  <w:shd w:val="clear" w:color="auto" w:fill="auto"/>
                  <w:noWrap w:val="0"/>
                  <w:vAlign w:val="top"/>
                </w:tcPr>
                <w:p w14:paraId="53FDF0D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979" w:type="dxa"/>
                  <w:shd w:val="clear" w:color="auto" w:fill="auto"/>
                  <w:noWrap w:val="0"/>
                  <w:vAlign w:val="top"/>
                </w:tcPr>
                <w:p w14:paraId="57BEDDD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定制，详见后表</w:t>
                  </w:r>
                </w:p>
              </w:tc>
            </w:tr>
          </w:tbl>
          <w:p w14:paraId="70EA8156">
            <w:pPr>
              <w:keepNext w:val="0"/>
              <w:keepLines w:val="0"/>
              <w:pageBreakBefore w:val="0"/>
              <w:suppressLineNumbers w:val="0"/>
              <w:kinsoku/>
              <w:wordWrap/>
              <w:overflowPunct/>
              <w:bidi w:val="0"/>
              <w:adjustRightInd/>
              <w:spacing w:before="0" w:beforeAutospacing="0" w:after="0" w:afterAutospacing="0" w:line="240" w:lineRule="auto"/>
              <w:ind w:left="0" w:right="0" w:firstLine="480"/>
              <w:jc w:val="center"/>
              <w:textAlignment w:val="auto"/>
              <w:rPr>
                <w:rFonts w:hint="default" w:ascii="Times New Roman" w:hAnsi="Times New Roman" w:cs="Times New Roman"/>
                <w:b/>
                <w:bCs/>
                <w:color w:val="auto"/>
                <w:spacing w:val="-2"/>
                <w:sz w:val="24"/>
                <w:szCs w:val="24"/>
                <w:highlight w:val="none"/>
              </w:rPr>
            </w:pPr>
          </w:p>
          <w:p w14:paraId="03F831CD">
            <w:pPr>
              <w:keepNext w:val="0"/>
              <w:keepLines w:val="0"/>
              <w:pageBreakBefore w:val="0"/>
              <w:suppressLineNumbers w:val="0"/>
              <w:kinsoku/>
              <w:wordWrap/>
              <w:overflowPunct/>
              <w:bidi w:val="0"/>
              <w:adjustRightInd/>
              <w:spacing w:before="0" w:beforeAutospacing="0" w:after="0" w:afterAutospacing="0" w:line="240" w:lineRule="auto"/>
              <w:ind w:left="0" w:right="0" w:firstLine="48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3</w:t>
            </w:r>
            <w:r>
              <w:rPr>
                <w:rFonts w:hint="default" w:ascii="Times New Roman" w:hAnsi="Times New Roman" w:cs="Times New Roman"/>
                <w:b/>
                <w:bCs/>
                <w:color w:val="auto"/>
                <w:spacing w:val="-2"/>
                <w:sz w:val="24"/>
                <w:szCs w:val="24"/>
                <w:highlight w:val="none"/>
              </w:rPr>
              <w:t>修箱车间</w:t>
            </w:r>
            <w:r>
              <w:rPr>
                <w:rFonts w:hint="eastAsia" w:cs="Times New Roman"/>
                <w:b/>
                <w:bCs/>
                <w:color w:val="auto"/>
                <w:spacing w:val="-2"/>
                <w:sz w:val="24"/>
                <w:szCs w:val="24"/>
                <w:highlight w:val="none"/>
                <w:lang w:val="en-US" w:eastAsia="zh-CN"/>
              </w:rPr>
              <w:t>刷漆废气处理</w:t>
            </w:r>
            <w:r>
              <w:rPr>
                <w:rFonts w:hint="default" w:ascii="Times New Roman" w:hAnsi="Times New Roman" w:cs="Times New Roman"/>
                <w:b/>
                <w:bCs/>
                <w:color w:val="auto"/>
                <w:spacing w:val="-2"/>
                <w:sz w:val="24"/>
                <w:szCs w:val="24"/>
                <w:highlight w:val="none"/>
              </w:rPr>
              <w:t>技术参数</w:t>
            </w:r>
          </w:p>
          <w:tbl>
            <w:tblPr>
              <w:tblStyle w:val="142"/>
              <w:tblW w:w="7758"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1"/>
              <w:gridCol w:w="3190"/>
              <w:gridCol w:w="1"/>
              <w:gridCol w:w="990"/>
              <w:gridCol w:w="1"/>
              <w:gridCol w:w="2717"/>
            </w:tblGrid>
            <w:tr w14:paraId="7019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858" w:type="dxa"/>
                  <w:noWrap w:val="0"/>
                  <w:vAlign w:val="top"/>
                </w:tcPr>
                <w:p w14:paraId="0A81F854">
                  <w:pPr>
                    <w:pStyle w:val="143"/>
                    <w:spacing w:before="65" w:line="222" w:lineRule="auto"/>
                    <w:ind w:left="30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序号</w:t>
                  </w:r>
                </w:p>
              </w:tc>
              <w:tc>
                <w:tcPr>
                  <w:tcW w:w="3191" w:type="dxa"/>
                  <w:gridSpan w:val="2"/>
                  <w:noWrap w:val="0"/>
                  <w:vAlign w:val="top"/>
                </w:tcPr>
                <w:p w14:paraId="520D95E3">
                  <w:pPr>
                    <w:pStyle w:val="143"/>
                    <w:spacing w:before="65" w:line="221" w:lineRule="auto"/>
                    <w:ind w:left="1145"/>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项目</w:t>
                  </w:r>
                </w:p>
              </w:tc>
              <w:tc>
                <w:tcPr>
                  <w:tcW w:w="991" w:type="dxa"/>
                  <w:gridSpan w:val="2"/>
                  <w:noWrap w:val="0"/>
                  <w:vAlign w:val="top"/>
                </w:tcPr>
                <w:p w14:paraId="0D6759BB">
                  <w:pPr>
                    <w:pStyle w:val="143"/>
                    <w:spacing w:before="65" w:line="221" w:lineRule="auto"/>
                    <w:ind w:left="332"/>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单位</w:t>
                  </w:r>
                </w:p>
              </w:tc>
              <w:tc>
                <w:tcPr>
                  <w:tcW w:w="2718" w:type="dxa"/>
                  <w:gridSpan w:val="2"/>
                  <w:noWrap w:val="0"/>
                  <w:vAlign w:val="top"/>
                </w:tcPr>
                <w:p w14:paraId="6CD2F0FB">
                  <w:pPr>
                    <w:pStyle w:val="143"/>
                    <w:spacing w:before="64" w:line="221" w:lineRule="auto"/>
                    <w:ind w:left="889"/>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规格</w:t>
                  </w:r>
                </w:p>
              </w:tc>
            </w:tr>
            <w:tr w14:paraId="065F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3EF238C9">
                  <w:pPr>
                    <w:spacing w:before="112" w:line="189" w:lineRule="auto"/>
                    <w:ind w:left="47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3191" w:type="dxa"/>
                  <w:gridSpan w:val="2"/>
                  <w:noWrap w:val="0"/>
                  <w:vAlign w:val="top"/>
                </w:tcPr>
                <w:p w14:paraId="14C6D5F7">
                  <w:pPr>
                    <w:pStyle w:val="143"/>
                    <w:spacing w:before="75" w:line="221" w:lineRule="auto"/>
                    <w:ind w:left="1089"/>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修箱车间型式</w:t>
                  </w:r>
                </w:p>
              </w:tc>
              <w:tc>
                <w:tcPr>
                  <w:tcW w:w="991" w:type="dxa"/>
                  <w:gridSpan w:val="2"/>
                  <w:noWrap w:val="0"/>
                  <w:vAlign w:val="top"/>
                </w:tcPr>
                <w:p w14:paraId="3D2F34BA">
                  <w:pPr>
                    <w:spacing w:before="201" w:line="101" w:lineRule="exact"/>
                    <w:ind w:left="47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8" w:type="dxa"/>
                  <w:gridSpan w:val="2"/>
                  <w:noWrap w:val="0"/>
                  <w:vAlign w:val="top"/>
                </w:tcPr>
                <w:p w14:paraId="73C4FEFC">
                  <w:pPr>
                    <w:pStyle w:val="143"/>
                    <w:spacing w:before="75" w:line="221" w:lineRule="auto"/>
                    <w:ind w:left="1095"/>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钢结构</w:t>
                  </w:r>
                </w:p>
              </w:tc>
            </w:tr>
            <w:tr w14:paraId="37BC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42209C03">
                  <w:pPr>
                    <w:spacing w:before="112" w:line="189" w:lineRule="auto"/>
                    <w:ind w:left="45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3191" w:type="dxa"/>
                  <w:gridSpan w:val="2"/>
                  <w:noWrap w:val="0"/>
                  <w:vAlign w:val="top"/>
                </w:tcPr>
                <w:p w14:paraId="1993EF39">
                  <w:pPr>
                    <w:pStyle w:val="143"/>
                    <w:spacing w:before="76" w:line="221" w:lineRule="auto"/>
                    <w:ind w:left="12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送风方式</w:t>
                  </w:r>
                </w:p>
              </w:tc>
              <w:tc>
                <w:tcPr>
                  <w:tcW w:w="991" w:type="dxa"/>
                  <w:gridSpan w:val="2"/>
                  <w:noWrap w:val="0"/>
                  <w:vAlign w:val="top"/>
                </w:tcPr>
                <w:p w14:paraId="01F967DF">
                  <w:pPr>
                    <w:spacing w:before="201" w:line="101" w:lineRule="exact"/>
                    <w:ind w:left="47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8" w:type="dxa"/>
                  <w:gridSpan w:val="2"/>
                  <w:noWrap w:val="0"/>
                  <w:vAlign w:val="top"/>
                </w:tcPr>
                <w:p w14:paraId="213B16AE">
                  <w:pPr>
                    <w:pStyle w:val="143"/>
                    <w:spacing w:before="75" w:line="221" w:lineRule="auto"/>
                    <w:ind w:left="889"/>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后抽微负压</w:t>
                  </w:r>
                </w:p>
              </w:tc>
            </w:tr>
            <w:tr w14:paraId="3F9C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739577B9">
                  <w:pPr>
                    <w:spacing w:before="112" w:line="189" w:lineRule="auto"/>
                    <w:ind w:left="4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3191" w:type="dxa"/>
                  <w:gridSpan w:val="2"/>
                  <w:noWrap w:val="0"/>
                  <w:vAlign w:val="top"/>
                </w:tcPr>
                <w:p w14:paraId="0D3642FE">
                  <w:pPr>
                    <w:pStyle w:val="143"/>
                    <w:spacing w:before="76" w:line="220" w:lineRule="auto"/>
                    <w:ind w:left="88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末端抽风风机风量</w:t>
                  </w:r>
                </w:p>
              </w:tc>
              <w:tc>
                <w:tcPr>
                  <w:tcW w:w="991" w:type="dxa"/>
                  <w:gridSpan w:val="2"/>
                  <w:noWrap w:val="0"/>
                  <w:vAlign w:val="top"/>
                </w:tcPr>
                <w:p w14:paraId="44FB0244">
                  <w:pPr>
                    <w:spacing w:before="92" w:line="241"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02A78EF8">
                  <w:pPr>
                    <w:spacing w:before="112" w:line="189" w:lineRule="auto"/>
                    <w:ind w:left="115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30000</w:t>
                  </w:r>
                </w:p>
              </w:tc>
            </w:tr>
            <w:tr w14:paraId="51D0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858" w:type="dxa"/>
                  <w:noWrap w:val="0"/>
                  <w:vAlign w:val="top"/>
                </w:tcPr>
                <w:p w14:paraId="5094B00B">
                  <w:pPr>
                    <w:spacing w:before="113" w:line="189" w:lineRule="auto"/>
                    <w:ind w:left="457"/>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3191" w:type="dxa"/>
                  <w:gridSpan w:val="2"/>
                  <w:noWrap w:val="0"/>
                  <w:vAlign w:val="top"/>
                </w:tcPr>
                <w:p w14:paraId="3B3E8902">
                  <w:pPr>
                    <w:pStyle w:val="143"/>
                    <w:spacing w:before="76" w:line="220" w:lineRule="auto"/>
                    <w:ind w:left="109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脱附风机风量</w:t>
                  </w:r>
                </w:p>
              </w:tc>
              <w:tc>
                <w:tcPr>
                  <w:tcW w:w="991" w:type="dxa"/>
                  <w:gridSpan w:val="2"/>
                  <w:noWrap w:val="0"/>
                  <w:vAlign w:val="top"/>
                </w:tcPr>
                <w:p w14:paraId="5F862943">
                  <w:pPr>
                    <w:spacing w:before="93" w:line="238"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36F22634">
                  <w:pPr>
                    <w:spacing w:before="113" w:line="189" w:lineRule="auto"/>
                    <w:ind w:left="120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3000</w:t>
                  </w:r>
                </w:p>
              </w:tc>
            </w:tr>
            <w:tr w14:paraId="4D02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8" w:type="dxa"/>
                  <w:noWrap w:val="0"/>
                  <w:vAlign w:val="top"/>
                </w:tcPr>
                <w:p w14:paraId="357C74BD">
                  <w:pPr>
                    <w:spacing w:before="119" w:line="186" w:lineRule="auto"/>
                    <w:ind w:left="46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3191" w:type="dxa"/>
                  <w:gridSpan w:val="2"/>
                  <w:noWrap w:val="0"/>
                  <w:vAlign w:val="top"/>
                </w:tcPr>
                <w:p w14:paraId="186C4438">
                  <w:pPr>
                    <w:pStyle w:val="143"/>
                    <w:spacing w:before="79" w:line="220" w:lineRule="auto"/>
                    <w:ind w:left="983"/>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补风机（冷风）</w:t>
                  </w:r>
                </w:p>
              </w:tc>
              <w:tc>
                <w:tcPr>
                  <w:tcW w:w="991" w:type="dxa"/>
                  <w:gridSpan w:val="2"/>
                  <w:noWrap w:val="0"/>
                  <w:vAlign w:val="top"/>
                </w:tcPr>
                <w:p w14:paraId="0E1DC838">
                  <w:pPr>
                    <w:spacing w:before="95" w:line="238" w:lineRule="auto"/>
                    <w:ind w:left="33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r>
                    <w:rPr>
                      <w:rFonts w:hint="default" w:ascii="Times New Roman" w:hAnsi="Times New Roman" w:eastAsia="Times New Roman" w:cs="Times New Roman"/>
                      <w:color w:val="auto"/>
                      <w:position w:val="6"/>
                      <w:sz w:val="13"/>
                      <w:szCs w:val="13"/>
                      <w:highlight w:val="none"/>
                    </w:rPr>
                    <w:t>3</w:t>
                  </w:r>
                  <w:r>
                    <w:rPr>
                      <w:rFonts w:hint="default" w:ascii="Times New Roman" w:hAnsi="Times New Roman" w:eastAsia="Times New Roman" w:cs="Times New Roman"/>
                      <w:color w:val="auto"/>
                      <w:sz w:val="21"/>
                      <w:szCs w:val="21"/>
                      <w:highlight w:val="none"/>
                    </w:rPr>
                    <w:t>/h</w:t>
                  </w:r>
                </w:p>
              </w:tc>
              <w:tc>
                <w:tcPr>
                  <w:tcW w:w="2718" w:type="dxa"/>
                  <w:gridSpan w:val="2"/>
                  <w:noWrap w:val="0"/>
                  <w:vAlign w:val="top"/>
                </w:tcPr>
                <w:p w14:paraId="1B6F5211">
                  <w:pPr>
                    <w:spacing w:before="116" w:line="189" w:lineRule="auto"/>
                    <w:ind w:left="119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2000</w:t>
                  </w:r>
                </w:p>
              </w:tc>
            </w:tr>
            <w:tr w14:paraId="3097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858" w:type="dxa"/>
                  <w:noWrap w:val="0"/>
                  <w:vAlign w:val="top"/>
                </w:tcPr>
                <w:p w14:paraId="5E1A477C">
                  <w:pPr>
                    <w:spacing w:before="114" w:line="189" w:lineRule="auto"/>
                    <w:ind w:left="46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3191" w:type="dxa"/>
                  <w:gridSpan w:val="2"/>
                  <w:noWrap w:val="0"/>
                  <w:vAlign w:val="top"/>
                </w:tcPr>
                <w:p w14:paraId="0DAD1AF3">
                  <w:pPr>
                    <w:pStyle w:val="143"/>
                    <w:spacing w:before="77" w:line="220" w:lineRule="auto"/>
                    <w:ind w:left="130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风机数量</w:t>
                  </w:r>
                </w:p>
              </w:tc>
              <w:tc>
                <w:tcPr>
                  <w:tcW w:w="991" w:type="dxa"/>
                  <w:gridSpan w:val="2"/>
                  <w:noWrap w:val="0"/>
                  <w:vAlign w:val="top"/>
                </w:tcPr>
                <w:p w14:paraId="3398569F">
                  <w:pPr>
                    <w:pStyle w:val="143"/>
                    <w:spacing w:before="77" w:line="223" w:lineRule="auto"/>
                    <w:ind w:left="450"/>
                    <w:rPr>
                      <w:rFonts w:hint="default" w:ascii="Times New Roman" w:hAnsi="Times New Roman" w:cs="Times New Roman"/>
                      <w:color w:val="auto"/>
                      <w:highlight w:val="none"/>
                    </w:rPr>
                  </w:pPr>
                  <w:r>
                    <w:rPr>
                      <w:rFonts w:hint="default" w:ascii="Times New Roman" w:hAnsi="Times New Roman" w:cs="Times New Roman"/>
                      <w:color w:val="auto"/>
                      <w:highlight w:val="none"/>
                    </w:rPr>
                    <w:t>台</w:t>
                  </w:r>
                </w:p>
              </w:tc>
              <w:tc>
                <w:tcPr>
                  <w:tcW w:w="2718" w:type="dxa"/>
                  <w:gridSpan w:val="2"/>
                  <w:noWrap w:val="0"/>
                  <w:vAlign w:val="top"/>
                </w:tcPr>
                <w:p w14:paraId="4156F4C7">
                  <w:pPr>
                    <w:spacing w:before="114" w:line="189" w:lineRule="auto"/>
                    <w:ind w:left="136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r>
            <w:tr w14:paraId="0975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859" w:type="dxa"/>
                  <w:gridSpan w:val="2"/>
                  <w:noWrap w:val="0"/>
                  <w:vAlign w:val="top"/>
                </w:tcPr>
                <w:p w14:paraId="6BE5BB13">
                  <w:pPr>
                    <w:spacing w:before="138" w:line="186" w:lineRule="auto"/>
                    <w:ind w:left="46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3191" w:type="dxa"/>
                  <w:gridSpan w:val="2"/>
                  <w:noWrap w:val="0"/>
                  <w:vAlign w:val="top"/>
                </w:tcPr>
                <w:p w14:paraId="1EE10B45">
                  <w:pPr>
                    <w:pStyle w:val="143"/>
                    <w:spacing w:before="98" w:line="220" w:lineRule="auto"/>
                    <w:ind w:left="73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室体尺寸（</w:t>
                  </w:r>
                  <w:r>
                    <w:rPr>
                      <w:rFonts w:hint="default" w:ascii="Times New Roman" w:hAnsi="Times New Roman" w:eastAsia="Times New Roman" w:cs="Times New Roman"/>
                      <w:color w:val="auto"/>
                      <w:spacing w:val="-2"/>
                      <w:highlight w:val="none"/>
                    </w:rPr>
                    <w:t>L×W×H</w:t>
                  </w:r>
                  <w:r>
                    <w:rPr>
                      <w:rFonts w:hint="default" w:ascii="Times New Roman" w:hAnsi="Times New Roman" w:cs="Times New Roman"/>
                      <w:color w:val="auto"/>
                      <w:spacing w:val="-2"/>
                      <w:highlight w:val="none"/>
                    </w:rPr>
                    <w:t>）</w:t>
                  </w:r>
                </w:p>
              </w:tc>
              <w:tc>
                <w:tcPr>
                  <w:tcW w:w="991" w:type="dxa"/>
                  <w:gridSpan w:val="2"/>
                  <w:noWrap w:val="0"/>
                  <w:vAlign w:val="top"/>
                </w:tcPr>
                <w:p w14:paraId="404210F8">
                  <w:pPr>
                    <w:spacing w:before="133" w:line="233" w:lineRule="auto"/>
                    <w:ind w:left="45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m</w:t>
                  </w:r>
                </w:p>
              </w:tc>
              <w:tc>
                <w:tcPr>
                  <w:tcW w:w="2717" w:type="dxa"/>
                  <w:noWrap w:val="0"/>
                  <w:vAlign w:val="top"/>
                </w:tcPr>
                <w:p w14:paraId="14BA2C7A">
                  <w:pPr>
                    <w:spacing w:before="135" w:line="189" w:lineRule="auto"/>
                    <w:ind w:left="1000"/>
                    <w:rPr>
                      <w:rFonts w:hint="default" w:ascii="Times New Roman" w:hAnsi="Times New Roman" w:eastAsia="Times New Roman" w:cs="Times New Roman"/>
                      <w:color w:val="auto"/>
                      <w:sz w:val="21"/>
                      <w:szCs w:val="21"/>
                      <w:highlight w:val="none"/>
                    </w:rPr>
                  </w:pPr>
                  <w:r>
                    <w:rPr>
                      <w:rFonts w:hint="eastAsia" w:eastAsia="宋体" w:cs="Times New Roman"/>
                      <w:color w:val="auto"/>
                      <w:spacing w:val="-1"/>
                      <w:sz w:val="21"/>
                      <w:szCs w:val="21"/>
                      <w:highlight w:val="none"/>
                      <w:lang w:val="en-US" w:eastAsia="zh-CN"/>
                    </w:rPr>
                    <w:t>25</w:t>
                  </w:r>
                  <w:r>
                    <w:rPr>
                      <w:rFonts w:hint="default" w:ascii="Times New Roman" w:hAnsi="Times New Roman" w:eastAsia="Times New Roman" w:cs="Times New Roman"/>
                      <w:color w:val="auto"/>
                      <w:spacing w:val="-1"/>
                      <w:sz w:val="21"/>
                      <w:szCs w:val="21"/>
                      <w:highlight w:val="none"/>
                    </w:rPr>
                    <w:t>×</w:t>
                  </w:r>
                  <w:r>
                    <w:rPr>
                      <w:rFonts w:hint="eastAsia" w:eastAsia="宋体" w:cs="Times New Roman"/>
                      <w:color w:val="auto"/>
                      <w:spacing w:val="-1"/>
                      <w:sz w:val="21"/>
                      <w:szCs w:val="21"/>
                      <w:highlight w:val="none"/>
                      <w:lang w:val="en-US" w:eastAsia="zh-CN"/>
                    </w:rPr>
                    <w:t>8</w:t>
                  </w:r>
                  <w:r>
                    <w:rPr>
                      <w:rFonts w:hint="default" w:ascii="Times New Roman" w:hAnsi="Times New Roman" w:eastAsia="Times New Roman" w:cs="Times New Roman"/>
                      <w:color w:val="auto"/>
                      <w:spacing w:val="-1"/>
                      <w:sz w:val="21"/>
                      <w:szCs w:val="21"/>
                      <w:highlight w:val="none"/>
                    </w:rPr>
                    <w:t>×4.5</w:t>
                  </w:r>
                </w:p>
              </w:tc>
            </w:tr>
            <w:tr w14:paraId="1007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11C3450D">
                  <w:pPr>
                    <w:spacing w:before="102" w:line="189" w:lineRule="auto"/>
                    <w:ind w:left="46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w:t>
                  </w:r>
                </w:p>
              </w:tc>
              <w:tc>
                <w:tcPr>
                  <w:tcW w:w="3191" w:type="dxa"/>
                  <w:gridSpan w:val="2"/>
                  <w:noWrap w:val="0"/>
                  <w:vAlign w:val="top"/>
                </w:tcPr>
                <w:p w14:paraId="23DA9714">
                  <w:pPr>
                    <w:pStyle w:val="143"/>
                    <w:spacing w:before="66" w:line="221" w:lineRule="auto"/>
                    <w:ind w:left="98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设备工作时噪声</w:t>
                  </w:r>
                </w:p>
              </w:tc>
              <w:tc>
                <w:tcPr>
                  <w:tcW w:w="991" w:type="dxa"/>
                  <w:gridSpan w:val="2"/>
                  <w:noWrap w:val="0"/>
                  <w:vAlign w:val="top"/>
                </w:tcPr>
                <w:p w14:paraId="26C25B87">
                  <w:pPr>
                    <w:pStyle w:val="143"/>
                    <w:spacing w:before="65" w:line="233" w:lineRule="auto"/>
                    <w:ind w:left="129"/>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dB</w:t>
                  </w: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A</w:t>
                  </w:r>
                  <w:r>
                    <w:rPr>
                      <w:rFonts w:hint="default" w:ascii="Times New Roman" w:hAnsi="Times New Roman" w:cs="Times New Roman"/>
                      <w:color w:val="auto"/>
                      <w:spacing w:val="-2"/>
                      <w:highlight w:val="none"/>
                    </w:rPr>
                    <w:t>）</w:t>
                  </w:r>
                </w:p>
              </w:tc>
              <w:tc>
                <w:tcPr>
                  <w:tcW w:w="2717" w:type="dxa"/>
                  <w:noWrap w:val="0"/>
                  <w:vAlign w:val="top"/>
                </w:tcPr>
                <w:p w14:paraId="16D1BA85">
                  <w:pPr>
                    <w:spacing w:before="101" w:line="219" w:lineRule="auto"/>
                    <w:ind w:left="124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≤80</w:t>
                  </w:r>
                </w:p>
              </w:tc>
            </w:tr>
            <w:tr w14:paraId="4760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3DBF74BD">
                  <w:pPr>
                    <w:spacing w:before="100" w:line="189" w:lineRule="auto"/>
                    <w:ind w:left="4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p>
              </w:tc>
              <w:tc>
                <w:tcPr>
                  <w:tcW w:w="3191" w:type="dxa"/>
                  <w:gridSpan w:val="2"/>
                  <w:noWrap w:val="0"/>
                  <w:vAlign w:val="top"/>
                </w:tcPr>
                <w:p w14:paraId="3408FCA7">
                  <w:pPr>
                    <w:pStyle w:val="143"/>
                    <w:spacing w:before="63" w:line="221" w:lineRule="auto"/>
                    <w:ind w:left="109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室内光照度：</w:t>
                  </w:r>
                </w:p>
              </w:tc>
              <w:tc>
                <w:tcPr>
                  <w:tcW w:w="991" w:type="dxa"/>
                  <w:gridSpan w:val="2"/>
                  <w:noWrap w:val="0"/>
                  <w:vAlign w:val="top"/>
                </w:tcPr>
                <w:p w14:paraId="0F9C8B91">
                  <w:pPr>
                    <w:spacing w:before="103" w:line="186" w:lineRule="auto"/>
                    <w:ind w:left="36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Lux</w:t>
                  </w:r>
                </w:p>
              </w:tc>
              <w:tc>
                <w:tcPr>
                  <w:tcW w:w="2717" w:type="dxa"/>
                  <w:noWrap w:val="0"/>
                  <w:vAlign w:val="top"/>
                </w:tcPr>
                <w:p w14:paraId="1983A2A9">
                  <w:pPr>
                    <w:spacing w:before="99" w:line="219" w:lineRule="auto"/>
                    <w:ind w:left="119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≥500</w:t>
                  </w:r>
                </w:p>
              </w:tc>
            </w:tr>
            <w:tr w14:paraId="65D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859" w:type="dxa"/>
                  <w:gridSpan w:val="2"/>
                  <w:noWrap w:val="0"/>
                  <w:vAlign w:val="top"/>
                </w:tcPr>
                <w:p w14:paraId="795F086A">
                  <w:pPr>
                    <w:spacing w:before="101" w:line="189" w:lineRule="auto"/>
                    <w:ind w:left="425"/>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w:t>
                  </w:r>
                </w:p>
              </w:tc>
              <w:tc>
                <w:tcPr>
                  <w:tcW w:w="3191" w:type="dxa"/>
                  <w:gridSpan w:val="2"/>
                  <w:noWrap w:val="0"/>
                  <w:vAlign w:val="top"/>
                </w:tcPr>
                <w:p w14:paraId="69B36ABC">
                  <w:pPr>
                    <w:pStyle w:val="143"/>
                    <w:spacing w:before="64" w:line="221" w:lineRule="auto"/>
                    <w:ind w:left="109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室内有载风速</w:t>
                  </w:r>
                </w:p>
              </w:tc>
              <w:tc>
                <w:tcPr>
                  <w:tcW w:w="991" w:type="dxa"/>
                  <w:gridSpan w:val="2"/>
                  <w:noWrap w:val="0"/>
                  <w:vAlign w:val="top"/>
                </w:tcPr>
                <w:p w14:paraId="453AF8F3">
                  <w:pPr>
                    <w:spacing w:before="99" w:line="233" w:lineRule="auto"/>
                    <w:ind w:left="38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m/s</w:t>
                  </w:r>
                </w:p>
              </w:tc>
              <w:tc>
                <w:tcPr>
                  <w:tcW w:w="2717" w:type="dxa"/>
                  <w:noWrap w:val="0"/>
                  <w:vAlign w:val="center"/>
                </w:tcPr>
                <w:p w14:paraId="4938DCB9">
                  <w:pPr>
                    <w:spacing w:before="49" w:beforeAutospacing="0" w:line="21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w:t>
                  </w:r>
                </w:p>
              </w:tc>
            </w:tr>
            <w:tr w14:paraId="088B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859" w:type="dxa"/>
                  <w:gridSpan w:val="2"/>
                  <w:noWrap w:val="0"/>
                  <w:vAlign w:val="top"/>
                </w:tcPr>
                <w:p w14:paraId="02CCEE1B">
                  <w:pPr>
                    <w:spacing w:before="206" w:line="189" w:lineRule="auto"/>
                    <w:ind w:left="425"/>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2"/>
                      <w:sz w:val="21"/>
                      <w:szCs w:val="21"/>
                      <w:highlight w:val="none"/>
                      <w:lang w:val="en-US" w:eastAsia="zh-CN"/>
                    </w:rPr>
                    <w:t>11</w:t>
                  </w:r>
                </w:p>
              </w:tc>
              <w:tc>
                <w:tcPr>
                  <w:tcW w:w="3191" w:type="dxa"/>
                  <w:gridSpan w:val="2"/>
                  <w:noWrap w:val="0"/>
                  <w:vAlign w:val="top"/>
                </w:tcPr>
                <w:p w14:paraId="070B6DDB">
                  <w:pPr>
                    <w:pStyle w:val="143"/>
                    <w:spacing w:before="170" w:line="225" w:lineRule="auto"/>
                    <w:ind w:left="1213"/>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1"/>
                      <w:highlight w:val="none"/>
                    </w:rPr>
                    <w:t>VOCs</w:t>
                  </w:r>
                  <w:r>
                    <w:rPr>
                      <w:rFonts w:hint="default" w:ascii="Times New Roman" w:hAnsi="Times New Roman" w:cs="Times New Roman"/>
                      <w:color w:val="auto"/>
                      <w:spacing w:val="-1"/>
                      <w:highlight w:val="none"/>
                    </w:rPr>
                    <w:t>处理</w:t>
                  </w:r>
                </w:p>
              </w:tc>
              <w:tc>
                <w:tcPr>
                  <w:tcW w:w="991" w:type="dxa"/>
                  <w:gridSpan w:val="2"/>
                  <w:noWrap w:val="0"/>
                  <w:vAlign w:val="top"/>
                </w:tcPr>
                <w:p w14:paraId="50785F02">
                  <w:pPr>
                    <w:spacing w:before="295" w:line="101" w:lineRule="exact"/>
                    <w:ind w:left="469"/>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2"/>
                      <w:sz w:val="21"/>
                      <w:szCs w:val="21"/>
                      <w:highlight w:val="none"/>
                    </w:rPr>
                    <w:t>--</w:t>
                  </w:r>
                </w:p>
              </w:tc>
              <w:tc>
                <w:tcPr>
                  <w:tcW w:w="2717" w:type="dxa"/>
                  <w:noWrap w:val="0"/>
                  <w:vAlign w:val="center"/>
                </w:tcPr>
                <w:p w14:paraId="4CC34CB6">
                  <w:pPr>
                    <w:pStyle w:val="143"/>
                    <w:spacing w:before="32" w:line="228" w:lineRule="auto"/>
                    <w:ind w:left="1201" w:right="234" w:hanging="1065"/>
                    <w:jc w:val="center"/>
                    <w:rPr>
                      <w:rFonts w:hint="default" w:ascii="Times New Roman" w:hAnsi="Times New Roman" w:cs="Times New Roman"/>
                      <w:color w:val="auto"/>
                      <w:highlight w:val="none"/>
                    </w:rPr>
                  </w:pPr>
                  <w:r>
                    <w:rPr>
                      <w:rFonts w:hint="default" w:ascii="Times New Roman" w:hAnsi="Times New Roman" w:eastAsia="宋体" w:cs="Times New Roman"/>
                      <w:color w:val="auto"/>
                      <w:spacing w:val="-1"/>
                      <w:highlight w:val="none"/>
                      <w:lang w:val="en-US" w:eastAsia="zh-CN"/>
                    </w:rPr>
                    <w:t>二级</w:t>
                  </w:r>
                  <w:r>
                    <w:rPr>
                      <w:rFonts w:hint="default" w:ascii="Times New Roman" w:hAnsi="Times New Roman" w:cs="Times New Roman"/>
                      <w:color w:val="auto"/>
                      <w:spacing w:val="-1"/>
                      <w:highlight w:val="none"/>
                    </w:rPr>
                    <w:t>活性炭吸附</w:t>
                  </w:r>
                </w:p>
              </w:tc>
            </w:tr>
          </w:tbl>
          <w:p w14:paraId="6CFB0E89">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、原辅材料消耗</w:t>
            </w:r>
          </w:p>
          <w:p w14:paraId="4B7862D9">
            <w:pPr>
              <w:pStyle w:val="143"/>
              <w:keepNext w:val="0"/>
              <w:keepLines w:val="0"/>
              <w:suppressLineNumbers w:val="0"/>
              <w:spacing w:before="157" w:beforeAutospacing="0" w:after="0" w:afterAutospacing="0" w:line="360" w:lineRule="auto"/>
              <w:ind w:left="106" w:right="96"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根据建设单位提供资料，本项目主要原辅料中与污染排放有关的物质元素主要为：在</w:t>
            </w:r>
            <w:r>
              <w:rPr>
                <w:rFonts w:hint="default" w:ascii="Times New Roman" w:hAnsi="Times New Roman" w:cs="Times New Roman"/>
                <w:color w:val="auto"/>
                <w:spacing w:val="-1"/>
                <w:sz w:val="24"/>
                <w:szCs w:val="24"/>
                <w:highlight w:val="none"/>
              </w:rPr>
              <w:t>修箱时主要使用</w:t>
            </w:r>
            <w:r>
              <w:rPr>
                <w:rFonts w:hint="default" w:ascii="Times New Roman" w:hAnsi="Times New Roman" w:cs="Times New Roman"/>
                <w:color w:val="auto"/>
                <w:spacing w:val="-1"/>
                <w:sz w:val="24"/>
                <w:szCs w:val="24"/>
                <w:highlight w:val="none"/>
                <w:lang w:eastAsia="zh-CN"/>
              </w:rPr>
              <w:t>铁红色氯化橡胶面漆</w:t>
            </w:r>
            <w:r>
              <w:rPr>
                <w:rFonts w:hint="default" w:ascii="Times New Roman" w:hAnsi="Times New Roman" w:cs="Times New Roman"/>
                <w:color w:val="auto"/>
                <w:spacing w:val="-1"/>
                <w:sz w:val="24"/>
                <w:szCs w:val="24"/>
                <w:highlight w:val="none"/>
              </w:rPr>
              <w:t>和</w:t>
            </w:r>
            <w:r>
              <w:rPr>
                <w:rFonts w:hint="default" w:ascii="Times New Roman" w:hAnsi="Times New Roman" w:eastAsia="Times New Roman" w:cs="Times New Roman"/>
                <w:color w:val="auto"/>
                <w:spacing w:val="-1"/>
                <w:sz w:val="24"/>
                <w:szCs w:val="24"/>
                <w:highlight w:val="none"/>
              </w:rPr>
              <w:t>SC</w:t>
            </w:r>
            <w:r>
              <w:rPr>
                <w:rFonts w:hint="default" w:ascii="Times New Roman" w:hAnsi="Times New Roman" w:cs="Times New Roman"/>
                <w:color w:val="auto"/>
                <w:spacing w:val="-1"/>
                <w:sz w:val="24"/>
                <w:szCs w:val="24"/>
                <w:highlight w:val="none"/>
              </w:rPr>
              <w:t>稀释剂</w:t>
            </w:r>
            <w:r>
              <w:rPr>
                <w:rFonts w:hint="default" w:ascii="Times New Roman" w:hAnsi="Times New Roman" w:cs="Times New Roman"/>
                <w:color w:val="auto"/>
                <w:spacing w:val="-1"/>
                <w:sz w:val="24"/>
                <w:szCs w:val="24"/>
                <w:highlight w:val="none"/>
                <w:lang w:val="en-US" w:eastAsia="zh-CN"/>
              </w:rPr>
              <w:t>进行刷漆</w:t>
            </w:r>
            <w:r>
              <w:rPr>
                <w:rFonts w:hint="default" w:ascii="Times New Roman" w:hAnsi="Times New Roman" w:cs="Times New Roman"/>
                <w:color w:val="auto"/>
                <w:spacing w:val="-1"/>
                <w:sz w:val="24"/>
                <w:szCs w:val="24"/>
                <w:highlight w:val="none"/>
              </w:rPr>
              <w:t>。</w:t>
            </w:r>
          </w:p>
          <w:p w14:paraId="122B1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b/>
                <w:snapToGrid w:val="0"/>
                <w:color w:val="auto"/>
                <w:kern w:val="0"/>
                <w:sz w:val="24"/>
                <w:highlight w:val="none"/>
                <w:lang w:val="en-US" w:eastAsia="zh-CN"/>
              </w:rPr>
              <w:t>表2-4涂料主要成分一览表</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8"/>
              <w:gridCol w:w="1329"/>
              <w:gridCol w:w="2637"/>
              <w:gridCol w:w="1150"/>
              <w:gridCol w:w="850"/>
              <w:gridCol w:w="1115"/>
              <w:gridCol w:w="554"/>
            </w:tblGrid>
            <w:tr w14:paraId="3194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noWrap w:val="0"/>
                  <w:vAlign w:val="center"/>
                </w:tcPr>
                <w:p w14:paraId="2C8BF1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21" w:type="pct"/>
                  <w:noWrap w:val="0"/>
                  <w:vAlign w:val="center"/>
                </w:tcPr>
                <w:p w14:paraId="62DADE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29" w:type="pct"/>
                  <w:noWrap w:val="0"/>
                  <w:vAlign w:val="center"/>
                </w:tcPr>
                <w:p w14:paraId="328A3A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成分</w:t>
                  </w:r>
                </w:p>
              </w:tc>
              <w:tc>
                <w:tcPr>
                  <w:tcW w:w="710" w:type="pct"/>
                  <w:noWrap w:val="0"/>
                  <w:vAlign w:val="center"/>
                </w:tcPr>
                <w:p w14:paraId="6B958A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是否属于</w:t>
                  </w:r>
                  <w:r>
                    <w:rPr>
                      <w:rFonts w:hint="default" w:ascii="Times New Roman" w:hAnsi="Times New Roman" w:cs="Times New Roman"/>
                      <w:color w:val="auto"/>
                      <w:spacing w:val="0"/>
                      <w:sz w:val="21"/>
                      <w:szCs w:val="21"/>
                      <w:highlight w:val="none"/>
                      <w:lang w:val="en-US" w:eastAsia="zh-CN"/>
                    </w:rPr>
                    <w:t>VOCs物质</w:t>
                  </w:r>
                </w:p>
              </w:tc>
              <w:tc>
                <w:tcPr>
                  <w:tcW w:w="525" w:type="pct"/>
                  <w:noWrap w:val="0"/>
                  <w:vAlign w:val="center"/>
                </w:tcPr>
                <w:p w14:paraId="08609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质量分数</w:t>
                  </w:r>
                  <w:r>
                    <w:rPr>
                      <w:rFonts w:hint="default" w:ascii="Times New Roman" w:hAnsi="Times New Roman" w:eastAsia="宋体" w:cs="Times New Roman"/>
                      <w:color w:val="auto"/>
                      <w:sz w:val="21"/>
                      <w:szCs w:val="21"/>
                      <w:highlight w:val="none"/>
                      <w:lang w:val="en-US" w:eastAsia="zh-CN"/>
                    </w:rPr>
                    <w:t>范围</w:t>
                  </w:r>
                  <w:r>
                    <w:rPr>
                      <w:rFonts w:hint="default" w:ascii="Times New Roman" w:hAnsi="Times New Roman" w:eastAsia="宋体" w:cs="Times New Roman"/>
                      <w:color w:val="auto"/>
                      <w:sz w:val="21"/>
                      <w:szCs w:val="21"/>
                      <w:highlight w:val="none"/>
                    </w:rPr>
                    <w:t>%</w:t>
                  </w:r>
                </w:p>
              </w:tc>
              <w:tc>
                <w:tcPr>
                  <w:tcW w:w="688" w:type="pct"/>
                  <w:noWrap w:val="0"/>
                  <w:vAlign w:val="center"/>
                </w:tcPr>
                <w:p w14:paraId="3C3AAA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质量分数</w:t>
                  </w:r>
                  <w:r>
                    <w:rPr>
                      <w:rFonts w:hint="default" w:ascii="Times New Roman" w:hAnsi="Times New Roman" w:cs="Times New Roman"/>
                      <w:color w:val="auto"/>
                      <w:sz w:val="21"/>
                      <w:szCs w:val="21"/>
                      <w:highlight w:val="none"/>
                      <w:lang w:val="en-US" w:eastAsia="zh-CN"/>
                    </w:rPr>
                    <w:t>取值</w:t>
                  </w:r>
                  <w:r>
                    <w:rPr>
                      <w:rFonts w:hint="default" w:ascii="Times New Roman" w:hAnsi="Times New Roman" w:eastAsia="宋体" w:cs="Times New Roman"/>
                      <w:color w:val="auto"/>
                      <w:sz w:val="21"/>
                      <w:szCs w:val="21"/>
                      <w:highlight w:val="none"/>
                    </w:rPr>
                    <w:t>%</w:t>
                  </w:r>
                </w:p>
              </w:tc>
              <w:tc>
                <w:tcPr>
                  <w:tcW w:w="342" w:type="pct"/>
                  <w:noWrap w:val="0"/>
                  <w:vAlign w:val="center"/>
                </w:tcPr>
                <w:p w14:paraId="2D622D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比例%</w:t>
                  </w:r>
                </w:p>
              </w:tc>
            </w:tr>
            <w:tr w14:paraId="2388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restart"/>
                  <w:noWrap w:val="0"/>
                  <w:vAlign w:val="center"/>
                </w:tcPr>
                <w:p w14:paraId="23C49F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821" w:type="pct"/>
                  <w:vMerge w:val="restart"/>
                  <w:noWrap w:val="0"/>
                  <w:vAlign w:val="center"/>
                </w:tcPr>
                <w:p w14:paraId="7467B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铁红色氯化橡胶面漆</w:t>
                  </w:r>
                </w:p>
              </w:tc>
              <w:tc>
                <w:tcPr>
                  <w:tcW w:w="1629" w:type="pct"/>
                  <w:noWrap w:val="0"/>
                  <w:vAlign w:val="center"/>
                </w:tcPr>
                <w:p w14:paraId="032C26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氯化橡胶树脂</w:t>
                  </w:r>
                </w:p>
              </w:tc>
              <w:tc>
                <w:tcPr>
                  <w:tcW w:w="710" w:type="pct"/>
                  <w:noWrap w:val="0"/>
                  <w:vAlign w:val="center"/>
                </w:tcPr>
                <w:p w14:paraId="16507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否</w:t>
                  </w:r>
                </w:p>
              </w:tc>
              <w:tc>
                <w:tcPr>
                  <w:tcW w:w="525" w:type="pct"/>
                  <w:noWrap w:val="0"/>
                  <w:vAlign w:val="center"/>
                </w:tcPr>
                <w:p w14:paraId="583F95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20~40</w:t>
                  </w:r>
                </w:p>
              </w:tc>
              <w:tc>
                <w:tcPr>
                  <w:tcW w:w="688" w:type="pct"/>
                  <w:noWrap w:val="0"/>
                  <w:vAlign w:val="center"/>
                </w:tcPr>
                <w:p w14:paraId="3C43D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42" w:type="pct"/>
                  <w:vMerge w:val="restart"/>
                  <w:noWrap w:val="0"/>
                  <w:vAlign w:val="center"/>
                </w:tcPr>
                <w:p w14:paraId="648DE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r>
            <w:tr w14:paraId="7E11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4A7AA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13BA06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57822E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w:t>
                  </w:r>
                </w:p>
              </w:tc>
              <w:tc>
                <w:tcPr>
                  <w:tcW w:w="710" w:type="pct"/>
                  <w:noWrap w:val="0"/>
                  <w:vAlign w:val="center"/>
                </w:tcPr>
                <w:p w14:paraId="179F21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4B22C3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w:t>
                  </w:r>
                </w:p>
              </w:tc>
              <w:tc>
                <w:tcPr>
                  <w:tcW w:w="688" w:type="pct"/>
                  <w:noWrap w:val="0"/>
                  <w:vAlign w:val="center"/>
                </w:tcPr>
                <w:p w14:paraId="4F57D8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42" w:type="pct"/>
                  <w:vMerge w:val="continue"/>
                  <w:noWrap w:val="0"/>
                  <w:vAlign w:val="center"/>
                </w:tcPr>
                <w:p w14:paraId="25B194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612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2256E6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0D297D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12A1BB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710" w:type="pct"/>
                  <w:noWrap w:val="0"/>
                  <w:vAlign w:val="center"/>
                </w:tcPr>
                <w:p w14:paraId="2AA3DB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0F4161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5~15</w:t>
                  </w:r>
                </w:p>
              </w:tc>
              <w:tc>
                <w:tcPr>
                  <w:tcW w:w="688" w:type="pct"/>
                  <w:noWrap w:val="0"/>
                  <w:vAlign w:val="center"/>
                </w:tcPr>
                <w:p w14:paraId="2C1C1E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342" w:type="pct"/>
                  <w:vMerge w:val="continue"/>
                  <w:noWrap w:val="0"/>
                  <w:vAlign w:val="center"/>
                </w:tcPr>
                <w:p w14:paraId="751D78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C83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07055F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77FAFE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4110A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100#溶剂油</w:t>
                  </w:r>
                </w:p>
              </w:tc>
              <w:tc>
                <w:tcPr>
                  <w:tcW w:w="710" w:type="pct"/>
                  <w:noWrap w:val="0"/>
                  <w:vAlign w:val="center"/>
                </w:tcPr>
                <w:p w14:paraId="480E31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6A05D3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688" w:type="pct"/>
                  <w:noWrap w:val="0"/>
                  <w:vAlign w:val="center"/>
                </w:tcPr>
                <w:p w14:paraId="11F5D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342" w:type="pct"/>
                  <w:vMerge w:val="continue"/>
                  <w:noWrap w:val="0"/>
                  <w:vAlign w:val="center"/>
                </w:tcPr>
                <w:p w14:paraId="7772BB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D09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65E3F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4FD91D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shd w:val="clear" w:color="auto" w:fill="auto"/>
                  <w:noWrap w:val="0"/>
                  <w:vAlign w:val="center"/>
                </w:tcPr>
                <w:p w14:paraId="76E9C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异丁醇</w:t>
                  </w:r>
                </w:p>
              </w:tc>
              <w:tc>
                <w:tcPr>
                  <w:tcW w:w="710" w:type="pct"/>
                  <w:shd w:val="clear" w:color="auto" w:fill="auto"/>
                  <w:noWrap w:val="0"/>
                  <w:vAlign w:val="center"/>
                </w:tcPr>
                <w:p w14:paraId="1ECA41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是</w:t>
                  </w:r>
                </w:p>
              </w:tc>
              <w:tc>
                <w:tcPr>
                  <w:tcW w:w="525" w:type="pct"/>
                  <w:shd w:val="clear" w:color="auto" w:fill="auto"/>
                  <w:noWrap w:val="0"/>
                  <w:vAlign w:val="center"/>
                </w:tcPr>
                <w:p w14:paraId="153204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688" w:type="pct"/>
                  <w:shd w:val="clear" w:color="auto" w:fill="auto"/>
                  <w:noWrap w:val="0"/>
                  <w:vAlign w:val="center"/>
                </w:tcPr>
                <w:p w14:paraId="1A236C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342" w:type="pct"/>
                  <w:vMerge w:val="continue"/>
                  <w:noWrap w:val="0"/>
                  <w:vAlign w:val="center"/>
                </w:tcPr>
                <w:p w14:paraId="6F9190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6B9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vMerge w:val="continue"/>
                  <w:noWrap w:val="0"/>
                  <w:vAlign w:val="center"/>
                </w:tcPr>
                <w:p w14:paraId="5BFBA7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1" w:type="pct"/>
                  <w:vMerge w:val="continue"/>
                  <w:noWrap w:val="0"/>
                  <w:vAlign w:val="center"/>
                </w:tcPr>
                <w:p w14:paraId="2849AC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629" w:type="pct"/>
                  <w:noWrap w:val="0"/>
                  <w:vAlign w:val="center"/>
                </w:tcPr>
                <w:p w14:paraId="5763B4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填料</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固粉</w:t>
                  </w:r>
                  <w:r>
                    <w:rPr>
                      <w:rFonts w:hint="eastAsia" w:cs="Times New Roman"/>
                      <w:color w:val="auto"/>
                      <w:sz w:val="21"/>
                      <w:szCs w:val="21"/>
                      <w:highlight w:val="none"/>
                      <w:lang w:val="en-US" w:eastAsia="zh-CN"/>
                    </w:rPr>
                    <w:t>）</w:t>
                  </w:r>
                </w:p>
              </w:tc>
              <w:tc>
                <w:tcPr>
                  <w:tcW w:w="710" w:type="pct"/>
                  <w:noWrap w:val="0"/>
                  <w:vAlign w:val="center"/>
                </w:tcPr>
                <w:p w14:paraId="0E001E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否</w:t>
                  </w:r>
                </w:p>
              </w:tc>
              <w:tc>
                <w:tcPr>
                  <w:tcW w:w="525" w:type="pct"/>
                  <w:noWrap w:val="0"/>
                  <w:vAlign w:val="center"/>
                </w:tcPr>
                <w:p w14:paraId="5C138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688" w:type="pct"/>
                  <w:noWrap w:val="0"/>
                  <w:vAlign w:val="center"/>
                </w:tcPr>
                <w:p w14:paraId="048C29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342" w:type="pct"/>
                  <w:vMerge w:val="continue"/>
                  <w:noWrap w:val="0"/>
                  <w:vAlign w:val="center"/>
                </w:tcPr>
                <w:p w14:paraId="6149E9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8A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2" w:type="pct"/>
                  <w:noWrap w:val="0"/>
                  <w:vAlign w:val="center"/>
                </w:tcPr>
                <w:p w14:paraId="2675B2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821" w:type="pct"/>
                  <w:noWrap w:val="0"/>
                  <w:vAlign w:val="center"/>
                </w:tcPr>
                <w:p w14:paraId="30B376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w:t>
                  </w:r>
                </w:p>
              </w:tc>
              <w:tc>
                <w:tcPr>
                  <w:tcW w:w="1629" w:type="pct"/>
                  <w:noWrap w:val="0"/>
                  <w:vAlign w:val="center"/>
                </w:tcPr>
                <w:p w14:paraId="594966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100#溶剂油</w:t>
                  </w:r>
                </w:p>
              </w:tc>
              <w:tc>
                <w:tcPr>
                  <w:tcW w:w="710" w:type="pct"/>
                  <w:noWrap w:val="0"/>
                  <w:vAlign w:val="center"/>
                </w:tcPr>
                <w:p w14:paraId="7C6112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w:t>
                  </w:r>
                </w:p>
              </w:tc>
              <w:tc>
                <w:tcPr>
                  <w:tcW w:w="525" w:type="pct"/>
                  <w:noWrap w:val="0"/>
                  <w:vAlign w:val="center"/>
                </w:tcPr>
                <w:p w14:paraId="374918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80~100</w:t>
                  </w:r>
                </w:p>
              </w:tc>
              <w:tc>
                <w:tcPr>
                  <w:tcW w:w="688" w:type="pct"/>
                  <w:noWrap w:val="0"/>
                  <w:vAlign w:val="center"/>
                </w:tcPr>
                <w:p w14:paraId="49E12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342" w:type="pct"/>
                  <w:noWrap w:val="0"/>
                  <w:vAlign w:val="center"/>
                </w:tcPr>
                <w:p w14:paraId="2713A2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bl>
          <w:p w14:paraId="40457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color w:val="auto"/>
                <w:sz w:val="24"/>
                <w:highlight w:val="none"/>
              </w:rPr>
              <w:t>根据油漆、稀释剂安全技术说明书（详见附件</w:t>
            </w:r>
            <w:r>
              <w:rPr>
                <w:rFonts w:hint="default" w:ascii="Times New Roman" w:hAnsi="Times New Roman" w:cs="Times New Roman"/>
                <w:color w:val="auto"/>
                <w:sz w:val="24"/>
                <w:highlight w:val="none"/>
                <w:lang w:val="en-US" w:eastAsia="zh-CN"/>
              </w:rPr>
              <w:t>9、10</w:t>
            </w:r>
            <w:r>
              <w:rPr>
                <w:rFonts w:hint="default" w:ascii="Times New Roman" w:hAnsi="Times New Roman" w:cs="Times New Roman"/>
                <w:color w:val="auto"/>
                <w:sz w:val="24"/>
                <w:highlight w:val="none"/>
              </w:rPr>
              <w:t>），本项目油漆、稀释剂各组分见上表2-6，根据成分表可知，部分油漆成分百分数和小于100%，经咨询油漆行业专业人士及与本项目油漆供应商核实，油漆成分含部分非有机质的填料，主要成分为非金属矿物粉料，该种物质不会挥发有机气体，如陶瓷土粉料等涂料不会挥发有机气体。</w:t>
            </w:r>
          </w:p>
          <w:p w14:paraId="38450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snapToGrid w:val="0"/>
                <w:color w:val="auto"/>
                <w:kern w:val="0"/>
                <w:sz w:val="24"/>
                <w:highlight w:val="none"/>
                <w:lang w:val="en-US" w:eastAsia="zh-CN"/>
              </w:rPr>
            </w:pPr>
            <w:r>
              <w:rPr>
                <w:rFonts w:hint="default" w:ascii="Times New Roman" w:hAnsi="Times New Roman" w:cs="Times New Roman"/>
                <w:b/>
                <w:snapToGrid w:val="0"/>
                <w:color w:val="auto"/>
                <w:kern w:val="0"/>
                <w:sz w:val="24"/>
                <w:highlight w:val="none"/>
                <w:lang w:val="en-US" w:eastAsia="zh-CN"/>
              </w:rPr>
              <w:t>表2-5漆料调配比例一览表</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
              <w:gridCol w:w="287"/>
              <w:gridCol w:w="751"/>
              <w:gridCol w:w="679"/>
              <w:gridCol w:w="545"/>
              <w:gridCol w:w="1088"/>
              <w:gridCol w:w="993"/>
              <w:gridCol w:w="842"/>
              <w:gridCol w:w="755"/>
              <w:gridCol w:w="1223"/>
              <w:gridCol w:w="641"/>
            </w:tblGrid>
            <w:tr w14:paraId="4197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75" w:type="pct"/>
                  <w:vMerge w:val="restart"/>
                  <w:noWrap w:val="0"/>
                  <w:vAlign w:val="center"/>
                </w:tcPr>
                <w:p w14:paraId="0D8FF2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7" w:type="pct"/>
                  <w:vMerge w:val="restart"/>
                  <w:noWrap w:val="0"/>
                  <w:vAlign w:val="center"/>
                </w:tcPr>
                <w:p w14:paraId="31AC09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464" w:type="pct"/>
                  <w:vMerge w:val="restart"/>
                  <w:noWrap w:val="0"/>
                  <w:vAlign w:val="center"/>
                </w:tcPr>
                <w:p w14:paraId="66FCA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组成部分</w:t>
                  </w:r>
                </w:p>
              </w:tc>
              <w:tc>
                <w:tcPr>
                  <w:tcW w:w="419" w:type="pct"/>
                  <w:vMerge w:val="restart"/>
                  <w:noWrap w:val="0"/>
                  <w:vAlign w:val="center"/>
                </w:tcPr>
                <w:p w14:paraId="155CD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比例%</w:t>
                  </w:r>
                </w:p>
              </w:tc>
              <w:tc>
                <w:tcPr>
                  <w:tcW w:w="336" w:type="pct"/>
                  <w:vMerge w:val="restart"/>
                  <w:noWrap w:val="0"/>
                  <w:vAlign w:val="center"/>
                </w:tcPr>
                <w:p w14:paraId="2CAA0B5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调配比例</w:t>
                  </w:r>
                </w:p>
              </w:tc>
              <w:tc>
                <w:tcPr>
                  <w:tcW w:w="672" w:type="pct"/>
                  <w:vMerge w:val="restart"/>
                  <w:noWrap w:val="0"/>
                  <w:vAlign w:val="center"/>
                </w:tcPr>
                <w:p w14:paraId="31CE04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调配后VOCs</w:t>
                  </w:r>
                  <w:r>
                    <w:rPr>
                      <w:rFonts w:hint="default" w:ascii="Times New Roman" w:hAnsi="Times New Roman" w:eastAsia="宋体" w:cs="Times New Roman"/>
                      <w:color w:val="auto"/>
                      <w:sz w:val="21"/>
                      <w:szCs w:val="21"/>
                      <w:highlight w:val="none"/>
                      <w:lang w:val="en-US" w:eastAsia="zh-CN"/>
                    </w:rPr>
                    <w:t>比例%</w:t>
                  </w:r>
                </w:p>
              </w:tc>
              <w:tc>
                <w:tcPr>
                  <w:tcW w:w="613" w:type="pct"/>
                  <w:vMerge w:val="restart"/>
                  <w:noWrap w:val="0"/>
                  <w:vAlign w:val="center"/>
                </w:tcPr>
                <w:p w14:paraId="5D52EF6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调配后固态份</w:t>
                  </w:r>
                  <w:r>
                    <w:rPr>
                      <w:rFonts w:hint="default" w:ascii="Times New Roman" w:hAnsi="Times New Roman" w:eastAsia="宋体" w:cs="Times New Roman"/>
                      <w:color w:val="auto"/>
                      <w:sz w:val="21"/>
                      <w:szCs w:val="21"/>
                      <w:highlight w:val="none"/>
                      <w:lang w:val="en-US" w:eastAsia="zh-CN"/>
                    </w:rPr>
                    <w:t>比例%</w:t>
                  </w:r>
                </w:p>
              </w:tc>
              <w:tc>
                <w:tcPr>
                  <w:tcW w:w="987" w:type="pct"/>
                  <w:gridSpan w:val="2"/>
                  <w:noWrap w:val="0"/>
                  <w:vAlign w:val="center"/>
                </w:tcPr>
                <w:p w14:paraId="1F0266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漆料密度</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g/L</w:t>
                  </w:r>
                  <w:r>
                    <w:rPr>
                      <w:rFonts w:hint="eastAsia" w:cs="Times New Roman"/>
                      <w:color w:val="auto"/>
                      <w:spacing w:val="0"/>
                      <w:sz w:val="21"/>
                      <w:szCs w:val="21"/>
                      <w:highlight w:val="none"/>
                      <w:lang w:val="en-US" w:eastAsia="zh-CN"/>
                    </w:rPr>
                    <w:t>）</w:t>
                  </w:r>
                </w:p>
              </w:tc>
              <w:tc>
                <w:tcPr>
                  <w:tcW w:w="756" w:type="pct"/>
                  <w:vMerge w:val="restart"/>
                  <w:noWrap w:val="0"/>
                  <w:vAlign w:val="center"/>
                </w:tcPr>
                <w:p w14:paraId="29B6AF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调配后VOCs</w:t>
                  </w:r>
                  <w:r>
                    <w:rPr>
                      <w:rFonts w:hint="default" w:ascii="Times New Roman" w:hAnsi="Times New Roman" w:eastAsia="宋体" w:cs="Times New Roman"/>
                      <w:color w:val="auto"/>
                      <w:sz w:val="21"/>
                      <w:szCs w:val="21"/>
                      <w:highlight w:val="none"/>
                      <w:lang w:val="en-US" w:eastAsia="zh-CN"/>
                    </w:rPr>
                    <w:t>比例</w:t>
                  </w:r>
                  <w:r>
                    <w:rPr>
                      <w:rFonts w:hint="default" w:ascii="Times New Roman" w:hAnsi="Times New Roman" w:cs="Times New Roman"/>
                      <w:color w:val="auto"/>
                      <w:spacing w:val="0"/>
                      <w:sz w:val="21"/>
                      <w:szCs w:val="21"/>
                      <w:highlight w:val="none"/>
                      <w:lang w:val="en-US" w:eastAsia="zh-CN"/>
                    </w:rPr>
                    <w:t>g/L</w:t>
                  </w:r>
                </w:p>
              </w:tc>
              <w:tc>
                <w:tcPr>
                  <w:tcW w:w="396" w:type="pct"/>
                  <w:vMerge w:val="restart"/>
                  <w:noWrap w:val="0"/>
                  <w:vAlign w:val="center"/>
                </w:tcPr>
                <w:p w14:paraId="237FE9E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标准限值g/L</w:t>
                  </w:r>
                </w:p>
              </w:tc>
            </w:tr>
            <w:tr w14:paraId="11FF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75" w:type="pct"/>
                  <w:vMerge w:val="continue"/>
                  <w:noWrap w:val="0"/>
                  <w:vAlign w:val="center"/>
                </w:tcPr>
                <w:p w14:paraId="693A15A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177" w:type="pct"/>
                  <w:vMerge w:val="continue"/>
                  <w:noWrap w:val="0"/>
                  <w:vAlign w:val="center"/>
                </w:tcPr>
                <w:p w14:paraId="7B3CDB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464" w:type="pct"/>
                  <w:vMerge w:val="continue"/>
                  <w:noWrap w:val="0"/>
                  <w:vAlign w:val="center"/>
                </w:tcPr>
                <w:p w14:paraId="2A41A78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419" w:type="pct"/>
                  <w:vMerge w:val="continue"/>
                  <w:noWrap w:val="0"/>
                  <w:vAlign w:val="center"/>
                </w:tcPr>
                <w:p w14:paraId="1475F46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336" w:type="pct"/>
                  <w:vMerge w:val="continue"/>
                  <w:noWrap w:val="0"/>
                  <w:vAlign w:val="center"/>
                </w:tcPr>
                <w:p w14:paraId="51FFAE5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672" w:type="pct"/>
                  <w:vMerge w:val="continue"/>
                  <w:noWrap w:val="0"/>
                  <w:vAlign w:val="center"/>
                </w:tcPr>
                <w:p w14:paraId="695D366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613" w:type="pct"/>
                  <w:vMerge w:val="continue"/>
                  <w:noWrap w:val="0"/>
                  <w:vAlign w:val="center"/>
                </w:tcPr>
                <w:p w14:paraId="1580833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highlight w:val="none"/>
                    </w:rPr>
                  </w:pPr>
                </w:p>
              </w:tc>
              <w:tc>
                <w:tcPr>
                  <w:tcW w:w="520" w:type="pct"/>
                  <w:noWrap w:val="0"/>
                  <w:vAlign w:val="center"/>
                </w:tcPr>
                <w:p w14:paraId="17AD41F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调配前</w:t>
                  </w:r>
                </w:p>
              </w:tc>
              <w:tc>
                <w:tcPr>
                  <w:tcW w:w="466" w:type="pct"/>
                  <w:noWrap w:val="0"/>
                  <w:vAlign w:val="center"/>
                </w:tcPr>
                <w:p w14:paraId="7D5BE80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调配后</w:t>
                  </w:r>
                </w:p>
              </w:tc>
              <w:tc>
                <w:tcPr>
                  <w:tcW w:w="756" w:type="pct"/>
                  <w:vMerge w:val="continue"/>
                  <w:noWrap w:val="0"/>
                  <w:vAlign w:val="center"/>
                </w:tcPr>
                <w:p w14:paraId="111C59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p>
              </w:tc>
              <w:tc>
                <w:tcPr>
                  <w:tcW w:w="396" w:type="pct"/>
                  <w:vMerge w:val="continue"/>
                  <w:noWrap w:val="0"/>
                  <w:vAlign w:val="center"/>
                </w:tcPr>
                <w:p w14:paraId="053960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pacing w:val="0"/>
                      <w:sz w:val="21"/>
                      <w:szCs w:val="21"/>
                      <w:highlight w:val="none"/>
                      <w:lang w:val="en-US" w:eastAsia="zh-CN"/>
                    </w:rPr>
                  </w:pPr>
                </w:p>
              </w:tc>
            </w:tr>
            <w:tr w14:paraId="1CD7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5" w:type="pct"/>
                  <w:vMerge w:val="restart"/>
                  <w:noWrap w:val="0"/>
                  <w:vAlign w:val="center"/>
                </w:tcPr>
                <w:p w14:paraId="2651F5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77" w:type="pct"/>
                  <w:vMerge w:val="restart"/>
                  <w:noWrap w:val="0"/>
                  <w:vAlign w:val="center"/>
                </w:tcPr>
                <w:p w14:paraId="415B328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面漆</w:t>
                  </w:r>
                </w:p>
              </w:tc>
              <w:tc>
                <w:tcPr>
                  <w:tcW w:w="464" w:type="pct"/>
                  <w:noWrap w:val="0"/>
                  <w:vAlign w:val="center"/>
                </w:tcPr>
                <w:p w14:paraId="34FA727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油漆</w:t>
                  </w:r>
                </w:p>
              </w:tc>
              <w:tc>
                <w:tcPr>
                  <w:tcW w:w="419" w:type="pct"/>
                  <w:noWrap w:val="0"/>
                  <w:vAlign w:val="center"/>
                </w:tcPr>
                <w:p w14:paraId="26ADB1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336" w:type="pct"/>
                  <w:noWrap w:val="0"/>
                  <w:vAlign w:val="center"/>
                </w:tcPr>
                <w:p w14:paraId="5555EFC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72" w:type="pct"/>
                  <w:vMerge w:val="restart"/>
                  <w:noWrap w:val="0"/>
                  <w:vAlign w:val="center"/>
                </w:tcPr>
                <w:p w14:paraId="405B8F4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613" w:type="pct"/>
                  <w:vMerge w:val="restart"/>
                  <w:noWrap w:val="0"/>
                  <w:vAlign w:val="center"/>
                </w:tcPr>
                <w:p w14:paraId="51D13F9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520" w:type="pct"/>
                  <w:noWrap w:val="0"/>
                  <w:vAlign w:val="center"/>
                </w:tcPr>
                <w:p w14:paraId="35F77E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466" w:type="pct"/>
                  <w:vMerge w:val="restart"/>
                  <w:noWrap w:val="0"/>
                  <w:vAlign w:val="center"/>
                </w:tcPr>
                <w:p w14:paraId="4B8BA85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cs="Times New Roman"/>
                      <w:color w:val="auto"/>
                      <w:sz w:val="21"/>
                      <w:szCs w:val="21"/>
                      <w:highlight w:val="none"/>
                      <w:lang w:val="en-US" w:eastAsia="zh-CN"/>
                    </w:rPr>
                    <w:t>2</w:t>
                  </w:r>
                </w:p>
              </w:tc>
              <w:tc>
                <w:tcPr>
                  <w:tcW w:w="756" w:type="pct"/>
                  <w:vMerge w:val="restart"/>
                  <w:noWrap w:val="0"/>
                  <w:vAlign w:val="center"/>
                </w:tcPr>
                <w:p w14:paraId="5BA7BB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537.6</w:t>
                  </w:r>
                </w:p>
              </w:tc>
              <w:tc>
                <w:tcPr>
                  <w:tcW w:w="396" w:type="pct"/>
                  <w:vMerge w:val="restart"/>
                  <w:noWrap w:val="0"/>
                  <w:vAlign w:val="center"/>
                </w:tcPr>
                <w:p w14:paraId="2983E16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≤550</w:t>
                  </w:r>
                </w:p>
              </w:tc>
            </w:tr>
            <w:tr w14:paraId="37F8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5" w:type="pct"/>
                  <w:vMerge w:val="continue"/>
                  <w:noWrap w:val="0"/>
                  <w:vAlign w:val="center"/>
                </w:tcPr>
                <w:p w14:paraId="5718E5C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177" w:type="pct"/>
                  <w:vMerge w:val="continue"/>
                  <w:noWrap w:val="0"/>
                  <w:vAlign w:val="center"/>
                </w:tcPr>
                <w:p w14:paraId="5F818BA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464" w:type="pct"/>
                  <w:noWrap w:val="0"/>
                  <w:vAlign w:val="center"/>
                </w:tcPr>
                <w:p w14:paraId="12D974B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稀释剂</w:t>
                  </w:r>
                </w:p>
              </w:tc>
              <w:tc>
                <w:tcPr>
                  <w:tcW w:w="419" w:type="pct"/>
                  <w:noWrap w:val="0"/>
                  <w:vAlign w:val="center"/>
                </w:tcPr>
                <w:p w14:paraId="2389502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336" w:type="pct"/>
                  <w:noWrap w:val="0"/>
                  <w:vAlign w:val="center"/>
                </w:tcPr>
                <w:p w14:paraId="60B52BC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72" w:type="pct"/>
                  <w:vMerge w:val="continue"/>
                  <w:noWrap w:val="0"/>
                  <w:vAlign w:val="center"/>
                </w:tcPr>
                <w:p w14:paraId="1AB4DFA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613" w:type="pct"/>
                  <w:vMerge w:val="continue"/>
                  <w:noWrap w:val="0"/>
                  <w:vAlign w:val="center"/>
                </w:tcPr>
                <w:p w14:paraId="298292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520" w:type="pct"/>
                  <w:noWrap w:val="0"/>
                  <w:vAlign w:val="center"/>
                </w:tcPr>
                <w:p w14:paraId="1F9870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w:t>
                  </w:r>
                </w:p>
              </w:tc>
              <w:tc>
                <w:tcPr>
                  <w:tcW w:w="466" w:type="pct"/>
                  <w:vMerge w:val="continue"/>
                  <w:noWrap w:val="0"/>
                  <w:vAlign w:val="center"/>
                </w:tcPr>
                <w:p w14:paraId="794FE2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756" w:type="pct"/>
                  <w:vMerge w:val="continue"/>
                  <w:noWrap w:val="0"/>
                  <w:vAlign w:val="center"/>
                </w:tcPr>
                <w:p w14:paraId="72C7AE0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c>
                <w:tcPr>
                  <w:tcW w:w="396" w:type="pct"/>
                  <w:vMerge w:val="continue"/>
                  <w:noWrap w:val="0"/>
                  <w:vAlign w:val="center"/>
                </w:tcPr>
                <w:p w14:paraId="5B0941E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p>
              </w:tc>
            </w:tr>
          </w:tbl>
          <w:p w14:paraId="4F703ABA">
            <w:pPr>
              <w:pStyle w:val="16"/>
              <w:adjustRightInd w:val="0"/>
              <w:snapToGrid w:val="0"/>
              <w:spacing w:line="480" w:lineRule="exact"/>
              <w:ind w:firstLine="48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本项目修理集装箱补漆使用的是溶剂型涂料，根据《工业防护涂料中有害物质限量》(GB30981-2020)，集装箱涂料面漆的限量值为550</w:t>
            </w:r>
            <w:r>
              <w:rPr>
                <w:rFonts w:hint="default" w:ascii="Times New Roman" w:hAnsi="Times New Roman" w:eastAsia="宋体" w:cs="Times New Roman"/>
                <w:color w:val="auto"/>
                <w:spacing w:val="0"/>
                <w:sz w:val="24"/>
                <w:szCs w:val="24"/>
                <w:highlight w:val="none"/>
                <w:lang w:val="en-US" w:eastAsia="zh-CN"/>
              </w:rPr>
              <w:t>g/L</w:t>
            </w:r>
            <w:r>
              <w:rPr>
                <w:rFonts w:hint="default" w:ascii="Times New Roman" w:hAnsi="Times New Roman" w:eastAsia="宋体" w:cs="Times New Roman"/>
                <w:b w:val="0"/>
                <w:bCs w:val="0"/>
                <w:color w:val="auto"/>
                <w:kern w:val="0"/>
                <w:sz w:val="24"/>
                <w:szCs w:val="24"/>
                <w:highlight w:val="none"/>
                <w:lang w:val="en-US" w:eastAsia="zh-CN"/>
              </w:rPr>
              <w:t>。经调配后，上述涂料挥发性有机物含量均满足《低挥发性有机化合物含量涂料产品技术要求》(GB/T38597-2020)、《工业防护涂料中有害物质限量》(GB30981-2020)，不属于高挥发性涂料。</w:t>
            </w:r>
          </w:p>
          <w:p w14:paraId="7851CFE7">
            <w:pPr>
              <w:pStyle w:val="16"/>
              <w:adjustRightInd w:val="0"/>
              <w:snapToGrid w:val="0"/>
              <w:spacing w:line="480" w:lineRule="exact"/>
              <w:ind w:firstLine="482"/>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（1）漆料用量核算</w:t>
            </w:r>
          </w:p>
          <w:p w14:paraId="01494FF6">
            <w:pPr>
              <w:pStyle w:val="16"/>
              <w:adjustRightInd w:val="0"/>
              <w:snapToGrid w:val="0"/>
              <w:spacing w:line="480" w:lineRule="exact"/>
              <w:ind w:firstLine="482"/>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w:t>
            </w:r>
            <w:r>
              <w:rPr>
                <w:rFonts w:hint="default" w:ascii="Times New Roman" w:hAnsi="Times New Roman" w:eastAsia="宋体" w:cs="Times New Roman"/>
                <w:b w:val="0"/>
                <w:bCs w:val="0"/>
                <w:color w:val="auto"/>
                <w:kern w:val="0"/>
                <w:sz w:val="24"/>
                <w:szCs w:val="24"/>
                <w:highlight w:val="none"/>
                <w:lang w:val="en-US" w:eastAsia="zh-CN"/>
              </w:rPr>
              <w:t>目</w:t>
            </w:r>
            <w:r>
              <w:rPr>
                <w:rFonts w:hint="default" w:ascii="Times New Roman" w:hAnsi="Times New Roman" w:eastAsia="宋体" w:cs="Times New Roman"/>
                <w:color w:val="auto"/>
                <w:kern w:val="2"/>
                <w:sz w:val="24"/>
                <w:szCs w:val="24"/>
                <w:highlight w:val="none"/>
                <w:u w:val="none"/>
                <w:lang w:val="en-US" w:eastAsia="zh-CN" w:bidi="ar-SA"/>
              </w:rPr>
              <w:t>年修箱18000个集装箱，包括约1800个40尺大箱（12m×2.4m×2.4m）折合3600个标准箱，16200个20尺小箱（6m×2.4m×2.4m）折合16200个标准箱，40尺大箱表面积为126.72m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，20尺小箱表面积为69.12m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，年修箱330天，单个标箱补漆面积约1.5m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，占标箱总表面积的2.17%（比表面积69.12m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），每天总补漆面积约90m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，年修箱需补漆面积约29700m</w:t>
            </w:r>
            <w:r>
              <w:rPr>
                <w:rFonts w:hint="default" w:ascii="Times New Roman" w:hAnsi="Times New Roman" w:eastAsia="宋体" w:cs="Times New Roman"/>
                <w:color w:val="auto"/>
                <w:kern w:val="2"/>
                <w:sz w:val="24"/>
                <w:szCs w:val="24"/>
                <w:highlight w:val="none"/>
                <w:u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rPr>
              <w:t>。根据《集装箱涂料（JT/T810—2011）》表3</w:t>
            </w:r>
            <w:r>
              <w:rPr>
                <w:rFonts w:hint="default" w:ascii="Times New Roman" w:hAnsi="Times New Roman" w:eastAsia="宋体" w:cs="Times New Roman"/>
                <w:color w:val="auto"/>
                <w:spacing w:val="-1"/>
                <w:sz w:val="24"/>
                <w:szCs w:val="24"/>
                <w:highlight w:val="none"/>
                <w:lang w:eastAsia="zh-CN"/>
              </w:rPr>
              <w:t>氯化橡胶面漆的</w:t>
            </w:r>
            <w:r>
              <w:rPr>
                <w:rFonts w:hint="default" w:ascii="Times New Roman" w:hAnsi="Times New Roman" w:eastAsia="宋体" w:cs="Times New Roman"/>
                <w:color w:val="auto"/>
                <w:spacing w:val="-1"/>
                <w:sz w:val="24"/>
                <w:szCs w:val="24"/>
                <w:highlight w:val="none"/>
                <w:lang w:val="en-US" w:eastAsia="zh-CN"/>
              </w:rPr>
              <w:t>漆膜厚度为40~55</w:t>
            </w:r>
            <w:r>
              <w:rPr>
                <w:rFonts w:hint="default" w:ascii="Times New Roman" w:hAnsi="Times New Roman" w:eastAsia="宋体" w:cs="Times New Roman"/>
                <w:color w:val="auto"/>
                <w:sz w:val="21"/>
                <w:szCs w:val="21"/>
                <w:highlight w:val="none"/>
                <w:lang w:val="en-US" w:eastAsia="zh-CN"/>
              </w:rPr>
              <w:t>μm，</w:t>
            </w:r>
            <w:r>
              <w:rPr>
                <w:rFonts w:hint="default" w:ascii="Times New Roman" w:hAnsi="Times New Roman" w:eastAsia="宋体" w:cs="Times New Roman"/>
                <w:color w:val="auto"/>
                <w:sz w:val="24"/>
                <w:highlight w:val="none"/>
                <w:lang w:val="en-US" w:eastAsia="zh-CN"/>
              </w:rPr>
              <w:t>则漆料用量核算过程见下表2-6，挥发份核算结果见表2-7。</w:t>
            </w:r>
          </w:p>
          <w:p w14:paraId="39D09F57">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2-6</w:t>
            </w:r>
            <w:r>
              <w:rPr>
                <w:rFonts w:hint="default" w:ascii="Times New Roman" w:hAnsi="Times New Roman" w:eastAsia="宋体" w:cs="Times New Roman"/>
                <w:b/>
                <w:bCs/>
                <w:color w:val="auto"/>
                <w:sz w:val="24"/>
                <w:szCs w:val="24"/>
                <w:highlight w:val="none"/>
                <w:lang w:val="en-US" w:eastAsia="zh-CN"/>
              </w:rPr>
              <w:t>漆料用量核算</w:t>
            </w:r>
            <w:r>
              <w:rPr>
                <w:rFonts w:hint="default" w:ascii="Times New Roman" w:hAnsi="Times New Roman" w:eastAsia="宋体" w:cs="Times New Roman"/>
                <w:b/>
                <w:bCs/>
                <w:color w:val="auto"/>
                <w:sz w:val="24"/>
                <w:szCs w:val="24"/>
                <w:highlight w:val="none"/>
              </w:rPr>
              <w:t>一览表</w:t>
            </w:r>
          </w:p>
          <w:tbl>
            <w:tblPr>
              <w:tblStyle w:val="46"/>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0"/>
              <w:gridCol w:w="2546"/>
              <w:gridCol w:w="4004"/>
              <w:gridCol w:w="8"/>
            </w:tblGrid>
            <w:tr w14:paraId="2AA3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5" w:type="pct"/>
                <w:trHeight w:val="318" w:hRule="atLeast"/>
                <w:jc w:val="center"/>
              </w:trPr>
              <w:tc>
                <w:tcPr>
                  <w:tcW w:w="879" w:type="pct"/>
                  <w:vAlign w:val="center"/>
                </w:tcPr>
                <w:p w14:paraId="19A5A8C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99" w:type="pct"/>
                  <w:vAlign w:val="center"/>
                </w:tcPr>
                <w:p w14:paraId="23FCF1B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516" w:type="pct"/>
                  <w:vAlign w:val="center"/>
                </w:tcPr>
                <w:p w14:paraId="7AB54C1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刷漆</w:t>
                  </w:r>
                  <w:r>
                    <w:rPr>
                      <w:rFonts w:hint="default" w:ascii="Times New Roman" w:hAnsi="Times New Roman" w:eastAsia="宋体" w:cs="Times New Roman"/>
                      <w:color w:val="auto"/>
                      <w:sz w:val="21"/>
                      <w:szCs w:val="21"/>
                      <w:highlight w:val="none"/>
                    </w:rPr>
                    <w:t>工序</w:t>
                  </w:r>
                </w:p>
              </w:tc>
            </w:tr>
            <w:tr w14:paraId="0161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879" w:type="pct"/>
                  <w:vAlign w:val="center"/>
                </w:tcPr>
                <w:p w14:paraId="0EFD91C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99" w:type="pct"/>
                  <w:vAlign w:val="center"/>
                </w:tcPr>
                <w:p w14:paraId="37BE6BD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涂装面积</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2521" w:type="pct"/>
                  <w:gridSpan w:val="2"/>
                  <w:vAlign w:val="center"/>
                </w:tcPr>
                <w:p w14:paraId="3158236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4500</w:t>
                  </w:r>
                </w:p>
              </w:tc>
            </w:tr>
            <w:tr w14:paraId="7446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13BDC2D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99" w:type="pct"/>
                  <w:vAlign w:val="center"/>
                </w:tcPr>
                <w:p w14:paraId="1BC89DE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漆膜厚</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μm</w:t>
                  </w:r>
                  <w:r>
                    <w:rPr>
                      <w:rFonts w:hint="eastAsia" w:cs="Times New Roman"/>
                      <w:color w:val="auto"/>
                      <w:sz w:val="21"/>
                      <w:szCs w:val="21"/>
                      <w:highlight w:val="none"/>
                      <w:lang w:val="en-US" w:eastAsia="zh-CN"/>
                    </w:rPr>
                    <w:t>）</w:t>
                  </w:r>
                </w:p>
              </w:tc>
              <w:tc>
                <w:tcPr>
                  <w:tcW w:w="2516" w:type="pct"/>
                  <w:vAlign w:val="center"/>
                </w:tcPr>
                <w:p w14:paraId="3F3F473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w:t>
                  </w:r>
                </w:p>
              </w:tc>
            </w:tr>
            <w:tr w14:paraId="33DB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90" w:hRule="atLeast"/>
                <w:jc w:val="center"/>
              </w:trPr>
              <w:tc>
                <w:tcPr>
                  <w:tcW w:w="879" w:type="pct"/>
                  <w:vAlign w:val="center"/>
                </w:tcPr>
                <w:p w14:paraId="1C23217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99" w:type="pct"/>
                  <w:vAlign w:val="center"/>
                </w:tcPr>
                <w:p w14:paraId="375765C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漆膜比重</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lang w:val="en-US" w:eastAsia="zh-CN"/>
                    </w:rPr>
                    <w:t>）</w:t>
                  </w:r>
                </w:p>
              </w:tc>
              <w:tc>
                <w:tcPr>
                  <w:tcW w:w="2516" w:type="pct"/>
                  <w:vAlign w:val="center"/>
                </w:tcPr>
                <w:p w14:paraId="6DC2174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r>
                    <w:rPr>
                      <w:rFonts w:hint="eastAsia" w:cs="Times New Roman"/>
                      <w:color w:val="auto"/>
                      <w:sz w:val="21"/>
                      <w:szCs w:val="21"/>
                      <w:highlight w:val="none"/>
                      <w:lang w:val="en-US" w:eastAsia="zh-CN"/>
                    </w:rPr>
                    <w:t>9</w:t>
                  </w:r>
                </w:p>
              </w:tc>
            </w:tr>
            <w:tr w14:paraId="4543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27AC03E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9" w:type="pct"/>
                  <w:vAlign w:val="center"/>
                </w:tcPr>
                <w:p w14:paraId="42D3388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漆膜量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32067D9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0.3753</w:t>
                  </w:r>
                </w:p>
              </w:tc>
            </w:tr>
            <w:tr w14:paraId="03F0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762B76A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99" w:type="pct"/>
                  <w:vAlign w:val="center"/>
                </w:tcPr>
                <w:p w14:paraId="04BE9AD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漆料附着率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2516" w:type="pct"/>
                  <w:vAlign w:val="center"/>
                </w:tcPr>
                <w:p w14:paraId="1233A3C3">
                  <w:pPr>
                    <w:keepNext w:val="0"/>
                    <w:keepLines w:val="0"/>
                    <w:suppressLineNumbers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r>
                    <w:rPr>
                      <w:rFonts w:hint="eastAsia"/>
                      <w:color w:val="auto"/>
                      <w:highlight w:val="none"/>
                      <w:vertAlign w:val="superscript"/>
                      <w:lang w:val="en-US" w:eastAsia="zh-CN"/>
                    </w:rPr>
                    <w:t>①</w:t>
                  </w:r>
                </w:p>
              </w:tc>
            </w:tr>
            <w:tr w14:paraId="3D62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18" w:hRule="atLeast"/>
                <w:jc w:val="center"/>
              </w:trPr>
              <w:tc>
                <w:tcPr>
                  <w:tcW w:w="879" w:type="pct"/>
                  <w:vAlign w:val="center"/>
                </w:tcPr>
                <w:p w14:paraId="1B0ADE4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599" w:type="pct"/>
                  <w:vAlign w:val="center"/>
                </w:tcPr>
                <w:p w14:paraId="07E0248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漆料固份</w:t>
                  </w:r>
                  <w:r>
                    <w:rPr>
                      <w:rFonts w:hint="default" w:ascii="Times New Roman" w:hAnsi="Times New Roman" w:cs="Times New Roman"/>
                      <w:color w:val="auto"/>
                      <w:sz w:val="21"/>
                      <w:szCs w:val="21"/>
                      <w:highlight w:val="none"/>
                      <w:lang w:val="en-US" w:eastAsia="zh-CN"/>
                    </w:rPr>
                    <w:t>量</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062B8A3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0.3919</w:t>
                  </w:r>
                </w:p>
              </w:tc>
            </w:tr>
            <w:tr w14:paraId="65DC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35" w:hRule="atLeast"/>
                <w:jc w:val="center"/>
              </w:trPr>
              <w:tc>
                <w:tcPr>
                  <w:tcW w:w="879" w:type="pct"/>
                  <w:vAlign w:val="center"/>
                </w:tcPr>
                <w:p w14:paraId="256E48C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599" w:type="pct"/>
                  <w:vAlign w:val="center"/>
                </w:tcPr>
                <w:p w14:paraId="497A53A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漆料</w:t>
                  </w:r>
                  <w:r>
                    <w:rPr>
                      <w:rFonts w:hint="default" w:ascii="Times New Roman" w:hAnsi="Times New Roman" w:eastAsia="宋体" w:cs="Times New Roman"/>
                      <w:color w:val="auto"/>
                      <w:sz w:val="21"/>
                      <w:szCs w:val="21"/>
                      <w:highlight w:val="none"/>
                    </w:rPr>
                    <w:t>用量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tc>
              <w:tc>
                <w:tcPr>
                  <w:tcW w:w="2516" w:type="pct"/>
                  <w:vAlign w:val="center"/>
                </w:tcPr>
                <w:p w14:paraId="582A38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0.7536（</w:t>
                  </w:r>
                  <w:r>
                    <w:rPr>
                      <w:rFonts w:hint="default" w:ascii="Times New Roman" w:hAnsi="Times New Roman" w:eastAsia="宋体" w:cs="Times New Roman"/>
                      <w:color w:val="auto"/>
                      <w:sz w:val="21"/>
                      <w:szCs w:val="21"/>
                      <w:highlight w:val="none"/>
                    </w:rPr>
                    <w:t>固份含量</w:t>
                  </w:r>
                  <w:r>
                    <w:rPr>
                      <w:rFonts w:hint="eastAsia" w:cs="Times New Roman"/>
                      <w:color w:val="auto"/>
                      <w:sz w:val="21"/>
                      <w:szCs w:val="21"/>
                      <w:highlight w:val="none"/>
                      <w:lang w:val="en-US" w:eastAsia="zh-CN"/>
                    </w:rPr>
                    <w:t>52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p>
              </w:tc>
            </w:tr>
          </w:tbl>
          <w:p w14:paraId="1E97FBD1">
            <w:pPr>
              <w:keepNext w:val="0"/>
              <w:keepLines w:val="0"/>
              <w:suppressLineNumbers w:val="0"/>
              <w:spacing w:before="0" w:beforeAutospacing="0" w:after="0" w:afterAutospacing="0" w:line="480" w:lineRule="exact"/>
              <w:ind w:left="0" w:right="0"/>
              <w:jc w:val="left"/>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注：①油漆使用情况为：</w:t>
            </w:r>
            <w:r>
              <w:rPr>
                <w:rFonts w:hint="eastAsia" w:ascii="宋体" w:hAnsi="宋体"/>
                <w:color w:val="auto"/>
                <w:highlight w:val="none"/>
                <w:u w:val="single"/>
                <w:lang w:val="en-US" w:eastAsia="zh-CN"/>
              </w:rPr>
              <w:t>滚涂过程中约有3%油漆固态份沾染到滚辊的</w:t>
            </w:r>
            <w:r>
              <w:rPr>
                <w:rFonts w:hint="eastAsia" w:ascii="宋体" w:hAnsi="宋体"/>
                <w:color w:val="auto"/>
                <w:highlight w:val="none"/>
                <w:u w:val="single"/>
                <w:lang w:val="en-US" w:eastAsia="zh-CN"/>
              </w:rPr>
              <w:fldChar w:fldCharType="begin"/>
            </w:r>
            <w:r>
              <w:rPr>
                <w:rFonts w:hint="eastAsia" w:ascii="宋体" w:hAnsi="宋体"/>
                <w:color w:val="auto"/>
                <w:highlight w:val="none"/>
                <w:u w:val="singl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single"/>
                <w:lang w:val="en-US" w:eastAsia="zh-CN"/>
              </w:rPr>
              <w:fldChar w:fldCharType="separate"/>
            </w:r>
            <w:r>
              <w:rPr>
                <w:rFonts w:hint="eastAsia" w:ascii="宋体" w:hAnsi="宋体"/>
                <w:color w:val="auto"/>
                <w:highlight w:val="none"/>
                <w:u w:val="single"/>
                <w:lang w:val="en-US" w:eastAsia="zh-CN"/>
              </w:rPr>
              <w:t>合成纤维</w:t>
            </w:r>
            <w:r>
              <w:rPr>
                <w:rFonts w:hint="eastAsia" w:ascii="宋体" w:hAnsi="宋体"/>
                <w:color w:val="auto"/>
                <w:highlight w:val="none"/>
                <w:u w:val="single"/>
                <w:lang w:val="en-US" w:eastAsia="zh-CN"/>
              </w:rPr>
              <w:fldChar w:fldCharType="end"/>
            </w:r>
            <w:r>
              <w:rPr>
                <w:rFonts w:hint="eastAsia" w:ascii="宋体" w:hAnsi="宋体"/>
                <w:color w:val="auto"/>
                <w:highlight w:val="none"/>
                <w:u w:val="single"/>
                <w:lang w:val="en-US" w:eastAsia="zh-CN"/>
              </w:rPr>
              <w:t>或羊毛之上，刷漆过程中约2%落地，落地漆渣以固态份为主，则</w:t>
            </w:r>
            <w:r>
              <w:rPr>
                <w:rFonts w:hint="eastAsia" w:cs="Times New Roman"/>
                <w:b w:val="0"/>
                <w:bCs w:val="0"/>
                <w:color w:val="auto"/>
                <w:sz w:val="21"/>
                <w:szCs w:val="21"/>
                <w:highlight w:val="none"/>
                <w:u w:val="single"/>
                <w:lang w:val="en-US" w:eastAsia="zh-CN"/>
              </w:rPr>
              <w:t>附着率以95%计</w:t>
            </w:r>
            <w:r>
              <w:rPr>
                <w:rFonts w:hint="eastAsia" w:ascii="宋体" w:hAnsi="宋体"/>
                <w:color w:val="auto"/>
                <w:highlight w:val="none"/>
                <w:u w:val="single"/>
                <w:lang w:val="en-US" w:eastAsia="zh-CN"/>
              </w:rPr>
              <w:t>。</w:t>
            </w:r>
          </w:p>
          <w:p w14:paraId="7FA4926E">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default" w:ascii="Times New Roman" w:hAnsi="Times New Roman" w:cs="Times New Roman"/>
                <w:b/>
                <w:bCs/>
                <w:color w:val="auto"/>
                <w:sz w:val="24"/>
                <w:szCs w:val="24"/>
                <w:highlight w:val="none"/>
                <w:lang w:val="en-US" w:eastAsia="zh-CN"/>
              </w:rPr>
              <w:t>2-7</w:t>
            </w:r>
            <w:r>
              <w:rPr>
                <w:rFonts w:hint="default" w:ascii="Times New Roman" w:hAnsi="Times New Roman" w:eastAsia="宋体" w:cs="Times New Roman"/>
                <w:b/>
                <w:bCs/>
                <w:color w:val="auto"/>
                <w:sz w:val="24"/>
                <w:szCs w:val="24"/>
                <w:highlight w:val="none"/>
                <w:lang w:val="en-US" w:eastAsia="zh-CN"/>
              </w:rPr>
              <w:t>漆料挥发份一览表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8"/>
              <w:gridCol w:w="2192"/>
              <w:gridCol w:w="1077"/>
              <w:gridCol w:w="887"/>
              <w:gridCol w:w="765"/>
              <w:gridCol w:w="708"/>
              <w:gridCol w:w="839"/>
              <w:gridCol w:w="660"/>
              <w:gridCol w:w="676"/>
            </w:tblGrid>
            <w:tr w14:paraId="45F8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77" w:type="pct"/>
                  <w:vMerge w:val="restart"/>
                  <w:vAlign w:val="center"/>
                </w:tcPr>
                <w:p w14:paraId="3E797BC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54" w:type="pct"/>
                  <w:vMerge w:val="restart"/>
                  <w:vAlign w:val="center"/>
                </w:tcPr>
                <w:p w14:paraId="56C07C6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物料名称</w:t>
                  </w:r>
                </w:p>
              </w:tc>
              <w:tc>
                <w:tcPr>
                  <w:tcW w:w="665" w:type="pct"/>
                  <w:vMerge w:val="restart"/>
                  <w:vAlign w:val="center"/>
                </w:tcPr>
                <w:p w14:paraId="4A017EC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年消耗量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1458" w:type="pct"/>
                  <w:gridSpan w:val="3"/>
                  <w:vAlign w:val="center"/>
                </w:tcPr>
                <w:p w14:paraId="0FA136CE">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挥发份比例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518" w:type="pct"/>
                  <w:vMerge w:val="restart"/>
                  <w:vAlign w:val="center"/>
                </w:tcPr>
                <w:p w14:paraId="422C8A7B">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挥发性有机物</w:t>
                  </w:r>
                  <w:r>
                    <w:rPr>
                      <w:rFonts w:hint="default" w:ascii="Times New Roman" w:hAnsi="Times New Roman" w:eastAsia="宋体" w:cs="Times New Roman"/>
                      <w:color w:val="auto"/>
                      <w:sz w:val="21"/>
                      <w:szCs w:val="21"/>
                      <w:highlight w:val="none"/>
                    </w:rPr>
                    <w:t>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407" w:type="pct"/>
                  <w:vMerge w:val="restart"/>
                  <w:vAlign w:val="center"/>
                </w:tcPr>
                <w:p w14:paraId="2D373AC7">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c>
                <w:tcPr>
                  <w:tcW w:w="417" w:type="pct"/>
                  <w:vMerge w:val="restart"/>
                  <w:vAlign w:val="center"/>
                </w:tcPr>
                <w:p w14:paraId="287ED1E3">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甲苯含量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w:t>
                  </w:r>
                </w:p>
              </w:tc>
            </w:tr>
            <w:tr w14:paraId="007C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7" w:type="pct"/>
                  <w:vMerge w:val="continue"/>
                  <w:vAlign w:val="center"/>
                </w:tcPr>
                <w:p w14:paraId="1729A88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1354" w:type="pct"/>
                  <w:vMerge w:val="continue"/>
                  <w:vAlign w:val="center"/>
                </w:tcPr>
                <w:p w14:paraId="0E66C724">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665" w:type="pct"/>
                  <w:vMerge w:val="continue"/>
                  <w:vAlign w:val="center"/>
                </w:tcPr>
                <w:p w14:paraId="2B9D0A0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548" w:type="pct"/>
                  <w:vAlign w:val="center"/>
                </w:tcPr>
                <w:p w14:paraId="176B51A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总挥发份</w:t>
                  </w:r>
                </w:p>
              </w:tc>
              <w:tc>
                <w:tcPr>
                  <w:tcW w:w="472" w:type="pct"/>
                  <w:vAlign w:val="center"/>
                </w:tcPr>
                <w:p w14:paraId="58C2507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二甲苯</w:t>
                  </w:r>
                </w:p>
              </w:tc>
              <w:tc>
                <w:tcPr>
                  <w:tcW w:w="437" w:type="pct"/>
                  <w:vAlign w:val="center"/>
                </w:tcPr>
                <w:p w14:paraId="38214DA1">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w:t>
                  </w:r>
                </w:p>
              </w:tc>
              <w:tc>
                <w:tcPr>
                  <w:tcW w:w="518" w:type="pct"/>
                  <w:vMerge w:val="continue"/>
                  <w:vAlign w:val="center"/>
                </w:tcPr>
                <w:p w14:paraId="6101ECF7">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407" w:type="pct"/>
                  <w:vMerge w:val="continue"/>
                  <w:vAlign w:val="center"/>
                </w:tcPr>
                <w:p w14:paraId="798CF20E">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c>
                <w:tcPr>
                  <w:tcW w:w="417" w:type="pct"/>
                  <w:vMerge w:val="continue"/>
                  <w:vAlign w:val="center"/>
                </w:tcPr>
                <w:p w14:paraId="4546952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rPr>
                  </w:pPr>
                </w:p>
              </w:tc>
            </w:tr>
            <w:tr w14:paraId="3206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 w:type="pct"/>
                  <w:vAlign w:val="center"/>
                </w:tcPr>
                <w:p w14:paraId="62C58EC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w:t>
                  </w:r>
                </w:p>
              </w:tc>
              <w:tc>
                <w:tcPr>
                  <w:tcW w:w="1354" w:type="pct"/>
                  <w:vAlign w:val="center"/>
                </w:tcPr>
                <w:p w14:paraId="708D37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橙色氧化橡胶面漆</w:t>
                  </w:r>
                </w:p>
              </w:tc>
              <w:tc>
                <w:tcPr>
                  <w:tcW w:w="665" w:type="pct"/>
                  <w:vAlign w:val="center"/>
                </w:tcPr>
                <w:p w14:paraId="3A384784">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0.60</w:t>
                  </w:r>
                </w:p>
              </w:tc>
              <w:tc>
                <w:tcPr>
                  <w:tcW w:w="548" w:type="pct"/>
                  <w:vAlign w:val="center"/>
                </w:tcPr>
                <w:p w14:paraId="001AB3C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35</w:t>
                  </w:r>
                </w:p>
              </w:tc>
              <w:tc>
                <w:tcPr>
                  <w:tcW w:w="472" w:type="pct"/>
                  <w:vAlign w:val="center"/>
                </w:tcPr>
                <w:p w14:paraId="5B3912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20</w:t>
                  </w:r>
                </w:p>
              </w:tc>
              <w:tc>
                <w:tcPr>
                  <w:tcW w:w="437" w:type="pct"/>
                  <w:vAlign w:val="center"/>
                </w:tcPr>
                <w:p w14:paraId="3D79AC4D">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8</w:t>
                  </w:r>
                </w:p>
              </w:tc>
              <w:tc>
                <w:tcPr>
                  <w:tcW w:w="518" w:type="pct"/>
                  <w:vAlign w:val="center"/>
                </w:tcPr>
                <w:p w14:paraId="5DF23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0.21</w:t>
                  </w:r>
                </w:p>
              </w:tc>
              <w:tc>
                <w:tcPr>
                  <w:tcW w:w="407" w:type="pct"/>
                  <w:vAlign w:val="center"/>
                </w:tcPr>
                <w:p w14:paraId="332D19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0.12</w:t>
                  </w:r>
                </w:p>
              </w:tc>
              <w:tc>
                <w:tcPr>
                  <w:tcW w:w="417" w:type="pct"/>
                  <w:vAlign w:val="center"/>
                </w:tcPr>
                <w:p w14:paraId="77005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0.048</w:t>
                  </w:r>
                </w:p>
              </w:tc>
            </w:tr>
            <w:tr w14:paraId="4199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7" w:type="pct"/>
                  <w:vAlign w:val="center"/>
                </w:tcPr>
                <w:p w14:paraId="642DAFC0">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54" w:type="pct"/>
                  <w:vAlign w:val="center"/>
                </w:tcPr>
                <w:p w14:paraId="5C47A72E">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SC稀释剂</w:t>
                  </w:r>
                </w:p>
              </w:tc>
              <w:tc>
                <w:tcPr>
                  <w:tcW w:w="665" w:type="pct"/>
                  <w:vAlign w:val="center"/>
                </w:tcPr>
                <w:p w14:paraId="0EBF9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0.15</w:t>
                  </w:r>
                </w:p>
              </w:tc>
              <w:tc>
                <w:tcPr>
                  <w:tcW w:w="548" w:type="pct"/>
                  <w:vAlign w:val="center"/>
                </w:tcPr>
                <w:p w14:paraId="69FB56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rPr>
                  </w:pPr>
                  <w:r>
                    <w:rPr>
                      <w:rFonts w:hint="default" w:ascii="Times New Roman" w:hAnsi="Times New Roman" w:eastAsia="宋体" w:cs="Times New Roman"/>
                      <w:color w:val="auto"/>
                      <w:sz w:val="21"/>
                      <w:szCs w:val="21"/>
                      <w:highlight w:val="none"/>
                      <w:u w:val="single"/>
                      <w:lang w:val="en-US" w:eastAsia="zh-CN"/>
                    </w:rPr>
                    <w:t>100</w:t>
                  </w:r>
                </w:p>
              </w:tc>
              <w:tc>
                <w:tcPr>
                  <w:tcW w:w="472" w:type="pct"/>
                  <w:vAlign w:val="center"/>
                </w:tcPr>
                <w:p w14:paraId="475B5BB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0</w:t>
                  </w:r>
                </w:p>
              </w:tc>
              <w:tc>
                <w:tcPr>
                  <w:tcW w:w="437" w:type="pct"/>
                  <w:vAlign w:val="center"/>
                </w:tcPr>
                <w:p w14:paraId="22340821">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val="en-US" w:eastAsia="zh-CN"/>
                    </w:rPr>
                    <w:t>0</w:t>
                  </w:r>
                </w:p>
              </w:tc>
              <w:tc>
                <w:tcPr>
                  <w:tcW w:w="518" w:type="pct"/>
                  <w:vAlign w:val="center"/>
                </w:tcPr>
                <w:p w14:paraId="7C01F3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0.15</w:t>
                  </w:r>
                </w:p>
              </w:tc>
              <w:tc>
                <w:tcPr>
                  <w:tcW w:w="407" w:type="pct"/>
                  <w:vAlign w:val="center"/>
                </w:tcPr>
                <w:p w14:paraId="16950D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0</w:t>
                  </w:r>
                </w:p>
              </w:tc>
              <w:tc>
                <w:tcPr>
                  <w:tcW w:w="417" w:type="pct"/>
                  <w:vAlign w:val="center"/>
                </w:tcPr>
                <w:p w14:paraId="1E5F54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cs="Times New Roman"/>
                      <w:i w:val="0"/>
                      <w:iCs w:val="0"/>
                      <w:color w:val="auto"/>
                      <w:kern w:val="0"/>
                      <w:sz w:val="21"/>
                      <w:szCs w:val="21"/>
                      <w:highlight w:val="none"/>
                      <w:u w:val="single"/>
                      <w:lang w:val="en-US" w:eastAsia="zh-CN" w:bidi="ar"/>
                    </w:rPr>
                    <w:t>0</w:t>
                  </w:r>
                </w:p>
              </w:tc>
            </w:tr>
            <w:tr w14:paraId="3B40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32" w:type="pct"/>
                  <w:gridSpan w:val="2"/>
                  <w:vAlign w:val="center"/>
                </w:tcPr>
                <w:p w14:paraId="176C2C5C">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cs="Times New Roman"/>
                      <w:color w:val="auto"/>
                      <w:kern w:val="0"/>
                      <w:sz w:val="21"/>
                      <w:szCs w:val="21"/>
                      <w:highlight w:val="none"/>
                      <w:u w:val="single"/>
                      <w:lang w:val="en-US" w:eastAsia="zh-CN" w:bidi="ar"/>
                    </w:rPr>
                  </w:pPr>
                  <w:r>
                    <w:rPr>
                      <w:rFonts w:hint="default" w:ascii="Times New Roman" w:hAnsi="Times New Roman" w:cs="Times New Roman"/>
                      <w:color w:val="auto"/>
                      <w:kern w:val="0"/>
                      <w:sz w:val="21"/>
                      <w:szCs w:val="21"/>
                      <w:highlight w:val="none"/>
                      <w:u w:val="single"/>
                      <w:lang w:val="en-US" w:eastAsia="zh-CN" w:bidi="ar"/>
                    </w:rPr>
                    <w:t>合计</w:t>
                  </w:r>
                </w:p>
              </w:tc>
              <w:tc>
                <w:tcPr>
                  <w:tcW w:w="665" w:type="pct"/>
                  <w:vAlign w:val="center"/>
                </w:tcPr>
                <w:p w14:paraId="1AE9151B">
                  <w:pPr>
                    <w:keepNext w:val="0"/>
                    <w:keepLines w:val="0"/>
                    <w:pageBreakBefore w:val="0"/>
                    <w:widowControl/>
                    <w:suppressLineNumbers w:val="0"/>
                    <w:kinsoku/>
                    <w:wordWrap/>
                    <w:overflowPunct/>
                    <w:topLinePunct w:val="0"/>
                    <w:autoSpaceDE/>
                    <w:autoSpaceDN/>
                    <w:bidi w:val="0"/>
                    <w:adjustRightInd/>
                    <w:spacing w:before="60" w:beforeAutospacing="0" w:after="60" w:afterAutospacing="0" w:line="240" w:lineRule="exact"/>
                    <w:ind w:left="0" w:right="0"/>
                    <w:jc w:val="center"/>
                    <w:textAlignment w:val="center"/>
                    <w:rPr>
                      <w:rFonts w:hint="default" w:ascii="Times New Roman" w:hAnsi="Times New Roman"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0.75</w:t>
                  </w:r>
                </w:p>
              </w:tc>
              <w:tc>
                <w:tcPr>
                  <w:tcW w:w="548" w:type="pct"/>
                  <w:vAlign w:val="center"/>
                </w:tcPr>
                <w:p w14:paraId="5A2C6118">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472" w:type="pct"/>
                  <w:vAlign w:val="center"/>
                </w:tcPr>
                <w:p w14:paraId="2A15F6C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437" w:type="pct"/>
                  <w:vAlign w:val="center"/>
                </w:tcPr>
                <w:p w14:paraId="73778344">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p>
              </w:tc>
              <w:tc>
                <w:tcPr>
                  <w:tcW w:w="518" w:type="pct"/>
                  <w:vAlign w:val="center"/>
                </w:tcPr>
                <w:p w14:paraId="486BCA1F">
                  <w:pPr>
                    <w:keepNext w:val="0"/>
                    <w:keepLines w:val="0"/>
                    <w:pageBreakBefore w:val="0"/>
                    <w:suppressLineNumbers w:val="0"/>
                    <w:kinsoku/>
                    <w:wordWrap/>
                    <w:overflowPunct/>
                    <w:topLinePunct w:val="0"/>
                    <w:autoSpaceDE/>
                    <w:autoSpaceDN/>
                    <w:bidi w:val="0"/>
                    <w:adjustRightInd/>
                    <w:snapToGrid w:val="0"/>
                    <w:spacing w:before="60" w:beforeAutospacing="0" w:after="60" w:afterAutospacing="0" w:line="240" w:lineRule="exact"/>
                    <w:ind w:left="0" w:right="0"/>
                    <w:jc w:val="center"/>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0.36</w:t>
                  </w:r>
                </w:p>
              </w:tc>
              <w:tc>
                <w:tcPr>
                  <w:tcW w:w="407" w:type="pct"/>
                  <w:shd w:val="clear" w:color="auto" w:fill="auto"/>
                  <w:vAlign w:val="center"/>
                </w:tcPr>
                <w:p w14:paraId="1EA1A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0.12</w:t>
                  </w:r>
                </w:p>
              </w:tc>
              <w:tc>
                <w:tcPr>
                  <w:tcW w:w="417" w:type="pct"/>
                  <w:shd w:val="clear" w:color="auto" w:fill="auto"/>
                  <w:vAlign w:val="center"/>
                </w:tcPr>
                <w:p w14:paraId="67043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0.048</w:t>
                  </w:r>
                </w:p>
              </w:tc>
            </w:tr>
          </w:tbl>
          <w:p w14:paraId="6D86470B">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项目主要原辅材料见表</w:t>
            </w:r>
            <w:r>
              <w:rPr>
                <w:rFonts w:hint="default" w:ascii="Times New Roman" w:hAnsi="Times New Roman" w:cs="Times New Roman"/>
                <w:color w:val="auto"/>
                <w:sz w:val="24"/>
                <w:szCs w:val="32"/>
                <w:highlight w:val="none"/>
                <w:lang w:val="en-US" w:eastAsia="zh-CN"/>
              </w:rPr>
              <w:t>2-8</w:t>
            </w:r>
            <w:r>
              <w:rPr>
                <w:rFonts w:hint="default" w:ascii="Times New Roman" w:hAnsi="Times New Roman" w:cs="Times New Roman"/>
                <w:color w:val="auto"/>
                <w:sz w:val="24"/>
                <w:szCs w:val="32"/>
                <w:highlight w:val="none"/>
              </w:rPr>
              <w:t>。</w:t>
            </w:r>
          </w:p>
          <w:p w14:paraId="799AB3FF">
            <w:pPr>
              <w:keepNext w:val="0"/>
              <w:keepLines w:val="0"/>
              <w:suppressLineNumbers w:val="0"/>
              <w:tabs>
                <w:tab w:val="left" w:pos="3225"/>
              </w:tabs>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项目主要原辅料一览表</w:t>
            </w:r>
          </w:p>
          <w:tbl>
            <w:tblPr>
              <w:tblStyle w:val="142"/>
              <w:tblW w:w="7937"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1290"/>
              <w:gridCol w:w="1320"/>
              <w:gridCol w:w="2648"/>
              <w:gridCol w:w="1"/>
              <w:gridCol w:w="1017"/>
              <w:gridCol w:w="1041"/>
            </w:tblGrid>
            <w:tr w14:paraId="60CC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620" w:type="dxa"/>
                  <w:noWrap w:val="0"/>
                  <w:textDirection w:val="tbRlV"/>
                  <w:vAlign w:val="center"/>
                </w:tcPr>
                <w:p w14:paraId="5C3A62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90" w:type="dxa"/>
                  <w:noWrap w:val="0"/>
                  <w:vAlign w:val="center"/>
                </w:tcPr>
                <w:p w14:paraId="1356B2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320" w:type="dxa"/>
                  <w:noWrap w:val="0"/>
                  <w:vAlign w:val="center"/>
                </w:tcPr>
                <w:p w14:paraId="447AD8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p>
              </w:tc>
              <w:tc>
                <w:tcPr>
                  <w:tcW w:w="2648" w:type="dxa"/>
                  <w:noWrap w:val="0"/>
                  <w:vAlign w:val="center"/>
                </w:tcPr>
                <w:p w14:paraId="4EF3DE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1018" w:type="dxa"/>
                  <w:gridSpan w:val="2"/>
                  <w:noWrap w:val="0"/>
                  <w:vAlign w:val="center"/>
                </w:tcPr>
                <w:p w14:paraId="7DBAC8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物料性状</w:t>
                  </w:r>
                </w:p>
              </w:tc>
              <w:tc>
                <w:tcPr>
                  <w:tcW w:w="1041" w:type="dxa"/>
                  <w:noWrap w:val="0"/>
                  <w:vAlign w:val="center"/>
                </w:tcPr>
                <w:p w14:paraId="0528C2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浓度及</w:t>
                  </w:r>
                </w:p>
                <w:p w14:paraId="0DB642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配置要</w:t>
                  </w:r>
                </w:p>
                <w:p w14:paraId="1D883A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求</w:t>
                  </w:r>
                </w:p>
              </w:tc>
            </w:tr>
            <w:tr w14:paraId="6858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620" w:type="dxa"/>
                  <w:noWrap w:val="0"/>
                  <w:vAlign w:val="center"/>
                </w:tcPr>
                <w:p w14:paraId="61FEAE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90" w:type="dxa"/>
                  <w:noWrap w:val="0"/>
                  <w:vAlign w:val="center"/>
                </w:tcPr>
                <w:p w14:paraId="434687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钢材补片</w:t>
                  </w:r>
                </w:p>
              </w:tc>
              <w:tc>
                <w:tcPr>
                  <w:tcW w:w="1320" w:type="dxa"/>
                  <w:noWrap w:val="0"/>
                  <w:vAlign w:val="center"/>
                </w:tcPr>
                <w:p w14:paraId="4A5B7D0C">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t/a</w:t>
                  </w:r>
                </w:p>
              </w:tc>
              <w:tc>
                <w:tcPr>
                  <w:tcW w:w="2648" w:type="dxa"/>
                  <w:noWrap w:val="0"/>
                  <w:vAlign w:val="center"/>
                </w:tcPr>
                <w:p w14:paraId="4B06DE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存于原料区，最大储存量0.5t/a</w:t>
                  </w:r>
                </w:p>
              </w:tc>
              <w:tc>
                <w:tcPr>
                  <w:tcW w:w="1018" w:type="dxa"/>
                  <w:gridSpan w:val="2"/>
                  <w:noWrap w:val="0"/>
                  <w:vAlign w:val="center"/>
                </w:tcPr>
                <w:p w14:paraId="179423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tc>
              <w:tc>
                <w:tcPr>
                  <w:tcW w:w="1041" w:type="dxa"/>
                  <w:noWrap w:val="0"/>
                  <w:vAlign w:val="center"/>
                </w:tcPr>
                <w:p w14:paraId="669FE1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71D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620" w:type="dxa"/>
                  <w:vMerge w:val="restart"/>
                  <w:noWrap w:val="0"/>
                  <w:vAlign w:val="center"/>
                </w:tcPr>
                <w:p w14:paraId="26DAAC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90" w:type="dxa"/>
                  <w:noWrap w:val="0"/>
                  <w:vAlign w:val="center"/>
                </w:tcPr>
                <w:p w14:paraId="6DD163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焊丝</w:t>
                  </w:r>
                </w:p>
              </w:tc>
              <w:tc>
                <w:tcPr>
                  <w:tcW w:w="1320" w:type="dxa"/>
                  <w:noWrap w:val="0"/>
                  <w:vAlign w:val="center"/>
                </w:tcPr>
                <w:p w14:paraId="62D5C936">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2648" w:type="dxa"/>
                  <w:vMerge w:val="restart"/>
                  <w:noWrap w:val="0"/>
                  <w:vAlign w:val="center"/>
                </w:tcPr>
                <w:p w14:paraId="4EA8EE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存于焊材放置区，最大储存量0.5t；</w:t>
                  </w:r>
                </w:p>
                <w:p w14:paraId="7C94E0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无铅焊材，其主要成分是锡及助焊剂</w:t>
                  </w:r>
                </w:p>
              </w:tc>
              <w:tc>
                <w:tcPr>
                  <w:tcW w:w="1018" w:type="dxa"/>
                  <w:gridSpan w:val="2"/>
                  <w:vMerge w:val="restart"/>
                  <w:noWrap w:val="0"/>
                  <w:vAlign w:val="center"/>
                </w:tcPr>
                <w:p w14:paraId="569392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tc>
              <w:tc>
                <w:tcPr>
                  <w:tcW w:w="1041" w:type="dxa"/>
                  <w:vMerge w:val="restart"/>
                  <w:noWrap w:val="0"/>
                  <w:vAlign w:val="center"/>
                </w:tcPr>
                <w:p w14:paraId="3F0887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286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620" w:type="dxa"/>
                  <w:vMerge w:val="continue"/>
                  <w:noWrap w:val="0"/>
                  <w:vAlign w:val="center"/>
                </w:tcPr>
                <w:p w14:paraId="10333A52">
                  <w:pPr>
                    <w:jc w:val="center"/>
                    <w:rPr>
                      <w:rFonts w:hint="default" w:ascii="Times New Roman" w:hAnsi="Times New Roman" w:eastAsia="宋体" w:cs="Times New Roman"/>
                      <w:color w:val="auto"/>
                      <w:sz w:val="21"/>
                      <w:szCs w:val="21"/>
                      <w:highlight w:val="none"/>
                    </w:rPr>
                  </w:pPr>
                </w:p>
              </w:tc>
              <w:tc>
                <w:tcPr>
                  <w:tcW w:w="1290" w:type="dxa"/>
                  <w:noWrap w:val="0"/>
                  <w:vAlign w:val="center"/>
                </w:tcPr>
                <w:p w14:paraId="35C97B01">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焊条</w:t>
                  </w:r>
                </w:p>
              </w:tc>
              <w:tc>
                <w:tcPr>
                  <w:tcW w:w="1320" w:type="dxa"/>
                  <w:noWrap w:val="0"/>
                  <w:vAlign w:val="center"/>
                </w:tcPr>
                <w:p w14:paraId="456166A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t/a</w:t>
                  </w:r>
                </w:p>
              </w:tc>
              <w:tc>
                <w:tcPr>
                  <w:tcW w:w="2648" w:type="dxa"/>
                  <w:vMerge w:val="continue"/>
                  <w:noWrap w:val="0"/>
                  <w:vAlign w:val="center"/>
                </w:tcPr>
                <w:p w14:paraId="41BBAE94">
                  <w:pPr>
                    <w:jc w:val="center"/>
                    <w:rPr>
                      <w:rFonts w:hint="default" w:ascii="Times New Roman" w:hAnsi="Times New Roman" w:eastAsia="宋体" w:cs="Times New Roman"/>
                      <w:color w:val="auto"/>
                      <w:sz w:val="21"/>
                      <w:szCs w:val="21"/>
                      <w:highlight w:val="none"/>
                    </w:rPr>
                  </w:pPr>
                </w:p>
              </w:tc>
              <w:tc>
                <w:tcPr>
                  <w:tcW w:w="1018" w:type="dxa"/>
                  <w:gridSpan w:val="2"/>
                  <w:vMerge w:val="continue"/>
                  <w:noWrap w:val="0"/>
                  <w:vAlign w:val="center"/>
                </w:tcPr>
                <w:p w14:paraId="5166411D">
                  <w:pPr>
                    <w:jc w:val="center"/>
                    <w:rPr>
                      <w:rFonts w:hint="default" w:ascii="Times New Roman" w:hAnsi="Times New Roman" w:eastAsia="宋体" w:cs="Times New Roman"/>
                      <w:color w:val="auto"/>
                      <w:sz w:val="21"/>
                      <w:szCs w:val="21"/>
                      <w:highlight w:val="none"/>
                    </w:rPr>
                  </w:pPr>
                </w:p>
              </w:tc>
              <w:tc>
                <w:tcPr>
                  <w:tcW w:w="1041" w:type="dxa"/>
                  <w:vMerge w:val="continue"/>
                  <w:noWrap w:val="0"/>
                  <w:vAlign w:val="center"/>
                </w:tcPr>
                <w:p w14:paraId="6A21F003">
                  <w:pPr>
                    <w:jc w:val="center"/>
                    <w:rPr>
                      <w:rFonts w:hint="default" w:ascii="Times New Roman" w:hAnsi="Times New Roman" w:eastAsia="宋体" w:cs="Times New Roman"/>
                      <w:color w:val="auto"/>
                      <w:sz w:val="21"/>
                      <w:szCs w:val="21"/>
                      <w:highlight w:val="none"/>
                    </w:rPr>
                  </w:pPr>
                </w:p>
              </w:tc>
            </w:tr>
            <w:tr w14:paraId="5AAB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620" w:type="dxa"/>
                  <w:noWrap w:val="0"/>
                  <w:vAlign w:val="center"/>
                </w:tcPr>
                <w:p w14:paraId="7B66F2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90" w:type="dxa"/>
                  <w:noWrap w:val="0"/>
                  <w:vAlign w:val="center"/>
                </w:tcPr>
                <w:p w14:paraId="39BD47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橙色氧化橡</w:t>
                  </w:r>
                </w:p>
                <w:p w14:paraId="12993A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胶面漆（油漆）</w:t>
                  </w:r>
                </w:p>
              </w:tc>
              <w:tc>
                <w:tcPr>
                  <w:tcW w:w="1320" w:type="dxa"/>
                  <w:noWrap w:val="0"/>
                  <w:vAlign w:val="center"/>
                </w:tcPr>
                <w:p w14:paraId="48777C9D">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3.3</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t/a</w:t>
                  </w:r>
                </w:p>
              </w:tc>
              <w:tc>
                <w:tcPr>
                  <w:tcW w:w="2648" w:type="dxa"/>
                  <w:noWrap w:val="0"/>
                  <w:vAlign w:val="center"/>
                </w:tcPr>
                <w:p w14:paraId="466E8C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暂存于原料区，存量约</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w:t>
                  </w:r>
                </w:p>
              </w:tc>
              <w:tc>
                <w:tcPr>
                  <w:tcW w:w="1018" w:type="dxa"/>
                  <w:gridSpan w:val="2"/>
                  <w:noWrap w:val="0"/>
                  <w:vAlign w:val="center"/>
                </w:tcPr>
                <w:p w14:paraId="03EBB3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液体</w:t>
                  </w:r>
                </w:p>
              </w:tc>
              <w:tc>
                <w:tcPr>
                  <w:tcW w:w="1041" w:type="dxa"/>
                  <w:noWrap w:val="0"/>
                  <w:vAlign w:val="center"/>
                </w:tcPr>
                <w:p w14:paraId="1A40F3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与SC稀释剂配比为</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：1；</w:t>
                  </w:r>
                </w:p>
              </w:tc>
            </w:tr>
            <w:tr w14:paraId="3D80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trPr>
              <w:tc>
                <w:tcPr>
                  <w:tcW w:w="620" w:type="dxa"/>
                  <w:noWrap w:val="0"/>
                  <w:vAlign w:val="center"/>
                </w:tcPr>
                <w:p w14:paraId="7D0BEB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90" w:type="dxa"/>
                  <w:noWrap w:val="0"/>
                  <w:vAlign w:val="center"/>
                </w:tcPr>
                <w:p w14:paraId="069A93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SC稀释剂</w:t>
                  </w:r>
                </w:p>
              </w:tc>
              <w:tc>
                <w:tcPr>
                  <w:tcW w:w="1320" w:type="dxa"/>
                  <w:noWrap w:val="0"/>
                  <w:vAlign w:val="center"/>
                </w:tcPr>
                <w:p w14:paraId="4B7D6603">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0.84</w:t>
                  </w:r>
                  <w:r>
                    <w:rPr>
                      <w:rFonts w:hint="default" w:ascii="Times New Roman" w:hAnsi="Times New Roman" w:eastAsia="宋体" w:cs="Times New Roman"/>
                      <w:color w:val="auto"/>
                      <w:sz w:val="21"/>
                      <w:szCs w:val="21"/>
                      <w:highlight w:val="none"/>
                    </w:rPr>
                    <w:t>t/a</w:t>
                  </w:r>
                </w:p>
              </w:tc>
              <w:tc>
                <w:tcPr>
                  <w:tcW w:w="2649" w:type="dxa"/>
                  <w:gridSpan w:val="2"/>
                  <w:noWrap w:val="0"/>
                  <w:vAlign w:val="center"/>
                </w:tcPr>
                <w:p w14:paraId="71A0FA91">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暂存于原料区，存量约0.5</w:t>
                  </w:r>
                  <w:r>
                    <w:rPr>
                      <w:rFonts w:hint="default" w:ascii="Times New Roman" w:hAnsi="Times New Roman" w:eastAsia="宋体" w:cs="Times New Roman"/>
                      <w:color w:val="auto"/>
                      <w:sz w:val="21"/>
                      <w:szCs w:val="21"/>
                      <w:highlight w:val="none"/>
                    </w:rPr>
                    <w:t>t</w:t>
                  </w:r>
                </w:p>
              </w:tc>
              <w:tc>
                <w:tcPr>
                  <w:tcW w:w="1017" w:type="dxa"/>
                  <w:noWrap w:val="0"/>
                  <w:vAlign w:val="center"/>
                </w:tcPr>
                <w:p w14:paraId="5B506D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液体</w:t>
                  </w:r>
                </w:p>
              </w:tc>
              <w:tc>
                <w:tcPr>
                  <w:tcW w:w="1041" w:type="dxa"/>
                  <w:noWrap w:val="0"/>
                  <w:vAlign w:val="center"/>
                </w:tcPr>
                <w:p w14:paraId="06A68D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与油漆的配比为1：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r>
            <w:tr w14:paraId="43E4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1D44BF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90" w:type="dxa"/>
                  <w:noWrap w:val="0"/>
                  <w:vAlign w:val="center"/>
                </w:tcPr>
                <w:p w14:paraId="6C4836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氧气</w:t>
                  </w:r>
                </w:p>
              </w:tc>
              <w:tc>
                <w:tcPr>
                  <w:tcW w:w="1320" w:type="dxa"/>
                  <w:noWrap w:val="0"/>
                  <w:vAlign w:val="center"/>
                </w:tcPr>
                <w:p w14:paraId="55A4A9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940瓶/a（37.6m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09F170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70848B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4093B5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895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167258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90" w:type="dxa"/>
                  <w:noWrap w:val="0"/>
                  <w:vAlign w:val="center"/>
                </w:tcPr>
                <w:p w14:paraId="240A55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丙烷</w:t>
                  </w:r>
                </w:p>
              </w:tc>
              <w:tc>
                <w:tcPr>
                  <w:tcW w:w="1320" w:type="dxa"/>
                  <w:noWrap w:val="0"/>
                  <w:vAlign w:val="center"/>
                </w:tcPr>
                <w:p w14:paraId="7F6516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280瓶/a（11.2m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70C0C2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61B2D8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0E316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B4C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620" w:type="dxa"/>
                  <w:noWrap w:val="0"/>
                  <w:vAlign w:val="center"/>
                </w:tcPr>
                <w:p w14:paraId="095CAA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290" w:type="dxa"/>
                  <w:noWrap w:val="0"/>
                  <w:vAlign w:val="center"/>
                </w:tcPr>
                <w:p w14:paraId="3BD1E1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2</w:t>
                  </w:r>
                </w:p>
              </w:tc>
              <w:tc>
                <w:tcPr>
                  <w:tcW w:w="1320" w:type="dxa"/>
                  <w:noWrap w:val="0"/>
                  <w:vAlign w:val="center"/>
                </w:tcPr>
                <w:p w14:paraId="06BC85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600瓶/a（24m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6F3FE0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暂存在厂区东部气体房，最大储存5瓶（0.2m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7" w:type="dxa"/>
                  <w:noWrap w:val="0"/>
                  <w:vAlign w:val="center"/>
                </w:tcPr>
                <w:p w14:paraId="454D8C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气体，焊接保护气</w:t>
                  </w:r>
                </w:p>
              </w:tc>
              <w:tc>
                <w:tcPr>
                  <w:tcW w:w="1041" w:type="dxa"/>
                  <w:noWrap w:val="0"/>
                  <w:vAlign w:val="center"/>
                </w:tcPr>
                <w:p w14:paraId="14D406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DC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620" w:type="dxa"/>
                  <w:noWrap w:val="0"/>
                  <w:vAlign w:val="center"/>
                </w:tcPr>
                <w:p w14:paraId="016DE9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90" w:type="dxa"/>
                  <w:noWrap w:val="0"/>
                  <w:vAlign w:val="center"/>
                </w:tcPr>
                <w:p w14:paraId="52B0B0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1320" w:type="dxa"/>
                  <w:noWrap w:val="0"/>
                  <w:vAlign w:val="center"/>
                </w:tcPr>
                <w:p w14:paraId="57D383A3">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2E8C3E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20kg/袋，</w:t>
                  </w:r>
                  <w:r>
                    <w:rPr>
                      <w:rFonts w:hint="eastAsia"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rPr>
                    <w:t>处理，</w:t>
                  </w:r>
                </w:p>
                <w:p w14:paraId="10C738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最大储存1袋，暂存在原料及焊材放置区</w:t>
                  </w:r>
                </w:p>
              </w:tc>
              <w:tc>
                <w:tcPr>
                  <w:tcW w:w="1017" w:type="dxa"/>
                  <w:noWrap w:val="0"/>
                  <w:vAlign w:val="center"/>
                </w:tcPr>
                <w:p w14:paraId="516EA1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固体，袋装</w:t>
                  </w:r>
                </w:p>
              </w:tc>
              <w:tc>
                <w:tcPr>
                  <w:tcW w:w="1041" w:type="dxa"/>
                  <w:noWrap w:val="0"/>
                  <w:vAlign w:val="center"/>
                </w:tcPr>
                <w:p w14:paraId="7B53B6C7">
                  <w:pPr>
                    <w:jc w:val="center"/>
                    <w:rPr>
                      <w:rFonts w:hint="default" w:ascii="Times New Roman" w:hAnsi="Times New Roman" w:eastAsia="宋体" w:cs="Times New Roman"/>
                      <w:color w:val="auto"/>
                      <w:sz w:val="21"/>
                      <w:szCs w:val="21"/>
                      <w:highlight w:val="none"/>
                    </w:rPr>
                  </w:pPr>
                </w:p>
                <w:p w14:paraId="056837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FB7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620" w:type="dxa"/>
                  <w:noWrap w:val="0"/>
                  <w:vAlign w:val="center"/>
                </w:tcPr>
                <w:p w14:paraId="1841BB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90" w:type="dxa"/>
                  <w:noWrap w:val="0"/>
                  <w:vAlign w:val="center"/>
                </w:tcPr>
                <w:p w14:paraId="6B78C8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木地板</w:t>
                  </w:r>
                </w:p>
              </w:tc>
              <w:tc>
                <w:tcPr>
                  <w:tcW w:w="1320" w:type="dxa"/>
                  <w:noWrap w:val="0"/>
                  <w:vAlign w:val="center"/>
                </w:tcPr>
                <w:p w14:paraId="01D1E37B">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649" w:type="dxa"/>
                  <w:gridSpan w:val="2"/>
                  <w:noWrap w:val="0"/>
                  <w:vAlign w:val="center"/>
                </w:tcPr>
                <w:p w14:paraId="66DA4B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单个1.2m×2.4m×28mm，最</w:t>
                  </w:r>
                </w:p>
                <w:p w14:paraId="277442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大储存0.5m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，暂存在原料及焊材放置区</w:t>
                  </w:r>
                </w:p>
              </w:tc>
              <w:tc>
                <w:tcPr>
                  <w:tcW w:w="1017" w:type="dxa"/>
                  <w:noWrap w:val="0"/>
                  <w:vAlign w:val="center"/>
                </w:tcPr>
                <w:p w14:paraId="4F85BA1F">
                  <w:pPr>
                    <w:jc w:val="center"/>
                    <w:rPr>
                      <w:rFonts w:hint="default" w:ascii="Times New Roman" w:hAnsi="Times New Roman" w:eastAsia="宋体" w:cs="Times New Roman"/>
                      <w:color w:val="auto"/>
                      <w:sz w:val="21"/>
                      <w:szCs w:val="21"/>
                      <w:highlight w:val="none"/>
                    </w:rPr>
                  </w:pPr>
                </w:p>
                <w:p w14:paraId="5510AC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1" w:type="dxa"/>
                  <w:noWrap w:val="0"/>
                  <w:vAlign w:val="center"/>
                </w:tcPr>
                <w:p w14:paraId="39B47E4A">
                  <w:pPr>
                    <w:jc w:val="center"/>
                    <w:rPr>
                      <w:rFonts w:hint="default" w:ascii="Times New Roman" w:hAnsi="Times New Roman" w:eastAsia="宋体" w:cs="Times New Roman"/>
                      <w:color w:val="auto"/>
                      <w:sz w:val="21"/>
                      <w:szCs w:val="21"/>
                      <w:highlight w:val="none"/>
                    </w:rPr>
                  </w:pPr>
                </w:p>
                <w:p w14:paraId="4DAB8F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6816278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p>
          <w:p w14:paraId="7C980D81">
            <w:pPr>
              <w:pStyle w:val="143"/>
              <w:keepNext w:val="0"/>
              <w:keepLines w:val="0"/>
              <w:suppressLineNumbers w:val="0"/>
              <w:spacing w:before="154" w:beforeAutospacing="0" w:after="0" w:afterAutospacing="0" w:line="214" w:lineRule="auto"/>
              <w:ind w:left="2055"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9</w:t>
            </w:r>
            <w:r>
              <w:rPr>
                <w:rFonts w:hint="default" w:ascii="Times New Roman" w:hAnsi="Times New Roman" w:cs="Times New Roman"/>
                <w:b/>
                <w:bCs/>
                <w:color w:val="auto"/>
                <w:spacing w:val="-2"/>
                <w:sz w:val="24"/>
                <w:szCs w:val="24"/>
                <w:highlight w:val="none"/>
              </w:rPr>
              <w:t>橙色氧化橡胶面漆（油漆）理化性质</w:t>
            </w:r>
          </w:p>
          <w:tbl>
            <w:tblPr>
              <w:tblStyle w:val="142"/>
              <w:tblW w:w="7953" w:type="dxa"/>
              <w:tblInd w:w="98"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2682"/>
              <w:gridCol w:w="955"/>
              <w:gridCol w:w="3252"/>
            </w:tblGrid>
            <w:tr w14:paraId="1D977B2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64" w:type="dxa"/>
                  <w:vAlign w:val="top"/>
                </w:tcPr>
                <w:p w14:paraId="0AAB219C">
                  <w:pPr>
                    <w:pStyle w:val="143"/>
                    <w:spacing w:before="33" w:line="208" w:lineRule="auto"/>
                    <w:ind w:left="277"/>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637" w:type="dxa"/>
                  <w:gridSpan w:val="2"/>
                  <w:vAlign w:val="top"/>
                </w:tcPr>
                <w:p w14:paraId="15E7C845">
                  <w:pPr>
                    <w:pStyle w:val="143"/>
                    <w:spacing w:before="33" w:line="208" w:lineRule="auto"/>
                    <w:ind w:left="582"/>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中文名：橙色氧化橡胶面漆</w:t>
                  </w:r>
                </w:p>
              </w:tc>
              <w:tc>
                <w:tcPr>
                  <w:tcW w:w="3252" w:type="dxa"/>
                  <w:vAlign w:val="top"/>
                </w:tcPr>
                <w:p w14:paraId="65C960F5">
                  <w:pPr>
                    <w:pStyle w:val="143"/>
                    <w:spacing w:before="33" w:line="208" w:lineRule="auto"/>
                    <w:ind w:left="89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分子式：混合物</w:t>
                  </w:r>
                </w:p>
              </w:tc>
            </w:tr>
            <w:tr w14:paraId="3AC84A2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64" w:type="dxa"/>
                  <w:vAlign w:val="top"/>
                </w:tcPr>
                <w:p w14:paraId="1F3AEFB2">
                  <w:pPr>
                    <w:pStyle w:val="143"/>
                    <w:spacing w:before="31" w:line="204" w:lineRule="auto"/>
                    <w:ind w:left="12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889" w:type="dxa"/>
                  <w:gridSpan w:val="3"/>
                  <w:vAlign w:val="top"/>
                </w:tcPr>
                <w:p w14:paraId="1888EFF4">
                  <w:pPr>
                    <w:pStyle w:val="143"/>
                    <w:spacing w:before="31" w:line="204" w:lineRule="auto"/>
                    <w:ind w:left="219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外观与性状：油性易燃液体</w:t>
                  </w:r>
                </w:p>
              </w:tc>
            </w:tr>
            <w:tr w14:paraId="4B8D4DD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64" w:type="dxa"/>
                  <w:vMerge w:val="restart"/>
                  <w:tcBorders>
                    <w:bottom w:val="nil"/>
                  </w:tcBorders>
                  <w:vAlign w:val="top"/>
                </w:tcPr>
                <w:p w14:paraId="56184F71">
                  <w:pPr>
                    <w:spacing w:line="243" w:lineRule="auto"/>
                    <w:rPr>
                      <w:rFonts w:hint="default" w:ascii="Times New Roman" w:hAnsi="Times New Roman" w:cs="Times New Roman"/>
                      <w:color w:val="auto"/>
                      <w:sz w:val="21"/>
                      <w:highlight w:val="none"/>
                    </w:rPr>
                  </w:pPr>
                </w:p>
                <w:p w14:paraId="1A7B2686">
                  <w:pPr>
                    <w:pStyle w:val="143"/>
                    <w:spacing w:before="68" w:line="229" w:lineRule="auto"/>
                    <w:ind w:left="223" w:right="108" w:hanging="10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w:t>
                  </w:r>
                  <w:r>
                    <w:rPr>
                      <w:rFonts w:hint="default" w:ascii="Times New Roman" w:hAnsi="Times New Roman" w:cs="Times New Roman"/>
                      <w:color w:val="auto"/>
                      <w:spacing w:val="-1"/>
                      <w:highlight w:val="none"/>
                    </w:rPr>
                    <w:t>康危害</w:t>
                  </w:r>
                </w:p>
              </w:tc>
              <w:tc>
                <w:tcPr>
                  <w:tcW w:w="6889" w:type="dxa"/>
                  <w:gridSpan w:val="3"/>
                  <w:vAlign w:val="top"/>
                </w:tcPr>
                <w:p w14:paraId="2513A5A5">
                  <w:pPr>
                    <w:pStyle w:val="143"/>
                    <w:spacing w:before="33" w:line="204" w:lineRule="auto"/>
                    <w:ind w:left="218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侵入途径：吸入、经皮吸收</w:t>
                  </w:r>
                </w:p>
              </w:tc>
            </w:tr>
            <w:tr w14:paraId="4BBE17B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064" w:type="dxa"/>
                  <w:vMerge w:val="continue"/>
                  <w:tcBorders>
                    <w:top w:val="nil"/>
                  </w:tcBorders>
                  <w:vAlign w:val="top"/>
                </w:tcPr>
                <w:p w14:paraId="32E4A25C">
                  <w:pPr>
                    <w:rPr>
                      <w:rFonts w:hint="default" w:ascii="Times New Roman" w:hAnsi="Times New Roman" w:cs="Times New Roman"/>
                      <w:color w:val="auto"/>
                      <w:sz w:val="21"/>
                      <w:highlight w:val="none"/>
                    </w:rPr>
                  </w:pPr>
                </w:p>
              </w:tc>
              <w:tc>
                <w:tcPr>
                  <w:tcW w:w="2682" w:type="dxa"/>
                  <w:vAlign w:val="top"/>
                </w:tcPr>
                <w:p w14:paraId="0C2F23B5">
                  <w:pPr>
                    <w:pStyle w:val="143"/>
                    <w:spacing w:before="35" w:line="221" w:lineRule="auto"/>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健康危害：树脂的热解产物有毒，吸入高浓度蒸汽会中毒。</w:t>
                  </w:r>
                </w:p>
              </w:tc>
              <w:tc>
                <w:tcPr>
                  <w:tcW w:w="4207" w:type="dxa"/>
                  <w:gridSpan w:val="2"/>
                  <w:vAlign w:val="top"/>
                </w:tcPr>
                <w:p w14:paraId="37299B29">
                  <w:pPr>
                    <w:pStyle w:val="143"/>
                    <w:spacing w:before="37" w:line="225" w:lineRule="auto"/>
                    <w:ind w:left="172" w:right="161" w:firstLine="50"/>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急救方法：应使患者脱离污染区、安置休息并保暖。严重者就医诊治，皮肤污染用</w:t>
                  </w:r>
                  <w:r>
                    <w:rPr>
                      <w:rFonts w:hint="default" w:ascii="Times New Roman" w:hAnsi="Times New Roman" w:eastAsia="Times New Roman" w:cs="Times New Roman"/>
                      <w:color w:val="auto"/>
                      <w:highlight w:val="none"/>
                    </w:rPr>
                    <w:t>SC</w:t>
                  </w:r>
                  <w:r>
                    <w:rPr>
                      <w:rFonts w:hint="default" w:ascii="Times New Roman" w:hAnsi="Times New Roman" w:cs="Times New Roman"/>
                      <w:color w:val="auto"/>
                      <w:spacing w:val="5"/>
                      <w:highlight w:val="none"/>
                    </w:rPr>
                    <w:t>稀释剂擦清油污，再用肥皂彻底洗涤</w:t>
                  </w:r>
                </w:p>
              </w:tc>
            </w:tr>
            <w:tr w14:paraId="696997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64" w:type="dxa"/>
                  <w:vMerge w:val="restart"/>
                  <w:tcBorders>
                    <w:bottom w:val="nil"/>
                  </w:tcBorders>
                  <w:vAlign w:val="top"/>
                </w:tcPr>
                <w:p w14:paraId="0A32E577">
                  <w:pPr>
                    <w:pStyle w:val="143"/>
                    <w:spacing w:before="68" w:line="219" w:lineRule="auto"/>
                    <w:ind w:left="172"/>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燃烧爆</w:t>
                  </w:r>
                </w:p>
                <w:p w14:paraId="006E6A04">
                  <w:pPr>
                    <w:pStyle w:val="143"/>
                    <w:spacing w:before="23" w:line="221" w:lineRule="auto"/>
                    <w:ind w:left="173"/>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炸危险</w:t>
                  </w:r>
                </w:p>
                <w:p w14:paraId="45EC9543">
                  <w:pPr>
                    <w:pStyle w:val="143"/>
                    <w:spacing w:before="20" w:line="222" w:lineRule="auto"/>
                    <w:ind w:left="435"/>
                    <w:rPr>
                      <w:rFonts w:hint="default" w:ascii="Times New Roman" w:hAnsi="Times New Roman" w:cs="Times New Roman"/>
                      <w:color w:val="auto"/>
                      <w:highlight w:val="none"/>
                    </w:rPr>
                  </w:pPr>
                  <w:r>
                    <w:rPr>
                      <w:rFonts w:hint="default" w:ascii="Times New Roman" w:hAnsi="Times New Roman" w:cs="Times New Roman"/>
                      <w:color w:val="auto"/>
                      <w:highlight w:val="none"/>
                    </w:rPr>
                    <w:t>性</w:t>
                  </w:r>
                </w:p>
              </w:tc>
              <w:tc>
                <w:tcPr>
                  <w:tcW w:w="3637" w:type="dxa"/>
                  <w:gridSpan w:val="2"/>
                  <w:vAlign w:val="top"/>
                </w:tcPr>
                <w:p w14:paraId="26A75DA9">
                  <w:pPr>
                    <w:pStyle w:val="143"/>
                    <w:spacing w:before="44" w:line="195" w:lineRule="auto"/>
                    <w:ind w:left="1194"/>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252" w:type="dxa"/>
                  <w:vAlign w:val="top"/>
                </w:tcPr>
                <w:p w14:paraId="6C7891F3">
                  <w:pPr>
                    <w:pStyle w:val="143"/>
                    <w:spacing w:before="44" w:line="195" w:lineRule="auto"/>
                    <w:ind w:left="904"/>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3"/>
                      <w:highlight w:val="none"/>
                    </w:rPr>
                    <w:t>闪点</w:t>
                  </w:r>
                  <w:r>
                    <w:rPr>
                      <w:rFonts w:hint="eastAsia"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w:t>
                  </w:r>
                  <w:r>
                    <w:rPr>
                      <w:rFonts w:hint="eastAsia" w:ascii="Times New Roman" w:hAnsi="Times New Roman" w:eastAsia="宋体" w:cs="Times New Roman"/>
                      <w:color w:val="auto"/>
                      <w:spacing w:val="3"/>
                      <w:highlight w:val="none"/>
                      <w:lang w:eastAsia="zh-CN"/>
                    </w:rPr>
                    <w:t>）</w:t>
                  </w:r>
                  <w:r>
                    <w:rPr>
                      <w:rFonts w:hint="default"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≤23</w:t>
                  </w:r>
                </w:p>
              </w:tc>
            </w:tr>
            <w:tr w14:paraId="244490C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1064" w:type="dxa"/>
                  <w:vMerge w:val="continue"/>
                  <w:tcBorders>
                    <w:top w:val="nil"/>
                    <w:bottom w:val="nil"/>
                  </w:tcBorders>
                  <w:vAlign w:val="top"/>
                </w:tcPr>
                <w:p w14:paraId="44B78E33">
                  <w:pPr>
                    <w:rPr>
                      <w:rFonts w:hint="default" w:ascii="Times New Roman" w:hAnsi="Times New Roman" w:cs="Times New Roman"/>
                      <w:color w:val="auto"/>
                      <w:sz w:val="21"/>
                      <w:highlight w:val="none"/>
                    </w:rPr>
                  </w:pPr>
                </w:p>
              </w:tc>
              <w:tc>
                <w:tcPr>
                  <w:tcW w:w="6889" w:type="dxa"/>
                  <w:gridSpan w:val="3"/>
                  <w:vAlign w:val="top"/>
                </w:tcPr>
                <w:p w14:paraId="49862E75">
                  <w:pPr>
                    <w:pStyle w:val="143"/>
                    <w:spacing w:before="43" w:line="235" w:lineRule="auto"/>
                    <w:ind w:left="191" w:right="185"/>
                    <w:rPr>
                      <w:rFonts w:hint="default" w:ascii="Times New Roman" w:hAnsi="Times New Roman" w:cs="Times New Roman"/>
                      <w:color w:val="auto"/>
                      <w:highlight w:val="none"/>
                    </w:rPr>
                  </w:pPr>
                  <w:r>
                    <w:rPr>
                      <w:rFonts w:hint="default" w:ascii="Times New Roman" w:hAnsi="Times New Roman" w:cs="Times New Roman"/>
                      <w:color w:val="auto"/>
                      <w:highlight w:val="none"/>
                    </w:rPr>
                    <w:t>储运条件：储存于阴凉、通风的仓间内。远离火种、热源，防止阳</w:t>
                  </w:r>
                  <w:r>
                    <w:rPr>
                      <w:rFonts w:hint="default" w:ascii="Times New Roman" w:hAnsi="Times New Roman" w:cs="Times New Roman"/>
                      <w:color w:val="auto"/>
                      <w:spacing w:val="-1"/>
                      <w:highlight w:val="none"/>
                    </w:rPr>
                    <w:t>光直</w:t>
                  </w:r>
                  <w:r>
                    <w:rPr>
                      <w:rFonts w:hint="default" w:ascii="Times New Roman" w:hAnsi="Times New Roman" w:cs="Times New Roman"/>
                      <w:color w:val="auto"/>
                      <w:highlight w:val="none"/>
                    </w:rPr>
                    <w:t>射，与氧化剂隔离储运。搬运时轻装轻卸，防止容器渗漏。泄漏处</w:t>
                  </w:r>
                  <w:r>
                    <w:rPr>
                      <w:rFonts w:hint="default" w:ascii="Times New Roman" w:hAnsi="Times New Roman" w:cs="Times New Roman"/>
                      <w:color w:val="auto"/>
                      <w:spacing w:val="-1"/>
                      <w:highlight w:val="none"/>
                    </w:rPr>
                    <w:t>理：</w:t>
                  </w:r>
                  <w:r>
                    <w:rPr>
                      <w:rFonts w:hint="default" w:ascii="Times New Roman" w:hAnsi="Times New Roman" w:cs="Times New Roman"/>
                      <w:color w:val="auto"/>
                      <w:highlight w:val="none"/>
                    </w:rPr>
                    <w:t>首先切断一切火源，戴好防毒面具与手套。用砂土吸收，倒至空旷</w:t>
                  </w:r>
                  <w:r>
                    <w:rPr>
                      <w:rFonts w:hint="default" w:ascii="Times New Roman" w:hAnsi="Times New Roman" w:cs="Times New Roman"/>
                      <w:color w:val="auto"/>
                      <w:spacing w:val="-1"/>
                      <w:highlight w:val="none"/>
                    </w:rPr>
                    <w:t>地方</w:t>
                  </w:r>
                  <w:r>
                    <w:rPr>
                      <w:rFonts w:hint="default" w:ascii="Times New Roman" w:hAnsi="Times New Roman" w:cs="Times New Roman"/>
                      <w:color w:val="auto"/>
                      <w:highlight w:val="none"/>
                    </w:rPr>
                    <w:t>掩埋或焚烧炉中烧掉。被污染的地面用油漆刀刮清，大面积泄漏周</w:t>
                  </w:r>
                  <w:r>
                    <w:rPr>
                      <w:rFonts w:hint="default" w:ascii="Times New Roman" w:hAnsi="Times New Roman" w:cs="Times New Roman"/>
                      <w:color w:val="auto"/>
                      <w:spacing w:val="-1"/>
                      <w:highlight w:val="none"/>
                    </w:rPr>
                    <w:t>围应</w:t>
                  </w:r>
                </w:p>
                <w:p w14:paraId="75234158">
                  <w:pPr>
                    <w:pStyle w:val="143"/>
                    <w:spacing w:before="21" w:line="190" w:lineRule="auto"/>
                    <w:ind w:left="261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设雾状水幕抑爆。</w:t>
                  </w:r>
                </w:p>
              </w:tc>
            </w:tr>
            <w:tr w14:paraId="1866AAC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64" w:type="dxa"/>
                  <w:vMerge w:val="continue"/>
                  <w:tcBorders>
                    <w:top w:val="nil"/>
                  </w:tcBorders>
                  <w:vAlign w:val="top"/>
                </w:tcPr>
                <w:p w14:paraId="7ED60B35">
                  <w:pPr>
                    <w:rPr>
                      <w:rFonts w:hint="default" w:ascii="Times New Roman" w:hAnsi="Times New Roman" w:cs="Times New Roman"/>
                      <w:color w:val="auto"/>
                      <w:sz w:val="21"/>
                      <w:highlight w:val="none"/>
                    </w:rPr>
                  </w:pPr>
                </w:p>
              </w:tc>
              <w:tc>
                <w:tcPr>
                  <w:tcW w:w="3637" w:type="dxa"/>
                  <w:gridSpan w:val="2"/>
                  <w:vAlign w:val="top"/>
                </w:tcPr>
                <w:p w14:paraId="1554D8E4">
                  <w:pPr>
                    <w:pStyle w:val="143"/>
                    <w:spacing w:before="52" w:line="223" w:lineRule="auto"/>
                    <w:ind w:left="457" w:right="238" w:hanging="207"/>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危险特性：易燃液体，遇高热、明</w:t>
                  </w:r>
                  <w:r>
                    <w:rPr>
                      <w:rFonts w:hint="default" w:ascii="Times New Roman" w:hAnsi="Times New Roman" w:cs="Times New Roman"/>
                      <w:color w:val="auto"/>
                      <w:spacing w:val="-2"/>
                      <w:highlight w:val="none"/>
                    </w:rPr>
                    <w:t>火、氧化剂有引起燃烧危险。</w:t>
                  </w:r>
                </w:p>
              </w:tc>
              <w:tc>
                <w:tcPr>
                  <w:tcW w:w="3252" w:type="dxa"/>
                  <w:vAlign w:val="top"/>
                </w:tcPr>
                <w:p w14:paraId="0872ADCC">
                  <w:pPr>
                    <w:pStyle w:val="143"/>
                    <w:spacing w:before="52" w:line="223" w:lineRule="auto"/>
                    <w:ind w:left="472" w:right="154" w:hanging="31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灭火方法：用泡沫、雾状水、二氧化碳、干粉、砂土灭火</w:t>
                  </w:r>
                </w:p>
              </w:tc>
            </w:tr>
          </w:tbl>
          <w:p w14:paraId="045D44E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C1EBF18">
            <w:pPr>
              <w:keepNext w:val="0"/>
              <w:keepLines w:val="0"/>
              <w:suppressLineNumbers w:val="0"/>
              <w:spacing w:before="120" w:beforeLines="50" w:beforeAutospacing="0" w:after="0" w:afterAutospacing="0"/>
              <w:ind w:left="0" w:right="0"/>
              <w:jc w:val="center"/>
              <w:rPr>
                <w:rFonts w:hint="default" w:cs="宋体"/>
                <w:b/>
                <w:color w:val="auto"/>
                <w:highlight w:val="none"/>
                <w:lang w:eastAsia="en-US"/>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cs="Times New Roman"/>
                <w:b/>
                <w:bCs/>
                <w:color w:val="auto"/>
                <w:spacing w:val="-2"/>
                <w:sz w:val="24"/>
                <w:szCs w:val="24"/>
                <w:highlight w:val="none"/>
              </w:rPr>
              <w:t>-</w:t>
            </w:r>
            <w:r>
              <w:rPr>
                <w:rFonts w:hint="default" w:ascii="Times New Roman" w:hAnsi="Times New Roman" w:cs="Times New Roman"/>
                <w:b/>
                <w:bCs/>
                <w:color w:val="auto"/>
                <w:spacing w:val="-2"/>
                <w:sz w:val="24"/>
                <w:szCs w:val="24"/>
                <w:highlight w:val="none"/>
                <w:lang w:val="en-US" w:eastAsia="zh-CN"/>
              </w:rPr>
              <w:t>10</w:t>
            </w:r>
            <w:r>
              <w:rPr>
                <w:rFonts w:hint="default" w:ascii="Times New Roman" w:hAnsi="Times New Roman" w:cs="Times New Roman"/>
                <w:b/>
                <w:bCs/>
                <w:color w:val="auto"/>
                <w:spacing w:val="-2"/>
                <w:sz w:val="24"/>
                <w:szCs w:val="24"/>
                <w:highlight w:val="none"/>
                <w:lang w:eastAsia="en-US"/>
              </w:rPr>
              <w:t>甲苯理化性质</w:t>
            </w:r>
          </w:p>
          <w:tbl>
            <w:tblPr>
              <w:tblStyle w:val="46"/>
              <w:tblW w:w="0" w:type="auto"/>
              <w:tblInd w:w="1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02"/>
              <w:gridCol w:w="2528"/>
              <w:gridCol w:w="151"/>
              <w:gridCol w:w="766"/>
              <w:gridCol w:w="306"/>
              <w:gridCol w:w="1389"/>
              <w:gridCol w:w="901"/>
              <w:gridCol w:w="2655"/>
            </w:tblGrid>
            <w:tr w14:paraId="29A166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bottom w:val="single" w:color="000000" w:sz="4" w:space="0"/>
                    <w:right w:val="single" w:color="000000" w:sz="4" w:space="0"/>
                  </w:tcBorders>
                  <w:noWrap w:val="0"/>
                  <w:vAlign w:val="center"/>
                </w:tcPr>
                <w:p w14:paraId="6B2DA73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标识</w:t>
                  </w:r>
                </w:p>
              </w:tc>
              <w:tc>
                <w:tcPr>
                  <w:tcW w:w="3751" w:type="dxa"/>
                  <w:gridSpan w:val="4"/>
                  <w:tcBorders>
                    <w:left w:val="single" w:color="000000" w:sz="4" w:space="0"/>
                    <w:bottom w:val="single" w:color="000000" w:sz="4" w:space="0"/>
                    <w:right w:val="single" w:color="000000" w:sz="4" w:space="0"/>
                  </w:tcBorders>
                  <w:noWrap w:val="0"/>
                  <w:vAlign w:val="center"/>
                </w:tcPr>
                <w:p w14:paraId="3230951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中文名：甲苯</w:t>
                  </w:r>
                </w:p>
              </w:tc>
              <w:tc>
                <w:tcPr>
                  <w:tcW w:w="4945" w:type="dxa"/>
                  <w:gridSpan w:val="3"/>
                  <w:tcBorders>
                    <w:left w:val="single" w:color="000000" w:sz="4" w:space="0"/>
                    <w:bottom w:val="single" w:color="000000" w:sz="4" w:space="0"/>
                  </w:tcBorders>
                  <w:noWrap w:val="0"/>
                  <w:vAlign w:val="center"/>
                </w:tcPr>
                <w:p w14:paraId="73E36CA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英文名：methylbenzene；Toluene</w:t>
                  </w:r>
                </w:p>
              </w:tc>
            </w:tr>
            <w:tr w14:paraId="2FC5CA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240E1FF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3445" w:type="dxa"/>
                  <w:gridSpan w:val="3"/>
                  <w:tcBorders>
                    <w:top w:val="single" w:color="000000" w:sz="4" w:space="0"/>
                    <w:left w:val="single" w:color="000000" w:sz="4" w:space="0"/>
                    <w:bottom w:val="single" w:color="000000" w:sz="4" w:space="0"/>
                    <w:right w:val="single" w:color="000000" w:sz="4" w:space="0"/>
                  </w:tcBorders>
                  <w:noWrap w:val="0"/>
                  <w:vAlign w:val="center"/>
                </w:tcPr>
                <w:p w14:paraId="2EE29EA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分子式：C</w:t>
                  </w:r>
                  <w:r>
                    <w:rPr>
                      <w:rFonts w:hint="default"/>
                      <w:color w:val="auto"/>
                      <w:sz w:val="21"/>
                      <w:szCs w:val="21"/>
                      <w:highlight w:val="none"/>
                      <w:vertAlign w:val="subscript"/>
                      <w:lang w:eastAsia="en-US"/>
                    </w:rPr>
                    <w:t>7</w:t>
                  </w:r>
                  <w:r>
                    <w:rPr>
                      <w:rFonts w:hint="default"/>
                      <w:color w:val="auto"/>
                      <w:sz w:val="21"/>
                      <w:szCs w:val="21"/>
                      <w:highlight w:val="none"/>
                      <w:lang w:eastAsia="en-US"/>
                    </w:rPr>
                    <w:t>H</w:t>
                  </w:r>
                  <w:r>
                    <w:rPr>
                      <w:rFonts w:hint="default"/>
                      <w:color w:val="auto"/>
                      <w:sz w:val="21"/>
                      <w:szCs w:val="21"/>
                      <w:highlight w:val="none"/>
                      <w:vertAlign w:val="subscript"/>
                      <w:lang w:eastAsia="en-US"/>
                    </w:rPr>
                    <w:t>8</w:t>
                  </w:r>
                </w:p>
              </w:tc>
              <w:tc>
                <w:tcPr>
                  <w:tcW w:w="2596" w:type="dxa"/>
                  <w:gridSpan w:val="3"/>
                  <w:tcBorders>
                    <w:top w:val="single" w:color="000000" w:sz="4" w:space="0"/>
                    <w:left w:val="single" w:color="000000" w:sz="4" w:space="0"/>
                    <w:bottom w:val="single" w:color="000000" w:sz="4" w:space="0"/>
                    <w:right w:val="single" w:color="000000" w:sz="4" w:space="0"/>
                  </w:tcBorders>
                  <w:noWrap w:val="0"/>
                  <w:vAlign w:val="center"/>
                </w:tcPr>
                <w:p w14:paraId="457BE4D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分子量：92.14</w:t>
                  </w:r>
                </w:p>
              </w:tc>
              <w:tc>
                <w:tcPr>
                  <w:tcW w:w="2655" w:type="dxa"/>
                  <w:tcBorders>
                    <w:top w:val="single" w:color="000000" w:sz="4" w:space="0"/>
                    <w:left w:val="single" w:color="000000" w:sz="4" w:space="0"/>
                    <w:bottom w:val="single" w:color="000000" w:sz="4" w:space="0"/>
                  </w:tcBorders>
                  <w:noWrap w:val="0"/>
                  <w:vAlign w:val="center"/>
                </w:tcPr>
                <w:p w14:paraId="10F8F1B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CAS号：108－88－3</w:t>
                  </w:r>
                </w:p>
              </w:tc>
            </w:tr>
            <w:tr w14:paraId="189F4B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1E5F36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5326FF6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危规号：32052</w:t>
                  </w:r>
                </w:p>
              </w:tc>
            </w:tr>
            <w:tr w14:paraId="595894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top w:val="single" w:color="000000" w:sz="4" w:space="0"/>
                    <w:bottom w:val="single" w:color="000000" w:sz="4" w:space="0"/>
                    <w:right w:val="single" w:color="000000" w:sz="4" w:space="0"/>
                  </w:tcBorders>
                  <w:noWrap w:val="0"/>
                  <w:vAlign w:val="center"/>
                </w:tcPr>
                <w:p w14:paraId="3CEF5ED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理化性质</w:t>
                  </w:r>
                </w:p>
              </w:tc>
              <w:tc>
                <w:tcPr>
                  <w:tcW w:w="8696" w:type="dxa"/>
                  <w:gridSpan w:val="7"/>
                  <w:tcBorders>
                    <w:top w:val="single" w:color="000000" w:sz="4" w:space="0"/>
                    <w:left w:val="single" w:color="000000" w:sz="4" w:space="0"/>
                    <w:bottom w:val="single" w:color="000000" w:sz="4" w:space="0"/>
                  </w:tcBorders>
                  <w:noWrap w:val="0"/>
                  <w:vAlign w:val="center"/>
                </w:tcPr>
                <w:p w14:paraId="79C2872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性状：无色透明液体，有类似苯的芳香气味。</w:t>
                  </w:r>
                </w:p>
              </w:tc>
            </w:tr>
            <w:tr w14:paraId="31FE69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2F670250">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19A8D405">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溶解性：不溶于水，可混溶与苯、醇、醚等多数有机溶剂。</w:t>
                  </w:r>
                </w:p>
              </w:tc>
            </w:tr>
            <w:tr w14:paraId="417942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766E511D">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0C8CA4D7">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熔点（℃）：－94.9</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75E2972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沸点（℃）：110.6</w:t>
                  </w:r>
                </w:p>
              </w:tc>
              <w:tc>
                <w:tcPr>
                  <w:tcW w:w="3556" w:type="dxa"/>
                  <w:gridSpan w:val="2"/>
                  <w:tcBorders>
                    <w:top w:val="single" w:color="000000" w:sz="4" w:space="0"/>
                    <w:left w:val="single" w:color="000000" w:sz="4" w:space="0"/>
                    <w:bottom w:val="single" w:color="000000" w:sz="4" w:space="0"/>
                  </w:tcBorders>
                  <w:noWrap w:val="0"/>
                  <w:vAlign w:val="center"/>
                </w:tcPr>
                <w:p w14:paraId="5CD4C517">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相对密度（水＝1）：0.87</w:t>
                  </w:r>
                </w:p>
              </w:tc>
            </w:tr>
            <w:tr w14:paraId="78E384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8122DB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6495D74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临界温度（℃）：318.6</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2F5E8BD0">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临界压力（MPa）：4.11</w:t>
                  </w:r>
                </w:p>
              </w:tc>
              <w:tc>
                <w:tcPr>
                  <w:tcW w:w="3556" w:type="dxa"/>
                  <w:gridSpan w:val="2"/>
                  <w:tcBorders>
                    <w:top w:val="single" w:color="000000" w:sz="4" w:space="0"/>
                    <w:left w:val="single" w:color="000000" w:sz="4" w:space="0"/>
                    <w:bottom w:val="single" w:color="000000" w:sz="4" w:space="0"/>
                  </w:tcBorders>
                  <w:noWrap w:val="0"/>
                  <w:vAlign w:val="center"/>
                </w:tcPr>
                <w:p w14:paraId="15C84EA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相对密度（空气＝1）：3.14</w:t>
                  </w:r>
                </w:p>
              </w:tc>
            </w:tr>
            <w:tr w14:paraId="7932F0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C49753E">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679" w:type="dxa"/>
                  <w:gridSpan w:val="2"/>
                  <w:tcBorders>
                    <w:top w:val="single" w:color="000000" w:sz="4" w:space="0"/>
                    <w:left w:val="single" w:color="000000" w:sz="4" w:space="0"/>
                    <w:bottom w:val="single" w:color="000000" w:sz="4" w:space="0"/>
                    <w:right w:val="single" w:color="000000" w:sz="4" w:space="0"/>
                  </w:tcBorders>
                  <w:noWrap w:val="0"/>
                  <w:vAlign w:val="center"/>
                </w:tcPr>
                <w:p w14:paraId="5FFCEE9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燃烧热（KJ/mol）：3905.0</w:t>
                  </w:r>
                </w:p>
              </w:tc>
              <w:tc>
                <w:tcPr>
                  <w:tcW w:w="2461" w:type="dxa"/>
                  <w:gridSpan w:val="3"/>
                  <w:tcBorders>
                    <w:top w:val="single" w:color="000000" w:sz="4" w:space="0"/>
                    <w:left w:val="single" w:color="000000" w:sz="4" w:space="0"/>
                    <w:bottom w:val="single" w:color="000000" w:sz="4" w:space="0"/>
                    <w:right w:val="single" w:color="000000" w:sz="4" w:space="0"/>
                  </w:tcBorders>
                  <w:noWrap w:val="0"/>
                  <w:vAlign w:val="center"/>
                </w:tcPr>
                <w:p w14:paraId="0B699F3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最小点火能（mJ）：2.5</w:t>
                  </w:r>
                </w:p>
              </w:tc>
              <w:tc>
                <w:tcPr>
                  <w:tcW w:w="3556" w:type="dxa"/>
                  <w:gridSpan w:val="2"/>
                  <w:tcBorders>
                    <w:top w:val="single" w:color="000000" w:sz="4" w:space="0"/>
                    <w:left w:val="single" w:color="000000" w:sz="4" w:space="0"/>
                    <w:bottom w:val="single" w:color="000000" w:sz="4" w:space="0"/>
                  </w:tcBorders>
                  <w:noWrap w:val="0"/>
                  <w:vAlign w:val="center"/>
                </w:tcPr>
                <w:p w14:paraId="097DA97E">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饱和蒸汽压（KPa）：4.89（30℃）</w:t>
                  </w:r>
                </w:p>
              </w:tc>
            </w:tr>
            <w:tr w14:paraId="54DD79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restart"/>
                  <w:tcBorders>
                    <w:top w:val="single" w:color="000000" w:sz="4" w:space="0"/>
                    <w:bottom w:val="single" w:color="000000" w:sz="4" w:space="0"/>
                    <w:right w:val="single" w:color="000000" w:sz="4" w:space="0"/>
                  </w:tcBorders>
                  <w:noWrap w:val="0"/>
                  <w:vAlign w:val="center"/>
                </w:tcPr>
                <w:p w14:paraId="01E5FDC3">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燃烧爆炸危险性</w:t>
                  </w: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6A55F8E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燃烧性：易燃</w:t>
                  </w:r>
                </w:p>
              </w:tc>
              <w:tc>
                <w:tcPr>
                  <w:tcW w:w="6168" w:type="dxa"/>
                  <w:gridSpan w:val="6"/>
                  <w:tcBorders>
                    <w:top w:val="single" w:color="000000" w:sz="4" w:space="0"/>
                    <w:left w:val="single" w:color="000000" w:sz="4" w:space="0"/>
                    <w:bottom w:val="single" w:color="000000" w:sz="4" w:space="0"/>
                  </w:tcBorders>
                  <w:noWrap w:val="0"/>
                  <w:vAlign w:val="center"/>
                </w:tcPr>
                <w:p w14:paraId="1D54744C">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燃烧分解产物：一氧化碳、二氧化碳。</w:t>
                  </w:r>
                </w:p>
              </w:tc>
            </w:tr>
            <w:tr w14:paraId="22C10A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3A6B53E6">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E83FCB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闪点（℃）：4</w:t>
                  </w:r>
                </w:p>
              </w:tc>
              <w:tc>
                <w:tcPr>
                  <w:tcW w:w="6168" w:type="dxa"/>
                  <w:gridSpan w:val="6"/>
                  <w:tcBorders>
                    <w:top w:val="single" w:color="000000" w:sz="4" w:space="0"/>
                    <w:left w:val="single" w:color="000000" w:sz="4" w:space="0"/>
                    <w:bottom w:val="single" w:color="000000" w:sz="4" w:space="0"/>
                  </w:tcBorders>
                  <w:noWrap w:val="0"/>
                  <w:vAlign w:val="center"/>
                </w:tcPr>
                <w:p w14:paraId="7D6D17F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聚合危害：不聚合</w:t>
                  </w:r>
                </w:p>
              </w:tc>
            </w:tr>
            <w:tr w14:paraId="7A77E11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5F3A9B1C">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7FFB8E8">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爆炸下限（％）：1.2</w:t>
                  </w:r>
                </w:p>
              </w:tc>
              <w:tc>
                <w:tcPr>
                  <w:tcW w:w="6168" w:type="dxa"/>
                  <w:gridSpan w:val="6"/>
                  <w:tcBorders>
                    <w:top w:val="single" w:color="000000" w:sz="4" w:space="0"/>
                    <w:left w:val="single" w:color="000000" w:sz="4" w:space="0"/>
                    <w:bottom w:val="single" w:color="000000" w:sz="4" w:space="0"/>
                  </w:tcBorders>
                  <w:noWrap w:val="0"/>
                  <w:vAlign w:val="center"/>
                </w:tcPr>
                <w:p w14:paraId="33008C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稳定性：稳定</w:t>
                  </w:r>
                </w:p>
              </w:tc>
            </w:tr>
            <w:tr w14:paraId="578477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7C849FD9">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226443E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爆炸上限（％）：7.0</w:t>
                  </w:r>
                </w:p>
              </w:tc>
              <w:tc>
                <w:tcPr>
                  <w:tcW w:w="6168" w:type="dxa"/>
                  <w:gridSpan w:val="6"/>
                  <w:tcBorders>
                    <w:top w:val="single" w:color="000000" w:sz="4" w:space="0"/>
                    <w:left w:val="single" w:color="000000" w:sz="4" w:space="0"/>
                    <w:bottom w:val="single" w:color="000000" w:sz="4" w:space="0"/>
                  </w:tcBorders>
                  <w:noWrap w:val="0"/>
                  <w:vAlign w:val="center"/>
                </w:tcPr>
                <w:p w14:paraId="778035B4">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最大爆炸压力（MPa）：0.666</w:t>
                  </w:r>
                </w:p>
              </w:tc>
            </w:tr>
            <w:tr w14:paraId="569EEC6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677FCF9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2528" w:type="dxa"/>
                  <w:tcBorders>
                    <w:top w:val="single" w:color="000000" w:sz="4" w:space="0"/>
                    <w:left w:val="single" w:color="000000" w:sz="4" w:space="0"/>
                    <w:bottom w:val="single" w:color="000000" w:sz="4" w:space="0"/>
                    <w:right w:val="single" w:color="000000" w:sz="4" w:space="0"/>
                  </w:tcBorders>
                  <w:noWrap w:val="0"/>
                  <w:vAlign w:val="center"/>
                </w:tcPr>
                <w:p w14:paraId="607BD432">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引燃温度（℃）：535</w:t>
                  </w:r>
                </w:p>
              </w:tc>
              <w:tc>
                <w:tcPr>
                  <w:tcW w:w="6168" w:type="dxa"/>
                  <w:gridSpan w:val="6"/>
                  <w:tcBorders>
                    <w:top w:val="single" w:color="000000" w:sz="4" w:space="0"/>
                    <w:left w:val="single" w:color="000000" w:sz="4" w:space="0"/>
                    <w:bottom w:val="single" w:color="000000" w:sz="4" w:space="0"/>
                  </w:tcBorders>
                  <w:noWrap w:val="0"/>
                  <w:vAlign w:val="center"/>
                </w:tcPr>
                <w:p w14:paraId="35DE30EB">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r>
                    <w:rPr>
                      <w:rFonts w:hint="default"/>
                      <w:color w:val="auto"/>
                      <w:sz w:val="21"/>
                      <w:szCs w:val="21"/>
                      <w:highlight w:val="none"/>
                      <w:lang w:eastAsia="en-US"/>
                    </w:rPr>
                    <w:t>禁忌物：强氧化剂。</w:t>
                  </w:r>
                </w:p>
              </w:tc>
            </w:tr>
            <w:tr w14:paraId="384D4A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bottom w:val="single" w:color="000000" w:sz="4" w:space="0"/>
                    <w:right w:val="single" w:color="000000" w:sz="4" w:space="0"/>
                  </w:tcBorders>
                  <w:noWrap w:val="0"/>
                  <w:vAlign w:val="center"/>
                </w:tcPr>
                <w:p w14:paraId="1E363961">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bottom w:val="single" w:color="000000" w:sz="4" w:space="0"/>
                  </w:tcBorders>
                  <w:noWrap w:val="0"/>
                  <w:vAlign w:val="center"/>
                </w:tcPr>
                <w:p w14:paraId="04A55F39">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危险特性：易燃，其蒸气与空气可形成爆炸性混合物。遇明火、高热能引起燃烧爆炸。与氧化</w:t>
                  </w:r>
                </w:p>
                <w:p w14:paraId="11169A64">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剂能发生强烈反应。流速过快，容易产生和积聚静电。其蒸气比空气重，能在较低处扩散到相</w:t>
                  </w:r>
                </w:p>
                <w:p w14:paraId="5E9D97EB">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当远的地方，遇明火会引着回燃。</w:t>
                  </w:r>
                </w:p>
              </w:tc>
            </w:tr>
            <w:tr w14:paraId="2AB09F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c>
                <w:tcPr>
                  <w:tcW w:w="402" w:type="dxa"/>
                  <w:vMerge w:val="continue"/>
                  <w:tcBorders>
                    <w:top w:val="single" w:color="000000" w:sz="4" w:space="0"/>
                    <w:right w:val="single" w:color="000000" w:sz="4" w:space="0"/>
                  </w:tcBorders>
                  <w:noWrap w:val="0"/>
                  <w:vAlign w:val="center"/>
                </w:tcPr>
                <w:p w14:paraId="0927A40F">
                  <w:pPr>
                    <w:keepNext w:val="0"/>
                    <w:keepLines w:val="0"/>
                    <w:suppressLineNumbers w:val="0"/>
                    <w:spacing w:before="0" w:beforeAutospacing="0" w:after="0" w:afterAutospacing="0" w:line="360" w:lineRule="exact"/>
                    <w:ind w:left="0" w:right="0"/>
                    <w:jc w:val="center"/>
                    <w:rPr>
                      <w:rFonts w:hint="default"/>
                      <w:color w:val="auto"/>
                      <w:sz w:val="21"/>
                      <w:szCs w:val="21"/>
                      <w:highlight w:val="none"/>
                      <w:lang w:eastAsia="en-US"/>
                    </w:rPr>
                  </w:pPr>
                </w:p>
              </w:tc>
              <w:tc>
                <w:tcPr>
                  <w:tcW w:w="8696" w:type="dxa"/>
                  <w:gridSpan w:val="7"/>
                  <w:tcBorders>
                    <w:top w:val="single" w:color="000000" w:sz="4" w:space="0"/>
                    <w:left w:val="single" w:color="000000" w:sz="4" w:space="0"/>
                  </w:tcBorders>
                  <w:noWrap w:val="0"/>
                  <w:vAlign w:val="center"/>
                </w:tcPr>
                <w:p w14:paraId="0D004D9E">
                  <w:pPr>
                    <w:keepNext w:val="0"/>
                    <w:keepLines w:val="0"/>
                    <w:suppressLineNumbers w:val="0"/>
                    <w:spacing w:before="0" w:beforeAutospacing="0" w:after="0" w:afterAutospacing="0" w:line="360" w:lineRule="exact"/>
                    <w:ind w:left="0" w:right="0"/>
                    <w:rPr>
                      <w:rFonts w:hint="default"/>
                      <w:color w:val="auto"/>
                      <w:sz w:val="21"/>
                      <w:szCs w:val="21"/>
                      <w:highlight w:val="none"/>
                      <w:lang w:eastAsia="en-US"/>
                    </w:rPr>
                  </w:pPr>
                  <w:r>
                    <w:rPr>
                      <w:rFonts w:hint="default"/>
                      <w:color w:val="auto"/>
                      <w:sz w:val="21"/>
                      <w:szCs w:val="21"/>
                      <w:highlight w:val="none"/>
                      <w:lang w:eastAsia="en-US"/>
                    </w:rPr>
                    <w:t>灭火方法：喷水冷却容器，可能的话将容器从火场移至空旷处，处在火场中的容器若已变色或从安全泄压装置中产生声音，必须马上撤离。灭火剂：泡沫、干粉、二氧化碳、砂土。用水灭火无效。</w:t>
                  </w:r>
                </w:p>
              </w:tc>
            </w:tr>
          </w:tbl>
          <w:p w14:paraId="0BC9C43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1</w:t>
            </w:r>
            <w:r>
              <w:rPr>
                <w:rFonts w:hint="eastAsia" w:cs="Times New Roman"/>
                <w:b/>
                <w:bCs/>
                <w:color w:val="auto"/>
                <w:spacing w:val="-2"/>
                <w:sz w:val="24"/>
                <w:szCs w:val="24"/>
                <w:highlight w:val="none"/>
                <w:lang w:val="en-US" w:eastAsia="zh-CN"/>
              </w:rPr>
              <w:t>1</w:t>
            </w:r>
            <w:r>
              <w:rPr>
                <w:rFonts w:hint="default" w:ascii="Times New Roman" w:hAnsi="Times New Roman" w:cs="Times New Roman"/>
                <w:b/>
                <w:bCs/>
                <w:color w:val="auto"/>
                <w:spacing w:val="-2"/>
                <w:sz w:val="24"/>
                <w:szCs w:val="24"/>
                <w:highlight w:val="none"/>
              </w:rPr>
              <w:t>二甲苯理化性质</w:t>
            </w:r>
          </w:p>
          <w:tbl>
            <w:tblPr>
              <w:tblStyle w:val="142"/>
              <w:tblW w:w="8079" w:type="dxa"/>
              <w:tblInd w:w="7"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164"/>
              <w:gridCol w:w="2616"/>
              <w:gridCol w:w="1239"/>
              <w:gridCol w:w="1428"/>
              <w:gridCol w:w="1632"/>
            </w:tblGrid>
            <w:tr w14:paraId="34C8A92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64" w:type="dxa"/>
                  <w:vMerge w:val="restart"/>
                  <w:tcBorders>
                    <w:bottom w:val="nil"/>
                  </w:tcBorders>
                  <w:vAlign w:val="top"/>
                </w:tcPr>
                <w:p w14:paraId="7B90DFCA">
                  <w:pPr>
                    <w:pStyle w:val="143"/>
                    <w:spacing w:before="286" w:line="221" w:lineRule="auto"/>
                    <w:ind w:left="393"/>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855" w:type="dxa"/>
                  <w:gridSpan w:val="2"/>
                  <w:vAlign w:val="top"/>
                </w:tcPr>
                <w:p w14:paraId="52C0601C">
                  <w:pPr>
                    <w:pStyle w:val="143"/>
                    <w:spacing w:before="24" w:line="204" w:lineRule="auto"/>
                    <w:ind w:left="1278"/>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中文名：二甲苯</w:t>
                  </w:r>
                </w:p>
              </w:tc>
              <w:tc>
                <w:tcPr>
                  <w:tcW w:w="3060" w:type="dxa"/>
                  <w:gridSpan w:val="2"/>
                  <w:vAlign w:val="top"/>
                </w:tcPr>
                <w:p w14:paraId="12B8A1B1">
                  <w:pPr>
                    <w:pStyle w:val="143"/>
                    <w:spacing w:before="24" w:line="204" w:lineRule="auto"/>
                    <w:ind w:left="536"/>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危险货物编号：</w:t>
                  </w:r>
                  <w:r>
                    <w:rPr>
                      <w:rFonts w:hint="default" w:ascii="Times New Roman" w:hAnsi="Times New Roman" w:eastAsia="Times New Roman" w:cs="Times New Roman"/>
                      <w:color w:val="auto"/>
                      <w:spacing w:val="-1"/>
                      <w:highlight w:val="none"/>
                    </w:rPr>
                    <w:t>33535</w:t>
                  </w:r>
                </w:p>
              </w:tc>
            </w:tr>
            <w:tr w14:paraId="60624CC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164" w:type="dxa"/>
                  <w:vMerge w:val="continue"/>
                  <w:tcBorders>
                    <w:top w:val="nil"/>
                  </w:tcBorders>
                  <w:vAlign w:val="top"/>
                </w:tcPr>
                <w:p w14:paraId="69B8EAD0">
                  <w:pPr>
                    <w:rPr>
                      <w:rFonts w:hint="default" w:ascii="Times New Roman" w:hAnsi="Times New Roman" w:cs="Times New Roman"/>
                      <w:color w:val="auto"/>
                      <w:sz w:val="21"/>
                      <w:highlight w:val="none"/>
                    </w:rPr>
                  </w:pPr>
                </w:p>
              </w:tc>
              <w:tc>
                <w:tcPr>
                  <w:tcW w:w="3855" w:type="dxa"/>
                  <w:gridSpan w:val="2"/>
                  <w:vAlign w:val="top"/>
                </w:tcPr>
                <w:p w14:paraId="40C9B17C">
                  <w:pPr>
                    <w:pStyle w:val="143"/>
                    <w:spacing w:before="156" w:line="213" w:lineRule="auto"/>
                    <w:ind w:left="1271"/>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英文名：</w:t>
                  </w:r>
                  <w:r>
                    <w:rPr>
                      <w:rFonts w:hint="default" w:ascii="Times New Roman" w:hAnsi="Times New Roman" w:eastAsia="Times New Roman" w:cs="Times New Roman"/>
                      <w:color w:val="auto"/>
                      <w:spacing w:val="-1"/>
                      <w:highlight w:val="none"/>
                    </w:rPr>
                    <w:t>Xylene</w:t>
                  </w:r>
                </w:p>
              </w:tc>
              <w:tc>
                <w:tcPr>
                  <w:tcW w:w="1428" w:type="dxa"/>
                  <w:vAlign w:val="top"/>
                </w:tcPr>
                <w:p w14:paraId="03EC024D">
                  <w:pPr>
                    <w:pStyle w:val="143"/>
                    <w:spacing w:before="35" w:line="220" w:lineRule="auto"/>
                    <w:ind w:left="552" w:right="285" w:hanging="306"/>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spacing w:val="-12"/>
                      <w:highlight w:val="none"/>
                    </w:rPr>
                    <w:t>UN</w:t>
                  </w:r>
                  <w:r>
                    <w:rPr>
                      <w:rFonts w:hint="default" w:ascii="Times New Roman" w:hAnsi="Times New Roman" w:cs="Times New Roman"/>
                      <w:color w:val="auto"/>
                      <w:spacing w:val="-12"/>
                      <w:highlight w:val="none"/>
                    </w:rPr>
                    <w:t>编号：</w:t>
                  </w:r>
                  <w:r>
                    <w:rPr>
                      <w:rFonts w:hint="default" w:ascii="Times New Roman" w:hAnsi="Times New Roman" w:eastAsia="Times New Roman" w:cs="Times New Roman"/>
                      <w:color w:val="auto"/>
                      <w:spacing w:val="-5"/>
                      <w:highlight w:val="none"/>
                    </w:rPr>
                    <w:t>1307</w:t>
                  </w:r>
                </w:p>
              </w:tc>
              <w:tc>
                <w:tcPr>
                  <w:tcW w:w="1632" w:type="dxa"/>
                  <w:vAlign w:val="top"/>
                </w:tcPr>
                <w:p w14:paraId="3AD20FA7">
                  <w:pPr>
                    <w:pStyle w:val="143"/>
                    <w:spacing w:before="35" w:line="220" w:lineRule="auto"/>
                    <w:ind w:left="490" w:right="513" w:hanging="112"/>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5"/>
                      <w:highlight w:val="none"/>
                    </w:rPr>
                    <w:t>分子式：</w:t>
                  </w:r>
                  <w:r>
                    <w:rPr>
                      <w:rFonts w:hint="default" w:ascii="Times New Roman" w:hAnsi="Times New Roman" w:eastAsia="Times New Roman" w:cs="Times New Roman"/>
                      <w:color w:val="auto"/>
                      <w:spacing w:val="-2"/>
                      <w:highlight w:val="none"/>
                    </w:rPr>
                    <w:t>C8H10</w:t>
                  </w:r>
                </w:p>
              </w:tc>
            </w:tr>
            <w:tr w14:paraId="2413416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64" w:type="dxa"/>
                  <w:vAlign w:val="top"/>
                </w:tcPr>
                <w:p w14:paraId="2146B3F7">
                  <w:pPr>
                    <w:pStyle w:val="143"/>
                    <w:spacing w:before="37" w:line="203" w:lineRule="auto"/>
                    <w:ind w:left="23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915" w:type="dxa"/>
                  <w:gridSpan w:val="4"/>
                  <w:vAlign w:val="top"/>
                </w:tcPr>
                <w:p w14:paraId="1B0F6DAD">
                  <w:pPr>
                    <w:pStyle w:val="143"/>
                    <w:spacing w:before="37" w:line="203" w:lineRule="auto"/>
                    <w:ind w:left="593"/>
                    <w:rPr>
                      <w:rFonts w:hint="default" w:ascii="Times New Roman" w:hAnsi="Times New Roman" w:eastAsia="Times New Roman" w:cs="Times New Roman"/>
                      <w:color w:val="auto"/>
                      <w:sz w:val="13"/>
                      <w:szCs w:val="13"/>
                      <w:highlight w:val="none"/>
                    </w:rPr>
                  </w:pPr>
                  <w:r>
                    <w:rPr>
                      <w:rFonts w:hint="default" w:ascii="Times New Roman" w:hAnsi="Times New Roman" w:cs="Times New Roman"/>
                      <w:color w:val="auto"/>
                      <w:highlight w:val="none"/>
                    </w:rPr>
                    <w:t>外观与性状：无色透明液体，有类似甲苯的气</w:t>
                  </w:r>
                  <w:r>
                    <w:rPr>
                      <w:rFonts w:hint="default" w:ascii="Times New Roman" w:hAnsi="Times New Roman" w:cs="Times New Roman"/>
                      <w:color w:val="auto"/>
                      <w:spacing w:val="-1"/>
                      <w:highlight w:val="none"/>
                    </w:rPr>
                    <w:t>味，密度</w:t>
                  </w:r>
                  <w:r>
                    <w:rPr>
                      <w:rFonts w:hint="default" w:ascii="Times New Roman" w:hAnsi="Times New Roman" w:eastAsia="Times New Roman" w:cs="Times New Roman"/>
                      <w:color w:val="auto"/>
                      <w:spacing w:val="-1"/>
                      <w:highlight w:val="none"/>
                    </w:rPr>
                    <w:t>0.5kg/m</w:t>
                  </w:r>
                  <w:r>
                    <w:rPr>
                      <w:rFonts w:hint="default" w:ascii="Times New Roman" w:hAnsi="Times New Roman" w:eastAsia="Times New Roman" w:cs="Times New Roman"/>
                      <w:color w:val="auto"/>
                      <w:spacing w:val="-1"/>
                      <w:position w:val="6"/>
                      <w:sz w:val="13"/>
                      <w:szCs w:val="13"/>
                      <w:highlight w:val="none"/>
                    </w:rPr>
                    <w:t>3</w:t>
                  </w:r>
                </w:p>
              </w:tc>
            </w:tr>
            <w:tr w14:paraId="25C1287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164" w:type="dxa"/>
                  <w:vMerge w:val="restart"/>
                  <w:tcBorders>
                    <w:bottom w:val="nil"/>
                  </w:tcBorders>
                  <w:vAlign w:val="top"/>
                </w:tcPr>
                <w:p w14:paraId="32EC1A1B">
                  <w:pPr>
                    <w:spacing w:line="378" w:lineRule="auto"/>
                    <w:ind w:left="0" w:leftChars="0" w:firstLine="0" w:firstLineChars="0"/>
                    <w:jc w:val="center"/>
                    <w:rPr>
                      <w:rFonts w:hint="default" w:ascii="Times New Roman" w:hAnsi="Times New Roman" w:cs="Times New Roman"/>
                      <w:color w:val="auto"/>
                      <w:sz w:val="21"/>
                      <w:highlight w:val="none"/>
                    </w:rPr>
                  </w:pPr>
                </w:p>
                <w:p w14:paraId="3765A017">
                  <w:pPr>
                    <w:pStyle w:val="143"/>
                    <w:spacing w:before="69" w:line="231" w:lineRule="auto"/>
                    <w:ind w:left="0" w:leftChars="0" w:right="129"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w:t>
                  </w:r>
                  <w:r>
                    <w:rPr>
                      <w:rFonts w:hint="default" w:ascii="Times New Roman" w:hAnsi="Times New Roman" w:cs="Times New Roman"/>
                      <w:color w:val="auto"/>
                      <w:spacing w:val="-1"/>
                      <w:highlight w:val="none"/>
                    </w:rPr>
                    <w:t>康危害</w:t>
                  </w:r>
                </w:p>
              </w:tc>
              <w:tc>
                <w:tcPr>
                  <w:tcW w:w="6915" w:type="dxa"/>
                  <w:gridSpan w:val="4"/>
                  <w:tcBorders>
                    <w:bottom w:val="single" w:color="000000" w:sz="4" w:space="0"/>
                  </w:tcBorders>
                  <w:vAlign w:val="top"/>
                </w:tcPr>
                <w:p w14:paraId="668AF17C">
                  <w:pPr>
                    <w:pStyle w:val="143"/>
                    <w:spacing w:before="37" w:line="201" w:lineRule="auto"/>
                    <w:ind w:left="1944"/>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侵入途径：吸入、食入、经皮吸收</w:t>
                  </w:r>
                </w:p>
              </w:tc>
            </w:tr>
            <w:tr w14:paraId="7E6A88C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164" w:type="dxa"/>
                  <w:vMerge w:val="continue"/>
                  <w:tcBorders>
                    <w:top w:val="nil"/>
                  </w:tcBorders>
                  <w:vAlign w:val="top"/>
                </w:tcPr>
                <w:p w14:paraId="3540910E">
                  <w:pPr>
                    <w:ind w:left="0" w:leftChars="0" w:firstLine="0" w:firstLineChars="0"/>
                    <w:jc w:val="center"/>
                    <w:rPr>
                      <w:rFonts w:hint="default" w:ascii="Times New Roman" w:hAnsi="Times New Roman" w:cs="Times New Roman"/>
                      <w:color w:val="auto"/>
                      <w:sz w:val="21"/>
                      <w:highlight w:val="none"/>
                    </w:rPr>
                  </w:pPr>
                </w:p>
              </w:tc>
              <w:tc>
                <w:tcPr>
                  <w:tcW w:w="2616" w:type="dxa"/>
                  <w:tcBorders>
                    <w:top w:val="single" w:color="000000" w:sz="4" w:space="0"/>
                  </w:tcBorders>
                  <w:vAlign w:val="top"/>
                </w:tcPr>
                <w:p w14:paraId="77DD7DBE">
                  <w:pPr>
                    <w:pStyle w:val="143"/>
                    <w:spacing w:before="32" w:line="221" w:lineRule="auto"/>
                    <w:ind w:left="1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健康危害：对皮肤、粘膜</w:t>
                  </w:r>
                </w:p>
                <w:p w14:paraId="7BE80237">
                  <w:pPr>
                    <w:pStyle w:val="143"/>
                    <w:spacing w:before="22" w:line="221" w:lineRule="auto"/>
                    <w:ind w:left="199"/>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有刺激作用，对中枢神经</w:t>
                  </w:r>
                </w:p>
                <w:p w14:paraId="7DCB62B6">
                  <w:pPr>
                    <w:pStyle w:val="143"/>
                    <w:spacing w:before="20" w:line="220" w:lineRule="auto"/>
                    <w:ind w:left="410" w:right="194" w:hanging="20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系统有麻醉作用长期作用</w:t>
                  </w:r>
                  <w:r>
                    <w:rPr>
                      <w:rFonts w:hint="default" w:ascii="Times New Roman" w:hAnsi="Times New Roman" w:cs="Times New Roman"/>
                      <w:color w:val="auto"/>
                      <w:spacing w:val="-3"/>
                      <w:highlight w:val="none"/>
                    </w:rPr>
                    <w:t>可影响肝、肾功能。</w:t>
                  </w:r>
                </w:p>
              </w:tc>
              <w:tc>
                <w:tcPr>
                  <w:tcW w:w="4299" w:type="dxa"/>
                  <w:gridSpan w:val="3"/>
                  <w:tcBorders>
                    <w:top w:val="single" w:color="000000" w:sz="4" w:space="0"/>
                  </w:tcBorders>
                  <w:vAlign w:val="top"/>
                </w:tcPr>
                <w:p w14:paraId="7A2E30CD">
                  <w:pPr>
                    <w:pStyle w:val="143"/>
                    <w:spacing w:before="307" w:line="229" w:lineRule="auto"/>
                    <w:ind w:left="1018" w:right="270" w:hanging="83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急救方法：应使患者脱离污染区、安置休息并保暖，严重者就医诊治</w:t>
                  </w:r>
                </w:p>
              </w:tc>
            </w:tr>
            <w:tr w14:paraId="5E175B4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64" w:type="dxa"/>
                  <w:vMerge w:val="restart"/>
                  <w:tcBorders>
                    <w:bottom w:val="nil"/>
                  </w:tcBorders>
                  <w:vAlign w:val="top"/>
                </w:tcPr>
                <w:p w14:paraId="1235B1B7">
                  <w:pPr>
                    <w:spacing w:line="267" w:lineRule="auto"/>
                    <w:ind w:left="0" w:leftChars="0" w:firstLine="0" w:firstLineChars="0"/>
                    <w:jc w:val="center"/>
                    <w:rPr>
                      <w:rFonts w:hint="default" w:ascii="Times New Roman" w:hAnsi="Times New Roman" w:eastAsia="宋体" w:cs="Times New Roman"/>
                      <w:color w:val="auto"/>
                      <w:sz w:val="21"/>
                      <w:highlight w:val="none"/>
                      <w:lang w:eastAsia="zh-CN"/>
                    </w:rPr>
                  </w:pPr>
                </w:p>
                <w:p w14:paraId="6008E587">
                  <w:pPr>
                    <w:pStyle w:val="143"/>
                    <w:spacing w:before="68" w:line="219"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燃烧爆炸危险</w:t>
                  </w:r>
                  <w:r>
                    <w:rPr>
                      <w:rFonts w:hint="default" w:ascii="Times New Roman" w:hAnsi="Times New Roman" w:cs="Times New Roman"/>
                      <w:color w:val="auto"/>
                      <w:highlight w:val="none"/>
                    </w:rPr>
                    <w:t>性</w:t>
                  </w:r>
                </w:p>
              </w:tc>
              <w:tc>
                <w:tcPr>
                  <w:tcW w:w="3855" w:type="dxa"/>
                  <w:gridSpan w:val="2"/>
                  <w:vAlign w:val="top"/>
                </w:tcPr>
                <w:p w14:paraId="3E79F92B">
                  <w:pPr>
                    <w:pStyle w:val="143"/>
                    <w:spacing w:before="38" w:line="202" w:lineRule="auto"/>
                    <w:ind w:left="1365"/>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060" w:type="dxa"/>
                  <w:gridSpan w:val="2"/>
                  <w:vAlign w:val="top"/>
                </w:tcPr>
                <w:p w14:paraId="2C5FC507">
                  <w:pPr>
                    <w:pStyle w:val="143"/>
                    <w:spacing w:before="38" w:line="202" w:lineRule="auto"/>
                    <w:ind w:left="808"/>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3"/>
                      <w:highlight w:val="none"/>
                    </w:rPr>
                    <w:t>闪点</w:t>
                  </w:r>
                  <w:r>
                    <w:rPr>
                      <w:rFonts w:hint="eastAsia"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w:t>
                  </w:r>
                  <w:r>
                    <w:rPr>
                      <w:rFonts w:hint="eastAsia" w:ascii="Times New Roman" w:hAnsi="Times New Roman" w:eastAsia="宋体" w:cs="Times New Roman"/>
                      <w:color w:val="auto"/>
                      <w:spacing w:val="3"/>
                      <w:highlight w:val="none"/>
                      <w:lang w:eastAsia="zh-CN"/>
                    </w:rPr>
                    <w:t>）</w:t>
                  </w:r>
                  <w:r>
                    <w:rPr>
                      <w:rFonts w:hint="default" w:ascii="Times New Roman" w:hAnsi="Times New Roman" w:cs="Times New Roman"/>
                      <w:color w:val="auto"/>
                      <w:spacing w:val="3"/>
                      <w:highlight w:val="none"/>
                      <w:lang w:eastAsia="zh-CN"/>
                    </w:rPr>
                    <w:t>：</w:t>
                  </w:r>
                  <w:r>
                    <w:rPr>
                      <w:rFonts w:hint="default" w:ascii="Times New Roman" w:hAnsi="Times New Roman" w:eastAsia="Times New Roman" w:cs="Times New Roman"/>
                      <w:color w:val="auto"/>
                      <w:spacing w:val="3"/>
                      <w:highlight w:val="none"/>
                    </w:rPr>
                    <w:t>≤23</w:t>
                  </w:r>
                </w:p>
              </w:tc>
            </w:tr>
            <w:tr w14:paraId="4D24BCF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164" w:type="dxa"/>
                  <w:vMerge w:val="continue"/>
                  <w:tcBorders>
                    <w:top w:val="nil"/>
                    <w:bottom w:val="nil"/>
                  </w:tcBorders>
                  <w:vAlign w:val="top"/>
                </w:tcPr>
                <w:p w14:paraId="5DB8AD71">
                  <w:pPr>
                    <w:rPr>
                      <w:rFonts w:hint="default" w:ascii="Times New Roman" w:hAnsi="Times New Roman" w:cs="Times New Roman"/>
                      <w:color w:val="auto"/>
                      <w:sz w:val="21"/>
                      <w:highlight w:val="none"/>
                    </w:rPr>
                  </w:pPr>
                </w:p>
              </w:tc>
              <w:tc>
                <w:tcPr>
                  <w:tcW w:w="6915" w:type="dxa"/>
                  <w:gridSpan w:val="4"/>
                  <w:vAlign w:val="top"/>
                </w:tcPr>
                <w:p w14:paraId="1D208964">
                  <w:pPr>
                    <w:pStyle w:val="143"/>
                    <w:spacing w:before="38" w:line="235" w:lineRule="auto"/>
                    <w:ind w:left="157" w:right="258" w:firstLine="104"/>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储运条件：储存于阴凉、通风的仓间内。远离火种、热源，防止阳</w:t>
                  </w:r>
                  <w:r>
                    <w:rPr>
                      <w:rFonts w:hint="default" w:ascii="Times New Roman" w:hAnsi="Times New Roman" w:cs="Times New Roman"/>
                      <w:color w:val="auto"/>
                      <w:spacing w:val="-1"/>
                      <w:highlight w:val="none"/>
                    </w:rPr>
                    <w:t>光直</w:t>
                  </w:r>
                  <w:r>
                    <w:rPr>
                      <w:rFonts w:hint="default" w:ascii="Times New Roman" w:hAnsi="Times New Roman" w:cs="Times New Roman"/>
                      <w:color w:val="auto"/>
                      <w:highlight w:val="none"/>
                    </w:rPr>
                    <w:t>射，与氧化剂隔离储运。搬运时轻装轻卸，防止容器渗漏。泄漏</w:t>
                  </w:r>
                  <w:r>
                    <w:rPr>
                      <w:rFonts w:hint="default" w:ascii="Times New Roman" w:hAnsi="Times New Roman" w:cs="Times New Roman"/>
                      <w:color w:val="auto"/>
                      <w:spacing w:val="-1"/>
                      <w:highlight w:val="none"/>
                    </w:rPr>
                    <w:t>处理：首</w:t>
                  </w:r>
                  <w:r>
                    <w:rPr>
                      <w:rFonts w:hint="default" w:ascii="Times New Roman" w:hAnsi="Times New Roman" w:cs="Times New Roman"/>
                      <w:color w:val="auto"/>
                      <w:highlight w:val="none"/>
                    </w:rPr>
                    <w:t>先切断一切火源，戴好防毒面具与手套。用砂土吸收，倒至空旷</w:t>
                  </w:r>
                  <w:r>
                    <w:rPr>
                      <w:rFonts w:hint="default" w:ascii="Times New Roman" w:hAnsi="Times New Roman" w:cs="Times New Roman"/>
                      <w:color w:val="auto"/>
                      <w:spacing w:val="-1"/>
                      <w:highlight w:val="none"/>
                    </w:rPr>
                    <w:t>地方掩埋</w:t>
                  </w:r>
                  <w:r>
                    <w:rPr>
                      <w:rFonts w:hint="default" w:ascii="Times New Roman" w:hAnsi="Times New Roman" w:cs="Times New Roman"/>
                      <w:color w:val="auto"/>
                      <w:highlight w:val="none"/>
                    </w:rPr>
                    <w:t>或焚烧炉中烧掉。被污染的地面用油漆刀刮清，大面积泄漏周围</w:t>
                  </w:r>
                  <w:r>
                    <w:rPr>
                      <w:rFonts w:hint="default" w:ascii="Times New Roman" w:hAnsi="Times New Roman" w:cs="Times New Roman"/>
                      <w:color w:val="auto"/>
                      <w:spacing w:val="-1"/>
                      <w:highlight w:val="none"/>
                    </w:rPr>
                    <w:t>应设雾状</w:t>
                  </w:r>
                  <w:r>
                    <w:rPr>
                      <w:rFonts w:hint="default" w:ascii="Times New Roman" w:hAnsi="Times New Roman" w:cs="Times New Roman"/>
                      <w:color w:val="auto"/>
                      <w:spacing w:val="-5"/>
                      <w:highlight w:val="none"/>
                    </w:rPr>
                    <w:t>水幕抑爆。</w:t>
                  </w:r>
                </w:p>
              </w:tc>
            </w:tr>
            <w:tr w14:paraId="6D98075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848" w:hRule="atLeast"/>
              </w:trPr>
              <w:tc>
                <w:tcPr>
                  <w:tcW w:w="1164" w:type="dxa"/>
                  <w:vMerge w:val="continue"/>
                  <w:tcBorders>
                    <w:top w:val="nil"/>
                  </w:tcBorders>
                  <w:vAlign w:val="top"/>
                </w:tcPr>
                <w:p w14:paraId="4F4D05FB">
                  <w:pPr>
                    <w:rPr>
                      <w:rFonts w:hint="default" w:ascii="Times New Roman" w:hAnsi="Times New Roman" w:cs="Times New Roman"/>
                      <w:color w:val="auto"/>
                      <w:sz w:val="21"/>
                      <w:highlight w:val="none"/>
                    </w:rPr>
                  </w:pPr>
                </w:p>
              </w:tc>
              <w:tc>
                <w:tcPr>
                  <w:tcW w:w="3855" w:type="dxa"/>
                  <w:gridSpan w:val="2"/>
                  <w:vAlign w:val="top"/>
                </w:tcPr>
                <w:p w14:paraId="34C46659">
                  <w:pPr>
                    <w:pStyle w:val="143"/>
                    <w:spacing w:before="42" w:line="236" w:lineRule="auto"/>
                    <w:ind w:left="211" w:right="200" w:firstLine="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其蒸汽与空气形成爆炸性混合物，遇明火、高热能引起燃烧爆炸。与氧化剂能发生强烈反应。其蒸汽比空气重，能在较低处扩散到相当远的地方，遇火源引着回燃。若遇高热，容器内压增大，有开裂和爆炸的危险。流速</w:t>
                  </w:r>
                </w:p>
                <w:p w14:paraId="4CB47EEB">
                  <w:pPr>
                    <w:pStyle w:val="143"/>
                    <w:spacing w:before="24" w:line="205" w:lineRule="auto"/>
                    <w:ind w:left="631"/>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过快，容易产生和积聚静电。</w:t>
                  </w:r>
                </w:p>
              </w:tc>
              <w:tc>
                <w:tcPr>
                  <w:tcW w:w="3060" w:type="dxa"/>
                  <w:gridSpan w:val="2"/>
                  <w:vAlign w:val="top"/>
                </w:tcPr>
                <w:p w14:paraId="0805F4FA">
                  <w:pPr>
                    <w:pStyle w:val="143"/>
                    <w:spacing w:before="68" w:line="220" w:lineRule="auto"/>
                    <w:ind w:left="27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灭火方法：用泡沫、二氧化</w:t>
                  </w:r>
                </w:p>
                <w:p w14:paraId="069B29C2">
                  <w:pPr>
                    <w:pStyle w:val="143"/>
                    <w:spacing w:before="20" w:line="220" w:lineRule="auto"/>
                    <w:ind w:left="16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碳、干粉、砂土灭火，用水灭</w:t>
                  </w:r>
                </w:p>
                <w:p w14:paraId="638F3F43">
                  <w:pPr>
                    <w:pStyle w:val="143"/>
                    <w:spacing w:before="23" w:line="221" w:lineRule="auto"/>
                    <w:ind w:left="1218"/>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火无效</w:t>
                  </w:r>
                </w:p>
              </w:tc>
            </w:tr>
          </w:tbl>
          <w:p w14:paraId="65906F5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A68370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2-1</w:t>
            </w:r>
            <w:r>
              <w:rPr>
                <w:rFonts w:hint="eastAsia" w:cs="Times New Roman"/>
                <w:b/>
                <w:bCs/>
                <w:color w:val="auto"/>
                <w:spacing w:val="-2"/>
                <w:sz w:val="24"/>
                <w:szCs w:val="24"/>
                <w:highlight w:val="none"/>
                <w:lang w:val="en-US" w:eastAsia="zh-CN"/>
              </w:rPr>
              <w:t>2</w:t>
            </w:r>
            <w:r>
              <w:rPr>
                <w:rFonts w:hint="default" w:ascii="Times New Roman" w:hAnsi="Times New Roman" w:cs="Times New Roman"/>
                <w:b/>
                <w:bCs/>
                <w:color w:val="auto"/>
                <w:spacing w:val="-2"/>
                <w:sz w:val="24"/>
                <w:szCs w:val="24"/>
                <w:highlight w:val="none"/>
              </w:rPr>
              <w:t>丙烷理化性质</w:t>
            </w:r>
          </w:p>
          <w:tbl>
            <w:tblPr>
              <w:tblStyle w:val="142"/>
              <w:tblW w:w="8098" w:type="dxa"/>
              <w:tblInd w:w="7"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
              <w:gridCol w:w="3203"/>
              <w:gridCol w:w="1625"/>
              <w:gridCol w:w="1589"/>
            </w:tblGrid>
            <w:tr w14:paraId="74F0792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681" w:type="dxa"/>
                  <w:gridSpan w:val="2"/>
                  <w:vMerge w:val="restart"/>
                  <w:tcBorders>
                    <w:bottom w:val="nil"/>
                  </w:tcBorders>
                  <w:vAlign w:val="top"/>
                </w:tcPr>
                <w:p w14:paraId="6283CC61">
                  <w:pPr>
                    <w:pStyle w:val="143"/>
                    <w:spacing w:before="296" w:line="221" w:lineRule="auto"/>
                    <w:ind w:left="657"/>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标识</w:t>
                  </w:r>
                </w:p>
              </w:tc>
              <w:tc>
                <w:tcPr>
                  <w:tcW w:w="3203" w:type="dxa"/>
                  <w:vAlign w:val="top"/>
                </w:tcPr>
                <w:p w14:paraId="3FCBAA4D">
                  <w:pPr>
                    <w:pStyle w:val="143"/>
                    <w:spacing w:before="31" w:line="198" w:lineRule="auto"/>
                    <w:ind w:left="1044"/>
                    <w:rPr>
                      <w:rFonts w:hint="default" w:ascii="Times New Roman" w:hAnsi="Times New Roman" w:cs="Times New Roman"/>
                      <w:color w:val="auto"/>
                      <w:highlight w:val="none"/>
                    </w:rPr>
                  </w:pPr>
                  <w:r>
                    <w:rPr>
                      <w:rFonts w:hint="default" w:ascii="Times New Roman" w:hAnsi="Times New Roman" w:cs="Times New Roman"/>
                      <w:color w:val="auto"/>
                      <w:spacing w:val="-5"/>
                      <w:highlight w:val="none"/>
                    </w:rPr>
                    <w:t>中文名：丙烷</w:t>
                  </w:r>
                </w:p>
              </w:tc>
              <w:tc>
                <w:tcPr>
                  <w:tcW w:w="3214" w:type="dxa"/>
                  <w:gridSpan w:val="2"/>
                  <w:vAlign w:val="top"/>
                </w:tcPr>
                <w:p w14:paraId="562C32B3">
                  <w:pPr>
                    <w:pStyle w:val="143"/>
                    <w:spacing w:before="31" w:line="198" w:lineRule="auto"/>
                    <w:ind w:left="615"/>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
                      <w:highlight w:val="none"/>
                    </w:rPr>
                    <w:t>危险货物编号：</w:t>
                  </w:r>
                  <w:r>
                    <w:rPr>
                      <w:rFonts w:hint="default" w:ascii="Times New Roman" w:hAnsi="Times New Roman" w:eastAsia="Times New Roman" w:cs="Times New Roman"/>
                      <w:color w:val="auto"/>
                      <w:spacing w:val="-1"/>
                      <w:highlight w:val="none"/>
                    </w:rPr>
                    <w:t>21011</w:t>
                  </w:r>
                </w:p>
              </w:tc>
            </w:tr>
            <w:tr w14:paraId="2DAAB36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681" w:type="dxa"/>
                  <w:gridSpan w:val="2"/>
                  <w:vMerge w:val="continue"/>
                  <w:tcBorders>
                    <w:top w:val="nil"/>
                  </w:tcBorders>
                  <w:vAlign w:val="top"/>
                </w:tcPr>
                <w:p w14:paraId="01FE2291">
                  <w:pPr>
                    <w:rPr>
                      <w:rFonts w:hint="default" w:ascii="Times New Roman" w:hAnsi="Times New Roman" w:cs="Times New Roman"/>
                      <w:color w:val="auto"/>
                      <w:sz w:val="21"/>
                      <w:highlight w:val="none"/>
                    </w:rPr>
                  </w:pPr>
                </w:p>
              </w:tc>
              <w:tc>
                <w:tcPr>
                  <w:tcW w:w="3203" w:type="dxa"/>
                  <w:vAlign w:val="top"/>
                </w:tcPr>
                <w:p w14:paraId="5C1C0DCC">
                  <w:pPr>
                    <w:pStyle w:val="143"/>
                    <w:spacing w:before="132" w:line="289" w:lineRule="exact"/>
                    <w:ind w:left="890"/>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position w:val="2"/>
                      <w:highlight w:val="none"/>
                    </w:rPr>
                    <w:t>英文名：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"http://www.somsds.com/detail.asp?id=-1300853140" </w:instrText>
                  </w:r>
                  <w:r>
                    <w:rPr>
                      <w:rFonts w:hint="default" w:ascii="Times New Roman" w:hAnsi="Times New Roman" w:cs="Times New Roman"/>
                      <w:color w:val="auto"/>
                      <w:highlight w:val="none"/>
                    </w:rPr>
                    <w:fldChar w:fldCharType="separate"/>
                  </w:r>
                  <w:r>
                    <w:rPr>
                      <w:rFonts w:hint="default" w:ascii="Times New Roman" w:hAnsi="Times New Roman" w:eastAsia="Times New Roman" w:cs="Times New Roman"/>
                      <w:i/>
                      <w:iCs/>
                      <w:color w:val="auto"/>
                      <w:spacing w:val="-2"/>
                      <w:position w:val="2"/>
                      <w:highlight w:val="none"/>
                    </w:rPr>
                    <w:t>propane</w:t>
                  </w:r>
                  <w:r>
                    <w:rPr>
                      <w:rFonts w:hint="default" w:ascii="Times New Roman" w:hAnsi="Times New Roman" w:eastAsia="Times New Roman" w:cs="Times New Roman"/>
                      <w:i/>
                      <w:iCs/>
                      <w:color w:val="auto"/>
                      <w:spacing w:val="-2"/>
                      <w:position w:val="2"/>
                      <w:highlight w:val="none"/>
                    </w:rPr>
                    <w:fldChar w:fldCharType="end"/>
                  </w:r>
                </w:p>
              </w:tc>
              <w:tc>
                <w:tcPr>
                  <w:tcW w:w="1625" w:type="dxa"/>
                  <w:vAlign w:val="top"/>
                </w:tcPr>
                <w:p w14:paraId="60693D06">
                  <w:pPr>
                    <w:pStyle w:val="143"/>
                    <w:spacing w:before="162" w:line="221" w:lineRule="auto"/>
                    <w:ind w:left="135"/>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highlight w:val="none"/>
                    </w:rPr>
                    <w:t>UN</w:t>
                  </w:r>
                  <w:r>
                    <w:rPr>
                      <w:rFonts w:hint="default" w:ascii="Times New Roman" w:hAnsi="Times New Roman" w:cs="Times New Roman"/>
                      <w:color w:val="auto"/>
                      <w:highlight w:val="none"/>
                    </w:rPr>
                    <w:t>编号：</w:t>
                  </w:r>
                  <w:r>
                    <w:rPr>
                      <w:rFonts w:hint="default" w:ascii="Times New Roman" w:hAnsi="Times New Roman" w:eastAsia="Times New Roman" w:cs="Times New Roman"/>
                      <w:color w:val="auto"/>
                      <w:highlight w:val="none"/>
                    </w:rPr>
                    <w:t>1978</w:t>
                  </w:r>
                </w:p>
              </w:tc>
              <w:tc>
                <w:tcPr>
                  <w:tcW w:w="1589" w:type="dxa"/>
                  <w:vAlign w:val="top"/>
                </w:tcPr>
                <w:p w14:paraId="6FED0368">
                  <w:pPr>
                    <w:pStyle w:val="143"/>
                    <w:spacing w:before="42" w:line="217" w:lineRule="auto"/>
                    <w:ind w:left="518" w:right="489" w:hanging="164"/>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15"/>
                      <w:highlight w:val="none"/>
                    </w:rPr>
                    <w:t>分子式：</w:t>
                  </w:r>
                  <w:r>
                    <w:rPr>
                      <w:rFonts w:hint="default" w:ascii="Times New Roman" w:hAnsi="Times New Roman" w:eastAsia="Times New Roman" w:cs="Times New Roman"/>
                      <w:color w:val="auto"/>
                      <w:spacing w:val="-2"/>
                      <w:highlight w:val="none"/>
                    </w:rPr>
                    <w:t>C3H8</w:t>
                  </w:r>
                </w:p>
              </w:tc>
            </w:tr>
            <w:tr w14:paraId="5C39D84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81" w:type="dxa"/>
                  <w:gridSpan w:val="2"/>
                  <w:vAlign w:val="top"/>
                </w:tcPr>
                <w:p w14:paraId="1582BF15">
                  <w:pPr>
                    <w:pStyle w:val="143"/>
                    <w:spacing w:before="43" w:line="197" w:lineRule="auto"/>
                    <w:ind w:left="503"/>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理化性质</w:t>
                  </w:r>
                </w:p>
              </w:tc>
              <w:tc>
                <w:tcPr>
                  <w:tcW w:w="6417" w:type="dxa"/>
                  <w:gridSpan w:val="3"/>
                  <w:vAlign w:val="top"/>
                </w:tcPr>
                <w:p w14:paraId="12ECD982">
                  <w:pPr>
                    <w:pStyle w:val="143"/>
                    <w:spacing w:before="43" w:line="197" w:lineRule="auto"/>
                    <w:ind w:left="168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外观与性状：无色气体，纯品无臭</w:t>
                  </w:r>
                </w:p>
              </w:tc>
            </w:tr>
            <w:tr w14:paraId="07A35E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681" w:type="dxa"/>
                  <w:gridSpan w:val="2"/>
                  <w:vMerge w:val="restart"/>
                  <w:vAlign w:val="center"/>
                </w:tcPr>
                <w:p w14:paraId="7F8099E3">
                  <w:pPr>
                    <w:pStyle w:val="143"/>
                    <w:spacing w:before="185" w:line="23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毒性及健康危</w:t>
                  </w:r>
                  <w:r>
                    <w:rPr>
                      <w:rFonts w:hint="default" w:ascii="Times New Roman" w:hAnsi="Times New Roman" w:cs="Times New Roman"/>
                      <w:color w:val="auto"/>
                      <w:highlight w:val="none"/>
                    </w:rPr>
                    <w:t>害</w:t>
                  </w:r>
                </w:p>
              </w:tc>
              <w:tc>
                <w:tcPr>
                  <w:tcW w:w="6417" w:type="dxa"/>
                  <w:gridSpan w:val="3"/>
                  <w:vAlign w:val="top"/>
                </w:tcPr>
                <w:p w14:paraId="2499E30A">
                  <w:pPr>
                    <w:pStyle w:val="143"/>
                    <w:spacing w:before="44" w:line="195" w:lineRule="auto"/>
                    <w:ind w:left="2521"/>
                    <w:rPr>
                      <w:rFonts w:hint="default" w:ascii="Times New Roman" w:hAnsi="Times New Roman" w:cs="Times New Roman"/>
                      <w:color w:val="auto"/>
                      <w:highlight w:val="none"/>
                    </w:rPr>
                  </w:pPr>
                  <w:r>
                    <w:rPr>
                      <w:rFonts w:hint="default" w:ascii="Times New Roman" w:hAnsi="Times New Roman" w:cs="Times New Roman"/>
                      <w:color w:val="auto"/>
                      <w:highlight w:val="none"/>
                    </w:rPr>
                    <w:t>侵入途径：吸入</w:t>
                  </w:r>
                </w:p>
              </w:tc>
            </w:tr>
            <w:tr w14:paraId="728ABE7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681" w:type="dxa"/>
                  <w:gridSpan w:val="2"/>
                  <w:vMerge w:val="continue"/>
                  <w:vAlign w:val="top"/>
                </w:tcPr>
                <w:p w14:paraId="157A622B">
                  <w:pPr>
                    <w:rPr>
                      <w:rFonts w:hint="default" w:ascii="Times New Roman" w:hAnsi="Times New Roman" w:cs="Times New Roman"/>
                      <w:color w:val="auto"/>
                      <w:sz w:val="21"/>
                      <w:highlight w:val="none"/>
                    </w:rPr>
                  </w:pPr>
                </w:p>
              </w:tc>
              <w:tc>
                <w:tcPr>
                  <w:tcW w:w="3203" w:type="dxa"/>
                  <w:tcBorders>
                    <w:bottom w:val="single" w:color="000000" w:sz="6" w:space="0"/>
                  </w:tcBorders>
                  <w:vAlign w:val="top"/>
                </w:tcPr>
                <w:p w14:paraId="5C51E484">
                  <w:pPr>
                    <w:pStyle w:val="143"/>
                    <w:spacing w:before="46" w:line="230" w:lineRule="auto"/>
                    <w:ind w:left="201" w:right="174" w:hanging="17"/>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"https://baike.so.com/doc/10036357-10543834.html"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pacing w:val="-1"/>
                      <w:highlight w:val="none"/>
                    </w:rPr>
                    <w:t>健康危害：有单纯性窒息及</w:t>
                  </w:r>
                  <w:r>
                    <w:rPr>
                      <w:rFonts w:hint="default" w:ascii="Times New Roman" w:hAnsi="Times New Roman" w:cs="Times New Roman"/>
                      <w:color w:val="auto"/>
                      <w:spacing w:val="-1"/>
                      <w:highlight w:val="none"/>
                    </w:rPr>
                    <w:fldChar w:fldCharType="end"/>
                  </w:r>
                  <w:r>
                    <w:rPr>
                      <w:rFonts w:hint="default" w:ascii="Times New Roman" w:hAnsi="Times New Roman" w:cs="Times New Roman"/>
                      <w:color w:val="auto"/>
                      <w:spacing w:val="-1"/>
                      <w:highlight w:val="none"/>
                    </w:rPr>
                    <w:t>麻醉</w:t>
                  </w:r>
                  <w:r>
                    <w:rPr>
                      <w:rFonts w:hint="default" w:ascii="Times New Roman" w:hAnsi="Times New Roman" w:cs="Times New Roman"/>
                      <w:color w:val="auto"/>
                      <w:spacing w:val="-3"/>
                      <w:highlight w:val="none"/>
                    </w:rPr>
                    <w:t>作用。人短暂接触</w:t>
                  </w:r>
                  <w:r>
                    <w:rPr>
                      <w:rFonts w:hint="default" w:ascii="Times New Roman" w:hAnsi="Times New Roman" w:eastAsia="Times New Roman" w:cs="Times New Roman"/>
                      <w:color w:val="auto"/>
                      <w:spacing w:val="-3"/>
                      <w:highlight w:val="none"/>
                    </w:rPr>
                    <w:t>1%</w:t>
                  </w:r>
                  <w:r>
                    <w:rPr>
                      <w:rFonts w:hint="default" w:ascii="Times New Roman" w:hAnsi="Times New Roman" w:cs="Times New Roman"/>
                      <w:color w:val="auto"/>
                      <w:spacing w:val="-3"/>
                      <w:highlight w:val="none"/>
                    </w:rPr>
                    <w:t>丙烷，不</w:t>
                  </w:r>
                </w:p>
              </w:tc>
              <w:tc>
                <w:tcPr>
                  <w:tcW w:w="3214" w:type="dxa"/>
                  <w:gridSpan w:val="2"/>
                  <w:tcBorders>
                    <w:bottom w:val="single" w:color="000000" w:sz="6" w:space="0"/>
                  </w:tcBorders>
                  <w:vAlign w:val="top"/>
                </w:tcPr>
                <w:p w14:paraId="523DB685">
                  <w:pPr>
                    <w:pStyle w:val="143"/>
                    <w:spacing w:before="47" w:line="229" w:lineRule="auto"/>
                    <w:ind w:left="136" w:right="229" w:firstLine="5"/>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急救方法：迅速脱离现场至空气新鲜处。保持呼吸道通畅。如呼</w:t>
                  </w:r>
                </w:p>
              </w:tc>
            </w:tr>
            <w:tr w14:paraId="6BD82D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681" w:type="dxa"/>
                  <w:gridSpan w:val="2"/>
                  <w:vMerge w:val="continue"/>
                  <w:vAlign w:val="top"/>
                </w:tcPr>
                <w:p w14:paraId="7DC0C6DB">
                  <w:pPr>
                    <w:rPr>
                      <w:rFonts w:hint="default" w:ascii="Times New Roman" w:hAnsi="Times New Roman" w:cs="Times New Roman"/>
                      <w:color w:val="auto"/>
                      <w:sz w:val="21"/>
                      <w:highlight w:val="none"/>
                    </w:rPr>
                  </w:pPr>
                </w:p>
              </w:tc>
              <w:tc>
                <w:tcPr>
                  <w:tcW w:w="3203" w:type="dxa"/>
                  <w:tcBorders>
                    <w:top w:val="single" w:color="000000" w:sz="6" w:space="0"/>
                  </w:tcBorders>
                  <w:vAlign w:val="top"/>
                </w:tcPr>
                <w:p w14:paraId="79CC8E40">
                  <w:pPr>
                    <w:pStyle w:val="143"/>
                    <w:spacing w:before="64" w:line="234" w:lineRule="auto"/>
                    <w:ind w:left="158" w:right="146" w:firstLine="59"/>
                    <w:jc w:val="both"/>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引起症状；</w:t>
                  </w:r>
                  <w:r>
                    <w:rPr>
                      <w:rFonts w:hint="default" w:ascii="Times New Roman" w:hAnsi="Times New Roman" w:eastAsia="Times New Roman" w:cs="Times New Roman"/>
                      <w:color w:val="auto"/>
                      <w:spacing w:val="-2"/>
                      <w:highlight w:val="none"/>
                    </w:rPr>
                    <w:t>10%</w:t>
                  </w:r>
                  <w:r>
                    <w:rPr>
                      <w:rFonts w:hint="default" w:ascii="Times New Roman" w:hAnsi="Times New Roman" w:cs="Times New Roman"/>
                      <w:color w:val="auto"/>
                      <w:spacing w:val="-2"/>
                      <w:highlight w:val="none"/>
                    </w:rPr>
                    <w:t>以下的浓度，只</w:t>
                  </w:r>
                  <w:r>
                    <w:rPr>
                      <w:rFonts w:hint="default" w:ascii="Times New Roman" w:hAnsi="Times New Roman" w:cs="Times New Roman"/>
                      <w:color w:val="auto"/>
                      <w:spacing w:val="-1"/>
                      <w:highlight w:val="none"/>
                    </w:rPr>
                    <w:t>引起轻度头晕</w:t>
                  </w:r>
                  <w:r>
                    <w:rPr>
                      <w:rFonts w:hint="eastAsia"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接触高浓度时可出现麻醉状态、意识丧失</w:t>
                  </w:r>
                  <w:r>
                    <w:rPr>
                      <w:rFonts w:hint="eastAsia"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极高浓度</w:t>
                  </w:r>
                </w:p>
                <w:p w14:paraId="4B6CA641">
                  <w:pPr>
                    <w:pStyle w:val="143"/>
                    <w:spacing w:before="18" w:line="206" w:lineRule="auto"/>
                    <w:ind w:left="1035"/>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时可致窒息。</w:t>
                  </w:r>
                </w:p>
              </w:tc>
              <w:tc>
                <w:tcPr>
                  <w:tcW w:w="3214" w:type="dxa"/>
                  <w:gridSpan w:val="2"/>
                  <w:tcBorders>
                    <w:top w:val="single" w:color="000000" w:sz="6" w:space="0"/>
                  </w:tcBorders>
                  <w:vAlign w:val="top"/>
                </w:tcPr>
                <w:p w14:paraId="2F638290">
                  <w:pPr>
                    <w:pStyle w:val="143"/>
                    <w:spacing w:before="64" w:line="230" w:lineRule="auto"/>
                    <w:ind w:left="345" w:right="277" w:hanging="202"/>
                    <w:rPr>
                      <w:rFonts w:hint="default" w:ascii="Times New Roman" w:hAnsi="Times New Roman" w:cs="Times New Roman"/>
                      <w:color w:val="auto"/>
                      <w:highlight w:val="none"/>
                    </w:rPr>
                  </w:pPr>
                  <w:r>
                    <w:rPr>
                      <w:rFonts w:hint="default" w:ascii="Times New Roman" w:hAnsi="Times New Roman" w:cs="Times New Roman"/>
                      <w:color w:val="auto"/>
                      <w:spacing w:val="-5"/>
                      <w:highlight w:val="none"/>
                    </w:rPr>
                    <w:t>吸困难，给输氧。如呼吸停止，</w:t>
                  </w:r>
                  <w:r>
                    <w:rPr>
                      <w:rFonts w:hint="default" w:ascii="Times New Roman" w:hAnsi="Times New Roman" w:cs="Times New Roman"/>
                      <w:color w:val="auto"/>
                      <w:spacing w:val="-1"/>
                      <w:highlight w:val="none"/>
                    </w:rPr>
                    <w:t>立即进行人工呼吸。就医。</w:t>
                  </w:r>
                </w:p>
              </w:tc>
            </w:tr>
            <w:tr w14:paraId="7708361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81" w:type="dxa"/>
                  <w:gridSpan w:val="2"/>
                  <w:vMerge w:val="restart"/>
                  <w:tcBorders>
                    <w:bottom w:val="nil"/>
                  </w:tcBorders>
                  <w:vAlign w:val="top"/>
                </w:tcPr>
                <w:p w14:paraId="54052CB3">
                  <w:pPr>
                    <w:spacing w:line="308" w:lineRule="auto"/>
                    <w:rPr>
                      <w:rFonts w:hint="default" w:ascii="Times New Roman" w:hAnsi="Times New Roman" w:eastAsia="宋体" w:cs="Times New Roman"/>
                      <w:color w:val="auto"/>
                      <w:sz w:val="21"/>
                      <w:highlight w:val="none"/>
                      <w:lang w:eastAsia="zh-CN"/>
                    </w:rPr>
                  </w:pPr>
                </w:p>
                <w:p w14:paraId="652862F3">
                  <w:pPr>
                    <w:pStyle w:val="143"/>
                    <w:spacing w:before="68" w:line="230" w:lineRule="auto"/>
                    <w:ind w:left="817" w:right="183" w:hanging="527"/>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燃烧爆炸危险</w:t>
                  </w:r>
                  <w:r>
                    <w:rPr>
                      <w:rFonts w:hint="default" w:ascii="Times New Roman" w:hAnsi="Times New Roman" w:cs="Times New Roman"/>
                      <w:color w:val="auto"/>
                      <w:highlight w:val="none"/>
                    </w:rPr>
                    <w:t>性</w:t>
                  </w:r>
                </w:p>
              </w:tc>
              <w:tc>
                <w:tcPr>
                  <w:tcW w:w="3203" w:type="dxa"/>
                  <w:vAlign w:val="top"/>
                </w:tcPr>
                <w:p w14:paraId="4F734879">
                  <w:pPr>
                    <w:pStyle w:val="143"/>
                    <w:spacing w:before="33" w:line="206" w:lineRule="auto"/>
                    <w:ind w:left="102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燃烧性：易燃</w:t>
                  </w:r>
                </w:p>
              </w:tc>
              <w:tc>
                <w:tcPr>
                  <w:tcW w:w="3214" w:type="dxa"/>
                  <w:gridSpan w:val="2"/>
                  <w:vAlign w:val="top"/>
                </w:tcPr>
                <w:p w14:paraId="3FEDFBD9">
                  <w:pPr>
                    <w:pStyle w:val="143"/>
                    <w:spacing w:before="33" w:line="206" w:lineRule="auto"/>
                    <w:ind w:left="853"/>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8"/>
                      <w:highlight w:val="none"/>
                    </w:rPr>
                    <w:t>闪点</w:t>
                  </w:r>
                  <w:r>
                    <w:rPr>
                      <w:rFonts w:hint="eastAsia" w:ascii="Times New Roman" w:hAnsi="Times New Roman" w:cs="Times New Roman"/>
                      <w:color w:val="auto"/>
                      <w:spacing w:val="8"/>
                      <w:highlight w:val="none"/>
                      <w:lang w:eastAsia="zh-CN"/>
                    </w:rPr>
                    <w:t>（</w:t>
                  </w:r>
                  <w:r>
                    <w:rPr>
                      <w:rFonts w:hint="default" w:ascii="Times New Roman" w:hAnsi="Times New Roman" w:eastAsia="Times New Roman" w:cs="Times New Roman"/>
                      <w:color w:val="auto"/>
                      <w:spacing w:val="8"/>
                      <w:highlight w:val="none"/>
                    </w:rPr>
                    <w:t>℃</w:t>
                  </w:r>
                  <w:r>
                    <w:rPr>
                      <w:rFonts w:hint="eastAsia" w:ascii="Times New Roman" w:hAnsi="Times New Roman" w:eastAsia="宋体" w:cs="Times New Roman"/>
                      <w:color w:val="auto"/>
                      <w:spacing w:val="8"/>
                      <w:highlight w:val="none"/>
                      <w:lang w:eastAsia="zh-CN"/>
                    </w:rPr>
                    <w:t>）</w:t>
                  </w:r>
                  <w:r>
                    <w:rPr>
                      <w:rFonts w:hint="default" w:ascii="Times New Roman" w:hAnsi="Times New Roman" w:cs="Times New Roman"/>
                      <w:color w:val="auto"/>
                      <w:spacing w:val="8"/>
                      <w:highlight w:val="none"/>
                    </w:rPr>
                    <w:t>：</w:t>
                  </w:r>
                  <w:r>
                    <w:rPr>
                      <w:rFonts w:hint="default" w:ascii="Times New Roman" w:hAnsi="Times New Roman" w:eastAsia="Times New Roman" w:cs="Times New Roman"/>
                      <w:color w:val="auto"/>
                      <w:spacing w:val="8"/>
                      <w:highlight w:val="none"/>
                    </w:rPr>
                    <w:t>-104</w:t>
                  </w:r>
                </w:p>
              </w:tc>
            </w:tr>
            <w:tr w14:paraId="5A9C0E6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680" w:type="dxa"/>
                  <w:vMerge w:val="continue"/>
                  <w:tcBorders>
                    <w:top w:val="nil"/>
                    <w:bottom w:val="nil"/>
                  </w:tcBorders>
                  <w:vAlign w:val="top"/>
                </w:tcPr>
                <w:p w14:paraId="683B6337">
                  <w:pPr>
                    <w:rPr>
                      <w:rFonts w:hint="default" w:ascii="Times New Roman" w:hAnsi="Times New Roman" w:cs="Times New Roman"/>
                      <w:color w:val="auto"/>
                      <w:sz w:val="21"/>
                      <w:highlight w:val="none"/>
                    </w:rPr>
                  </w:pPr>
                </w:p>
              </w:tc>
              <w:tc>
                <w:tcPr>
                  <w:tcW w:w="6418" w:type="dxa"/>
                  <w:gridSpan w:val="4"/>
                  <w:vAlign w:val="top"/>
                </w:tcPr>
                <w:p w14:paraId="32F6E10B">
                  <w:pPr>
                    <w:pStyle w:val="143"/>
                    <w:spacing w:before="31" w:line="213" w:lineRule="auto"/>
                    <w:ind w:left="20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储运条件：一般以液态形式储存和运输，储存和运输条件为常温，</w:t>
                  </w:r>
                </w:p>
                <w:p w14:paraId="0F0B2CF7">
                  <w:pPr>
                    <w:pStyle w:val="143"/>
                    <w:spacing w:before="1" w:line="232" w:lineRule="auto"/>
                    <w:ind w:left="6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"https://baike.so.com/doc/3459554-3640198.html"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pacing w:val="-1"/>
                      <w:highlight w:val="none"/>
                    </w:rPr>
                    <w:t>压力达到饱和蒸气压。</w:t>
                  </w:r>
                  <w:r>
                    <w:rPr>
                      <w:rFonts w:hint="default" w:ascii="Times New Roman" w:hAnsi="Times New Roman" w:cs="Times New Roman"/>
                      <w:color w:val="auto"/>
                      <w:spacing w:val="-1"/>
                      <w:highlight w:val="none"/>
                    </w:rPr>
                    <w:fldChar w:fldCharType="end"/>
                  </w:r>
                  <w:r>
                    <w:rPr>
                      <w:rFonts w:hint="default" w:ascii="Times New Roman" w:hAnsi="Times New Roman" w:cs="Times New Roman"/>
                      <w:color w:val="auto"/>
                      <w:spacing w:val="-1"/>
                      <w:highlight w:val="none"/>
                    </w:rPr>
                    <w:t>储罐设计参数</w:t>
                  </w:r>
                  <w:r>
                    <w:rPr>
                      <w:rFonts w:hint="default" w:ascii="Times New Roman" w:hAnsi="Times New Roman" w:eastAsia="宋体" w:cs="Times New Roman"/>
                      <w:color w:val="auto"/>
                      <w:spacing w:val="-1"/>
                      <w:highlight w:val="none"/>
                      <w:lang w:eastAsia="zh-CN"/>
                    </w:rPr>
                    <w:t>：</w:t>
                  </w:r>
                  <w:r>
                    <w:rPr>
                      <w:rFonts w:hint="default" w:ascii="Times New Roman" w:hAnsi="Times New Roman" w:eastAsia="Times New Roman" w:cs="Times New Roman"/>
                      <w:color w:val="auto"/>
                      <w:spacing w:val="-1"/>
                      <w:highlight w:val="none"/>
                    </w:rPr>
                    <w:t>1800kPaA</w:t>
                  </w:r>
                  <w:r>
                    <w:rPr>
                      <w:rFonts w:hint="default" w:ascii="Times New Roman" w:hAnsi="Times New Roman" w:cs="Times New Roman"/>
                      <w:color w:val="auto"/>
                      <w:spacing w:val="-1"/>
                      <w:highlight w:val="none"/>
                    </w:rPr>
                    <w:t>，</w:t>
                  </w:r>
                  <w:r>
                    <w:rPr>
                      <w:rFonts w:hint="default" w:ascii="Times New Roman" w:hAnsi="Times New Roman" w:eastAsia="Times New Roman" w:cs="Times New Roman"/>
                      <w:color w:val="auto"/>
                      <w:spacing w:val="-2"/>
                      <w:highlight w:val="none"/>
                    </w:rPr>
                    <w:t>60℃</w:t>
                  </w:r>
                  <w:r>
                    <w:rPr>
                      <w:rFonts w:hint="default" w:ascii="Times New Roman" w:hAnsi="Times New Roman" w:cs="Times New Roman"/>
                      <w:color w:val="auto"/>
                      <w:spacing w:val="-2"/>
                      <w:highlight w:val="none"/>
                    </w:rPr>
                    <w:t>。</w:t>
                  </w:r>
                </w:p>
              </w:tc>
            </w:tr>
            <w:tr w14:paraId="59D08D1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680" w:type="dxa"/>
                  <w:vMerge w:val="continue"/>
                  <w:tcBorders>
                    <w:top w:val="nil"/>
                  </w:tcBorders>
                  <w:vAlign w:val="top"/>
                </w:tcPr>
                <w:p w14:paraId="632BC88F">
                  <w:pPr>
                    <w:rPr>
                      <w:rFonts w:hint="default" w:ascii="Times New Roman" w:hAnsi="Times New Roman" w:cs="Times New Roman"/>
                      <w:color w:val="auto"/>
                      <w:sz w:val="21"/>
                      <w:highlight w:val="none"/>
                    </w:rPr>
                  </w:pPr>
                </w:p>
              </w:tc>
              <w:tc>
                <w:tcPr>
                  <w:tcW w:w="3204" w:type="dxa"/>
                  <w:gridSpan w:val="2"/>
                  <w:vAlign w:val="top"/>
                </w:tcPr>
                <w:p w14:paraId="48E96636">
                  <w:pPr>
                    <w:pStyle w:val="143"/>
                    <w:spacing w:before="31" w:line="235" w:lineRule="auto"/>
                    <w:ind w:left="186" w:right="174" w:firstLine="1"/>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危险特性：易燃气体，与空气混合能形成爆炸性混合物，遇热源和明火有燃烧爆炸的风险。与氧化剂接触猛烈反应。气体比空气</w:t>
                  </w:r>
                </w:p>
                <w:p w14:paraId="662A44CD">
                  <w:pPr>
                    <w:pStyle w:val="143"/>
                    <w:spacing w:before="20" w:line="228" w:lineRule="auto"/>
                    <w:ind w:left="393" w:right="174" w:hanging="207"/>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重，能在较低处扩散到相当远的地方，遇火源会着火回燃。</w:t>
                  </w:r>
                </w:p>
              </w:tc>
              <w:tc>
                <w:tcPr>
                  <w:tcW w:w="3214" w:type="dxa"/>
                  <w:gridSpan w:val="2"/>
                  <w:vAlign w:val="top"/>
                </w:tcPr>
                <w:p w14:paraId="0B7B704F">
                  <w:pPr>
                    <w:pStyle w:val="143"/>
                    <w:spacing w:before="32" w:line="235" w:lineRule="auto"/>
                    <w:ind w:left="133" w:right="229" w:firstLine="5"/>
                    <w:jc w:val="both"/>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灭火方法：切断气源。若不能切断气源，则不允许熄灭泄漏处的火焰。喷水冷却容器，可能的话将容器从火场移至空旷处。灭火</w:t>
                  </w:r>
                </w:p>
                <w:p w14:paraId="220CF019">
                  <w:pPr>
                    <w:pStyle w:val="143"/>
                    <w:spacing w:before="20" w:line="220" w:lineRule="auto"/>
                    <w:ind w:left="13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剂：泡沫、雾状水、二氧化碳、</w:t>
                  </w:r>
                </w:p>
                <w:p w14:paraId="0532E2AF">
                  <w:pPr>
                    <w:pStyle w:val="143"/>
                    <w:spacing w:before="23" w:line="215" w:lineRule="auto"/>
                    <w:ind w:left="1292"/>
                    <w:rPr>
                      <w:rFonts w:hint="default" w:ascii="Times New Roman" w:hAnsi="Times New Roman" w:cs="Times New Roman"/>
                      <w:color w:val="auto"/>
                      <w:highlight w:val="none"/>
                    </w:rPr>
                  </w:pPr>
                  <w:r>
                    <w:rPr>
                      <w:rFonts w:hint="default" w:ascii="Times New Roman" w:hAnsi="Times New Roman" w:cs="Times New Roman"/>
                      <w:color w:val="auto"/>
                      <w:spacing w:val="-8"/>
                      <w:highlight w:val="none"/>
                    </w:rPr>
                    <w:t>干粉。</w:t>
                  </w:r>
                </w:p>
              </w:tc>
            </w:tr>
          </w:tbl>
          <w:p w14:paraId="15724E2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6、产品方案</w:t>
            </w:r>
          </w:p>
          <w:p w14:paraId="7B79E4D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cs="Times New Roman"/>
                <w:color w:val="auto"/>
                <w:sz w:val="24"/>
                <w:szCs w:val="32"/>
                <w:highlight w:val="none"/>
              </w:rPr>
              <w:t>项目产品方案见表</w:t>
            </w:r>
            <w:r>
              <w:rPr>
                <w:rFonts w:hint="default" w:ascii="Times New Roman" w:hAnsi="Times New Roman" w:cs="Times New Roman"/>
                <w:color w:val="auto"/>
                <w:sz w:val="24"/>
                <w:szCs w:val="32"/>
                <w:highlight w:val="none"/>
                <w:lang w:val="en-US" w:eastAsia="zh-CN"/>
              </w:rPr>
              <w:t>2-1</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rPr>
              <w:t>。</w:t>
            </w:r>
          </w:p>
          <w:p w14:paraId="2AEF17AC">
            <w:pPr>
              <w:pStyle w:val="144"/>
              <w:keepNext w:val="0"/>
              <w:keepLines w:val="0"/>
              <w:pageBreakBefore w:val="0"/>
              <w:suppressLineNumbers w:val="0"/>
              <w:kinsoku/>
              <w:wordWrap/>
              <w:overflowPunct/>
              <w:topLinePunct w:val="0"/>
              <w:autoSpaceDE/>
              <w:autoSpaceDN/>
              <w:bidi w:val="0"/>
              <w:adjustRightInd/>
              <w:spacing w:before="0" w:beforeAutospacing="0" w:afterAutospacing="0" w:line="36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szCs w:val="22"/>
                <w:highlight w:val="none"/>
                <w:lang w:val="en-US" w:eastAsia="zh-CN"/>
              </w:rPr>
              <w:t>2-1</w:t>
            </w:r>
            <w:r>
              <w:rPr>
                <w:rFonts w:hint="eastAsia" w:eastAsia="宋体"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rPr>
              <w:t>项目产品方案一览表</w:t>
            </w:r>
          </w:p>
          <w:tbl>
            <w:tblPr>
              <w:tblStyle w:val="142"/>
              <w:tblW w:w="777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369"/>
              <w:gridCol w:w="4352"/>
              <w:gridCol w:w="1304"/>
            </w:tblGrid>
            <w:tr w14:paraId="6A39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753" w:type="dxa"/>
                  <w:noWrap w:val="0"/>
                  <w:vAlign w:val="center"/>
                </w:tcPr>
                <w:p w14:paraId="0888D3F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69" w:type="dxa"/>
                  <w:noWrap w:val="0"/>
                  <w:vAlign w:val="center"/>
                </w:tcPr>
                <w:p w14:paraId="5F17227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方案</w:t>
                  </w:r>
                </w:p>
              </w:tc>
              <w:tc>
                <w:tcPr>
                  <w:tcW w:w="4352" w:type="dxa"/>
                  <w:noWrap w:val="0"/>
                  <w:vAlign w:val="center"/>
                </w:tcPr>
                <w:p w14:paraId="3BF53EDC">
                  <w:pPr>
                    <w:pStyle w:val="143"/>
                    <w:spacing w:beforeAutospacing="0" w:line="209"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pacing w:val="-2"/>
                      <w:highlight w:val="none"/>
                      <w:lang w:val="en-US" w:eastAsia="zh-CN"/>
                    </w:rPr>
                    <w:t>参考</w:t>
                  </w:r>
                  <w:r>
                    <w:rPr>
                      <w:rFonts w:hint="default" w:ascii="Times New Roman" w:hAnsi="Times New Roman" w:cs="Times New Roman"/>
                      <w:b/>
                      <w:bCs/>
                      <w:color w:val="auto"/>
                      <w:spacing w:val="-2"/>
                      <w:highlight w:val="none"/>
                    </w:rPr>
                    <w:t>数量</w:t>
                  </w:r>
                </w:p>
              </w:tc>
              <w:tc>
                <w:tcPr>
                  <w:tcW w:w="1304" w:type="dxa"/>
                  <w:noWrap w:val="0"/>
                  <w:vAlign w:val="center"/>
                </w:tcPr>
                <w:p w14:paraId="714F0C5E">
                  <w:pPr>
                    <w:pStyle w:val="143"/>
                    <w:spacing w:before="33" w:line="209" w:lineRule="auto"/>
                    <w:ind w:left="0" w:leftChars="0" w:firstLine="0" w:firstLineChars="0"/>
                    <w:jc w:val="center"/>
                    <w:rPr>
                      <w:rFonts w:hint="default" w:ascii="Times New Roman" w:hAnsi="Times New Roman" w:eastAsia="宋体" w:cs="Times New Roman"/>
                      <w:b/>
                      <w:bCs/>
                      <w:color w:val="auto"/>
                      <w:spacing w:val="-2"/>
                      <w:highlight w:val="none"/>
                      <w:lang w:val="en-US" w:eastAsia="zh-CN"/>
                    </w:rPr>
                  </w:pPr>
                  <w:r>
                    <w:rPr>
                      <w:rFonts w:hint="default" w:ascii="Times New Roman" w:hAnsi="Times New Roman" w:cs="Times New Roman"/>
                      <w:b/>
                      <w:bCs/>
                      <w:color w:val="auto"/>
                      <w:spacing w:val="-2"/>
                      <w:highlight w:val="none"/>
                      <w:lang w:val="en-US" w:eastAsia="zh-CN"/>
                    </w:rPr>
                    <w:t>备注</w:t>
                  </w:r>
                </w:p>
              </w:tc>
            </w:tr>
            <w:tr w14:paraId="22C9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trPr>
              <w:tc>
                <w:tcPr>
                  <w:tcW w:w="753" w:type="dxa"/>
                  <w:noWrap w:val="0"/>
                  <w:vAlign w:val="center"/>
                </w:tcPr>
                <w:p w14:paraId="4E3E3F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69" w:type="dxa"/>
                  <w:noWrap w:val="0"/>
                  <w:vAlign w:val="center"/>
                </w:tcPr>
                <w:p w14:paraId="34B401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放箱</w:t>
                  </w:r>
                </w:p>
              </w:tc>
              <w:tc>
                <w:tcPr>
                  <w:tcW w:w="4352" w:type="dxa"/>
                  <w:noWrap w:val="0"/>
                  <w:vAlign w:val="center"/>
                </w:tcPr>
                <w:p w14:paraId="103038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18000个集装箱，包括约1800个40尺大箱（12m×2.4m×2.4m）折合3600个标准箱，16200个20尺小箱（6m×2.4m×2.4m）折合16200个标准箱</w:t>
                  </w:r>
                </w:p>
              </w:tc>
              <w:tc>
                <w:tcPr>
                  <w:tcW w:w="1304" w:type="dxa"/>
                  <w:noWrap w:val="0"/>
                  <w:vAlign w:val="center"/>
                </w:tcPr>
                <w:p w14:paraId="7B767B62">
                  <w:pPr>
                    <w:jc w:val="center"/>
                    <w:rPr>
                      <w:rFonts w:hint="default" w:ascii="Times New Roman" w:hAnsi="Times New Roman" w:eastAsia="宋体" w:cs="Times New Roman"/>
                      <w:color w:val="auto"/>
                      <w:sz w:val="21"/>
                      <w:szCs w:val="21"/>
                      <w:highlight w:val="none"/>
                    </w:rPr>
                  </w:pPr>
                </w:p>
              </w:tc>
            </w:tr>
            <w:tr w14:paraId="083F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753" w:type="dxa"/>
                  <w:noWrap w:val="0"/>
                  <w:vAlign w:val="center"/>
                </w:tcPr>
                <w:p w14:paraId="03E721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69" w:type="dxa"/>
                  <w:noWrap w:val="0"/>
                  <w:vAlign w:val="center"/>
                </w:tcPr>
                <w:p w14:paraId="723BEB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验箱</w:t>
                  </w:r>
                </w:p>
              </w:tc>
              <w:tc>
                <w:tcPr>
                  <w:tcW w:w="4352" w:type="dxa"/>
                  <w:noWrap w:val="0"/>
                  <w:vAlign w:val="center"/>
                </w:tcPr>
                <w:p w14:paraId="603E6A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18000个集装箱，包括约1800个40尺大箱（12m×2.4m×2.4m）折合3600个标准箱，16200个20尺小箱（6m×2.4m×2.4m）折合16200个标准箱</w:t>
                  </w:r>
                  <w:r>
                    <w:rPr>
                      <w:rFonts w:hint="default" w:ascii="Times New Roman" w:hAnsi="Times New Roman" w:eastAsia="宋体" w:cs="Times New Roman"/>
                      <w:color w:val="auto"/>
                      <w:sz w:val="21"/>
                      <w:szCs w:val="21"/>
                      <w:highlight w:val="none"/>
                    </w:rPr>
                    <w:t>，全部集装箱均需验箱</w:t>
                  </w:r>
                </w:p>
              </w:tc>
              <w:tc>
                <w:tcPr>
                  <w:tcW w:w="1304" w:type="dxa"/>
                  <w:noWrap w:val="0"/>
                  <w:vAlign w:val="center"/>
                </w:tcPr>
                <w:p w14:paraId="1F7A8763">
                  <w:pPr>
                    <w:jc w:val="center"/>
                    <w:rPr>
                      <w:rFonts w:hint="default" w:ascii="Times New Roman" w:hAnsi="Times New Roman" w:eastAsia="宋体" w:cs="Times New Roman"/>
                      <w:color w:val="auto"/>
                      <w:sz w:val="21"/>
                      <w:szCs w:val="21"/>
                      <w:highlight w:val="none"/>
                    </w:rPr>
                  </w:pPr>
                </w:p>
              </w:tc>
            </w:tr>
            <w:tr w14:paraId="0AFF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753" w:type="dxa"/>
                  <w:noWrap w:val="0"/>
                  <w:vAlign w:val="center"/>
                </w:tcPr>
                <w:p w14:paraId="0E4298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369" w:type="dxa"/>
                  <w:noWrap w:val="0"/>
                  <w:vAlign w:val="center"/>
                </w:tcPr>
                <w:p w14:paraId="0879DF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修箱</w:t>
                  </w:r>
                </w:p>
              </w:tc>
              <w:tc>
                <w:tcPr>
                  <w:tcW w:w="4352" w:type="dxa"/>
                  <w:noWrap w:val="0"/>
                  <w:vAlign w:val="center"/>
                </w:tcPr>
                <w:p w14:paraId="7DA10351">
                  <w:pPr>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1"/>
                      <w:szCs w:val="21"/>
                      <w:highlight w:val="none"/>
                      <w:u w:val="none"/>
                      <w:lang w:val="en-US" w:eastAsia="zh-CN" w:bidi="ar-SA"/>
                    </w:rPr>
                    <w:t>年修箱18000个集装箱，包括约1800个40尺大箱（12m×2.4m×2.4m）折合3600个标准箱，16200个20尺小箱（6m×2.4m×2.4m）折合16200个标准箱，40尺大箱表面积为126.72m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，20尺小箱表面积为69.12m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，年修箱330天，单个标箱补漆面积约</w:t>
                  </w:r>
                  <w:r>
                    <w:rPr>
                      <w:rFonts w:hint="default" w:ascii="Times New Roman" w:hAnsi="Times New Roman" w:cs="Times New Roman"/>
                      <w:color w:val="auto"/>
                      <w:kern w:val="2"/>
                      <w:sz w:val="21"/>
                      <w:szCs w:val="21"/>
                      <w:highlight w:val="none"/>
                      <w:u w:val="none"/>
                      <w:lang w:val="en-US" w:eastAsia="zh-CN" w:bidi="ar-SA"/>
                    </w:rPr>
                    <w:t>1.5m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，占标箱总表面积的</w:t>
                  </w:r>
                  <w:r>
                    <w:rPr>
                      <w:rFonts w:hint="default" w:ascii="Times New Roman" w:hAnsi="Times New Roman" w:cs="Times New Roman"/>
                      <w:color w:val="auto"/>
                      <w:kern w:val="2"/>
                      <w:sz w:val="21"/>
                      <w:szCs w:val="21"/>
                      <w:highlight w:val="none"/>
                      <w:u w:val="none"/>
                      <w:lang w:val="en-US" w:eastAsia="zh-CN" w:bidi="ar-SA"/>
                    </w:rPr>
                    <w:t>2.17%</w:t>
                  </w:r>
                  <w:r>
                    <w:rPr>
                      <w:rFonts w:hint="default" w:ascii="Times New Roman" w:hAnsi="Times New Roman" w:eastAsia="宋体" w:cs="Times New Roman"/>
                      <w:color w:val="auto"/>
                      <w:kern w:val="2"/>
                      <w:sz w:val="21"/>
                      <w:szCs w:val="21"/>
                      <w:highlight w:val="none"/>
                      <w:u w:val="none"/>
                      <w:lang w:val="en-US" w:eastAsia="zh-CN" w:bidi="ar-SA"/>
                    </w:rPr>
                    <w:t>（比表面积69.12m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），每天总补漆面积约</w:t>
                  </w:r>
                  <w:r>
                    <w:rPr>
                      <w:rFonts w:hint="default" w:ascii="Times New Roman" w:hAnsi="Times New Roman" w:cs="Times New Roman"/>
                      <w:color w:val="auto"/>
                      <w:kern w:val="2"/>
                      <w:sz w:val="21"/>
                      <w:szCs w:val="21"/>
                      <w:highlight w:val="none"/>
                      <w:u w:val="none"/>
                      <w:lang w:val="en-US" w:eastAsia="zh-CN" w:bidi="ar-SA"/>
                    </w:rPr>
                    <w:t>90m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，年修箱需补漆面积约</w:t>
                  </w:r>
                  <w:r>
                    <w:rPr>
                      <w:rFonts w:hint="default" w:ascii="Times New Roman" w:hAnsi="Times New Roman" w:cs="Times New Roman"/>
                      <w:color w:val="auto"/>
                      <w:kern w:val="2"/>
                      <w:sz w:val="21"/>
                      <w:szCs w:val="21"/>
                      <w:highlight w:val="none"/>
                      <w:u w:val="none"/>
                      <w:lang w:val="en-US" w:eastAsia="zh-CN" w:bidi="ar-SA"/>
                    </w:rPr>
                    <w:t>29700m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w:t>
                  </w:r>
                </w:p>
              </w:tc>
              <w:tc>
                <w:tcPr>
                  <w:tcW w:w="1304" w:type="dxa"/>
                  <w:noWrap w:val="0"/>
                  <w:vAlign w:val="center"/>
                </w:tcPr>
                <w:p w14:paraId="36EC88FD">
                  <w:pPr>
                    <w:jc w:val="center"/>
                    <w:rPr>
                      <w:rFonts w:hint="default" w:ascii="Times New Roman" w:hAnsi="Times New Roman" w:eastAsia="宋体" w:cs="Times New Roman"/>
                      <w:color w:val="auto"/>
                      <w:sz w:val="21"/>
                      <w:szCs w:val="21"/>
                      <w:highlight w:val="none"/>
                    </w:rPr>
                  </w:pPr>
                </w:p>
              </w:tc>
            </w:tr>
          </w:tbl>
          <w:p w14:paraId="339E5B1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val="en-US" w:eastAsia="zh-CN"/>
              </w:rPr>
            </w:pPr>
          </w:p>
          <w:p w14:paraId="6F0D5EBE">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劳动定员及工作制度</w:t>
            </w:r>
          </w:p>
          <w:p w14:paraId="62E014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项目年工作330天，8小时/天，一班制，本项目新增工作人员12人。</w:t>
            </w:r>
          </w:p>
          <w:p w14:paraId="24CBF9A7">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公用工程</w:t>
            </w:r>
          </w:p>
          <w:p w14:paraId="448663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（1）给水</w:t>
            </w:r>
          </w:p>
          <w:p w14:paraId="7BF7F860">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项目用水主要是职工生活用水。项目用水由</w:t>
            </w:r>
            <w:r>
              <w:rPr>
                <w:rFonts w:hint="default" w:ascii="Times New Roman" w:hAnsi="Times New Roman" w:cs="Times New Roman"/>
                <w:color w:val="auto"/>
                <w:sz w:val="24"/>
                <w:highlight w:val="none"/>
              </w:rPr>
              <w:t>市政供水管网</w:t>
            </w:r>
            <w:r>
              <w:rPr>
                <w:rFonts w:hint="default" w:ascii="Times New Roman" w:hAnsi="Times New Roman" w:cs="Times New Roman"/>
                <w:bCs/>
                <w:color w:val="auto"/>
                <w:sz w:val="24"/>
                <w:highlight w:val="none"/>
              </w:rPr>
              <w:t>提供。</w:t>
            </w:r>
          </w:p>
          <w:p w14:paraId="5266EE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（2）排水</w:t>
            </w:r>
          </w:p>
          <w:p w14:paraId="60A0DF3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项目无生产废水产生，产生的生活废水</w:t>
            </w:r>
            <w:r>
              <w:rPr>
                <w:rFonts w:hint="default" w:ascii="Times New Roman" w:hAnsi="Times New Roman" w:cs="Times New Roman"/>
                <w:color w:val="auto"/>
                <w:sz w:val="24"/>
                <w:szCs w:val="24"/>
                <w:highlight w:val="none"/>
                <w:u w:val="none" w:color="auto"/>
              </w:rPr>
              <w:t>经化粪池预处理后排入市政污水管网，最</w:t>
            </w:r>
            <w:r>
              <w:rPr>
                <w:rFonts w:hint="default" w:ascii="Times New Roman" w:hAnsi="Times New Roman" w:cs="Times New Roman"/>
                <w:color w:val="auto"/>
                <w:spacing w:val="-1"/>
                <w:sz w:val="24"/>
                <w:szCs w:val="24"/>
                <w:highlight w:val="none"/>
                <w:u w:val="none" w:color="auto"/>
              </w:rPr>
              <w:t>终</w:t>
            </w:r>
            <w:r>
              <w:rPr>
                <w:rFonts w:hint="default" w:ascii="Times New Roman" w:hAnsi="Times New Roman" w:eastAsia="宋体" w:cs="Times New Roman"/>
                <w:caps w:val="0"/>
                <w:color w:val="auto"/>
                <w:kern w:val="2"/>
                <w:sz w:val="24"/>
                <w:szCs w:val="24"/>
                <w:highlight w:val="none"/>
                <w:u w:val="none" w:color="auto"/>
                <w:lang w:val="en-US" w:eastAsia="zh-CN"/>
              </w:rPr>
              <w:t>排入大榄坪污水处理厂</w:t>
            </w:r>
            <w:r>
              <w:rPr>
                <w:rFonts w:hint="default" w:ascii="Times New Roman" w:hAnsi="Times New Roman" w:cs="Times New Roman"/>
                <w:b w:val="0"/>
                <w:bCs w:val="0"/>
                <w:color w:val="auto"/>
                <w:sz w:val="24"/>
                <w:szCs w:val="24"/>
                <w:highlight w:val="none"/>
                <w:lang w:val="en-US" w:eastAsia="zh-CN"/>
              </w:rPr>
              <w:t>。</w:t>
            </w:r>
          </w:p>
          <w:p w14:paraId="5C680A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（3）供电</w:t>
            </w:r>
          </w:p>
          <w:p w14:paraId="4F6616F2">
            <w:pPr>
              <w:pStyle w:val="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项目供电由区域供电系统供应。</w:t>
            </w:r>
          </w:p>
          <w:p w14:paraId="224B5B40">
            <w:pPr>
              <w:pStyle w:val="55"/>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项目平面布置</w:t>
            </w:r>
          </w:p>
          <w:p w14:paraId="54612BA6">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lang w:val="en-US" w:eastAsia="zh-CN"/>
              </w:rPr>
              <w:t>本项目总体分区布置，</w:t>
            </w:r>
            <w:r>
              <w:rPr>
                <w:rFonts w:hint="default" w:ascii="Times New Roman" w:hAnsi="Times New Roman" w:cs="Times New Roman"/>
                <w:color w:val="auto"/>
                <w:kern w:val="0"/>
                <w:sz w:val="24"/>
                <w:highlight w:val="none"/>
                <w:u w:val="none"/>
              </w:rPr>
              <w:t>在满足生产工艺流程的前提下，考虑运输、安全等要求，按各种设施不同功能进行分区和组合</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lang w:val="en-US" w:eastAsia="zh-CN"/>
              </w:rPr>
              <w:t>主要分为修箱区、放箱区、验箱区，项目放箱区和验箱区为露天环境，修箱区为厂房，厂房内含基本修理以及刷漆工序，以及按要求布置原料存放间和一般固废间。</w:t>
            </w:r>
            <w:r>
              <w:rPr>
                <w:rFonts w:hint="default" w:ascii="Times New Roman" w:hAnsi="Times New Roman" w:cs="Times New Roman"/>
                <w:color w:val="auto"/>
                <w:kern w:val="0"/>
                <w:sz w:val="24"/>
                <w:highlight w:val="none"/>
                <w:u w:val="none"/>
              </w:rPr>
              <w:t>项目</w:t>
            </w:r>
            <w:r>
              <w:rPr>
                <w:rFonts w:hint="default" w:ascii="Times New Roman" w:hAnsi="Times New Roman" w:cs="Times New Roman"/>
                <w:color w:val="auto"/>
                <w:kern w:val="0"/>
                <w:sz w:val="24"/>
                <w:highlight w:val="none"/>
                <w:u w:val="none"/>
                <w:lang w:val="en-US" w:eastAsia="zh-CN"/>
              </w:rPr>
              <w:t>平面布局功能明确，顺应工艺流程，布置较为合理。具体</w:t>
            </w:r>
            <w:r>
              <w:rPr>
                <w:rFonts w:hint="default" w:ascii="Times New Roman" w:hAnsi="Times New Roman" w:cs="Times New Roman"/>
                <w:color w:val="auto"/>
                <w:kern w:val="0"/>
                <w:sz w:val="24"/>
                <w:highlight w:val="none"/>
                <w:u w:val="none"/>
              </w:rPr>
              <w:t>平面布置详见附图</w:t>
            </w:r>
            <w:r>
              <w:rPr>
                <w:rFonts w:hint="default" w:ascii="Times New Roman" w:hAnsi="Times New Roman" w:cs="Times New Roman"/>
                <w:color w:val="auto"/>
                <w:kern w:val="0"/>
                <w:sz w:val="24"/>
                <w:highlight w:val="none"/>
                <w:u w:val="none"/>
                <w:lang w:val="en-US" w:eastAsia="zh-CN"/>
              </w:rPr>
              <w:t>2</w:t>
            </w:r>
            <w:r>
              <w:rPr>
                <w:rFonts w:hint="default" w:ascii="Times New Roman" w:hAnsi="Times New Roman" w:cs="Times New Roman"/>
                <w:color w:val="auto"/>
                <w:kern w:val="0"/>
                <w:sz w:val="24"/>
                <w:highlight w:val="none"/>
                <w:u w:val="none"/>
              </w:rPr>
              <w:t>。</w:t>
            </w:r>
          </w:p>
          <w:p w14:paraId="652D8633">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7A1646FB">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0E4CA728">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47B49561">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default" w:ascii="Times New Roman" w:hAnsi="Times New Roman" w:cs="Times New Roman"/>
                <w:color w:val="auto"/>
                <w:kern w:val="0"/>
                <w:sz w:val="24"/>
                <w:highlight w:val="none"/>
                <w:u w:val="none"/>
              </w:rPr>
            </w:pPr>
          </w:p>
          <w:p w14:paraId="4812E82B">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20" w:firstLineChars="200"/>
              <w:textAlignment w:val="auto"/>
              <w:rPr>
                <w:rFonts w:hint="default" w:ascii="Times New Roman" w:hAnsi="Times New Roman" w:eastAsia="宋体" w:cs="Times New Roman"/>
                <w:color w:val="auto"/>
                <w:highlight w:val="none"/>
                <w:lang w:val="en-US" w:eastAsia="zh-CN"/>
              </w:rPr>
            </w:pPr>
          </w:p>
        </w:tc>
      </w:tr>
      <w:tr w14:paraId="78171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3" w:hRule="atLeast"/>
          <w:jc w:val="center"/>
        </w:trPr>
        <w:tc>
          <w:tcPr>
            <w:tcW w:w="740" w:type="dxa"/>
            <w:noWrap w:val="0"/>
            <w:vAlign w:val="center"/>
          </w:tcPr>
          <w:p w14:paraId="769E5AC9">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320" w:type="dxa"/>
            <w:noWrap w:val="0"/>
            <w:vAlign w:val="top"/>
          </w:tcPr>
          <w:p w14:paraId="597EF5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施工期流程简述</w:t>
            </w:r>
          </w:p>
          <w:p w14:paraId="267C394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anchor distT="0" distB="0" distL="114300" distR="114300" simplePos="0" relativeHeight="251663360" behindDoc="0" locked="0" layoutInCell="1" allowOverlap="1">
                  <wp:simplePos x="0" y="0"/>
                  <wp:positionH relativeFrom="column">
                    <wp:posOffset>20320</wp:posOffset>
                  </wp:positionH>
                  <wp:positionV relativeFrom="paragraph">
                    <wp:posOffset>1240790</wp:posOffset>
                  </wp:positionV>
                  <wp:extent cx="5194300" cy="1746885"/>
                  <wp:effectExtent l="0" t="0" r="6350" b="5715"/>
                  <wp:wrapTopAndBottom/>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5"/>
                          <a:stretch>
                            <a:fillRect/>
                          </a:stretch>
                        </pic:blipFill>
                        <pic:spPr>
                          <a:xfrm>
                            <a:off x="0" y="0"/>
                            <a:ext cx="5194300" cy="1746885"/>
                          </a:xfrm>
                          <a:prstGeom prst="rect">
                            <a:avLst/>
                          </a:prstGeom>
                        </pic:spPr>
                      </pic:pic>
                    </a:graphicData>
                  </a:graphic>
                </wp:anchor>
              </w:drawing>
            </w:r>
            <w:r>
              <w:rPr>
                <w:rFonts w:hint="default" w:ascii="Times New Roman" w:hAnsi="Times New Roman"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项目为</w:t>
            </w:r>
            <w:r>
              <w:rPr>
                <w:rFonts w:hint="eastAsia" w:cs="Times New Roman"/>
                <w:color w:val="auto"/>
                <w:sz w:val="24"/>
                <w:szCs w:val="24"/>
                <w:highlight w:val="none"/>
                <w:lang w:val="en-US" w:eastAsia="zh-CN"/>
              </w:rPr>
              <w:t>改、</w:t>
            </w:r>
            <w:r>
              <w:rPr>
                <w:rFonts w:hint="default" w:ascii="Times New Roman" w:hAnsi="Times New Roman" w:cs="Times New Roman"/>
                <w:color w:val="auto"/>
                <w:sz w:val="24"/>
                <w:szCs w:val="24"/>
                <w:highlight w:val="none"/>
                <w:lang w:eastAsia="zh-CN"/>
              </w:rPr>
              <w:t>扩建</w:t>
            </w:r>
            <w:r>
              <w:rPr>
                <w:rFonts w:hint="default" w:ascii="Times New Roman" w:hAnsi="Times New Roman" w:eastAsia="宋体" w:cs="Times New Roman"/>
                <w:color w:val="auto"/>
                <w:sz w:val="24"/>
                <w:szCs w:val="24"/>
                <w:highlight w:val="none"/>
              </w:rPr>
              <w:t>项目，在</w:t>
            </w:r>
            <w:r>
              <w:rPr>
                <w:rFonts w:hint="default" w:ascii="Times New Roman" w:hAnsi="Times New Roman" w:cs="Times New Roman"/>
                <w:color w:val="auto"/>
                <w:sz w:val="24"/>
                <w:szCs w:val="24"/>
                <w:highlight w:val="none"/>
                <w:lang w:eastAsia="zh-CN"/>
              </w:rPr>
              <w:t>广西北部湾国际集装箱码头有限公司</w:t>
            </w:r>
            <w:r>
              <w:rPr>
                <w:rFonts w:hint="default" w:ascii="Times New Roman" w:hAnsi="Times New Roman" w:eastAsia="宋体" w:cs="Times New Roman"/>
                <w:color w:val="auto"/>
                <w:sz w:val="24"/>
                <w:szCs w:val="24"/>
                <w:highlight w:val="none"/>
              </w:rPr>
              <w:t>内，</w:t>
            </w:r>
            <w:r>
              <w:rPr>
                <w:rFonts w:hint="default" w:ascii="Times New Roman" w:hAnsi="Times New Roman" w:cs="Times New Roman"/>
                <w:color w:val="auto"/>
                <w:sz w:val="24"/>
                <w:szCs w:val="24"/>
                <w:highlight w:val="none"/>
                <w:lang w:eastAsia="zh-CN"/>
              </w:rPr>
              <w:t>施工期主要</w:t>
            </w:r>
            <w:r>
              <w:rPr>
                <w:rFonts w:hint="default" w:ascii="Times New Roman" w:hAnsi="Times New Roman" w:cs="Times New Roman"/>
                <w:color w:val="auto"/>
                <w:sz w:val="24"/>
                <w:szCs w:val="24"/>
                <w:highlight w:val="none"/>
                <w:u w:val="none"/>
                <w:lang w:val="en-US" w:eastAsia="zh-CN"/>
              </w:rPr>
              <w:t>在现有场地上完善厂房建设以及配套环保设施的安装</w:t>
            </w:r>
            <w:r>
              <w:rPr>
                <w:rFonts w:hint="default" w:ascii="Times New Roman" w:hAnsi="Times New Roman" w:eastAsia="宋体" w:cs="Times New Roman"/>
                <w:color w:val="auto"/>
                <w:sz w:val="24"/>
                <w:szCs w:val="24"/>
                <w:highlight w:val="none"/>
              </w:rPr>
              <w:t>。项目施工建设过程中</w:t>
            </w:r>
            <w:r>
              <w:rPr>
                <w:rFonts w:hint="default" w:ascii="Times New Roman" w:hAnsi="Times New Roman" w:cs="Times New Roman"/>
                <w:color w:val="auto"/>
                <w:sz w:val="24"/>
                <w:szCs w:val="24"/>
                <w:highlight w:val="none"/>
                <w:lang w:eastAsia="zh-CN"/>
              </w:rPr>
              <w:t>会</w:t>
            </w:r>
            <w:r>
              <w:rPr>
                <w:rFonts w:hint="default" w:ascii="Times New Roman" w:hAnsi="Times New Roman" w:eastAsia="宋体" w:cs="Times New Roman"/>
                <w:color w:val="auto"/>
                <w:sz w:val="24"/>
                <w:szCs w:val="24"/>
                <w:highlight w:val="none"/>
              </w:rPr>
              <w:t>产生的</w:t>
            </w:r>
            <w:r>
              <w:rPr>
                <w:rFonts w:hint="default" w:ascii="Times New Roman" w:hAnsi="Times New Roman" w:cs="Times New Roman"/>
                <w:color w:val="auto"/>
                <w:sz w:val="24"/>
                <w:szCs w:val="24"/>
                <w:highlight w:val="none"/>
                <w:lang w:eastAsia="zh-CN"/>
              </w:rPr>
              <w:t>少量废气</w:t>
            </w:r>
            <w:r>
              <w:rPr>
                <w:rFonts w:hint="default" w:ascii="Times New Roman" w:hAnsi="Times New Roman" w:eastAsia="宋体" w:cs="Times New Roman"/>
                <w:color w:val="auto"/>
                <w:sz w:val="24"/>
                <w:szCs w:val="24"/>
                <w:highlight w:val="none"/>
              </w:rPr>
              <w:t>、废水、噪声、</w:t>
            </w:r>
            <w:r>
              <w:rPr>
                <w:rFonts w:hint="default" w:ascii="Times New Roman" w:hAnsi="Times New Roman" w:cs="Times New Roman"/>
                <w:color w:val="auto"/>
                <w:sz w:val="24"/>
                <w:szCs w:val="24"/>
                <w:highlight w:val="none"/>
                <w:lang w:eastAsia="zh-CN"/>
              </w:rPr>
              <w:t>固体废物</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但项目施工量较少，且</w:t>
            </w:r>
            <w:r>
              <w:rPr>
                <w:rFonts w:hint="default" w:ascii="Times New Roman" w:hAnsi="Times New Roman" w:eastAsia="宋体" w:cs="Times New Roman"/>
                <w:color w:val="auto"/>
                <w:sz w:val="24"/>
                <w:szCs w:val="24"/>
                <w:highlight w:val="none"/>
              </w:rPr>
              <w:t>活动简单，随着施工期的结束，项目施工产生的影响也随之消退，</w:t>
            </w:r>
            <w:r>
              <w:rPr>
                <w:rFonts w:hint="default" w:ascii="Times New Roman" w:hAnsi="Times New Roman"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环境影响较小。</w:t>
            </w:r>
          </w:p>
          <w:p w14:paraId="1D804D2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i w:val="0"/>
                <w:iCs w:val="0"/>
                <w:color w:val="auto"/>
                <w:sz w:val="24"/>
                <w:szCs w:val="24"/>
                <w:highlight w:val="none"/>
                <w:u w:val="none"/>
                <w:lang w:val="en-US" w:eastAsia="zh-CN"/>
              </w:rPr>
            </w:pPr>
            <w:r>
              <w:rPr>
                <w:rFonts w:hint="default" w:ascii="Times New Roman" w:hAnsi="Times New Roman" w:cs="Times New Roman"/>
                <w:b/>
                <w:bCs/>
                <w:i w:val="0"/>
                <w:iCs w:val="0"/>
                <w:color w:val="auto"/>
                <w:sz w:val="24"/>
                <w:szCs w:val="24"/>
                <w:highlight w:val="none"/>
                <w:u w:val="none"/>
                <w:lang w:eastAsia="zh-CN"/>
              </w:rPr>
              <w:t>图</w:t>
            </w:r>
            <w:r>
              <w:rPr>
                <w:rFonts w:hint="default" w:ascii="Times New Roman" w:hAnsi="Times New Roman" w:cs="Times New Roman"/>
                <w:b/>
                <w:bCs/>
                <w:i w:val="0"/>
                <w:iCs w:val="0"/>
                <w:color w:val="auto"/>
                <w:sz w:val="24"/>
                <w:szCs w:val="24"/>
                <w:highlight w:val="none"/>
                <w:u w:val="none"/>
                <w:lang w:val="en-US" w:eastAsia="zh-CN"/>
              </w:rPr>
              <w:t>2-1项目施工期工艺流程及产污环节图</w:t>
            </w:r>
          </w:p>
          <w:p w14:paraId="41D316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营运期流程简述</w:t>
            </w:r>
          </w:p>
          <w:p w14:paraId="7F571791">
            <w:pPr>
              <w:keepNext w:val="0"/>
              <w:keepLines w:val="0"/>
              <w:suppressLineNumbers w:val="0"/>
              <w:tabs>
                <w:tab w:val="left" w:pos="3225"/>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生产工艺流程</w:t>
            </w:r>
          </w:p>
          <w:p w14:paraId="3FBC2654">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4"/>
                <w:sz w:val="24"/>
                <w:szCs w:val="24"/>
                <w:highlight w:val="none"/>
              </w:rPr>
              <w:t>维修过程中焊接和切割均使用焊机，对箱体破损部位或箱体配套钢板进行焊割和焊</w:t>
            </w:r>
            <w:r>
              <w:rPr>
                <w:rFonts w:hint="default" w:ascii="Times New Roman" w:hAnsi="Times New Roman" w:cs="Times New Roman"/>
                <w:color w:val="auto"/>
                <w:spacing w:val="-1"/>
                <w:sz w:val="24"/>
                <w:szCs w:val="24"/>
                <w:highlight w:val="none"/>
              </w:rPr>
              <w:t>接）、集装箱底部配套木地板断料工序及少</w:t>
            </w:r>
            <w:r>
              <w:rPr>
                <w:rFonts w:hint="default" w:ascii="Times New Roman" w:hAnsi="Times New Roman" w:cs="Times New Roman"/>
                <w:color w:val="auto"/>
                <w:spacing w:val="-2"/>
                <w:sz w:val="24"/>
                <w:szCs w:val="24"/>
                <w:highlight w:val="none"/>
              </w:rPr>
              <w:t>量补漆均在车间中进行操作。焊接烟尘</w:t>
            </w:r>
            <w:r>
              <w:rPr>
                <w:rFonts w:hint="default" w:ascii="Times New Roman" w:hAnsi="Times New Roman" w:cs="Times New Roman"/>
                <w:bCs/>
                <w:color w:val="auto"/>
                <w:sz w:val="24"/>
                <w:szCs w:val="24"/>
                <w:highlight w:val="none"/>
                <w:u w:val="none"/>
                <w:lang w:val="en-US" w:eastAsia="zh-CN"/>
              </w:rPr>
              <w:t>采用</w:t>
            </w:r>
            <w:r>
              <w:rPr>
                <w:rFonts w:hint="default" w:ascii="Times New Roman" w:hAnsi="Times New Roman" w:cs="Times New Roman"/>
                <w:bCs/>
                <w:color w:val="auto"/>
                <w:sz w:val="24"/>
                <w:szCs w:val="24"/>
                <w:highlight w:val="none"/>
                <w:u w:val="none"/>
              </w:rPr>
              <w:t>移动式焊接烟尘净化器</w:t>
            </w:r>
            <w:r>
              <w:rPr>
                <w:rFonts w:hint="default" w:ascii="Times New Roman" w:hAnsi="Times New Roman" w:cs="Times New Roman"/>
                <w:bCs/>
                <w:color w:val="auto"/>
                <w:sz w:val="24"/>
                <w:szCs w:val="24"/>
                <w:highlight w:val="none"/>
                <w:u w:val="none"/>
                <w:lang w:val="en-US" w:eastAsia="zh-CN"/>
              </w:rPr>
              <w:t>处理后在厂房内无组织</w:t>
            </w:r>
            <w:r>
              <w:rPr>
                <w:rFonts w:hint="default" w:ascii="Times New Roman" w:hAnsi="Times New Roman" w:cs="Times New Roman"/>
                <w:bCs/>
                <w:color w:val="auto"/>
                <w:sz w:val="24"/>
                <w:szCs w:val="24"/>
                <w:highlight w:val="none"/>
                <w:u w:val="none"/>
                <w:lang w:eastAsia="zh-CN"/>
              </w:rPr>
              <w:t>排放</w:t>
            </w:r>
            <w:r>
              <w:rPr>
                <w:rFonts w:hint="eastAsia" w:ascii="Times New Roman" w:hAnsi="Times New Roman" w:cs="Times New Roman"/>
                <w:bCs/>
                <w:color w:val="auto"/>
                <w:sz w:val="24"/>
                <w:szCs w:val="24"/>
                <w:highlight w:val="none"/>
                <w:u w:val="none"/>
                <w:lang w:eastAsia="zh-CN"/>
              </w:rPr>
              <w:t>；</w:t>
            </w:r>
            <w:r>
              <w:rPr>
                <w:rFonts w:hint="default" w:ascii="Times New Roman" w:hAnsi="Times New Roman" w:cs="Times New Roman"/>
                <w:color w:val="auto"/>
                <w:spacing w:val="-2"/>
                <w:sz w:val="24"/>
                <w:szCs w:val="24"/>
                <w:highlight w:val="none"/>
              </w:rPr>
              <w:t>切割</w:t>
            </w:r>
            <w:r>
              <w:rPr>
                <w:rFonts w:hint="default" w:ascii="Times New Roman" w:hAnsi="Times New Roman" w:cs="Times New Roman"/>
                <w:color w:val="auto"/>
                <w:spacing w:val="4"/>
                <w:sz w:val="24"/>
                <w:szCs w:val="24"/>
                <w:highlight w:val="none"/>
              </w:rPr>
              <w:t>烟尘、木板断料粉尘</w:t>
            </w:r>
            <w:r>
              <w:rPr>
                <w:rFonts w:hint="eastAsia" w:ascii="Times New Roman" w:hAnsi="Times New Roman" w:cs="Times New Roman"/>
                <w:strike w:val="0"/>
                <w:dstrike w:val="0"/>
                <w:color w:val="auto"/>
                <w:spacing w:val="-2"/>
                <w:sz w:val="24"/>
                <w:szCs w:val="24"/>
                <w:highlight w:val="none"/>
                <w:lang w:val="en-US" w:eastAsia="zh-CN"/>
              </w:rPr>
              <w:t>通过厂房四周设置的轴流风机无组织排放</w:t>
            </w:r>
            <w:r>
              <w:rPr>
                <w:rFonts w:hint="eastAsia"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刷漆废气经修箱车间吸风口吸至</w:t>
            </w:r>
            <w:r>
              <w:rPr>
                <w:rFonts w:hint="default" w:ascii="Times New Roman" w:hAnsi="Times New Roman"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rPr>
              <w:t>活性炭吸附装置</w:t>
            </w:r>
            <w:r>
              <w:rPr>
                <w:rFonts w:hint="default" w:ascii="Times New Roman" w:hAnsi="Times New Roman" w:cs="Times New Roman"/>
                <w:color w:val="auto"/>
                <w:spacing w:val="3"/>
                <w:sz w:val="24"/>
                <w:szCs w:val="24"/>
                <w:highlight w:val="none"/>
              </w:rPr>
              <w:t>进行处理，最</w:t>
            </w:r>
            <w:r>
              <w:rPr>
                <w:rFonts w:hint="default" w:ascii="Times New Roman" w:hAnsi="Times New Roman" w:cs="Times New Roman"/>
                <w:color w:val="auto"/>
                <w:spacing w:val="-2"/>
                <w:sz w:val="24"/>
                <w:szCs w:val="24"/>
                <w:highlight w:val="none"/>
              </w:rPr>
              <w:t>后通过一根</w:t>
            </w:r>
            <w:r>
              <w:rPr>
                <w:rFonts w:hint="default" w:ascii="Times New Roman" w:hAnsi="Times New Roman" w:eastAsia="Times New Roman" w:cs="Times New Roman"/>
                <w:color w:val="auto"/>
                <w:spacing w:val="-2"/>
                <w:sz w:val="24"/>
                <w:szCs w:val="24"/>
                <w:highlight w:val="none"/>
              </w:rPr>
              <w:t>15m</w:t>
            </w:r>
            <w:r>
              <w:rPr>
                <w:rFonts w:hint="default" w:ascii="Times New Roman" w:hAnsi="Times New Roman" w:cs="Times New Roman"/>
                <w:color w:val="auto"/>
                <w:spacing w:val="-2"/>
                <w:sz w:val="24"/>
                <w:szCs w:val="24"/>
                <w:highlight w:val="none"/>
              </w:rPr>
              <w:t>高排气筒</w:t>
            </w:r>
            <w:r>
              <w:rPr>
                <w:rFonts w:hint="eastAsia" w:ascii="Times New Roman" w:hAnsi="Times New Roman" w:eastAsia="宋体" w:cs="Times New Roman"/>
                <w:color w:val="auto"/>
                <w:spacing w:val="-2"/>
                <w:sz w:val="24"/>
                <w:szCs w:val="24"/>
                <w:highlight w:val="none"/>
                <w:lang w:val="en-US" w:eastAsia="zh-CN"/>
              </w:rPr>
              <w:t>DA001</w:t>
            </w:r>
            <w:r>
              <w:rPr>
                <w:rFonts w:hint="default" w:ascii="Times New Roman" w:hAnsi="Times New Roman" w:cs="Times New Roman"/>
                <w:color w:val="auto"/>
                <w:spacing w:val="-2"/>
                <w:sz w:val="24"/>
                <w:szCs w:val="24"/>
                <w:highlight w:val="none"/>
              </w:rPr>
              <w:t>达标排放。</w:t>
            </w:r>
          </w:p>
          <w:p w14:paraId="1A10DA75">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2"/>
                <w:sz w:val="24"/>
                <w:szCs w:val="24"/>
                <w:highlight w:val="none"/>
              </w:rPr>
            </w:pPr>
            <w:r>
              <w:rPr>
                <w:rFonts w:hint="default" w:ascii="Times New Roman" w:hAnsi="Times New Roman" w:cs="Times New Roman"/>
                <w:color w:val="auto"/>
                <w:spacing w:val="-2"/>
                <w:sz w:val="24"/>
                <w:szCs w:val="24"/>
                <w:highlight w:val="none"/>
              </w:rPr>
              <w:t>废气处理采取：二级活性炭吸附装置的工艺；集装箱维修工艺流程如下：</w:t>
            </w:r>
          </w:p>
          <w:p w14:paraId="58D92B87">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5269230" cy="3959860"/>
                  <wp:effectExtent l="0" t="0" r="7620"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5269230" cy="3959860"/>
                          </a:xfrm>
                          <a:prstGeom prst="rect">
                            <a:avLst/>
                          </a:prstGeom>
                          <a:noFill/>
                          <a:ln>
                            <a:noFill/>
                          </a:ln>
                        </pic:spPr>
                      </pic:pic>
                    </a:graphicData>
                  </a:graphic>
                </wp:inline>
              </w:drawing>
            </w:r>
          </w:p>
          <w:p w14:paraId="7AE91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157" w:afterLines="5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图</w:t>
            </w:r>
            <w:r>
              <w:rPr>
                <w:rFonts w:hint="default" w:ascii="Times New Roman" w:hAnsi="Times New Roman" w:eastAsia="宋体" w:cs="Times New Roman"/>
                <w:b/>
                <w:bCs/>
                <w:color w:val="auto"/>
                <w:sz w:val="24"/>
                <w:szCs w:val="24"/>
                <w:highlight w:val="none"/>
                <w:u w:val="none"/>
                <w:lang w:val="en-US" w:eastAsia="zh-CN"/>
              </w:rPr>
              <w:t>2-</w:t>
            </w:r>
            <w:r>
              <w:rPr>
                <w:rFonts w:hint="eastAsia" w:cs="Times New Roman"/>
                <w:b/>
                <w:bCs/>
                <w:color w:val="auto"/>
                <w:sz w:val="24"/>
                <w:szCs w:val="24"/>
                <w:highlight w:val="none"/>
                <w:u w:val="none"/>
                <w:lang w:val="en-US" w:eastAsia="zh-CN"/>
              </w:rPr>
              <w:t>2</w:t>
            </w:r>
            <w:r>
              <w:rPr>
                <w:rFonts w:hint="default" w:ascii="Times New Roman" w:hAnsi="Times New Roman" w:eastAsia="宋体" w:cs="Times New Roman"/>
                <w:b/>
                <w:bCs/>
                <w:color w:val="auto"/>
                <w:sz w:val="24"/>
                <w:szCs w:val="24"/>
                <w:highlight w:val="none"/>
                <w:u w:val="none"/>
                <w:lang w:eastAsia="zh-CN"/>
              </w:rPr>
              <w:t>项目运营期</w:t>
            </w:r>
            <w:r>
              <w:rPr>
                <w:rFonts w:hint="default" w:ascii="Times New Roman" w:hAnsi="Times New Roman" w:eastAsia="宋体" w:cs="Times New Roman"/>
                <w:b/>
                <w:bCs/>
                <w:color w:val="auto"/>
                <w:sz w:val="24"/>
                <w:szCs w:val="24"/>
                <w:highlight w:val="none"/>
                <w:u w:val="none"/>
              </w:rPr>
              <w:t>工艺流程及产污环节图</w:t>
            </w:r>
          </w:p>
          <w:p w14:paraId="2417F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工艺流程简述：</w:t>
            </w:r>
          </w:p>
          <w:p w14:paraId="6864F831">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检查：堆场集装箱首先在验箱区由人工检查集装箱破损情况，列出破损部件位置，确定修理方法。然后采用叉车将集装箱运至修箱区。</w:t>
            </w:r>
          </w:p>
          <w:p w14:paraId="4D6BB7D4">
            <w:pPr>
              <w:pStyle w:val="1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default" w:ascii="Times New Roman" w:hAnsi="Times New Roman" w:eastAsia="宋体" w:cs="Times New Roman"/>
                <w:color w:val="auto"/>
                <w:spacing w:val="4"/>
                <w:kern w:val="2"/>
                <w:sz w:val="24"/>
                <w:szCs w:val="24"/>
                <w:highlight w:val="none"/>
                <w:lang w:val="en-US" w:eastAsia="zh-CN" w:bidi="ar-SA"/>
              </w:rPr>
            </w:pPr>
            <w:r>
              <w:rPr>
                <w:rFonts w:hint="default" w:ascii="Times New Roman" w:hAnsi="Times New Roman" w:eastAsia="宋体" w:cs="Times New Roman"/>
                <w:color w:val="auto"/>
                <w:spacing w:val="4"/>
                <w:kern w:val="2"/>
                <w:sz w:val="24"/>
                <w:szCs w:val="24"/>
                <w:highlight w:val="none"/>
                <w:lang w:val="en-US" w:eastAsia="en-US" w:bidi="ar-SA"/>
              </w:rPr>
              <w:t>维修：经检查后，根据破损程度，在露天修箱区中选择合适部件进行更换（包括钣金平整、胶条、通风口、螺丝、箱号（不干胶材质）、手柄、锁等零部件更换）。将集装箱通过轨道拉入修箱车间进行进一步维修作业。主要包括对箱体破损部位依次进行切割、补焊、地板更换，修箱完成后，对箱内垃圾进行清扫，此过程产生的污染物主要包括设备运行噪声、焊接烟尘、切割烟尘、木板断料粉尘、废焊渣和刷漆（手动补漆）有机废气。</w:t>
            </w:r>
          </w:p>
          <w:p w14:paraId="62B51A86">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①部件更换：对于仅存在集装箱板凹陷的集装箱，人工用锤子进行钣金校正；经检查后如果集装箱零配件损坏或者集装箱底板破损，则更换相应的门胶条，通风器，螺丝，木地板，底横梁、手柄、开顶箱绳索等零部件；</w:t>
            </w:r>
          </w:p>
          <w:p w14:paraId="520096E4">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highlight w:val="none"/>
              </w:rPr>
            </w:pPr>
            <w:r>
              <w:rPr>
                <w:rFonts w:hint="default" w:ascii="Times New Roman" w:hAnsi="Times New Roman" w:cs="Times New Roman"/>
                <w:color w:val="auto"/>
                <w:spacing w:val="4"/>
                <w:sz w:val="24"/>
                <w:szCs w:val="24"/>
                <w:highlight w:val="none"/>
              </w:rPr>
              <w:t>②地板更换：木地板在使用过程中由于板材较大，需要用电圆锯或马刀锯进行断料，断料过程在修箱车间内进行，此过程会产生木板断料粉尘及废木屑，木板断料粉尘经车间</w:t>
            </w:r>
            <w:r>
              <w:rPr>
                <w:rFonts w:hint="eastAsia" w:ascii="Times New Roman" w:hAnsi="Times New Roman" w:cs="Times New Roman"/>
                <w:color w:val="auto"/>
                <w:spacing w:val="4"/>
                <w:sz w:val="24"/>
                <w:szCs w:val="24"/>
                <w:highlight w:val="none"/>
                <w:lang w:val="en-US" w:eastAsia="zh-CN"/>
              </w:rPr>
              <w:t>内</w:t>
            </w:r>
            <w:r>
              <w:rPr>
                <w:rFonts w:hint="default" w:ascii="Times New Roman" w:hAnsi="Times New Roman" w:cs="Times New Roman"/>
                <w:color w:val="auto"/>
                <w:sz w:val="24"/>
                <w:szCs w:val="24"/>
                <w:highlight w:val="none"/>
                <w:lang w:val="en-US" w:eastAsia="zh-CN"/>
              </w:rPr>
              <w:t>直接</w:t>
            </w:r>
            <w:r>
              <w:rPr>
                <w:rFonts w:hint="default" w:ascii="Times New Roman" w:hAnsi="Times New Roman" w:cs="Times New Roman"/>
                <w:color w:val="auto"/>
                <w:sz w:val="24"/>
                <w:szCs w:val="24"/>
                <w:highlight w:val="none"/>
              </w:rPr>
              <w:t>自然逸散无组织排放</w:t>
            </w:r>
            <w:r>
              <w:rPr>
                <w:rFonts w:hint="default" w:ascii="Times New Roman" w:hAnsi="Times New Roman" w:cs="Times New Roman"/>
                <w:color w:val="auto"/>
                <w:spacing w:val="4"/>
                <w:sz w:val="24"/>
                <w:szCs w:val="24"/>
                <w:highlight w:val="none"/>
              </w:rPr>
              <w:t>。</w:t>
            </w:r>
          </w:p>
          <w:p w14:paraId="6E73CE47">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③箱体破损部位切割补焊：</w:t>
            </w:r>
          </w:p>
          <w:p w14:paraId="6607602E">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a、切割：对于有破损的集装箱，需要先采用氧气--丙烷气割枪将破损部位进行裁切，裁切部位大小为5cm~50cm不等，同时将钢板切割成大小与破损部位匹配的尺寸。</w:t>
            </w:r>
          </w:p>
          <w:p w14:paraId="6E35C6A9">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切割过程会产生切割烟尘</w:t>
            </w:r>
            <w:r>
              <w:rPr>
                <w:rFonts w:hint="eastAsia" w:ascii="Times New Roman" w:hAnsi="Times New Roman" w:cs="Times New Roman"/>
                <w:color w:val="auto"/>
                <w:spacing w:val="4"/>
                <w:sz w:val="24"/>
                <w:szCs w:val="24"/>
                <w:highlight w:val="none"/>
                <w:lang w:val="en-US" w:eastAsia="zh-CN"/>
              </w:rPr>
              <w:t>在厂房内无组织排放</w:t>
            </w:r>
            <w:r>
              <w:rPr>
                <w:rFonts w:hint="default" w:ascii="Times New Roman" w:hAnsi="Times New Roman" w:cs="Times New Roman"/>
                <w:color w:val="auto"/>
                <w:spacing w:val="4"/>
                <w:sz w:val="24"/>
                <w:szCs w:val="24"/>
                <w:highlight w:val="none"/>
              </w:rPr>
              <w:t>。</w:t>
            </w:r>
          </w:p>
          <w:p w14:paraId="06B5F79C">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b、焊接：采用二保焊用切割好的钢板将裁切部位进行修补，二保焊以实心焊丝作为焊接辅料，以二氧化碳作为保护气进行焊接。焊接过程中产生的焊接烟尘，</w:t>
            </w:r>
            <w:r>
              <w:rPr>
                <w:rFonts w:hint="default" w:ascii="Times New Roman" w:hAnsi="Times New Roman" w:cs="Times New Roman"/>
                <w:bCs/>
                <w:color w:val="auto"/>
                <w:sz w:val="24"/>
                <w:szCs w:val="24"/>
                <w:highlight w:val="none"/>
                <w:u w:val="none"/>
                <w:lang w:val="en-US" w:eastAsia="zh-CN"/>
              </w:rPr>
              <w:t>焊接</w:t>
            </w:r>
            <w:r>
              <w:rPr>
                <w:rFonts w:hint="default" w:ascii="Times New Roman" w:hAnsi="Times New Roman" w:cs="Times New Roman"/>
                <w:color w:val="auto"/>
                <w:sz w:val="24"/>
                <w:szCs w:val="24"/>
                <w:highlight w:val="none"/>
                <w:u w:val="none"/>
                <w:lang w:val="en-US" w:eastAsia="zh-CN"/>
              </w:rPr>
              <w:t>烟尘</w:t>
            </w:r>
            <w:r>
              <w:rPr>
                <w:rFonts w:hint="default" w:ascii="Times New Roman" w:hAnsi="Times New Roman" w:cs="Times New Roman"/>
                <w:bCs/>
                <w:color w:val="auto"/>
                <w:sz w:val="24"/>
                <w:szCs w:val="24"/>
                <w:highlight w:val="none"/>
                <w:u w:val="none"/>
                <w:lang w:val="en-US" w:eastAsia="zh-CN"/>
              </w:rPr>
              <w:t>采用</w:t>
            </w:r>
            <w:r>
              <w:rPr>
                <w:rFonts w:hint="default" w:ascii="Times New Roman" w:hAnsi="Times New Roman" w:cs="Times New Roman"/>
                <w:bCs/>
                <w:color w:val="auto"/>
                <w:sz w:val="24"/>
                <w:szCs w:val="24"/>
                <w:highlight w:val="none"/>
                <w:u w:val="none"/>
              </w:rPr>
              <w:t>移动式焊接烟尘净化器</w:t>
            </w:r>
            <w:r>
              <w:rPr>
                <w:rFonts w:hint="default" w:ascii="Times New Roman" w:hAnsi="Times New Roman" w:cs="Times New Roman"/>
                <w:bCs/>
                <w:color w:val="auto"/>
                <w:sz w:val="24"/>
                <w:szCs w:val="24"/>
                <w:highlight w:val="none"/>
                <w:u w:val="none"/>
                <w:lang w:val="en-US" w:eastAsia="zh-CN"/>
              </w:rPr>
              <w:t>处理后在厂房内无组织</w:t>
            </w:r>
            <w:r>
              <w:rPr>
                <w:rFonts w:hint="default" w:ascii="Times New Roman" w:hAnsi="Times New Roman" w:cs="Times New Roman"/>
                <w:bCs/>
                <w:color w:val="auto"/>
                <w:sz w:val="24"/>
                <w:szCs w:val="24"/>
                <w:highlight w:val="none"/>
                <w:u w:val="none"/>
                <w:lang w:eastAsia="zh-CN"/>
              </w:rPr>
              <w:t>排放</w:t>
            </w:r>
            <w:r>
              <w:rPr>
                <w:rFonts w:hint="default" w:ascii="Times New Roman" w:hAnsi="Times New Roman" w:cs="Times New Roman"/>
                <w:color w:val="auto"/>
                <w:spacing w:val="4"/>
                <w:sz w:val="24"/>
                <w:szCs w:val="24"/>
                <w:highlight w:val="none"/>
              </w:rPr>
              <w:t>。</w:t>
            </w:r>
          </w:p>
          <w:p w14:paraId="31ECA5DC">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c、补漆：焊接完成后，部分进行补漆，采取人工手动刷漆的方式，进行刷漆。刷漆在车间内进行，产生的有机废气经修箱车间吸风口引入废气治理设施，经</w:t>
            </w:r>
            <w:r>
              <w:rPr>
                <w:rFonts w:hint="eastAsia" w:ascii="Times New Roman" w:hAnsi="Times New Roman" w:cs="Times New Roman"/>
                <w:color w:val="auto"/>
                <w:spacing w:val="4"/>
                <w:sz w:val="24"/>
                <w:szCs w:val="24"/>
                <w:highlight w:val="none"/>
                <w:lang w:val="en-US" w:eastAsia="zh-CN"/>
              </w:rPr>
              <w:t>二级</w:t>
            </w:r>
            <w:r>
              <w:rPr>
                <w:rFonts w:hint="default" w:ascii="Times New Roman" w:hAnsi="Times New Roman" w:cs="Times New Roman"/>
                <w:color w:val="auto"/>
                <w:spacing w:val="4"/>
                <w:sz w:val="24"/>
                <w:szCs w:val="24"/>
                <w:highlight w:val="none"/>
              </w:rPr>
              <w:t>活性炭吸附处理达标后</w:t>
            </w:r>
            <w:r>
              <w:rPr>
                <w:rFonts w:hint="default" w:ascii="Times New Roman" w:hAnsi="Times New Roman" w:eastAsia="宋体" w:cs="Times New Roman"/>
                <w:color w:val="auto"/>
                <w:sz w:val="24"/>
                <w:szCs w:val="24"/>
                <w:highlight w:val="none"/>
              </w:rPr>
              <w:t>经15m</w:t>
            </w:r>
            <w:r>
              <w:rPr>
                <w:rFonts w:hint="eastAsia" w:ascii="Times New Roman" w:hAnsi="Times New Roman" w:cs="Times New Roman"/>
                <w:color w:val="auto"/>
                <w:sz w:val="24"/>
                <w:szCs w:val="24"/>
                <w:highlight w:val="none"/>
                <w:lang w:val="en-US" w:eastAsia="zh-CN"/>
              </w:rPr>
              <w:t>高</w:t>
            </w:r>
            <w:r>
              <w:rPr>
                <w:rFonts w:hint="default" w:ascii="Times New Roman" w:hAnsi="Times New Roman" w:eastAsia="宋体" w:cs="Times New Roman"/>
                <w:color w:val="auto"/>
                <w:sz w:val="24"/>
                <w:szCs w:val="24"/>
                <w:highlight w:val="none"/>
              </w:rPr>
              <w:t>排气筒</w:t>
            </w:r>
            <w:r>
              <w:rPr>
                <w:rFonts w:hint="default" w:ascii="Times New Roman" w:hAnsi="Times New Roman" w:cs="Times New Roman"/>
                <w:color w:val="auto"/>
                <w:spacing w:val="4"/>
                <w:sz w:val="24"/>
                <w:szCs w:val="24"/>
                <w:highlight w:val="none"/>
              </w:rPr>
              <w:t>排放。</w:t>
            </w:r>
          </w:p>
          <w:p w14:paraId="0B4551CF">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d、木板断料：本项目集装箱内木质地板损坏后，需更换，木质地板更换时需进行切割，产生断料粉尘</w:t>
            </w:r>
            <w:r>
              <w:rPr>
                <w:rFonts w:hint="eastAsia" w:ascii="Times New Roman" w:hAnsi="Times New Roman" w:cs="Times New Roman"/>
                <w:color w:val="auto"/>
                <w:spacing w:val="4"/>
                <w:sz w:val="24"/>
                <w:szCs w:val="24"/>
                <w:highlight w:val="none"/>
                <w:lang w:val="en-US" w:eastAsia="zh-CN"/>
              </w:rPr>
              <w:t>在厂房内无组织排放</w:t>
            </w:r>
            <w:r>
              <w:rPr>
                <w:rFonts w:hint="default" w:ascii="Times New Roman" w:hAnsi="Times New Roman" w:cs="Times New Roman"/>
                <w:color w:val="auto"/>
                <w:spacing w:val="4"/>
                <w:sz w:val="24"/>
                <w:szCs w:val="24"/>
                <w:highlight w:val="none"/>
              </w:rPr>
              <w:t>。</w:t>
            </w:r>
          </w:p>
          <w:p w14:paraId="0FC1752F">
            <w:pPr>
              <w:pStyle w:val="143"/>
              <w:keepNext w:val="0"/>
              <w:keepLines w:val="0"/>
              <w:suppressLineNumbers w:val="0"/>
              <w:spacing w:before="31" w:beforeAutospacing="0" w:after="0" w:afterAutospacing="0" w:line="360" w:lineRule="auto"/>
              <w:ind w:left="107" w:right="97" w:firstLine="424"/>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（4）集装箱修理完成后检查集装箱是否达到修理要求，维修后的集装箱由叉车运至空箱堆场区暂存。</w:t>
            </w:r>
          </w:p>
          <w:p w14:paraId="5F6D5BFA">
            <w:pPr>
              <w:keepNext w:val="0"/>
              <w:keepLines w:val="0"/>
              <w:pageBreakBefore w:val="0"/>
              <w:widowControl w:val="0"/>
              <w:suppressLineNumbers w:val="0"/>
              <w:tabs>
                <w:tab w:val="left" w:pos="720"/>
              </w:tabs>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Cs/>
                <w:color w:val="auto"/>
                <w:sz w:val="24"/>
                <w:highlight w:val="none"/>
                <w:lang w:val="en-US" w:eastAsia="zh-CN"/>
              </w:rPr>
              <w:t>3、</w:t>
            </w:r>
            <w:r>
              <w:rPr>
                <w:rFonts w:hint="default" w:ascii="Times New Roman" w:hAnsi="Times New Roman" w:eastAsia="宋体" w:cs="Times New Roman"/>
                <w:b/>
                <w:bCs/>
                <w:caps w:val="0"/>
                <w:color w:val="auto"/>
                <w:kern w:val="28"/>
                <w:sz w:val="24"/>
                <w:highlight w:val="none"/>
                <w:lang w:eastAsia="zh-CN"/>
              </w:rPr>
              <w:t>运营期主要污染工序</w:t>
            </w:r>
            <w:r>
              <w:rPr>
                <w:rFonts w:hint="default" w:ascii="Times New Roman" w:hAnsi="Times New Roman" w:eastAsia="宋体" w:cs="Times New Roman"/>
                <w:b/>
                <w:bCs/>
                <w:color w:val="auto"/>
                <w:sz w:val="24"/>
                <w:szCs w:val="24"/>
                <w:highlight w:val="none"/>
                <w:lang w:eastAsia="zh-CN"/>
              </w:rPr>
              <w:t>产排污节点：</w:t>
            </w:r>
          </w:p>
          <w:p w14:paraId="63DC4E89">
            <w:pPr>
              <w:keepNext w:val="0"/>
              <w:keepLines w:val="0"/>
              <w:widowControl/>
              <w:suppressLineNumbers w:val="0"/>
              <w:spacing w:before="0" w:beforeAutospacing="0" w:after="0" w:afterAutospacing="0"/>
              <w:ind w:left="0" w:right="0" w:firstLine="482" w:firstLineChars="200"/>
              <w:jc w:val="center"/>
              <w:rPr>
                <w:rFonts w:hint="default" w:ascii="Times New Roman" w:hAnsi="Times New Roman" w:cs="Times New Roman"/>
                <w:b/>
                <w:bCs/>
                <w:color w:val="auto"/>
                <w:kern w:val="28"/>
                <w:sz w:val="24"/>
                <w:highlight w:val="none"/>
                <w:lang w:bidi="ar"/>
              </w:rPr>
            </w:pPr>
          </w:p>
          <w:p w14:paraId="0320E87A">
            <w:pPr>
              <w:keepNext w:val="0"/>
              <w:keepLines w:val="0"/>
              <w:widowControl/>
              <w:suppressLineNumbers w:val="0"/>
              <w:spacing w:before="0" w:beforeAutospacing="0" w:after="0" w:afterAutospacing="0"/>
              <w:ind w:left="0" w:right="0" w:firstLine="482" w:firstLineChars="200"/>
              <w:jc w:val="center"/>
              <w:rPr>
                <w:rFonts w:hint="default" w:ascii="Times New Roman" w:hAnsi="Times New Roman" w:cs="Times New Roman"/>
                <w:b/>
                <w:bCs/>
                <w:color w:val="auto"/>
                <w:kern w:val="28"/>
                <w:sz w:val="24"/>
                <w:highlight w:val="none"/>
                <w:lang w:bidi="ar"/>
              </w:rPr>
            </w:pPr>
            <w:r>
              <w:rPr>
                <w:rFonts w:hint="default" w:ascii="Times New Roman" w:hAnsi="Times New Roman" w:cs="Times New Roman"/>
                <w:b/>
                <w:bCs/>
                <w:color w:val="auto"/>
                <w:kern w:val="28"/>
                <w:sz w:val="24"/>
                <w:highlight w:val="none"/>
                <w:lang w:bidi="ar"/>
              </w:rPr>
              <w:t>表2-</w:t>
            </w:r>
            <w:r>
              <w:rPr>
                <w:rFonts w:hint="eastAsia" w:cs="Times New Roman"/>
                <w:b/>
                <w:bCs/>
                <w:color w:val="auto"/>
                <w:kern w:val="28"/>
                <w:sz w:val="24"/>
                <w:highlight w:val="none"/>
                <w:lang w:val="en-US" w:eastAsia="zh-CN" w:bidi="ar"/>
              </w:rPr>
              <w:t>14</w:t>
            </w:r>
            <w:r>
              <w:rPr>
                <w:rFonts w:hint="default" w:ascii="Times New Roman" w:hAnsi="Times New Roman" w:cs="Times New Roman"/>
                <w:b/>
                <w:bCs/>
                <w:color w:val="auto"/>
                <w:kern w:val="28"/>
                <w:sz w:val="24"/>
                <w:highlight w:val="none"/>
                <w:lang w:val="en-US" w:eastAsia="zh-CN" w:bidi="ar"/>
              </w:rPr>
              <w:t>本项目主要产污环节汇总</w:t>
            </w:r>
          </w:p>
          <w:tbl>
            <w:tblPr>
              <w:tblStyle w:val="46"/>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707"/>
              <w:gridCol w:w="1815"/>
              <w:gridCol w:w="1161"/>
              <w:gridCol w:w="2166"/>
            </w:tblGrid>
            <w:tr w14:paraId="2AB1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98" w:type="pct"/>
                  <w:noWrap w:val="0"/>
                  <w:vAlign w:val="center"/>
                </w:tcPr>
                <w:p w14:paraId="2EAE35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类别</w:t>
                  </w:r>
                </w:p>
              </w:tc>
              <w:tc>
                <w:tcPr>
                  <w:tcW w:w="1121" w:type="pct"/>
                  <w:noWrap w:val="0"/>
                  <w:vAlign w:val="center"/>
                </w:tcPr>
                <w:p w14:paraId="0C2A971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产生点</w:t>
                  </w:r>
                </w:p>
              </w:tc>
              <w:tc>
                <w:tcPr>
                  <w:tcW w:w="1192" w:type="pct"/>
                  <w:noWrap w:val="0"/>
                  <w:vAlign w:val="center"/>
                </w:tcPr>
                <w:p w14:paraId="1A643B6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污染物</w:t>
                  </w:r>
                </w:p>
              </w:tc>
              <w:tc>
                <w:tcPr>
                  <w:tcW w:w="763" w:type="pct"/>
                  <w:noWrap w:val="0"/>
                  <w:vAlign w:val="center"/>
                </w:tcPr>
                <w:p w14:paraId="5DDF68A2">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产生特征</w:t>
                  </w:r>
                </w:p>
              </w:tc>
              <w:tc>
                <w:tcPr>
                  <w:tcW w:w="1423" w:type="pct"/>
                  <w:noWrap w:val="0"/>
                  <w:vAlign w:val="center"/>
                </w:tcPr>
                <w:p w14:paraId="7B68836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采取的措施及去向</w:t>
                  </w:r>
                </w:p>
              </w:tc>
            </w:tr>
            <w:tr w14:paraId="2F0F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98" w:type="pct"/>
                  <w:vMerge w:val="restart"/>
                  <w:noWrap w:val="0"/>
                  <w:vAlign w:val="center"/>
                </w:tcPr>
                <w:p w14:paraId="2CEA82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121" w:type="pct"/>
                  <w:noWrap w:val="0"/>
                  <w:vAlign w:val="center"/>
                </w:tcPr>
                <w:p w14:paraId="61B63FB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木板切割</w:t>
                  </w:r>
                </w:p>
              </w:tc>
              <w:tc>
                <w:tcPr>
                  <w:tcW w:w="1192" w:type="pct"/>
                  <w:noWrap w:val="0"/>
                  <w:vAlign w:val="center"/>
                </w:tcPr>
                <w:p w14:paraId="6B8A3CA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粉尘</w:t>
                  </w:r>
                </w:p>
              </w:tc>
              <w:tc>
                <w:tcPr>
                  <w:tcW w:w="763" w:type="pct"/>
                  <w:noWrap w:val="0"/>
                  <w:vAlign w:val="center"/>
                </w:tcPr>
                <w:p w14:paraId="55EBC47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连续</w:t>
                  </w:r>
                </w:p>
              </w:tc>
              <w:tc>
                <w:tcPr>
                  <w:tcW w:w="1423" w:type="pct"/>
                  <w:noWrap w:val="0"/>
                  <w:vAlign w:val="center"/>
                </w:tcPr>
                <w:p w14:paraId="703BC3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车间内无组织排放</w:t>
                  </w:r>
                </w:p>
              </w:tc>
            </w:tr>
            <w:tr w14:paraId="3BCB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98" w:type="pct"/>
                  <w:vMerge w:val="continue"/>
                  <w:noWrap w:val="0"/>
                  <w:vAlign w:val="center"/>
                </w:tcPr>
                <w:p w14:paraId="771D9F8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7D88832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切割</w:t>
                  </w:r>
                </w:p>
              </w:tc>
              <w:tc>
                <w:tcPr>
                  <w:tcW w:w="1192" w:type="pct"/>
                  <w:noWrap w:val="0"/>
                  <w:vAlign w:val="center"/>
                </w:tcPr>
                <w:p w14:paraId="082715C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切割烟尘</w:t>
                  </w:r>
                </w:p>
              </w:tc>
              <w:tc>
                <w:tcPr>
                  <w:tcW w:w="763" w:type="pct"/>
                  <w:noWrap w:val="0"/>
                  <w:vAlign w:val="center"/>
                </w:tcPr>
                <w:p w14:paraId="76DEE9E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间断</w:t>
                  </w:r>
                </w:p>
              </w:tc>
              <w:tc>
                <w:tcPr>
                  <w:tcW w:w="1423" w:type="pct"/>
                  <w:noWrap w:val="0"/>
                  <w:vAlign w:val="center"/>
                </w:tcPr>
                <w:p w14:paraId="0CA52E3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车间内无组织排放</w:t>
                  </w:r>
                </w:p>
              </w:tc>
            </w:tr>
            <w:tr w14:paraId="28BC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98" w:type="pct"/>
                  <w:vMerge w:val="continue"/>
                  <w:noWrap w:val="0"/>
                  <w:vAlign w:val="center"/>
                </w:tcPr>
                <w:p w14:paraId="16BE755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0B8A01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焊接</w:t>
                  </w:r>
                </w:p>
              </w:tc>
              <w:tc>
                <w:tcPr>
                  <w:tcW w:w="1192" w:type="pct"/>
                  <w:noWrap w:val="0"/>
                  <w:vAlign w:val="center"/>
                </w:tcPr>
                <w:p w14:paraId="423745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焊接烟气</w:t>
                  </w:r>
                </w:p>
              </w:tc>
              <w:tc>
                <w:tcPr>
                  <w:tcW w:w="763" w:type="pct"/>
                  <w:noWrap w:val="0"/>
                  <w:vAlign w:val="center"/>
                </w:tcPr>
                <w:p w14:paraId="0B20782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连续</w:t>
                  </w:r>
                </w:p>
              </w:tc>
              <w:tc>
                <w:tcPr>
                  <w:tcW w:w="1423" w:type="pct"/>
                  <w:noWrap w:val="0"/>
                  <w:vAlign w:val="center"/>
                </w:tcPr>
                <w:p w14:paraId="282F2B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处理后在厂房内无组织排队</w:t>
                  </w:r>
                </w:p>
              </w:tc>
            </w:tr>
            <w:tr w14:paraId="4A82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498" w:type="pct"/>
                  <w:vMerge w:val="continue"/>
                  <w:noWrap w:val="0"/>
                  <w:vAlign w:val="center"/>
                </w:tcPr>
                <w:p w14:paraId="02F7E7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121" w:type="pct"/>
                  <w:noWrap w:val="0"/>
                  <w:vAlign w:val="center"/>
                </w:tcPr>
                <w:p w14:paraId="59E129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刷</w:t>
                  </w:r>
                  <w:r>
                    <w:rPr>
                      <w:rFonts w:hint="default" w:ascii="Times New Roman" w:hAnsi="Times New Roman" w:cs="Times New Roman"/>
                      <w:color w:val="auto"/>
                      <w:szCs w:val="21"/>
                      <w:highlight w:val="none"/>
                      <w:lang w:eastAsia="zh-CN"/>
                    </w:rPr>
                    <w:t>漆</w:t>
                  </w:r>
                </w:p>
              </w:tc>
              <w:tc>
                <w:tcPr>
                  <w:tcW w:w="1192" w:type="pct"/>
                  <w:noWrap w:val="0"/>
                  <w:vAlign w:val="center"/>
                </w:tcPr>
                <w:p w14:paraId="1DFA43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有机废气</w:t>
                  </w:r>
                </w:p>
              </w:tc>
              <w:tc>
                <w:tcPr>
                  <w:tcW w:w="763" w:type="pct"/>
                  <w:noWrap w:val="0"/>
                  <w:vAlign w:val="center"/>
                </w:tcPr>
                <w:p w14:paraId="6F3E96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连续</w:t>
                  </w:r>
                </w:p>
              </w:tc>
              <w:tc>
                <w:tcPr>
                  <w:tcW w:w="1423" w:type="pct"/>
                  <w:vMerge w:val="restart"/>
                  <w:noWrap w:val="0"/>
                  <w:vAlign w:val="center"/>
                </w:tcPr>
                <w:p w14:paraId="33CDA1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eastAsia="zh-CN"/>
                    </w:rPr>
                    <w:t>二级活性炭吸附</w:t>
                  </w:r>
                  <w:r>
                    <w:rPr>
                      <w:rFonts w:hint="default" w:ascii="Times New Roman" w:hAnsi="Times New Roman" w:cs="Times New Roman"/>
                      <w:color w:val="auto"/>
                      <w:szCs w:val="21"/>
                      <w:highlight w:val="none"/>
                      <w:lang w:val="en-US" w:eastAsia="zh-CN"/>
                    </w:rPr>
                    <w:t>处理后经过</w:t>
                  </w:r>
                  <w:r>
                    <w:rPr>
                      <w:rFonts w:hint="default" w:ascii="Times New Roman" w:hAnsi="Times New Roman" w:cs="Times New Roman"/>
                      <w:bCs/>
                      <w:color w:val="auto"/>
                      <w:szCs w:val="21"/>
                      <w:highlight w:val="none"/>
                      <w:u w:val="none"/>
                      <w:lang w:eastAsia="zh-CN"/>
                    </w:rPr>
                    <w:t>15m高DA00</w:t>
                  </w:r>
                  <w:r>
                    <w:rPr>
                      <w:rFonts w:hint="default" w:ascii="Times New Roman" w:hAnsi="Times New Roman" w:cs="Times New Roman"/>
                      <w:bCs/>
                      <w:color w:val="auto"/>
                      <w:szCs w:val="21"/>
                      <w:highlight w:val="none"/>
                      <w:u w:val="none"/>
                      <w:lang w:val="en-US" w:eastAsia="zh-CN"/>
                    </w:rPr>
                    <w:t>1</w:t>
                  </w:r>
                  <w:r>
                    <w:rPr>
                      <w:rFonts w:hint="default" w:ascii="Times New Roman" w:hAnsi="Times New Roman" w:cs="Times New Roman"/>
                      <w:bCs/>
                      <w:color w:val="auto"/>
                      <w:szCs w:val="21"/>
                      <w:highlight w:val="none"/>
                      <w:u w:val="none"/>
                      <w:lang w:eastAsia="zh-CN"/>
                    </w:rPr>
                    <w:t>排气筒</w:t>
                  </w:r>
                  <w:r>
                    <w:rPr>
                      <w:rFonts w:hint="default" w:ascii="Times New Roman" w:hAnsi="Times New Roman" w:cs="Times New Roman"/>
                      <w:color w:val="auto"/>
                      <w:szCs w:val="21"/>
                      <w:highlight w:val="none"/>
                      <w:lang w:val="en-US" w:eastAsia="zh-CN"/>
                    </w:rPr>
                    <w:t>有组织排放</w:t>
                  </w:r>
                </w:p>
              </w:tc>
            </w:tr>
            <w:tr w14:paraId="0329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98" w:type="pct"/>
                  <w:vMerge w:val="continue"/>
                  <w:noWrap w:val="0"/>
                  <w:vAlign w:val="center"/>
                </w:tcPr>
                <w:p w14:paraId="6CA7A6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121" w:type="pct"/>
                  <w:noWrap w:val="0"/>
                  <w:vAlign w:val="center"/>
                </w:tcPr>
                <w:p w14:paraId="2A29D8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晾干</w:t>
                  </w:r>
                </w:p>
              </w:tc>
              <w:tc>
                <w:tcPr>
                  <w:tcW w:w="1192" w:type="pct"/>
                  <w:noWrap w:val="0"/>
                  <w:vAlign w:val="center"/>
                </w:tcPr>
                <w:p w14:paraId="36C61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有机废气</w:t>
                  </w:r>
                </w:p>
              </w:tc>
              <w:tc>
                <w:tcPr>
                  <w:tcW w:w="763" w:type="pct"/>
                  <w:noWrap w:val="0"/>
                  <w:vAlign w:val="center"/>
                </w:tcPr>
                <w:p w14:paraId="6C875F2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连续</w:t>
                  </w:r>
                </w:p>
              </w:tc>
              <w:tc>
                <w:tcPr>
                  <w:tcW w:w="1423" w:type="pct"/>
                  <w:vMerge w:val="continue"/>
                  <w:noWrap w:val="0"/>
                  <w:vAlign w:val="center"/>
                </w:tcPr>
                <w:p w14:paraId="213A00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711F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98" w:type="pct"/>
                  <w:noWrap w:val="0"/>
                  <w:vAlign w:val="center"/>
                </w:tcPr>
                <w:p w14:paraId="4CA65A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1121" w:type="pct"/>
                  <w:shd w:val="clear" w:color="auto" w:fill="auto"/>
                  <w:noWrap w:val="0"/>
                  <w:vAlign w:val="center"/>
                </w:tcPr>
                <w:p w14:paraId="7BC4D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员工生活</w:t>
                  </w:r>
                </w:p>
              </w:tc>
              <w:tc>
                <w:tcPr>
                  <w:tcW w:w="1192" w:type="pct"/>
                  <w:shd w:val="clear" w:color="auto" w:fill="auto"/>
                  <w:noWrap w:val="0"/>
                  <w:vAlign w:val="center"/>
                </w:tcPr>
                <w:p w14:paraId="0CA213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763" w:type="pct"/>
                  <w:shd w:val="clear" w:color="auto" w:fill="auto"/>
                  <w:noWrap w:val="0"/>
                  <w:vAlign w:val="center"/>
                </w:tcPr>
                <w:p w14:paraId="60367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间断</w:t>
                  </w:r>
                </w:p>
              </w:tc>
              <w:tc>
                <w:tcPr>
                  <w:tcW w:w="1423" w:type="pct"/>
                  <w:shd w:val="clear" w:color="auto" w:fill="auto"/>
                  <w:noWrap w:val="0"/>
                  <w:vAlign w:val="center"/>
                </w:tcPr>
                <w:p w14:paraId="4754D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u w:val="none" w:color="auto"/>
                    </w:rPr>
                    <w:t>经化粪池预处理后排入市政污水管网，最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r>
            <w:tr w14:paraId="06A2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498" w:type="pct"/>
                  <w:noWrap w:val="0"/>
                  <w:vAlign w:val="center"/>
                </w:tcPr>
                <w:p w14:paraId="37DA4BA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121" w:type="pct"/>
                  <w:noWrap w:val="0"/>
                  <w:vAlign w:val="center"/>
                </w:tcPr>
                <w:p w14:paraId="14A1F3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修理设备</w:t>
                  </w:r>
                </w:p>
              </w:tc>
              <w:tc>
                <w:tcPr>
                  <w:tcW w:w="1192" w:type="pct"/>
                  <w:noWrap w:val="0"/>
                  <w:vAlign w:val="center"/>
                </w:tcPr>
                <w:p w14:paraId="4C626DF3">
                  <w:pPr>
                    <w:pStyle w:val="152"/>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8"/>
                      <w:highlight w:val="none"/>
                      <w:lang w:eastAsia="zh-CN" w:bidi="ar"/>
                    </w:rPr>
                    <w:t>设备运转噪声</w:t>
                  </w:r>
                </w:p>
              </w:tc>
              <w:tc>
                <w:tcPr>
                  <w:tcW w:w="763" w:type="pct"/>
                  <w:noWrap w:val="0"/>
                  <w:vAlign w:val="center"/>
                </w:tcPr>
                <w:p w14:paraId="2F17A11F">
                  <w:pPr>
                    <w:pStyle w:val="152"/>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0"/>
                      <w:highlight w:val="none"/>
                      <w:lang w:eastAsia="zh-CN"/>
                    </w:rPr>
                    <w:t>连续</w:t>
                  </w:r>
                </w:p>
              </w:tc>
              <w:tc>
                <w:tcPr>
                  <w:tcW w:w="1423" w:type="pct"/>
                  <w:noWrap w:val="0"/>
                  <w:vAlign w:val="center"/>
                </w:tcPr>
                <w:p w14:paraId="6932E83F">
                  <w:pPr>
                    <w:pStyle w:val="152"/>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8"/>
                      <w:highlight w:val="none"/>
                      <w:lang w:eastAsia="zh-CN" w:bidi="ar"/>
                    </w:rPr>
                    <w:t>基础减震、厂房隔音、绿化衰减等降噪措施</w:t>
                  </w:r>
                </w:p>
              </w:tc>
            </w:tr>
            <w:tr w14:paraId="51C3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restart"/>
                  <w:noWrap w:val="0"/>
                  <w:vAlign w:val="center"/>
                </w:tcPr>
                <w:p w14:paraId="10FCF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固</w:t>
                  </w:r>
                  <w:r>
                    <w:rPr>
                      <w:rFonts w:hint="default" w:ascii="Times New Roman" w:hAnsi="Times New Roman" w:cs="Times New Roman"/>
                      <w:color w:val="auto"/>
                      <w:szCs w:val="21"/>
                      <w:highlight w:val="none"/>
                      <w:lang w:val="en-US" w:eastAsia="zh-CN"/>
                    </w:rPr>
                    <w:t>体</w:t>
                  </w:r>
                  <w:r>
                    <w:rPr>
                      <w:rFonts w:hint="default" w:ascii="Times New Roman" w:hAnsi="Times New Roman" w:cs="Times New Roman"/>
                      <w:color w:val="auto"/>
                      <w:szCs w:val="21"/>
                      <w:highlight w:val="none"/>
                    </w:rPr>
                    <w:t>废</w:t>
                  </w:r>
                  <w:r>
                    <w:rPr>
                      <w:rFonts w:hint="default" w:ascii="Times New Roman" w:hAnsi="Times New Roman" w:cs="Times New Roman"/>
                      <w:color w:val="auto"/>
                      <w:szCs w:val="21"/>
                      <w:highlight w:val="none"/>
                      <w:lang w:val="en-US" w:eastAsia="zh-CN"/>
                    </w:rPr>
                    <w:t>物</w:t>
                  </w:r>
                </w:p>
              </w:tc>
              <w:tc>
                <w:tcPr>
                  <w:tcW w:w="1121" w:type="pct"/>
                  <w:noWrap w:val="0"/>
                  <w:vAlign w:val="center"/>
                </w:tcPr>
                <w:p w14:paraId="6BEC15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集装箱清扫废物</w:t>
                  </w:r>
                </w:p>
              </w:tc>
              <w:tc>
                <w:tcPr>
                  <w:tcW w:w="1192" w:type="pct"/>
                  <w:noWrap w:val="0"/>
                  <w:vAlign w:val="center"/>
                </w:tcPr>
                <w:p w14:paraId="47BCDF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木料、发泡塑料、纸屑、塑料布等</w:t>
                  </w:r>
                </w:p>
              </w:tc>
              <w:tc>
                <w:tcPr>
                  <w:tcW w:w="763" w:type="pct"/>
                  <w:noWrap w:val="0"/>
                  <w:vAlign w:val="center"/>
                </w:tcPr>
                <w:p w14:paraId="781596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5D767C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收集后，环卫处理</w:t>
                  </w:r>
                </w:p>
              </w:tc>
            </w:tr>
            <w:tr w14:paraId="7170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4B78016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63ECCE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焊接</w:t>
                  </w:r>
                </w:p>
              </w:tc>
              <w:tc>
                <w:tcPr>
                  <w:tcW w:w="1192" w:type="pct"/>
                  <w:noWrap w:val="0"/>
                  <w:vAlign w:val="center"/>
                </w:tcPr>
                <w:p w14:paraId="1582CF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焊渣</w:t>
                  </w:r>
                </w:p>
              </w:tc>
              <w:tc>
                <w:tcPr>
                  <w:tcW w:w="763" w:type="pct"/>
                  <w:noWrap w:val="0"/>
                  <w:vAlign w:val="center"/>
                </w:tcPr>
                <w:p w14:paraId="2D7739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7E1DD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经集中收集后由环卫部门处理</w:t>
                  </w:r>
                </w:p>
              </w:tc>
            </w:tr>
            <w:tr w14:paraId="3B4A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702AA69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18CDE9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木板断料</w:t>
                  </w:r>
                </w:p>
              </w:tc>
              <w:tc>
                <w:tcPr>
                  <w:tcW w:w="1192" w:type="pct"/>
                  <w:noWrap w:val="0"/>
                  <w:vAlign w:val="center"/>
                </w:tcPr>
                <w:p w14:paraId="2226AA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废木屑</w:t>
                  </w:r>
                </w:p>
              </w:tc>
              <w:tc>
                <w:tcPr>
                  <w:tcW w:w="763" w:type="pct"/>
                  <w:noWrap w:val="0"/>
                  <w:vAlign w:val="center"/>
                </w:tcPr>
                <w:p w14:paraId="56DEBA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18551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外售物资公司回收综合利用</w:t>
                  </w:r>
                </w:p>
              </w:tc>
            </w:tr>
            <w:tr w14:paraId="345F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98" w:type="pct"/>
                  <w:vMerge w:val="continue"/>
                  <w:noWrap w:val="0"/>
                  <w:vAlign w:val="center"/>
                </w:tcPr>
                <w:p w14:paraId="1BE783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0F6E90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1192" w:type="pct"/>
                  <w:noWrap w:val="0"/>
                  <w:vAlign w:val="center"/>
                </w:tcPr>
                <w:p w14:paraId="5064ED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w:t>
                  </w:r>
                </w:p>
              </w:tc>
              <w:tc>
                <w:tcPr>
                  <w:tcW w:w="763" w:type="pct"/>
                  <w:noWrap w:val="0"/>
                  <w:vAlign w:val="center"/>
                </w:tcPr>
                <w:p w14:paraId="115C8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间断</w:t>
                  </w:r>
                </w:p>
              </w:tc>
              <w:tc>
                <w:tcPr>
                  <w:tcW w:w="1423" w:type="pct"/>
                  <w:noWrap w:val="0"/>
                  <w:vAlign w:val="center"/>
                </w:tcPr>
                <w:p w14:paraId="60A88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环卫处理</w:t>
                  </w:r>
                </w:p>
              </w:tc>
            </w:tr>
            <w:tr w14:paraId="6F51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98" w:type="pct"/>
                  <w:vMerge w:val="restart"/>
                  <w:noWrap w:val="0"/>
                  <w:vAlign w:val="center"/>
                </w:tcPr>
                <w:p w14:paraId="7DE41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危险废物</w:t>
                  </w:r>
                </w:p>
              </w:tc>
              <w:tc>
                <w:tcPr>
                  <w:tcW w:w="1121" w:type="pct"/>
                  <w:noWrap w:val="0"/>
                  <w:vAlign w:val="center"/>
                </w:tcPr>
                <w:p w14:paraId="4D78A4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原料</w:t>
                  </w:r>
                </w:p>
              </w:tc>
              <w:tc>
                <w:tcPr>
                  <w:tcW w:w="1192" w:type="pct"/>
                  <w:noWrap w:val="0"/>
                  <w:vAlign w:val="center"/>
                </w:tcPr>
                <w:p w14:paraId="1D4430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pacing w:val="-1"/>
                      <w:highlight w:val="none"/>
                    </w:rPr>
                    <w:t>废油漆桶</w:t>
                  </w:r>
                </w:p>
              </w:tc>
              <w:tc>
                <w:tcPr>
                  <w:tcW w:w="763" w:type="pct"/>
                  <w:noWrap w:val="0"/>
                  <w:vAlign w:val="center"/>
                </w:tcPr>
                <w:p w14:paraId="17E9FA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restart"/>
                  <w:noWrap w:val="0"/>
                  <w:vAlign w:val="center"/>
                </w:tcPr>
                <w:p w14:paraId="07E2E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委托有资质单位处理</w:t>
                  </w:r>
                </w:p>
              </w:tc>
            </w:tr>
            <w:tr w14:paraId="584F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8" w:type="pct"/>
                  <w:vMerge w:val="continue"/>
                  <w:noWrap w:val="0"/>
                  <w:vAlign w:val="center"/>
                </w:tcPr>
                <w:p w14:paraId="33CCF3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6EA18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刷漆</w:t>
                  </w:r>
                </w:p>
              </w:tc>
              <w:tc>
                <w:tcPr>
                  <w:tcW w:w="1192" w:type="pct"/>
                  <w:noWrap w:val="0"/>
                  <w:vAlign w:val="center"/>
                </w:tcPr>
                <w:p w14:paraId="28CFF5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废手套</w:t>
                  </w:r>
                </w:p>
              </w:tc>
              <w:tc>
                <w:tcPr>
                  <w:tcW w:w="763" w:type="pct"/>
                  <w:noWrap w:val="0"/>
                  <w:vAlign w:val="center"/>
                </w:tcPr>
                <w:p w14:paraId="09CFCA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5F91F4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2"/>
                      <w:sz w:val="21"/>
                      <w:szCs w:val="21"/>
                      <w:highlight w:val="none"/>
                      <w:lang w:val="en-US" w:eastAsia="zh-CN" w:bidi="ar-SA"/>
                    </w:rPr>
                  </w:pPr>
                </w:p>
              </w:tc>
            </w:tr>
            <w:tr w14:paraId="0682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8" w:type="pct"/>
                  <w:vMerge w:val="continue"/>
                  <w:noWrap w:val="0"/>
                  <w:vAlign w:val="center"/>
                </w:tcPr>
                <w:p w14:paraId="34C79B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57BAFA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刷漆</w:t>
                  </w:r>
                </w:p>
              </w:tc>
              <w:tc>
                <w:tcPr>
                  <w:tcW w:w="1192" w:type="pct"/>
                  <w:noWrap w:val="0"/>
                  <w:vAlign w:val="center"/>
                </w:tcPr>
                <w:p w14:paraId="5FE12F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漆渣</w:t>
                  </w:r>
                  <w:r>
                    <w:rPr>
                      <w:rFonts w:hint="eastAsia"/>
                      <w:color w:val="auto"/>
                      <w:highlight w:val="none"/>
                      <w:lang w:eastAsia="zh-CN"/>
                    </w:rPr>
                    <w:t>、</w:t>
                  </w:r>
                  <w:r>
                    <w:rPr>
                      <w:rFonts w:hint="eastAsia"/>
                      <w:color w:val="auto"/>
                      <w:highlight w:val="none"/>
                      <w:lang w:val="en-US" w:eastAsia="zh-CN"/>
                    </w:rPr>
                    <w:t>废滚筒刷</w:t>
                  </w:r>
                </w:p>
              </w:tc>
              <w:tc>
                <w:tcPr>
                  <w:tcW w:w="763" w:type="pct"/>
                  <w:noWrap w:val="0"/>
                  <w:vAlign w:val="center"/>
                </w:tcPr>
                <w:p w14:paraId="6EB531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5EC0C0F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7A43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72EFE3E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41448F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废气处理</w:t>
                  </w:r>
                </w:p>
              </w:tc>
              <w:tc>
                <w:tcPr>
                  <w:tcW w:w="1192" w:type="pct"/>
                  <w:noWrap w:val="0"/>
                  <w:vAlign w:val="center"/>
                </w:tcPr>
                <w:p w14:paraId="5B3FDA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废活性炭</w:t>
                  </w:r>
                </w:p>
              </w:tc>
              <w:tc>
                <w:tcPr>
                  <w:tcW w:w="763" w:type="pct"/>
                  <w:noWrap w:val="0"/>
                  <w:vAlign w:val="center"/>
                </w:tcPr>
                <w:p w14:paraId="22D08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4FCA5A3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6E0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3BFDFA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11FBD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生产设备</w:t>
                  </w:r>
                </w:p>
              </w:tc>
              <w:tc>
                <w:tcPr>
                  <w:tcW w:w="1192" w:type="pct"/>
                  <w:noWrap w:val="0"/>
                  <w:vAlign w:val="center"/>
                </w:tcPr>
                <w:p w14:paraId="1E6020E2">
                  <w:pPr>
                    <w:keepNext w:val="0"/>
                    <w:keepLines w:val="0"/>
                    <w:suppressLineNumbers w:val="0"/>
                    <w:tabs>
                      <w:tab w:val="left" w:pos="3225"/>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废机油桶</w:t>
                  </w:r>
                </w:p>
              </w:tc>
              <w:tc>
                <w:tcPr>
                  <w:tcW w:w="763" w:type="pct"/>
                  <w:noWrap w:val="0"/>
                  <w:vAlign w:val="center"/>
                </w:tcPr>
                <w:p w14:paraId="602655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48545F6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4107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8" w:type="pct"/>
                  <w:vMerge w:val="continue"/>
                  <w:noWrap w:val="0"/>
                  <w:vAlign w:val="center"/>
                </w:tcPr>
                <w:p w14:paraId="613DB99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21" w:type="pct"/>
                  <w:noWrap w:val="0"/>
                  <w:vAlign w:val="center"/>
                </w:tcPr>
                <w:p w14:paraId="59DC78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生产设备</w:t>
                  </w:r>
                </w:p>
              </w:tc>
              <w:tc>
                <w:tcPr>
                  <w:tcW w:w="1192" w:type="pct"/>
                  <w:noWrap w:val="0"/>
                  <w:vAlign w:val="center"/>
                </w:tcPr>
                <w:p w14:paraId="32550903">
                  <w:pPr>
                    <w:keepNext w:val="0"/>
                    <w:keepLines w:val="0"/>
                    <w:suppressLineNumbers w:val="0"/>
                    <w:tabs>
                      <w:tab w:val="left" w:pos="3225"/>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含油抹布</w:t>
                  </w:r>
                </w:p>
              </w:tc>
              <w:tc>
                <w:tcPr>
                  <w:tcW w:w="763" w:type="pct"/>
                  <w:noWrap w:val="0"/>
                  <w:vAlign w:val="center"/>
                </w:tcPr>
                <w:p w14:paraId="4EF71E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间断</w:t>
                  </w:r>
                </w:p>
              </w:tc>
              <w:tc>
                <w:tcPr>
                  <w:tcW w:w="1423" w:type="pct"/>
                  <w:vMerge w:val="continue"/>
                  <w:noWrap w:val="0"/>
                  <w:vAlign w:val="center"/>
                </w:tcPr>
                <w:p w14:paraId="692AE44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bl>
          <w:p w14:paraId="15B61B7F">
            <w:pPr>
              <w:pStyle w:val="1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default" w:ascii="Times New Roman" w:hAnsi="Times New Roman" w:eastAsia="宋体" w:cs="Times New Roman"/>
                <w:bCs/>
                <w:color w:val="auto"/>
                <w:kern w:val="44"/>
                <w:sz w:val="24"/>
                <w:szCs w:val="24"/>
                <w:highlight w:val="none"/>
                <w:lang w:val="en-US" w:eastAsia="zh-CN" w:bidi="ar-SA"/>
              </w:rPr>
            </w:pPr>
          </w:p>
        </w:tc>
      </w:tr>
    </w:tbl>
    <w:p w14:paraId="740D735E">
      <w:pPr>
        <w:pStyle w:val="41"/>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142"/>
      </w:tblGrid>
      <w:tr w14:paraId="0569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9" w:hRule="atLeast"/>
        </w:trPr>
        <w:tc>
          <w:tcPr>
            <w:tcW w:w="1065" w:type="dxa"/>
            <w:vAlign w:val="center"/>
          </w:tcPr>
          <w:p w14:paraId="3AB07763">
            <w:pPr>
              <w:pStyle w:val="24"/>
              <w:keepNext w:val="0"/>
              <w:keepLines w:val="0"/>
              <w:suppressLineNumbers w:val="0"/>
              <w:spacing w:before="0" w:beforeAutospacing="0" w:after="0" w:afterAutospacing="0"/>
              <w:ind w:left="0" w:leftChars="0" w:right="0" w:firstLine="0" w:firstLineChars="0"/>
              <w:jc w:val="center"/>
              <w:rPr>
                <w:rFonts w:hint="default" w:eastAsiaTheme="minorEastAsia"/>
                <w:color w:val="auto"/>
                <w:highlight w:val="none"/>
                <w:vertAlign w:val="baseline"/>
                <w:lang w:val="en-US" w:eastAsia="zh-CN"/>
              </w:rPr>
            </w:pPr>
            <w:r>
              <w:rPr>
                <w:rFonts w:hint="default" w:ascii="Times New Roman" w:hAnsi="Times New Roman" w:eastAsia="宋体" w:cs="Times New Roman"/>
                <w:bCs/>
                <w:color w:val="auto"/>
                <w:kern w:val="2"/>
                <w:sz w:val="24"/>
                <w:szCs w:val="24"/>
                <w:highlight w:val="none"/>
              </w:rPr>
              <w:t>与项目有关的原有环境污染问题</w:t>
            </w:r>
          </w:p>
        </w:tc>
        <w:tc>
          <w:tcPr>
            <w:tcW w:w="12475" w:type="dxa"/>
          </w:tcPr>
          <w:p w14:paraId="6A4AF0FB">
            <w:pPr>
              <w:pStyle w:val="44"/>
              <w:keepNext w:val="0"/>
              <w:keepLines w:val="0"/>
              <w:pageBreakBefore w:val="0"/>
              <w:widowControl/>
              <w:numPr>
                <w:ilvl w:val="0"/>
                <w:numId w:val="4"/>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现有工程概况</w:t>
            </w:r>
          </w:p>
          <w:p w14:paraId="6D8EEFE3">
            <w:pPr>
              <w:pStyle w:val="45"/>
              <w:keepNext w:val="0"/>
              <w:keepLines w:val="0"/>
              <w:numPr>
                <w:ilvl w:val="0"/>
                <w:numId w:val="0"/>
              </w:numPr>
              <w:suppressLineNumbers w:val="0"/>
              <w:spacing w:before="0" w:beforeAutospacing="0" w:afterAutospacing="0"/>
              <w:ind w:leftChars="400" w:right="0"/>
              <w:jc w:val="center"/>
              <w:rPr>
                <w:rFonts w:hint="default"/>
                <w:b/>
                <w:bCs/>
                <w:color w:val="auto"/>
                <w:highlight w:val="none"/>
                <w:u w:val="single"/>
                <w:lang w:val="en-US" w:eastAsia="zh-CN"/>
              </w:rPr>
            </w:pPr>
            <w:r>
              <w:rPr>
                <w:rFonts w:hint="default"/>
                <w:b/>
                <w:bCs/>
                <w:color w:val="auto"/>
                <w:highlight w:val="none"/>
                <w:u w:val="single"/>
                <w:lang w:val="en-US" w:eastAsia="zh-CN"/>
              </w:rPr>
              <w:t>表 2-1</w:t>
            </w:r>
            <w:r>
              <w:rPr>
                <w:rFonts w:hint="eastAsia"/>
                <w:b/>
                <w:bCs/>
                <w:color w:val="auto"/>
                <w:highlight w:val="none"/>
                <w:u w:val="single"/>
                <w:lang w:val="en-US" w:eastAsia="zh-CN"/>
              </w:rPr>
              <w:t>5</w:t>
            </w:r>
            <w:r>
              <w:rPr>
                <w:rFonts w:hint="default"/>
                <w:b/>
                <w:bCs/>
                <w:color w:val="auto"/>
                <w:highlight w:val="none"/>
                <w:u w:val="single"/>
                <w:lang w:val="en-US" w:eastAsia="zh-CN"/>
              </w:rPr>
              <w:t xml:space="preserve">    大榄坪南作业区 1#~6#泊位建设及环保手续履行情况表</w:t>
            </w:r>
          </w:p>
          <w:tbl>
            <w:tblPr>
              <w:tblStyle w:val="142"/>
              <w:tblW w:w="1291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3"/>
              <w:gridCol w:w="858"/>
              <w:gridCol w:w="2118"/>
              <w:gridCol w:w="1489"/>
              <w:gridCol w:w="828"/>
              <w:gridCol w:w="1428"/>
              <w:gridCol w:w="828"/>
              <w:gridCol w:w="4484"/>
            </w:tblGrid>
            <w:tr w14:paraId="0FF5F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83" w:type="dxa"/>
                  <w:vMerge w:val="restart"/>
                  <w:tcBorders>
                    <w:bottom w:val="nil"/>
                  </w:tcBorders>
                  <w:vAlign w:val="center"/>
                </w:tcPr>
                <w:p w14:paraId="54121F14">
                  <w:pPr>
                    <w:spacing w:before="220" w:line="228" w:lineRule="auto"/>
                    <w:ind w:left="63"/>
                    <w:jc w:val="center"/>
                    <w:rPr>
                      <w:rFonts w:ascii="宋体" w:hAnsi="宋体" w:eastAsia="宋体" w:cs="宋体"/>
                      <w:color w:val="auto"/>
                      <w:sz w:val="20"/>
                      <w:szCs w:val="20"/>
                      <w:highlight w:val="none"/>
                      <w:u w:val="single"/>
                    </w:rPr>
                  </w:pPr>
                  <w:r>
                    <w:rPr>
                      <w:rFonts w:ascii="宋体" w:hAnsi="宋体" w:eastAsia="宋体" w:cs="宋体"/>
                      <w:b/>
                      <w:bCs/>
                      <w:color w:val="auto"/>
                      <w:spacing w:val="5"/>
                      <w:sz w:val="20"/>
                      <w:szCs w:val="20"/>
                      <w:highlight w:val="none"/>
                      <w:u w:val="single"/>
                    </w:rPr>
                    <w:t>项目阶段</w:t>
                  </w:r>
                </w:p>
              </w:tc>
              <w:tc>
                <w:tcPr>
                  <w:tcW w:w="858" w:type="dxa"/>
                  <w:vMerge w:val="restart"/>
                  <w:tcBorders>
                    <w:bottom w:val="nil"/>
                  </w:tcBorders>
                  <w:vAlign w:val="center"/>
                </w:tcPr>
                <w:p w14:paraId="694091E7">
                  <w:pPr>
                    <w:spacing w:before="220" w:line="228" w:lineRule="auto"/>
                    <w:ind w:left="43"/>
                    <w:jc w:val="center"/>
                    <w:rPr>
                      <w:rFonts w:ascii="宋体" w:hAnsi="宋体" w:eastAsia="宋体" w:cs="宋体"/>
                      <w:color w:val="auto"/>
                      <w:sz w:val="20"/>
                      <w:szCs w:val="20"/>
                      <w:highlight w:val="none"/>
                      <w:u w:val="single"/>
                    </w:rPr>
                  </w:pPr>
                  <w:r>
                    <w:rPr>
                      <w:rFonts w:ascii="宋体" w:hAnsi="宋体" w:eastAsia="宋体" w:cs="宋体"/>
                      <w:b/>
                      <w:bCs/>
                      <w:color w:val="auto"/>
                      <w:spacing w:val="6"/>
                      <w:sz w:val="20"/>
                      <w:szCs w:val="20"/>
                      <w:highlight w:val="none"/>
                      <w:u w:val="single"/>
                    </w:rPr>
                    <w:t>环保手续</w:t>
                  </w:r>
                </w:p>
              </w:tc>
              <w:tc>
                <w:tcPr>
                  <w:tcW w:w="2118" w:type="dxa"/>
                  <w:vMerge w:val="restart"/>
                  <w:tcBorders>
                    <w:bottom w:val="nil"/>
                  </w:tcBorders>
                  <w:vAlign w:val="center"/>
                </w:tcPr>
                <w:p w14:paraId="7C640291">
                  <w:pPr>
                    <w:spacing w:before="219" w:line="230" w:lineRule="auto"/>
                    <w:ind w:left="940"/>
                    <w:jc w:val="center"/>
                    <w:rPr>
                      <w:rFonts w:ascii="宋体" w:hAnsi="宋体" w:eastAsia="宋体" w:cs="宋体"/>
                      <w:color w:val="auto"/>
                      <w:sz w:val="20"/>
                      <w:szCs w:val="20"/>
                      <w:highlight w:val="none"/>
                      <w:u w:val="single"/>
                    </w:rPr>
                  </w:pPr>
                  <w:r>
                    <w:rPr>
                      <w:rFonts w:ascii="宋体" w:hAnsi="宋体" w:eastAsia="宋体" w:cs="宋体"/>
                      <w:b/>
                      <w:bCs/>
                      <w:color w:val="auto"/>
                      <w:spacing w:val="2"/>
                      <w:sz w:val="20"/>
                      <w:szCs w:val="20"/>
                      <w:highlight w:val="none"/>
                      <w:u w:val="single"/>
                    </w:rPr>
                    <w:t>名称</w:t>
                  </w:r>
                </w:p>
              </w:tc>
              <w:tc>
                <w:tcPr>
                  <w:tcW w:w="3745" w:type="dxa"/>
                  <w:gridSpan w:val="3"/>
                  <w:vAlign w:val="center"/>
                </w:tcPr>
                <w:p w14:paraId="7A3A1280">
                  <w:pPr>
                    <w:spacing w:before="54" w:line="228" w:lineRule="auto"/>
                    <w:ind w:left="1624"/>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审批情况</w:t>
                  </w:r>
                </w:p>
              </w:tc>
              <w:tc>
                <w:tcPr>
                  <w:tcW w:w="828" w:type="dxa"/>
                  <w:vMerge w:val="restart"/>
                  <w:tcBorders>
                    <w:bottom w:val="nil"/>
                  </w:tcBorders>
                  <w:vAlign w:val="center"/>
                </w:tcPr>
                <w:p w14:paraId="39174AE0">
                  <w:pPr>
                    <w:spacing w:before="219" w:line="228" w:lineRule="auto"/>
                    <w:ind w:left="34"/>
                    <w:jc w:val="center"/>
                    <w:rPr>
                      <w:rFonts w:ascii="宋体" w:hAnsi="宋体" w:eastAsia="宋体" w:cs="宋体"/>
                      <w:color w:val="auto"/>
                      <w:sz w:val="20"/>
                      <w:szCs w:val="20"/>
                      <w:highlight w:val="none"/>
                      <w:u w:val="single"/>
                    </w:rPr>
                  </w:pPr>
                  <w:r>
                    <w:rPr>
                      <w:rFonts w:ascii="宋体" w:hAnsi="宋体" w:eastAsia="宋体" w:cs="宋体"/>
                      <w:b/>
                      <w:bCs/>
                      <w:color w:val="auto"/>
                      <w:spacing w:val="5"/>
                      <w:sz w:val="20"/>
                      <w:szCs w:val="20"/>
                      <w:highlight w:val="none"/>
                      <w:u w:val="single"/>
                    </w:rPr>
                    <w:t>投产时间</w:t>
                  </w:r>
                </w:p>
              </w:tc>
              <w:tc>
                <w:tcPr>
                  <w:tcW w:w="4484" w:type="dxa"/>
                  <w:vMerge w:val="restart"/>
                  <w:tcBorders>
                    <w:bottom w:val="nil"/>
                  </w:tcBorders>
                  <w:vAlign w:val="center"/>
                </w:tcPr>
                <w:p w14:paraId="25337896">
                  <w:pPr>
                    <w:spacing w:before="219" w:line="228" w:lineRule="auto"/>
                    <w:ind w:left="1594"/>
                    <w:jc w:val="center"/>
                    <w:rPr>
                      <w:rFonts w:ascii="宋体" w:hAnsi="宋体" w:eastAsia="宋体" w:cs="宋体"/>
                      <w:color w:val="auto"/>
                      <w:sz w:val="20"/>
                      <w:szCs w:val="20"/>
                      <w:highlight w:val="none"/>
                      <w:u w:val="single"/>
                    </w:rPr>
                  </w:pPr>
                  <w:r>
                    <w:rPr>
                      <w:rFonts w:ascii="宋体" w:hAnsi="宋体" w:eastAsia="宋体" w:cs="宋体"/>
                      <w:b/>
                      <w:bCs/>
                      <w:color w:val="auto"/>
                      <w:spacing w:val="7"/>
                      <w:sz w:val="20"/>
                      <w:szCs w:val="20"/>
                      <w:highlight w:val="none"/>
                      <w:u w:val="single"/>
                    </w:rPr>
                    <w:t>主要建设规模内容</w:t>
                  </w:r>
                </w:p>
              </w:tc>
            </w:tr>
            <w:tr w14:paraId="5A5B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83" w:type="dxa"/>
                  <w:vMerge w:val="continue"/>
                  <w:tcBorders>
                    <w:top w:val="nil"/>
                  </w:tcBorders>
                  <w:vAlign w:val="center"/>
                </w:tcPr>
                <w:p w14:paraId="42E68E1C">
                  <w:pPr>
                    <w:jc w:val="center"/>
                    <w:rPr>
                      <w:rFonts w:ascii="Arial"/>
                      <w:color w:val="auto"/>
                      <w:sz w:val="21"/>
                      <w:highlight w:val="none"/>
                      <w:u w:val="single"/>
                    </w:rPr>
                  </w:pPr>
                </w:p>
              </w:tc>
              <w:tc>
                <w:tcPr>
                  <w:tcW w:w="858" w:type="dxa"/>
                  <w:vMerge w:val="continue"/>
                  <w:tcBorders>
                    <w:top w:val="nil"/>
                  </w:tcBorders>
                  <w:vAlign w:val="center"/>
                </w:tcPr>
                <w:p w14:paraId="2F5EFA69">
                  <w:pPr>
                    <w:jc w:val="center"/>
                    <w:rPr>
                      <w:rFonts w:ascii="Arial"/>
                      <w:color w:val="auto"/>
                      <w:sz w:val="21"/>
                      <w:highlight w:val="none"/>
                      <w:u w:val="single"/>
                    </w:rPr>
                  </w:pPr>
                </w:p>
              </w:tc>
              <w:tc>
                <w:tcPr>
                  <w:tcW w:w="2118" w:type="dxa"/>
                  <w:vMerge w:val="continue"/>
                  <w:tcBorders>
                    <w:top w:val="nil"/>
                  </w:tcBorders>
                  <w:vAlign w:val="center"/>
                </w:tcPr>
                <w:p w14:paraId="5DD227DC">
                  <w:pPr>
                    <w:jc w:val="center"/>
                    <w:rPr>
                      <w:rFonts w:ascii="Arial"/>
                      <w:color w:val="auto"/>
                      <w:sz w:val="21"/>
                      <w:highlight w:val="none"/>
                      <w:u w:val="single"/>
                    </w:rPr>
                  </w:pPr>
                </w:p>
              </w:tc>
              <w:tc>
                <w:tcPr>
                  <w:tcW w:w="1489" w:type="dxa"/>
                  <w:vAlign w:val="center"/>
                </w:tcPr>
                <w:p w14:paraId="38FD2222">
                  <w:pPr>
                    <w:spacing w:before="47" w:line="228" w:lineRule="auto"/>
                    <w:ind w:left="398"/>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审批部门</w:t>
                  </w:r>
                </w:p>
              </w:tc>
              <w:tc>
                <w:tcPr>
                  <w:tcW w:w="828" w:type="dxa"/>
                  <w:vAlign w:val="center"/>
                </w:tcPr>
                <w:p w14:paraId="2366D37D">
                  <w:pPr>
                    <w:spacing w:before="48" w:line="228" w:lineRule="auto"/>
                    <w:ind w:left="39"/>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审批时间</w:t>
                  </w:r>
                </w:p>
              </w:tc>
              <w:tc>
                <w:tcPr>
                  <w:tcW w:w="1428" w:type="dxa"/>
                  <w:vAlign w:val="center"/>
                </w:tcPr>
                <w:p w14:paraId="12D6DACD">
                  <w:pPr>
                    <w:spacing w:before="48" w:line="228" w:lineRule="auto"/>
                    <w:ind w:left="367"/>
                    <w:jc w:val="center"/>
                    <w:rPr>
                      <w:rFonts w:ascii="宋体" w:hAnsi="宋体" w:eastAsia="宋体" w:cs="宋体"/>
                      <w:color w:val="auto"/>
                      <w:sz w:val="20"/>
                      <w:szCs w:val="20"/>
                      <w:highlight w:val="none"/>
                      <w:u w:val="single"/>
                    </w:rPr>
                  </w:pPr>
                  <w:r>
                    <w:rPr>
                      <w:rFonts w:ascii="宋体" w:hAnsi="宋体" w:eastAsia="宋体" w:cs="宋体"/>
                      <w:b/>
                      <w:bCs/>
                      <w:color w:val="auto"/>
                      <w:spacing w:val="3"/>
                      <w:sz w:val="20"/>
                      <w:szCs w:val="20"/>
                      <w:highlight w:val="none"/>
                      <w:u w:val="single"/>
                    </w:rPr>
                    <w:t>审批文号</w:t>
                  </w:r>
                </w:p>
              </w:tc>
              <w:tc>
                <w:tcPr>
                  <w:tcW w:w="828" w:type="dxa"/>
                  <w:vMerge w:val="continue"/>
                  <w:tcBorders>
                    <w:top w:val="nil"/>
                  </w:tcBorders>
                  <w:vAlign w:val="center"/>
                </w:tcPr>
                <w:p w14:paraId="0CAA28A0">
                  <w:pPr>
                    <w:jc w:val="center"/>
                    <w:rPr>
                      <w:rFonts w:ascii="Arial"/>
                      <w:color w:val="auto"/>
                      <w:sz w:val="21"/>
                      <w:highlight w:val="none"/>
                      <w:u w:val="single"/>
                    </w:rPr>
                  </w:pPr>
                </w:p>
              </w:tc>
              <w:tc>
                <w:tcPr>
                  <w:tcW w:w="4484" w:type="dxa"/>
                  <w:vMerge w:val="continue"/>
                  <w:tcBorders>
                    <w:top w:val="nil"/>
                  </w:tcBorders>
                  <w:vAlign w:val="center"/>
                </w:tcPr>
                <w:p w14:paraId="72636DD9">
                  <w:pPr>
                    <w:jc w:val="center"/>
                    <w:rPr>
                      <w:rFonts w:ascii="Arial"/>
                      <w:color w:val="auto"/>
                      <w:sz w:val="21"/>
                      <w:highlight w:val="none"/>
                      <w:u w:val="single"/>
                    </w:rPr>
                  </w:pPr>
                </w:p>
              </w:tc>
            </w:tr>
            <w:tr w14:paraId="7AAD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83" w:type="dxa"/>
                  <w:vMerge w:val="restart"/>
                  <w:tcBorders>
                    <w:bottom w:val="nil"/>
                  </w:tcBorders>
                  <w:vAlign w:val="center"/>
                </w:tcPr>
                <w:p w14:paraId="06DFB37D">
                  <w:pPr>
                    <w:spacing w:before="65" w:line="239" w:lineRule="auto"/>
                    <w:ind w:left="132" w:leftChars="0" w:right="57" w:hanging="68" w:firstLineChars="0"/>
                    <w:jc w:val="center"/>
                    <w:rPr>
                      <w:rFonts w:ascii="宋体" w:hAnsi="宋体" w:eastAsia="宋体" w:cs="宋体"/>
                      <w:color w:val="auto"/>
                      <w:sz w:val="20"/>
                      <w:szCs w:val="20"/>
                      <w:highlight w:val="none"/>
                      <w:u w:val="single"/>
                    </w:rPr>
                  </w:pPr>
                  <w:r>
                    <w:rPr>
                      <w:rFonts w:ascii="宋体" w:hAnsi="宋体" w:eastAsia="宋体" w:cs="宋体"/>
                      <w:color w:val="auto"/>
                      <w:spacing w:val="6"/>
                      <w:sz w:val="20"/>
                      <w:szCs w:val="20"/>
                      <w:highlight w:val="none"/>
                      <w:u w:val="single"/>
                    </w:rPr>
                    <w:t>危废暂存</w:t>
                  </w:r>
                  <w:r>
                    <w:rPr>
                      <w:rFonts w:ascii="宋体" w:hAnsi="宋体" w:eastAsia="宋体" w:cs="宋体"/>
                      <w:color w:val="auto"/>
                      <w:sz w:val="20"/>
                      <w:szCs w:val="20"/>
                      <w:highlight w:val="none"/>
                      <w:u w:val="single"/>
                    </w:rPr>
                    <w:t>库</w:t>
                  </w:r>
                </w:p>
              </w:tc>
              <w:tc>
                <w:tcPr>
                  <w:tcW w:w="858" w:type="dxa"/>
                  <w:vAlign w:val="center"/>
                </w:tcPr>
                <w:p w14:paraId="519D90B5">
                  <w:pPr>
                    <w:spacing w:before="305" w:line="228" w:lineRule="auto"/>
                    <w:ind w:left="255"/>
                    <w:jc w:val="center"/>
                    <w:rPr>
                      <w:rFonts w:ascii="宋体" w:hAnsi="宋体" w:eastAsia="宋体" w:cs="宋体"/>
                      <w:color w:val="auto"/>
                      <w:sz w:val="20"/>
                      <w:szCs w:val="20"/>
                      <w:highlight w:val="none"/>
                      <w:u w:val="single"/>
                    </w:rPr>
                  </w:pPr>
                  <w:r>
                    <w:rPr>
                      <w:rFonts w:ascii="宋体" w:hAnsi="宋体" w:eastAsia="宋体" w:cs="宋体"/>
                      <w:color w:val="auto"/>
                      <w:spacing w:val="4"/>
                      <w:sz w:val="20"/>
                      <w:szCs w:val="20"/>
                      <w:highlight w:val="none"/>
                      <w:u w:val="single"/>
                    </w:rPr>
                    <w:t>环评</w:t>
                  </w:r>
                </w:p>
              </w:tc>
              <w:tc>
                <w:tcPr>
                  <w:tcW w:w="2118" w:type="dxa"/>
                  <w:vAlign w:val="center"/>
                </w:tcPr>
                <w:p w14:paraId="77E5E7B9">
                  <w:pPr>
                    <w:spacing w:before="34" w:line="239" w:lineRule="auto"/>
                    <w:ind w:left="87" w:right="73" w:firstLine="16"/>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6"/>
                      <w:sz w:val="20"/>
                      <w:szCs w:val="20"/>
                      <w:highlight w:val="none"/>
                      <w:u w:val="single"/>
                    </w:rPr>
                    <w:t>区</w:t>
                  </w:r>
                  <w:r>
                    <w:rPr>
                      <w:rFonts w:ascii="Times New Roman" w:hAnsi="Times New Roman" w:eastAsia="Times New Roman" w:cs="Times New Roman"/>
                      <w:color w:val="auto"/>
                      <w:spacing w:val="6"/>
                      <w:sz w:val="20"/>
                      <w:szCs w:val="20"/>
                      <w:highlight w:val="none"/>
                      <w:u w:val="single"/>
                    </w:rPr>
                    <w:t>2#</w:t>
                  </w:r>
                  <w:r>
                    <w:rPr>
                      <w:rFonts w:ascii="宋体" w:hAnsi="宋体" w:eastAsia="宋体" w:cs="宋体"/>
                      <w:color w:val="auto"/>
                      <w:spacing w:val="6"/>
                      <w:sz w:val="20"/>
                      <w:szCs w:val="20"/>
                      <w:highlight w:val="none"/>
                      <w:u w:val="single"/>
                    </w:rPr>
                    <w:t>泊位危废库项目环境影响报告表》</w:t>
                  </w:r>
                </w:p>
              </w:tc>
              <w:tc>
                <w:tcPr>
                  <w:tcW w:w="1489" w:type="dxa"/>
                  <w:vAlign w:val="center"/>
                </w:tcPr>
                <w:p w14:paraId="7D9CBEEB">
                  <w:pPr>
                    <w:spacing w:beforeAutospacing="0"/>
                    <w:ind w:left="0" w:leftChars="0" w:right="72" w:firstLine="73" w:firstLineChars="0"/>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钦州市生态环境</w:t>
                  </w:r>
                  <w:r>
                    <w:rPr>
                      <w:rFonts w:ascii="宋体" w:hAnsi="宋体" w:eastAsia="宋体" w:cs="宋体"/>
                      <w:color w:val="auto"/>
                      <w:sz w:val="20"/>
                      <w:szCs w:val="20"/>
                      <w:highlight w:val="none"/>
                      <w:u w:val="single"/>
                    </w:rPr>
                    <w:t>局</w:t>
                  </w:r>
                </w:p>
              </w:tc>
              <w:tc>
                <w:tcPr>
                  <w:tcW w:w="828" w:type="dxa"/>
                  <w:vAlign w:val="center"/>
                </w:tcPr>
                <w:p w14:paraId="01583CC9">
                  <w:pPr>
                    <w:spacing w:before="58" w:line="195" w:lineRule="auto"/>
                    <w:ind w:left="159"/>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2022.1</w:t>
                  </w:r>
                </w:p>
              </w:tc>
              <w:tc>
                <w:tcPr>
                  <w:tcW w:w="1428" w:type="dxa"/>
                  <w:vAlign w:val="center"/>
                </w:tcPr>
                <w:p w14:paraId="3D83E2B4">
                  <w:pPr>
                    <w:spacing w:before="170"/>
                    <w:ind w:left="76" w:leftChars="36" w:right="36" w:firstLine="0" w:firstLineChars="0"/>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自贸钦港审批环</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2022</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3</w:t>
                  </w:r>
                  <w:r>
                    <w:rPr>
                      <w:rFonts w:ascii="宋体" w:hAnsi="宋体" w:eastAsia="宋体" w:cs="宋体"/>
                      <w:color w:val="auto"/>
                      <w:spacing w:val="1"/>
                      <w:sz w:val="20"/>
                      <w:szCs w:val="20"/>
                      <w:highlight w:val="none"/>
                      <w:u w:val="single"/>
                    </w:rPr>
                    <w:t>号</w:t>
                  </w:r>
                </w:p>
              </w:tc>
              <w:tc>
                <w:tcPr>
                  <w:tcW w:w="828" w:type="dxa"/>
                  <w:vMerge w:val="restart"/>
                  <w:tcBorders>
                    <w:bottom w:val="nil"/>
                  </w:tcBorders>
                  <w:vAlign w:val="center"/>
                </w:tcPr>
                <w:p w14:paraId="33525AF6">
                  <w:pPr>
                    <w:spacing w:before="58" w:line="195" w:lineRule="auto"/>
                    <w:ind w:left="162"/>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3"/>
                      <w:sz w:val="20"/>
                      <w:szCs w:val="20"/>
                      <w:highlight w:val="none"/>
                      <w:u w:val="single"/>
                    </w:rPr>
                    <w:t>2022.2</w:t>
                  </w:r>
                </w:p>
              </w:tc>
              <w:tc>
                <w:tcPr>
                  <w:tcW w:w="4484" w:type="dxa"/>
                  <w:vMerge w:val="restart"/>
                  <w:tcBorders>
                    <w:bottom w:val="nil"/>
                  </w:tcBorders>
                  <w:vAlign w:val="center"/>
                </w:tcPr>
                <w:p w14:paraId="5BF97C23">
                  <w:pPr>
                    <w:spacing w:before="65" w:line="243" w:lineRule="auto"/>
                    <w:ind w:left="32" w:right="26" w:firstLine="1"/>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主要建设</w:t>
                  </w:r>
                  <w:r>
                    <w:rPr>
                      <w:rFonts w:ascii="Times New Roman" w:hAnsi="Times New Roman" w:eastAsia="Times New Roman" w:cs="Times New Roman"/>
                      <w:color w:val="auto"/>
                      <w:spacing w:val="3"/>
                      <w:sz w:val="20"/>
                      <w:szCs w:val="20"/>
                      <w:highlight w:val="none"/>
                      <w:u w:val="single"/>
                    </w:rPr>
                    <w:t>1</w:t>
                  </w:r>
                  <w:r>
                    <w:rPr>
                      <w:rFonts w:ascii="宋体" w:hAnsi="宋体" w:eastAsia="宋体" w:cs="宋体"/>
                      <w:color w:val="auto"/>
                      <w:spacing w:val="3"/>
                      <w:sz w:val="20"/>
                      <w:szCs w:val="20"/>
                      <w:highlight w:val="none"/>
                      <w:u w:val="single"/>
                    </w:rPr>
                    <w:t>座</w:t>
                  </w:r>
                  <w:r>
                    <w:rPr>
                      <w:rFonts w:ascii="Times New Roman" w:hAnsi="Times New Roman" w:eastAsia="Times New Roman" w:cs="Times New Roman"/>
                      <w:color w:val="auto"/>
                      <w:spacing w:val="3"/>
                      <w:sz w:val="20"/>
                      <w:szCs w:val="20"/>
                      <w:highlight w:val="none"/>
                      <w:u w:val="single"/>
                    </w:rPr>
                    <w:t>154m</w:t>
                  </w:r>
                  <w:r>
                    <w:rPr>
                      <w:rFonts w:ascii="Times New Roman" w:hAnsi="Times New Roman" w:eastAsia="Times New Roman" w:cs="Times New Roman"/>
                      <w:color w:val="auto"/>
                      <w:spacing w:val="3"/>
                      <w:position w:val="6"/>
                      <w:sz w:val="13"/>
                      <w:szCs w:val="13"/>
                      <w:highlight w:val="none"/>
                      <w:u w:val="single"/>
                    </w:rPr>
                    <w:t>2</w:t>
                  </w:r>
                  <w:r>
                    <w:rPr>
                      <w:rFonts w:ascii="宋体" w:hAnsi="宋体" w:eastAsia="宋体" w:cs="宋体"/>
                      <w:color w:val="auto"/>
                      <w:spacing w:val="3"/>
                      <w:sz w:val="20"/>
                      <w:szCs w:val="20"/>
                      <w:highlight w:val="none"/>
                      <w:u w:val="single"/>
                    </w:rPr>
                    <w:t>的危废物暂存库（包括危废暂存</w:t>
                  </w:r>
                  <w:r>
                    <w:rPr>
                      <w:rFonts w:ascii="宋体" w:hAnsi="宋体" w:eastAsia="宋体" w:cs="宋体"/>
                      <w:color w:val="auto"/>
                      <w:spacing w:val="8"/>
                      <w:sz w:val="20"/>
                      <w:szCs w:val="20"/>
                      <w:highlight w:val="none"/>
                      <w:u w:val="single"/>
                    </w:rPr>
                    <w:t>区、值班室、应急物资仓库、沙池导流沟、应急收集池等）。项目主要为收集、贮存钦州港大榄南作业区</w:t>
                  </w:r>
                  <w:r>
                    <w:rPr>
                      <w:rFonts w:ascii="Times New Roman" w:hAnsi="Times New Roman" w:eastAsia="Times New Roman" w:cs="Times New Roman"/>
                      <w:color w:val="auto"/>
                      <w:spacing w:val="5"/>
                      <w:sz w:val="20"/>
                      <w:szCs w:val="20"/>
                      <w:highlight w:val="none"/>
                      <w:u w:val="single"/>
                    </w:rPr>
                    <w:t>1#-6#</w:t>
                  </w:r>
                  <w:r>
                    <w:rPr>
                      <w:rFonts w:ascii="宋体" w:hAnsi="宋体" w:eastAsia="宋体" w:cs="宋体"/>
                      <w:color w:val="auto"/>
                      <w:spacing w:val="5"/>
                      <w:sz w:val="20"/>
                      <w:szCs w:val="20"/>
                      <w:highlight w:val="none"/>
                      <w:u w:val="single"/>
                    </w:rPr>
                    <w:t>泊位产生的危险废物。</w:t>
                  </w:r>
                </w:p>
              </w:tc>
            </w:tr>
            <w:tr w14:paraId="098B8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883" w:type="dxa"/>
                  <w:vMerge w:val="continue"/>
                  <w:tcBorders>
                    <w:top w:val="nil"/>
                  </w:tcBorders>
                  <w:vAlign w:val="center"/>
                </w:tcPr>
                <w:p w14:paraId="1551B2EA">
                  <w:pPr>
                    <w:jc w:val="center"/>
                    <w:rPr>
                      <w:rFonts w:ascii="Arial"/>
                      <w:color w:val="auto"/>
                      <w:sz w:val="21"/>
                      <w:highlight w:val="none"/>
                      <w:u w:val="single"/>
                    </w:rPr>
                  </w:pPr>
                </w:p>
              </w:tc>
              <w:tc>
                <w:tcPr>
                  <w:tcW w:w="858" w:type="dxa"/>
                  <w:vAlign w:val="center"/>
                </w:tcPr>
                <w:p w14:paraId="398BCD87">
                  <w:pPr>
                    <w:spacing w:before="65" w:line="228" w:lineRule="auto"/>
                    <w:ind w:left="43"/>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环保验收</w:t>
                  </w:r>
                </w:p>
              </w:tc>
              <w:tc>
                <w:tcPr>
                  <w:tcW w:w="2118" w:type="dxa"/>
                  <w:vAlign w:val="center"/>
                </w:tcPr>
                <w:p w14:paraId="6A0B4CE8">
                  <w:pPr>
                    <w:spacing w:before="35" w:line="243" w:lineRule="auto"/>
                    <w:ind w:left="87" w:right="73" w:firstLine="16"/>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6"/>
                      <w:sz w:val="20"/>
                      <w:szCs w:val="20"/>
                      <w:highlight w:val="none"/>
                      <w:u w:val="single"/>
                    </w:rPr>
                    <w:t>区</w:t>
                  </w:r>
                  <w:r>
                    <w:rPr>
                      <w:rFonts w:ascii="Times New Roman" w:hAnsi="Times New Roman" w:eastAsia="Times New Roman" w:cs="Times New Roman"/>
                      <w:color w:val="auto"/>
                      <w:spacing w:val="6"/>
                      <w:sz w:val="20"/>
                      <w:szCs w:val="20"/>
                      <w:highlight w:val="none"/>
                      <w:u w:val="single"/>
                    </w:rPr>
                    <w:t>2#</w:t>
                  </w:r>
                  <w:r>
                    <w:rPr>
                      <w:rFonts w:ascii="宋体" w:hAnsi="宋体" w:eastAsia="宋体" w:cs="宋体"/>
                      <w:color w:val="auto"/>
                      <w:spacing w:val="6"/>
                      <w:sz w:val="20"/>
                      <w:szCs w:val="20"/>
                      <w:highlight w:val="none"/>
                      <w:u w:val="single"/>
                    </w:rPr>
                    <w:t>泊位危废库项目竣</w:t>
                  </w:r>
                  <w:r>
                    <w:rPr>
                      <w:rFonts w:ascii="宋体" w:hAnsi="宋体" w:eastAsia="宋体" w:cs="宋体"/>
                      <w:color w:val="auto"/>
                      <w:spacing w:val="10"/>
                      <w:sz w:val="20"/>
                      <w:szCs w:val="20"/>
                      <w:highlight w:val="none"/>
                      <w:u w:val="single"/>
                    </w:rPr>
                    <w:t>工环境保护验收调查报</w:t>
                  </w:r>
                  <w:r>
                    <w:rPr>
                      <w:rFonts w:ascii="宋体" w:hAnsi="宋体" w:eastAsia="宋体" w:cs="宋体"/>
                      <w:color w:val="auto"/>
                      <w:spacing w:val="-3"/>
                      <w:sz w:val="20"/>
                      <w:szCs w:val="20"/>
                      <w:highlight w:val="none"/>
                      <w:u w:val="single"/>
                    </w:rPr>
                    <w:t>告》</w:t>
                  </w:r>
                </w:p>
              </w:tc>
              <w:tc>
                <w:tcPr>
                  <w:tcW w:w="1489" w:type="dxa"/>
                  <w:vAlign w:val="center"/>
                </w:tcPr>
                <w:p w14:paraId="6BADDCF4">
                  <w:pPr>
                    <w:spacing w:before="65" w:line="228" w:lineRule="auto"/>
                    <w:ind w:left="0" w:leftChars="0" w:firstLine="0" w:firstLineChars="0"/>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自主验收</w:t>
                  </w:r>
                </w:p>
              </w:tc>
              <w:tc>
                <w:tcPr>
                  <w:tcW w:w="828" w:type="dxa"/>
                  <w:vAlign w:val="center"/>
                </w:tcPr>
                <w:p w14:paraId="5D5EF515">
                  <w:pPr>
                    <w:spacing w:before="58" w:line="195" w:lineRule="auto"/>
                    <w:ind w:left="159"/>
                    <w:jc w:val="center"/>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3"/>
                      <w:sz w:val="20"/>
                      <w:szCs w:val="20"/>
                      <w:highlight w:val="none"/>
                      <w:u w:val="single"/>
                    </w:rPr>
                    <w:t>2022.2</w:t>
                  </w:r>
                </w:p>
              </w:tc>
              <w:tc>
                <w:tcPr>
                  <w:tcW w:w="1428" w:type="dxa"/>
                  <w:vAlign w:val="center"/>
                </w:tcPr>
                <w:p w14:paraId="11259BD0">
                  <w:pPr>
                    <w:spacing w:before="58" w:line="199" w:lineRule="auto"/>
                    <w:ind w:left="742"/>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Merge w:val="continue"/>
                  <w:tcBorders>
                    <w:top w:val="nil"/>
                  </w:tcBorders>
                  <w:vAlign w:val="center"/>
                </w:tcPr>
                <w:p w14:paraId="050FF7A6">
                  <w:pPr>
                    <w:jc w:val="center"/>
                    <w:rPr>
                      <w:rFonts w:ascii="Arial"/>
                      <w:color w:val="auto"/>
                      <w:sz w:val="21"/>
                      <w:highlight w:val="none"/>
                      <w:u w:val="single"/>
                    </w:rPr>
                  </w:pPr>
                </w:p>
              </w:tc>
              <w:tc>
                <w:tcPr>
                  <w:tcW w:w="4484" w:type="dxa"/>
                  <w:vMerge w:val="continue"/>
                  <w:tcBorders>
                    <w:top w:val="nil"/>
                  </w:tcBorders>
                  <w:vAlign w:val="center"/>
                </w:tcPr>
                <w:p w14:paraId="3A535BD7">
                  <w:pPr>
                    <w:jc w:val="center"/>
                    <w:rPr>
                      <w:rFonts w:ascii="Arial"/>
                      <w:color w:val="auto"/>
                      <w:sz w:val="21"/>
                      <w:highlight w:val="none"/>
                      <w:u w:val="single"/>
                    </w:rPr>
                  </w:pPr>
                </w:p>
              </w:tc>
            </w:tr>
            <w:tr w14:paraId="0DE7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883" w:type="dxa"/>
                  <w:vMerge w:val="restart"/>
                  <w:tcBorders>
                    <w:bottom w:val="nil"/>
                  </w:tcBorders>
                  <w:vAlign w:val="center"/>
                </w:tcPr>
                <w:p w14:paraId="7D7F74BF">
                  <w:pPr>
                    <w:spacing w:before="65" w:line="227" w:lineRule="auto"/>
                    <w:ind w:left="62"/>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钦州港大榄坪南作</w:t>
                  </w:r>
                  <w:r>
                    <w:rPr>
                      <w:rFonts w:ascii="宋体" w:hAnsi="宋体" w:eastAsia="宋体" w:cs="宋体"/>
                      <w:color w:val="auto"/>
                      <w:spacing w:val="6"/>
                      <w:sz w:val="20"/>
                      <w:szCs w:val="20"/>
                      <w:highlight w:val="none"/>
                      <w:u w:val="single"/>
                    </w:rPr>
                    <w:t>业区</w:t>
                  </w:r>
                  <w:r>
                    <w:rPr>
                      <w:rFonts w:ascii="Times New Roman" w:hAnsi="Times New Roman" w:eastAsia="Times New Roman" w:cs="Times New Roman"/>
                      <w:color w:val="auto"/>
                      <w:spacing w:val="1"/>
                      <w:sz w:val="20"/>
                      <w:szCs w:val="20"/>
                      <w:highlight w:val="none"/>
                      <w:u w:val="single"/>
                    </w:rPr>
                    <w:t>1#-6#</w:t>
                  </w:r>
                  <w:r>
                    <w:rPr>
                      <w:rFonts w:ascii="宋体" w:hAnsi="宋体" w:eastAsia="宋体" w:cs="宋体"/>
                      <w:color w:val="auto"/>
                      <w:spacing w:val="1"/>
                      <w:sz w:val="20"/>
                      <w:szCs w:val="20"/>
                      <w:highlight w:val="none"/>
                      <w:u w:val="single"/>
                    </w:rPr>
                    <w:t>泊</w:t>
                  </w:r>
                  <w:r>
                    <w:rPr>
                      <w:rFonts w:ascii="宋体" w:hAnsi="宋体" w:eastAsia="宋体" w:cs="宋体"/>
                      <w:color w:val="auto"/>
                      <w:spacing w:val="7"/>
                      <w:sz w:val="20"/>
                      <w:szCs w:val="20"/>
                      <w:highlight w:val="none"/>
                      <w:u w:val="single"/>
                    </w:rPr>
                    <w:t>位新增危</w:t>
                  </w:r>
                  <w:r>
                    <w:rPr>
                      <w:rFonts w:ascii="宋体" w:hAnsi="宋体" w:eastAsia="宋体" w:cs="宋体"/>
                      <w:color w:val="auto"/>
                      <w:spacing w:val="4"/>
                      <w:sz w:val="20"/>
                      <w:szCs w:val="20"/>
                      <w:highlight w:val="none"/>
                      <w:u w:val="single"/>
                    </w:rPr>
                    <w:t>险货物集</w:t>
                  </w:r>
                  <w:r>
                    <w:rPr>
                      <w:rFonts w:ascii="宋体" w:hAnsi="宋体" w:eastAsia="宋体" w:cs="宋体"/>
                      <w:color w:val="auto"/>
                      <w:spacing w:val="7"/>
                      <w:sz w:val="20"/>
                      <w:szCs w:val="20"/>
                      <w:highlight w:val="none"/>
                      <w:u w:val="single"/>
                    </w:rPr>
                    <w:t>装箱项目</w:t>
                  </w:r>
                  <w:r>
                    <w:rPr>
                      <w:rFonts w:ascii="宋体" w:hAnsi="宋体" w:eastAsia="宋体" w:cs="宋体"/>
                      <w:color w:val="auto"/>
                      <w:spacing w:val="4"/>
                      <w:sz w:val="20"/>
                      <w:szCs w:val="20"/>
                      <w:highlight w:val="none"/>
                      <w:u w:val="single"/>
                    </w:rPr>
                    <w:t>（重大变</w:t>
                  </w:r>
                  <w:r>
                    <w:rPr>
                      <w:rFonts w:ascii="宋体" w:hAnsi="宋体" w:eastAsia="宋体" w:cs="宋体"/>
                      <w:color w:val="auto"/>
                      <w:sz w:val="20"/>
                      <w:szCs w:val="20"/>
                      <w:highlight w:val="none"/>
                      <w:u w:val="single"/>
                    </w:rPr>
                    <w:t>动）</w:t>
                  </w:r>
                </w:p>
              </w:tc>
              <w:tc>
                <w:tcPr>
                  <w:tcW w:w="858" w:type="dxa"/>
                  <w:vAlign w:val="center"/>
                </w:tcPr>
                <w:p w14:paraId="5B4129F4">
                  <w:pPr>
                    <w:spacing w:before="305" w:line="239" w:lineRule="auto"/>
                    <w:ind w:left="44" w:right="48"/>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重大变动重新环评</w:t>
                  </w:r>
                </w:p>
              </w:tc>
              <w:tc>
                <w:tcPr>
                  <w:tcW w:w="2118" w:type="dxa"/>
                  <w:vAlign w:val="center"/>
                </w:tcPr>
                <w:p w14:paraId="113FE5FD">
                  <w:pPr>
                    <w:spacing w:before="29" w:line="243" w:lineRule="auto"/>
                    <w:ind w:left="53" w:right="37" w:firstLine="49"/>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《钦州港大榄坪南作业</w:t>
                  </w:r>
                  <w:r>
                    <w:rPr>
                      <w:rFonts w:ascii="宋体" w:hAnsi="宋体" w:eastAsia="宋体" w:cs="宋体"/>
                      <w:color w:val="auto"/>
                      <w:spacing w:val="4"/>
                      <w:sz w:val="20"/>
                      <w:szCs w:val="20"/>
                      <w:highlight w:val="none"/>
                      <w:u w:val="single"/>
                    </w:rPr>
                    <w:t>区</w:t>
                  </w:r>
                  <w:r>
                    <w:rPr>
                      <w:rFonts w:ascii="Times New Roman" w:hAnsi="Times New Roman" w:eastAsia="Times New Roman" w:cs="Times New Roman"/>
                      <w:color w:val="auto"/>
                      <w:spacing w:val="4"/>
                      <w:sz w:val="20"/>
                      <w:szCs w:val="20"/>
                      <w:highlight w:val="none"/>
                      <w:u w:val="single"/>
                    </w:rPr>
                    <w:t>1#-6#</w:t>
                  </w:r>
                  <w:r>
                    <w:rPr>
                      <w:rFonts w:ascii="宋体" w:hAnsi="宋体" w:eastAsia="宋体" w:cs="宋体"/>
                      <w:color w:val="auto"/>
                      <w:spacing w:val="4"/>
                      <w:sz w:val="20"/>
                      <w:szCs w:val="20"/>
                      <w:highlight w:val="none"/>
                      <w:u w:val="single"/>
                    </w:rPr>
                    <w:t>泊位新增危险货</w:t>
                  </w:r>
                  <w:r>
                    <w:rPr>
                      <w:rFonts w:ascii="宋体" w:hAnsi="宋体" w:eastAsia="宋体" w:cs="宋体"/>
                      <w:color w:val="auto"/>
                      <w:spacing w:val="13"/>
                      <w:sz w:val="20"/>
                      <w:szCs w:val="20"/>
                      <w:highlight w:val="none"/>
                      <w:u w:val="single"/>
                    </w:rPr>
                    <w:t>物集装箱项目（重大变</w:t>
                  </w:r>
                  <w:r>
                    <w:rPr>
                      <w:rFonts w:ascii="宋体" w:hAnsi="宋体" w:eastAsia="宋体" w:cs="宋体"/>
                      <w:color w:val="auto"/>
                      <w:spacing w:val="12"/>
                      <w:sz w:val="20"/>
                      <w:szCs w:val="20"/>
                      <w:highlight w:val="none"/>
                      <w:u w:val="single"/>
                    </w:rPr>
                    <w:t>动）环境影响报告书》</w:t>
                  </w:r>
                </w:p>
              </w:tc>
              <w:tc>
                <w:tcPr>
                  <w:tcW w:w="1489" w:type="dxa"/>
                  <w:vAlign w:val="center"/>
                </w:tcPr>
                <w:p w14:paraId="15402107">
                  <w:pPr>
                    <w:spacing w:before="303"/>
                    <w:ind w:left="0" w:leftChars="0" w:right="72" w:firstLine="73" w:firstLineChars="0"/>
                    <w:jc w:val="center"/>
                    <w:rPr>
                      <w:rFonts w:ascii="宋体" w:hAnsi="宋体" w:eastAsia="宋体" w:cs="宋体"/>
                      <w:color w:val="auto"/>
                      <w:sz w:val="20"/>
                      <w:szCs w:val="20"/>
                      <w:highlight w:val="none"/>
                      <w:u w:val="single"/>
                    </w:rPr>
                  </w:pPr>
                  <w:r>
                    <w:rPr>
                      <w:rFonts w:ascii="宋体" w:hAnsi="宋体" w:eastAsia="宋体" w:cs="宋体"/>
                      <w:color w:val="auto"/>
                      <w:spacing w:val="8"/>
                      <w:sz w:val="20"/>
                      <w:szCs w:val="20"/>
                      <w:highlight w:val="none"/>
                      <w:u w:val="single"/>
                    </w:rPr>
                    <w:t>钦州市生态环境</w:t>
                  </w:r>
                  <w:r>
                    <w:rPr>
                      <w:rFonts w:ascii="宋体" w:hAnsi="宋体" w:eastAsia="宋体" w:cs="宋体"/>
                      <w:color w:val="auto"/>
                      <w:sz w:val="20"/>
                      <w:szCs w:val="20"/>
                      <w:highlight w:val="none"/>
                      <w:u w:val="single"/>
                    </w:rPr>
                    <w:t>局</w:t>
                  </w:r>
                </w:p>
              </w:tc>
              <w:tc>
                <w:tcPr>
                  <w:tcW w:w="828" w:type="dxa"/>
                  <w:vAlign w:val="center"/>
                </w:tcPr>
                <w:p w14:paraId="11B657D6">
                  <w:pPr>
                    <w:spacing w:before="65" w:line="189" w:lineRule="auto"/>
                    <w:ind w:left="139"/>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2024.7</w:t>
                  </w:r>
                </w:p>
              </w:tc>
              <w:tc>
                <w:tcPr>
                  <w:tcW w:w="1428" w:type="dxa"/>
                  <w:vAlign w:val="center"/>
                </w:tcPr>
                <w:p w14:paraId="1E3FDE49">
                  <w:pPr>
                    <w:spacing w:before="303"/>
                    <w:ind w:left="149" w:right="115" w:firstLine="32"/>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自贸钦审批环</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2024</w:t>
                  </w:r>
                  <w:r>
                    <w:rPr>
                      <w:rFonts w:ascii="宋体" w:hAnsi="宋体" w:eastAsia="宋体" w:cs="宋体"/>
                      <w:color w:val="auto"/>
                      <w:spacing w:val="1"/>
                      <w:sz w:val="20"/>
                      <w:szCs w:val="20"/>
                      <w:highlight w:val="none"/>
                      <w:u w:val="single"/>
                    </w:rPr>
                    <w:t>〕</w:t>
                  </w:r>
                  <w:r>
                    <w:rPr>
                      <w:rFonts w:ascii="Times New Roman" w:hAnsi="Times New Roman" w:eastAsia="Times New Roman" w:cs="Times New Roman"/>
                      <w:color w:val="auto"/>
                      <w:spacing w:val="1"/>
                      <w:sz w:val="20"/>
                      <w:szCs w:val="20"/>
                      <w:highlight w:val="none"/>
                      <w:u w:val="single"/>
                    </w:rPr>
                    <w:t>39</w:t>
                  </w:r>
                  <w:r>
                    <w:rPr>
                      <w:rFonts w:ascii="宋体" w:hAnsi="宋体" w:eastAsia="宋体" w:cs="宋体"/>
                      <w:color w:val="auto"/>
                      <w:spacing w:val="1"/>
                      <w:sz w:val="20"/>
                      <w:szCs w:val="20"/>
                      <w:highlight w:val="none"/>
                      <w:u w:val="single"/>
                    </w:rPr>
                    <w:t>号</w:t>
                  </w:r>
                </w:p>
              </w:tc>
              <w:tc>
                <w:tcPr>
                  <w:tcW w:w="828" w:type="dxa"/>
                  <w:vAlign w:val="center"/>
                </w:tcPr>
                <w:p w14:paraId="69A0B08A">
                  <w:pPr>
                    <w:spacing w:before="65" w:line="189" w:lineRule="auto"/>
                    <w:ind w:left="142"/>
                    <w:jc w:val="center"/>
                    <w:rPr>
                      <w:rFonts w:ascii="宋体" w:hAnsi="宋体" w:eastAsia="宋体" w:cs="宋体"/>
                      <w:color w:val="auto"/>
                      <w:sz w:val="20"/>
                      <w:szCs w:val="20"/>
                      <w:highlight w:val="none"/>
                      <w:u w:val="single"/>
                    </w:rPr>
                  </w:pPr>
                  <w:r>
                    <w:rPr>
                      <w:rFonts w:ascii="宋体" w:hAnsi="宋体" w:eastAsia="宋体" w:cs="宋体"/>
                      <w:color w:val="auto"/>
                      <w:spacing w:val="3"/>
                      <w:sz w:val="20"/>
                      <w:szCs w:val="20"/>
                      <w:highlight w:val="none"/>
                      <w:u w:val="single"/>
                    </w:rPr>
                    <w:t>2024.8</w:t>
                  </w:r>
                </w:p>
              </w:tc>
              <w:tc>
                <w:tcPr>
                  <w:tcW w:w="4484" w:type="dxa"/>
                  <w:vMerge w:val="restart"/>
                  <w:tcBorders>
                    <w:bottom w:val="nil"/>
                  </w:tcBorders>
                  <w:vAlign w:val="center"/>
                </w:tcPr>
                <w:p w14:paraId="63D13EBA">
                  <w:pPr>
                    <w:spacing w:before="25" w:line="250" w:lineRule="auto"/>
                    <w:ind w:left="30" w:right="25" w:firstLine="12"/>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钦州港大榄坪南作业区</w:t>
                  </w:r>
                  <w:r>
                    <w:rPr>
                      <w:rFonts w:ascii="Times New Roman" w:hAnsi="Times New Roman" w:eastAsia="Times New Roman" w:cs="Times New Roman"/>
                      <w:color w:val="auto"/>
                      <w:spacing w:val="7"/>
                      <w:sz w:val="20"/>
                      <w:szCs w:val="20"/>
                      <w:highlight w:val="none"/>
                      <w:u w:val="single"/>
                    </w:rPr>
                    <w:t>1#~6#</w:t>
                  </w:r>
                  <w:r>
                    <w:rPr>
                      <w:rFonts w:ascii="宋体" w:hAnsi="宋体" w:eastAsia="宋体" w:cs="宋体"/>
                      <w:color w:val="auto"/>
                      <w:spacing w:val="7"/>
                      <w:sz w:val="20"/>
                      <w:szCs w:val="20"/>
                      <w:highlight w:val="none"/>
                      <w:u w:val="single"/>
                    </w:rPr>
                    <w:t>泊位在原批复的基础上</w:t>
                  </w:r>
                  <w:r>
                    <w:rPr>
                      <w:rFonts w:ascii="宋体" w:hAnsi="宋体" w:eastAsia="宋体" w:cs="宋体"/>
                      <w:color w:val="auto"/>
                      <w:spacing w:val="-4"/>
                      <w:sz w:val="20"/>
                      <w:szCs w:val="20"/>
                      <w:highlight w:val="none"/>
                      <w:u w:val="single"/>
                    </w:rPr>
                    <w:t>新增危险货物货种，即</w:t>
                  </w:r>
                  <w:r>
                    <w:rPr>
                      <w:rFonts w:ascii="Times New Roman" w:hAnsi="Times New Roman" w:eastAsia="Times New Roman" w:cs="Times New Roman"/>
                      <w:color w:val="auto"/>
                      <w:spacing w:val="-4"/>
                      <w:sz w:val="20"/>
                      <w:szCs w:val="20"/>
                      <w:highlight w:val="none"/>
                      <w:u w:val="single"/>
                    </w:rPr>
                    <w:t>1#</w:t>
                  </w:r>
                  <w:r>
                    <w:rPr>
                      <w:rFonts w:ascii="宋体" w:hAnsi="宋体" w:eastAsia="宋体" w:cs="宋体"/>
                      <w:color w:val="auto"/>
                      <w:spacing w:val="-4"/>
                      <w:sz w:val="20"/>
                      <w:szCs w:val="20"/>
                      <w:highlight w:val="none"/>
                      <w:u w:val="single"/>
                    </w:rPr>
                    <w:t>、</w:t>
                  </w:r>
                  <w:r>
                    <w:rPr>
                      <w:rFonts w:ascii="Times New Roman" w:hAnsi="Times New Roman" w:eastAsia="Times New Roman" w:cs="Times New Roman"/>
                      <w:color w:val="auto"/>
                      <w:spacing w:val="-4"/>
                      <w:sz w:val="20"/>
                      <w:szCs w:val="20"/>
                      <w:highlight w:val="none"/>
                      <w:u w:val="single"/>
                    </w:rPr>
                    <w:t>2#</w:t>
                  </w:r>
                  <w:r>
                    <w:rPr>
                      <w:rFonts w:ascii="宋体" w:hAnsi="宋体" w:eastAsia="宋体" w:cs="宋体"/>
                      <w:color w:val="auto"/>
                      <w:spacing w:val="-4"/>
                      <w:sz w:val="20"/>
                      <w:szCs w:val="20"/>
                      <w:highlight w:val="none"/>
                      <w:u w:val="single"/>
                    </w:rPr>
                    <w:t>泊位新增</w:t>
                  </w:r>
                  <w:r>
                    <w:rPr>
                      <w:rFonts w:ascii="Times New Roman" w:hAnsi="Times New Roman" w:eastAsia="Times New Roman" w:cs="Times New Roman"/>
                      <w:color w:val="auto"/>
                      <w:spacing w:val="-4"/>
                      <w:sz w:val="20"/>
                      <w:szCs w:val="20"/>
                      <w:highlight w:val="none"/>
                      <w:u w:val="single"/>
                    </w:rPr>
                    <w:t>1814</w:t>
                  </w:r>
                  <w:r>
                    <w:rPr>
                      <w:rFonts w:ascii="宋体" w:hAnsi="宋体" w:eastAsia="宋体" w:cs="宋体"/>
                      <w:color w:val="auto"/>
                      <w:spacing w:val="-4"/>
                      <w:sz w:val="20"/>
                      <w:szCs w:val="20"/>
                      <w:highlight w:val="none"/>
                      <w:u w:val="single"/>
                    </w:rPr>
                    <w:t>种，</w:t>
                  </w:r>
                  <w:r>
                    <w:rPr>
                      <w:rFonts w:ascii="Times New Roman" w:hAnsi="Times New Roman" w:eastAsia="Times New Roman" w:cs="Times New Roman"/>
                      <w:color w:val="auto"/>
                      <w:spacing w:val="-4"/>
                      <w:sz w:val="20"/>
                      <w:szCs w:val="20"/>
                      <w:highlight w:val="none"/>
                      <w:u w:val="single"/>
                    </w:rPr>
                    <w:t>3#~6#</w:t>
                  </w:r>
                  <w:r>
                    <w:rPr>
                      <w:rFonts w:ascii="宋体" w:hAnsi="宋体" w:eastAsia="宋体" w:cs="宋体"/>
                      <w:color w:val="auto"/>
                      <w:spacing w:val="7"/>
                      <w:sz w:val="20"/>
                      <w:szCs w:val="20"/>
                      <w:highlight w:val="none"/>
                      <w:u w:val="single"/>
                    </w:rPr>
                    <w:t>泊位新增</w:t>
                  </w:r>
                  <w:r>
                    <w:rPr>
                      <w:rFonts w:ascii="Times New Roman" w:hAnsi="Times New Roman" w:eastAsia="Times New Roman" w:cs="Times New Roman"/>
                      <w:color w:val="auto"/>
                      <w:spacing w:val="7"/>
                      <w:sz w:val="20"/>
                      <w:szCs w:val="20"/>
                      <w:highlight w:val="none"/>
                      <w:u w:val="single"/>
                    </w:rPr>
                    <w:t>1844</w:t>
                  </w:r>
                  <w:r>
                    <w:rPr>
                      <w:rFonts w:ascii="宋体" w:hAnsi="宋体" w:eastAsia="宋体" w:cs="宋体"/>
                      <w:color w:val="auto"/>
                      <w:spacing w:val="7"/>
                      <w:sz w:val="20"/>
                      <w:szCs w:val="20"/>
                      <w:highlight w:val="none"/>
                      <w:u w:val="single"/>
                    </w:rPr>
                    <w:t>种。本次新增货类后，</w:t>
                  </w:r>
                  <w:r>
                    <w:rPr>
                      <w:rFonts w:ascii="Times New Roman" w:hAnsi="Times New Roman" w:eastAsia="Times New Roman" w:cs="Times New Roman"/>
                      <w:color w:val="auto"/>
                      <w:spacing w:val="7"/>
                      <w:sz w:val="20"/>
                      <w:szCs w:val="20"/>
                      <w:highlight w:val="none"/>
                      <w:u w:val="single"/>
                    </w:rPr>
                    <w:t>1#-6#</w:t>
                  </w:r>
                  <w:r>
                    <w:rPr>
                      <w:rFonts w:ascii="宋体" w:hAnsi="宋体" w:eastAsia="宋体" w:cs="宋体"/>
                      <w:color w:val="auto"/>
                      <w:spacing w:val="7"/>
                      <w:sz w:val="20"/>
                      <w:szCs w:val="20"/>
                      <w:highlight w:val="none"/>
                      <w:u w:val="single"/>
                    </w:rPr>
                    <w:t>泊位</w:t>
                  </w:r>
                  <w:r>
                    <w:rPr>
                      <w:rFonts w:ascii="宋体" w:hAnsi="宋体" w:eastAsia="宋体" w:cs="宋体"/>
                      <w:color w:val="auto"/>
                      <w:spacing w:val="6"/>
                      <w:sz w:val="20"/>
                      <w:szCs w:val="20"/>
                      <w:highlight w:val="none"/>
                      <w:u w:val="single"/>
                    </w:rPr>
                    <w:t>可作</w:t>
                  </w:r>
                  <w:r>
                    <w:rPr>
                      <w:rFonts w:ascii="宋体" w:hAnsi="宋体" w:eastAsia="宋体" w:cs="宋体"/>
                      <w:color w:val="auto"/>
                      <w:spacing w:val="8"/>
                      <w:sz w:val="20"/>
                      <w:szCs w:val="20"/>
                      <w:highlight w:val="none"/>
                      <w:u w:val="single"/>
                    </w:rPr>
                    <w:t>业危险货物集装箱货物共</w:t>
                  </w:r>
                  <w:r>
                    <w:rPr>
                      <w:rFonts w:ascii="Times New Roman" w:hAnsi="Times New Roman" w:eastAsia="Times New Roman" w:cs="Times New Roman"/>
                      <w:color w:val="auto"/>
                      <w:spacing w:val="8"/>
                      <w:sz w:val="20"/>
                      <w:szCs w:val="20"/>
                      <w:highlight w:val="none"/>
                      <w:u w:val="single"/>
                    </w:rPr>
                    <w:t>8</w:t>
                  </w:r>
                  <w:r>
                    <w:rPr>
                      <w:rFonts w:ascii="宋体" w:hAnsi="宋体" w:eastAsia="宋体" w:cs="宋体"/>
                      <w:color w:val="auto"/>
                      <w:spacing w:val="8"/>
                      <w:sz w:val="20"/>
                      <w:szCs w:val="20"/>
                      <w:highlight w:val="none"/>
                      <w:u w:val="single"/>
                    </w:rPr>
                    <w:t>类</w:t>
                  </w:r>
                  <w:r>
                    <w:rPr>
                      <w:rFonts w:ascii="Times New Roman" w:hAnsi="Times New Roman" w:eastAsia="Times New Roman" w:cs="Times New Roman"/>
                      <w:color w:val="auto"/>
                      <w:spacing w:val="8"/>
                      <w:sz w:val="20"/>
                      <w:szCs w:val="20"/>
                      <w:highlight w:val="none"/>
                      <w:u w:val="single"/>
                    </w:rPr>
                    <w:t>1869</w:t>
                  </w:r>
                  <w:r>
                    <w:rPr>
                      <w:rFonts w:ascii="宋体" w:hAnsi="宋体" w:eastAsia="宋体" w:cs="宋体"/>
                      <w:color w:val="auto"/>
                      <w:spacing w:val="8"/>
                      <w:sz w:val="20"/>
                      <w:szCs w:val="20"/>
                      <w:highlight w:val="none"/>
                      <w:u w:val="single"/>
                    </w:rPr>
                    <w:t>种。主要建设内</w:t>
                  </w:r>
                  <w:r>
                    <w:rPr>
                      <w:rFonts w:ascii="宋体" w:hAnsi="宋体" w:eastAsia="宋体" w:cs="宋体"/>
                      <w:color w:val="auto"/>
                      <w:spacing w:val="5"/>
                      <w:sz w:val="20"/>
                      <w:szCs w:val="20"/>
                      <w:highlight w:val="none"/>
                      <w:u w:val="single"/>
                    </w:rPr>
                    <w:t>容：新建一处规模</w:t>
                  </w:r>
                  <w:r>
                    <w:rPr>
                      <w:rFonts w:ascii="Times New Roman" w:hAnsi="Times New Roman" w:eastAsia="Times New Roman" w:cs="Times New Roman"/>
                      <w:color w:val="auto"/>
                      <w:spacing w:val="5"/>
                      <w:sz w:val="20"/>
                      <w:szCs w:val="20"/>
                      <w:highlight w:val="none"/>
                      <w:u w:val="single"/>
                    </w:rPr>
                    <w:t>5515</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5"/>
                      <w:sz w:val="20"/>
                      <w:szCs w:val="20"/>
                      <w:highlight w:val="none"/>
                      <w:u w:val="single"/>
                    </w:rPr>
                    <w:t>/a</w:t>
                  </w:r>
                  <w:r>
                    <w:rPr>
                      <w:rFonts w:ascii="宋体" w:hAnsi="宋体" w:eastAsia="宋体" w:cs="宋体"/>
                      <w:color w:val="auto"/>
                      <w:spacing w:val="5"/>
                      <w:sz w:val="20"/>
                      <w:szCs w:val="20"/>
                      <w:highlight w:val="none"/>
                      <w:u w:val="single"/>
                    </w:rPr>
                    <w:t>的普货拆装箱场（在原有仓库内改建</w:t>
                  </w:r>
                  <w:r>
                    <w:rPr>
                      <w:rFonts w:ascii="宋体" w:hAnsi="宋体" w:eastAsia="宋体" w:cs="宋体"/>
                      <w:color w:val="auto"/>
                      <w:spacing w:val="-51"/>
                      <w:w w:val="97"/>
                      <w:sz w:val="20"/>
                      <w:szCs w:val="20"/>
                      <w:highlight w:val="none"/>
                      <w:u w:val="single"/>
                    </w:rPr>
                    <w:t>），</w:t>
                  </w:r>
                  <w:r>
                    <w:rPr>
                      <w:rFonts w:ascii="宋体" w:hAnsi="宋体" w:eastAsia="宋体" w:cs="宋体"/>
                      <w:color w:val="auto"/>
                      <w:spacing w:val="5"/>
                      <w:sz w:val="20"/>
                      <w:szCs w:val="20"/>
                      <w:highlight w:val="none"/>
                      <w:u w:val="single"/>
                    </w:rPr>
                    <w:t>对现有含油污水处理站进行扩建（主</w:t>
                  </w:r>
                  <w:r>
                    <w:rPr>
                      <w:rFonts w:ascii="宋体" w:hAnsi="宋体" w:eastAsia="宋体" w:cs="宋体"/>
                      <w:color w:val="auto"/>
                      <w:spacing w:val="10"/>
                      <w:sz w:val="20"/>
                      <w:szCs w:val="20"/>
                      <w:highlight w:val="none"/>
                      <w:u w:val="single"/>
                    </w:rPr>
                    <w:t>要将</w:t>
                  </w:r>
                  <w:r>
                    <w:rPr>
                      <w:rFonts w:ascii="Times New Roman" w:hAnsi="Times New Roman" w:eastAsia="Times New Roman" w:cs="Times New Roman"/>
                      <w:color w:val="auto"/>
                      <w:spacing w:val="10"/>
                      <w:sz w:val="20"/>
                      <w:szCs w:val="20"/>
                      <w:highlight w:val="none"/>
                      <w:u w:val="single"/>
                    </w:rPr>
                    <w:t>2#</w:t>
                  </w:r>
                  <w:r>
                    <w:rPr>
                      <w:rFonts w:ascii="宋体" w:hAnsi="宋体" w:eastAsia="宋体" w:cs="宋体"/>
                      <w:color w:val="auto"/>
                      <w:spacing w:val="10"/>
                      <w:sz w:val="20"/>
                      <w:szCs w:val="20"/>
                      <w:highlight w:val="none"/>
                      <w:u w:val="single"/>
                    </w:rPr>
                    <w:t>泊位后方现有</w:t>
                  </w:r>
                  <w:r>
                    <w:rPr>
                      <w:rFonts w:ascii="Times New Roman" w:hAnsi="Times New Roman" w:eastAsia="Times New Roman" w:cs="Times New Roman"/>
                      <w:color w:val="auto"/>
                      <w:spacing w:val="10"/>
                      <w:sz w:val="20"/>
                      <w:szCs w:val="20"/>
                      <w:highlight w:val="none"/>
                      <w:u w:val="single"/>
                    </w:rPr>
                    <w:t>3m</w:t>
                  </w:r>
                  <w:r>
                    <w:rPr>
                      <w:rFonts w:ascii="Times New Roman" w:hAnsi="Times New Roman" w:eastAsia="Times New Roman" w:cs="Times New Roman"/>
                      <w:color w:val="auto"/>
                      <w:spacing w:val="10"/>
                      <w:position w:val="6"/>
                      <w:sz w:val="13"/>
                      <w:szCs w:val="13"/>
                      <w:highlight w:val="none"/>
                      <w:u w:val="single"/>
                    </w:rPr>
                    <w:t>3</w:t>
                  </w:r>
                  <w:r>
                    <w:rPr>
                      <w:rFonts w:ascii="Times New Roman" w:hAnsi="Times New Roman" w:eastAsia="Times New Roman" w:cs="Times New Roman"/>
                      <w:color w:val="auto"/>
                      <w:spacing w:val="10"/>
                      <w:sz w:val="20"/>
                      <w:szCs w:val="20"/>
                      <w:highlight w:val="none"/>
                      <w:u w:val="single"/>
                    </w:rPr>
                    <w:t>/h</w:t>
                  </w:r>
                  <w:r>
                    <w:rPr>
                      <w:rFonts w:ascii="宋体" w:hAnsi="宋体" w:eastAsia="宋体" w:cs="宋体"/>
                      <w:color w:val="auto"/>
                      <w:spacing w:val="10"/>
                      <w:sz w:val="20"/>
                      <w:szCs w:val="20"/>
                      <w:highlight w:val="none"/>
                      <w:u w:val="single"/>
                    </w:rPr>
                    <w:t>含油污水处理站扩建至</w:t>
                  </w:r>
                  <w:r>
                    <w:rPr>
                      <w:rFonts w:ascii="Times New Roman" w:hAnsi="Times New Roman" w:eastAsia="Times New Roman" w:cs="Times New Roman"/>
                      <w:color w:val="auto"/>
                      <w:spacing w:val="4"/>
                      <w:sz w:val="20"/>
                      <w:szCs w:val="20"/>
                      <w:highlight w:val="none"/>
                      <w:u w:val="single"/>
                    </w:rPr>
                    <w:t>10m</w:t>
                  </w:r>
                  <w:r>
                    <w:rPr>
                      <w:rFonts w:ascii="Times New Roman" w:hAnsi="Times New Roman" w:eastAsia="Times New Roman" w:cs="Times New Roman"/>
                      <w:color w:val="auto"/>
                      <w:spacing w:val="4"/>
                      <w:position w:val="6"/>
                      <w:sz w:val="13"/>
                      <w:szCs w:val="13"/>
                      <w:highlight w:val="none"/>
                      <w:u w:val="single"/>
                    </w:rPr>
                    <w:t>3</w:t>
                  </w:r>
                  <w:r>
                    <w:rPr>
                      <w:rFonts w:ascii="Times New Roman" w:hAnsi="Times New Roman" w:eastAsia="Times New Roman" w:cs="Times New Roman"/>
                      <w:color w:val="auto"/>
                      <w:spacing w:val="4"/>
                      <w:sz w:val="20"/>
                      <w:szCs w:val="20"/>
                      <w:highlight w:val="none"/>
                      <w:u w:val="single"/>
                    </w:rPr>
                    <w:t>/h</w:t>
                  </w:r>
                  <w:r>
                    <w:rPr>
                      <w:rFonts w:ascii="宋体" w:hAnsi="宋体" w:eastAsia="宋体" w:cs="宋体"/>
                      <w:color w:val="auto"/>
                      <w:spacing w:val="4"/>
                      <w:sz w:val="20"/>
                      <w:szCs w:val="20"/>
                      <w:highlight w:val="none"/>
                      <w:u w:val="single"/>
                    </w:rPr>
                    <w:t>，同时在</w:t>
                  </w:r>
                  <w:r>
                    <w:rPr>
                      <w:rFonts w:ascii="Times New Roman" w:hAnsi="Times New Roman" w:eastAsia="Times New Roman" w:cs="Times New Roman"/>
                      <w:color w:val="auto"/>
                      <w:spacing w:val="4"/>
                      <w:sz w:val="20"/>
                      <w:szCs w:val="20"/>
                      <w:highlight w:val="none"/>
                      <w:u w:val="single"/>
                    </w:rPr>
                    <w:t>5#</w:t>
                  </w:r>
                  <w:r>
                    <w:rPr>
                      <w:rFonts w:ascii="宋体" w:hAnsi="宋体" w:eastAsia="宋体" w:cs="宋体"/>
                      <w:color w:val="auto"/>
                      <w:spacing w:val="4"/>
                      <w:sz w:val="20"/>
                      <w:szCs w:val="20"/>
                      <w:highlight w:val="none"/>
                      <w:u w:val="single"/>
                    </w:rPr>
                    <w:t>泊位新建</w:t>
                  </w:r>
                  <w:r>
                    <w:rPr>
                      <w:rFonts w:ascii="Times New Roman" w:hAnsi="Times New Roman" w:eastAsia="Times New Roman" w:cs="Times New Roman"/>
                      <w:color w:val="auto"/>
                      <w:spacing w:val="4"/>
                      <w:sz w:val="20"/>
                      <w:szCs w:val="20"/>
                      <w:highlight w:val="none"/>
                      <w:u w:val="single"/>
                    </w:rPr>
                    <w:t>1</w:t>
                  </w:r>
                  <w:r>
                    <w:rPr>
                      <w:rFonts w:ascii="宋体" w:hAnsi="宋体" w:eastAsia="宋体" w:cs="宋体"/>
                      <w:color w:val="auto"/>
                      <w:spacing w:val="4"/>
                      <w:sz w:val="20"/>
                      <w:szCs w:val="20"/>
                      <w:highlight w:val="none"/>
                      <w:u w:val="single"/>
                    </w:rPr>
                    <w:t>套</w:t>
                  </w:r>
                  <w:r>
                    <w:rPr>
                      <w:rFonts w:ascii="Times New Roman" w:hAnsi="Times New Roman" w:eastAsia="Times New Roman" w:cs="Times New Roman"/>
                      <w:color w:val="auto"/>
                      <w:spacing w:val="4"/>
                      <w:sz w:val="20"/>
                      <w:szCs w:val="20"/>
                      <w:highlight w:val="none"/>
                      <w:u w:val="single"/>
                    </w:rPr>
                    <w:t>10m</w:t>
                  </w:r>
                  <w:r>
                    <w:rPr>
                      <w:rFonts w:ascii="Times New Roman" w:hAnsi="Times New Roman" w:eastAsia="Times New Roman" w:cs="Times New Roman"/>
                      <w:color w:val="auto"/>
                      <w:spacing w:val="4"/>
                      <w:position w:val="6"/>
                      <w:sz w:val="13"/>
                      <w:szCs w:val="13"/>
                      <w:highlight w:val="none"/>
                      <w:u w:val="single"/>
                    </w:rPr>
                    <w:t>3</w:t>
                  </w:r>
                  <w:r>
                    <w:rPr>
                      <w:rFonts w:ascii="Times New Roman" w:hAnsi="Times New Roman" w:eastAsia="Times New Roman" w:cs="Times New Roman"/>
                      <w:color w:val="auto"/>
                      <w:spacing w:val="4"/>
                      <w:sz w:val="20"/>
                      <w:szCs w:val="20"/>
                      <w:highlight w:val="none"/>
                      <w:u w:val="single"/>
                    </w:rPr>
                    <w:t>/</w:t>
                  </w:r>
                  <w:r>
                    <w:rPr>
                      <w:rFonts w:ascii="宋体" w:hAnsi="宋体" w:eastAsia="宋体" w:cs="宋体"/>
                      <w:color w:val="auto"/>
                      <w:spacing w:val="4"/>
                      <w:sz w:val="20"/>
                      <w:szCs w:val="20"/>
                      <w:highlight w:val="none"/>
                      <w:u w:val="single"/>
                    </w:rPr>
                    <w:t>含油污水处理</w:t>
                  </w:r>
                  <w:r>
                    <w:rPr>
                      <w:rFonts w:ascii="宋体" w:hAnsi="宋体" w:eastAsia="宋体" w:cs="宋体"/>
                      <w:color w:val="auto"/>
                      <w:spacing w:val="1"/>
                      <w:sz w:val="20"/>
                      <w:szCs w:val="20"/>
                      <w:highlight w:val="none"/>
                      <w:u w:val="single"/>
                    </w:rPr>
                    <w:t>站）。本次变更后，不改变码头总吞吐能力，仍为</w:t>
                  </w:r>
                  <w:r>
                    <w:rPr>
                      <w:rFonts w:ascii="Times New Roman" w:hAnsi="Times New Roman" w:eastAsia="Times New Roman" w:cs="Times New Roman"/>
                      <w:color w:val="auto"/>
                      <w:spacing w:val="1"/>
                      <w:sz w:val="20"/>
                      <w:szCs w:val="20"/>
                      <w:highlight w:val="none"/>
                      <w:u w:val="single"/>
                    </w:rPr>
                    <w:t>320</w:t>
                  </w:r>
                  <w:r>
                    <w:rPr>
                      <w:rFonts w:ascii="宋体" w:hAnsi="宋体" w:eastAsia="宋体" w:cs="宋体"/>
                      <w:color w:val="auto"/>
                      <w:spacing w:val="6"/>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6"/>
                      <w:sz w:val="20"/>
                      <w:szCs w:val="20"/>
                      <w:highlight w:val="none"/>
                      <w:u w:val="single"/>
                    </w:rPr>
                    <w:t>/a</w:t>
                  </w:r>
                  <w:r>
                    <w:rPr>
                      <w:rFonts w:ascii="宋体" w:hAnsi="宋体" w:eastAsia="宋体" w:cs="宋体"/>
                      <w:color w:val="auto"/>
                      <w:spacing w:val="6"/>
                      <w:sz w:val="20"/>
                      <w:szCs w:val="20"/>
                      <w:highlight w:val="none"/>
                      <w:u w:val="single"/>
                    </w:rPr>
                    <w:t>，本次新增危险品集装箱吞吐作业量</w:t>
                  </w:r>
                  <w:r>
                    <w:rPr>
                      <w:rFonts w:ascii="Times New Roman" w:hAnsi="Times New Roman" w:eastAsia="Times New Roman" w:cs="Times New Roman"/>
                      <w:color w:val="auto"/>
                      <w:spacing w:val="6"/>
                      <w:sz w:val="20"/>
                      <w:szCs w:val="20"/>
                      <w:highlight w:val="none"/>
                      <w:u w:val="single"/>
                    </w:rPr>
                    <w:t>1.2</w:t>
                  </w:r>
                  <w:r>
                    <w:rPr>
                      <w:rFonts w:ascii="宋体" w:hAnsi="宋体" w:eastAsia="宋体" w:cs="宋体"/>
                      <w:color w:val="auto"/>
                      <w:spacing w:val="6"/>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10"/>
                      <w:sz w:val="20"/>
                      <w:szCs w:val="20"/>
                      <w:highlight w:val="none"/>
                      <w:u w:val="single"/>
                    </w:rPr>
                    <w:t>/a</w:t>
                  </w:r>
                  <w:r>
                    <w:rPr>
                      <w:rFonts w:ascii="宋体" w:hAnsi="宋体" w:eastAsia="宋体" w:cs="宋体"/>
                      <w:color w:val="auto"/>
                      <w:spacing w:val="10"/>
                      <w:sz w:val="20"/>
                      <w:szCs w:val="20"/>
                      <w:highlight w:val="none"/>
                      <w:u w:val="single"/>
                    </w:rPr>
                    <w:t>，变更后码头危险货物集装箱作业量共</w:t>
                  </w:r>
                  <w:r>
                    <w:rPr>
                      <w:rFonts w:ascii="Times New Roman" w:hAnsi="Times New Roman" w:eastAsia="Times New Roman" w:cs="Times New Roman"/>
                      <w:color w:val="auto"/>
                      <w:spacing w:val="10"/>
                      <w:sz w:val="20"/>
                      <w:szCs w:val="20"/>
                      <w:highlight w:val="none"/>
                      <w:u w:val="single"/>
                    </w:rPr>
                    <w:t>10</w:t>
                  </w:r>
                  <w:r>
                    <w:rPr>
                      <w:rFonts w:ascii="宋体" w:hAnsi="宋体" w:eastAsia="宋体" w:cs="宋体"/>
                      <w:color w:val="auto"/>
                      <w:spacing w:val="10"/>
                      <w:sz w:val="20"/>
                      <w:szCs w:val="20"/>
                      <w:highlight w:val="none"/>
                      <w:u w:val="single"/>
                    </w:rPr>
                    <w:t>万</w:t>
                  </w:r>
                  <w:r>
                    <w:rPr>
                      <w:rFonts w:ascii="Times New Roman" w:hAnsi="Times New Roman" w:eastAsia="Times New Roman" w:cs="Times New Roman"/>
                      <w:color w:val="auto"/>
                      <w:sz w:val="20"/>
                      <w:szCs w:val="20"/>
                      <w:highlight w:val="none"/>
                      <w:u w:val="single"/>
                    </w:rPr>
                    <w:t>TEU</w:t>
                  </w:r>
                  <w:r>
                    <w:rPr>
                      <w:rFonts w:ascii="Times New Roman" w:hAnsi="Times New Roman" w:eastAsia="Times New Roman" w:cs="Times New Roman"/>
                      <w:color w:val="auto"/>
                      <w:spacing w:val="4"/>
                      <w:sz w:val="20"/>
                      <w:szCs w:val="20"/>
                      <w:highlight w:val="none"/>
                      <w:u w:val="single"/>
                    </w:rPr>
                    <w:t>/a</w:t>
                  </w:r>
                  <w:r>
                    <w:rPr>
                      <w:rFonts w:ascii="宋体" w:hAnsi="宋体" w:eastAsia="宋体" w:cs="宋体"/>
                      <w:color w:val="auto"/>
                      <w:spacing w:val="4"/>
                      <w:sz w:val="20"/>
                      <w:szCs w:val="20"/>
                      <w:highlight w:val="none"/>
                      <w:u w:val="single"/>
                    </w:rPr>
                    <w:t>，占总吞吐量的</w:t>
                  </w:r>
                  <w:r>
                    <w:rPr>
                      <w:rFonts w:ascii="Times New Roman" w:hAnsi="Times New Roman" w:eastAsia="Times New Roman" w:cs="Times New Roman"/>
                      <w:color w:val="auto"/>
                      <w:spacing w:val="4"/>
                      <w:sz w:val="20"/>
                      <w:szCs w:val="20"/>
                      <w:highlight w:val="none"/>
                      <w:u w:val="single"/>
                    </w:rPr>
                    <w:t>3.125%</w:t>
                  </w:r>
                  <w:r>
                    <w:rPr>
                      <w:rFonts w:ascii="宋体" w:hAnsi="宋体" w:eastAsia="宋体" w:cs="宋体"/>
                      <w:color w:val="auto"/>
                      <w:spacing w:val="4"/>
                      <w:sz w:val="20"/>
                      <w:szCs w:val="20"/>
                      <w:highlight w:val="none"/>
                      <w:u w:val="single"/>
                    </w:rPr>
                    <w:t>。本项目新增危险货物</w:t>
                  </w:r>
                  <w:r>
                    <w:rPr>
                      <w:rFonts w:ascii="宋体" w:hAnsi="宋体" w:eastAsia="宋体" w:cs="宋体"/>
                      <w:color w:val="auto"/>
                      <w:spacing w:val="8"/>
                      <w:sz w:val="20"/>
                      <w:szCs w:val="20"/>
                      <w:highlight w:val="none"/>
                      <w:u w:val="single"/>
                    </w:rPr>
                    <w:t>集装箱的装卸作业采用直装直取方式，危险货物集装箱堆场的货种仍为现有《港口危险货物作业附证》中</w:t>
                  </w:r>
                  <w:r>
                    <w:rPr>
                      <w:rFonts w:ascii="宋体" w:hAnsi="宋体" w:eastAsia="宋体" w:cs="宋体"/>
                      <w:color w:val="auto"/>
                      <w:sz w:val="20"/>
                      <w:szCs w:val="20"/>
                      <w:highlight w:val="none"/>
                      <w:u w:val="single"/>
                    </w:rPr>
                    <w:t>的货种。</w:t>
                  </w:r>
                </w:p>
              </w:tc>
            </w:tr>
            <w:tr w14:paraId="1A1B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9" w:hRule="atLeast"/>
              </w:trPr>
              <w:tc>
                <w:tcPr>
                  <w:tcW w:w="883" w:type="dxa"/>
                  <w:vMerge w:val="continue"/>
                  <w:tcBorders>
                    <w:top w:val="nil"/>
                  </w:tcBorders>
                  <w:vAlign w:val="center"/>
                </w:tcPr>
                <w:p w14:paraId="6EF69415">
                  <w:pPr>
                    <w:jc w:val="center"/>
                    <w:rPr>
                      <w:rFonts w:ascii="Arial"/>
                      <w:color w:val="auto"/>
                      <w:sz w:val="21"/>
                      <w:highlight w:val="none"/>
                      <w:u w:val="single"/>
                    </w:rPr>
                  </w:pPr>
                </w:p>
              </w:tc>
              <w:tc>
                <w:tcPr>
                  <w:tcW w:w="858" w:type="dxa"/>
                  <w:vAlign w:val="center"/>
                </w:tcPr>
                <w:p w14:paraId="3316183C">
                  <w:pPr>
                    <w:spacing w:before="65" w:line="239" w:lineRule="auto"/>
                    <w:ind w:left="43" w:right="48"/>
                    <w:jc w:val="center"/>
                    <w:rPr>
                      <w:rFonts w:ascii="宋体" w:hAnsi="宋体" w:eastAsia="宋体" w:cs="宋体"/>
                      <w:color w:val="auto"/>
                      <w:sz w:val="20"/>
                      <w:szCs w:val="20"/>
                      <w:highlight w:val="none"/>
                      <w:u w:val="single"/>
                    </w:rPr>
                  </w:pPr>
                  <w:r>
                    <w:rPr>
                      <w:rFonts w:ascii="宋体" w:hAnsi="宋体" w:eastAsia="宋体" w:cs="宋体"/>
                      <w:color w:val="auto"/>
                      <w:spacing w:val="7"/>
                      <w:sz w:val="20"/>
                      <w:szCs w:val="20"/>
                      <w:highlight w:val="none"/>
                      <w:u w:val="single"/>
                    </w:rPr>
                    <w:t>重大变动环保验收</w:t>
                  </w:r>
                </w:p>
              </w:tc>
              <w:tc>
                <w:tcPr>
                  <w:tcW w:w="2118" w:type="dxa"/>
                  <w:vAlign w:val="center"/>
                </w:tcPr>
                <w:p w14:paraId="068023E7">
                  <w:pPr>
                    <w:spacing w:before="65" w:line="245" w:lineRule="auto"/>
                    <w:ind w:left="28" w:right="25" w:hanging="1"/>
                    <w:jc w:val="center"/>
                    <w:rPr>
                      <w:rFonts w:ascii="宋体" w:hAnsi="宋体" w:eastAsia="宋体" w:cs="宋体"/>
                      <w:color w:val="auto"/>
                      <w:sz w:val="20"/>
                      <w:szCs w:val="20"/>
                      <w:highlight w:val="none"/>
                      <w:u w:val="single"/>
                    </w:rPr>
                  </w:pPr>
                  <w:r>
                    <w:rPr>
                      <w:rFonts w:ascii="宋体" w:hAnsi="宋体" w:eastAsia="宋体" w:cs="宋体"/>
                      <w:color w:val="auto"/>
                      <w:spacing w:val="2"/>
                      <w:sz w:val="20"/>
                      <w:szCs w:val="20"/>
                      <w:highlight w:val="none"/>
                      <w:u w:val="single"/>
                    </w:rPr>
                    <w:t>《钦州港大榄坪</w:t>
                  </w:r>
                  <w:r>
                    <w:rPr>
                      <w:rFonts w:ascii="宋体" w:hAnsi="宋体" w:eastAsia="宋体" w:cs="宋体"/>
                      <w:color w:val="auto"/>
                      <w:spacing w:val="5"/>
                      <w:sz w:val="20"/>
                      <w:szCs w:val="20"/>
                      <w:highlight w:val="none"/>
                      <w:u w:val="single"/>
                    </w:rPr>
                    <w:t>南作业区</w:t>
                  </w:r>
                  <w:r>
                    <w:rPr>
                      <w:rFonts w:ascii="Times New Roman" w:hAnsi="Times New Roman" w:eastAsia="Times New Roman" w:cs="Times New Roman"/>
                      <w:color w:val="auto"/>
                      <w:spacing w:val="5"/>
                      <w:sz w:val="20"/>
                      <w:szCs w:val="20"/>
                      <w:highlight w:val="none"/>
                      <w:u w:val="single"/>
                    </w:rPr>
                    <w:t>1#-6#</w:t>
                  </w:r>
                  <w:r>
                    <w:rPr>
                      <w:rFonts w:ascii="宋体" w:hAnsi="宋体" w:eastAsia="宋体" w:cs="宋体"/>
                      <w:color w:val="auto"/>
                      <w:spacing w:val="5"/>
                      <w:sz w:val="20"/>
                      <w:szCs w:val="20"/>
                      <w:highlight w:val="none"/>
                      <w:u w:val="single"/>
                    </w:rPr>
                    <w:t>泊位新增</w:t>
                  </w:r>
                  <w:r>
                    <w:rPr>
                      <w:rFonts w:ascii="宋体" w:hAnsi="宋体" w:eastAsia="宋体" w:cs="宋体"/>
                      <w:color w:val="auto"/>
                      <w:spacing w:val="3"/>
                      <w:sz w:val="20"/>
                      <w:szCs w:val="20"/>
                      <w:highlight w:val="none"/>
                      <w:u w:val="single"/>
                    </w:rPr>
                    <w:t>危险货物集装箱项目（重大变动）竣工环境保护验</w:t>
                  </w:r>
                  <w:r>
                    <w:rPr>
                      <w:rFonts w:ascii="宋体" w:hAnsi="宋体" w:eastAsia="宋体" w:cs="宋体"/>
                      <w:color w:val="auto"/>
                      <w:spacing w:val="5"/>
                      <w:sz w:val="20"/>
                      <w:szCs w:val="20"/>
                      <w:highlight w:val="none"/>
                      <w:u w:val="single"/>
                    </w:rPr>
                    <w:t>收调查报告》</w:t>
                  </w:r>
                </w:p>
              </w:tc>
              <w:tc>
                <w:tcPr>
                  <w:tcW w:w="1489" w:type="dxa"/>
                  <w:vAlign w:val="center"/>
                </w:tcPr>
                <w:p w14:paraId="1CE2BB33">
                  <w:pPr>
                    <w:spacing w:before="57" w:line="199" w:lineRule="auto"/>
                    <w:ind w:left="773"/>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Align w:val="center"/>
                </w:tcPr>
                <w:p w14:paraId="1AC0BF6D">
                  <w:pPr>
                    <w:spacing w:before="65" w:line="233" w:lineRule="auto"/>
                    <w:ind w:left="397"/>
                    <w:jc w:val="both"/>
                    <w:rPr>
                      <w:rFonts w:ascii="宋体" w:hAnsi="宋体" w:eastAsia="宋体" w:cs="宋体"/>
                      <w:color w:val="auto"/>
                      <w:sz w:val="20"/>
                      <w:szCs w:val="20"/>
                      <w:highlight w:val="none"/>
                      <w:u w:val="single"/>
                    </w:rPr>
                  </w:pPr>
                  <w:r>
                    <w:rPr>
                      <w:rFonts w:ascii="宋体" w:hAnsi="宋体" w:eastAsia="宋体" w:cs="宋体"/>
                      <w:color w:val="auto"/>
                      <w:sz w:val="20"/>
                      <w:szCs w:val="20"/>
                      <w:highlight w:val="none"/>
                      <w:u w:val="single"/>
                    </w:rPr>
                    <w:t>/</w:t>
                  </w:r>
                </w:p>
              </w:tc>
              <w:tc>
                <w:tcPr>
                  <w:tcW w:w="1428" w:type="dxa"/>
                  <w:vAlign w:val="center"/>
                </w:tcPr>
                <w:p w14:paraId="615C433D">
                  <w:pPr>
                    <w:spacing w:before="57" w:line="199" w:lineRule="auto"/>
                    <w:ind w:left="742"/>
                    <w:jc w:val="both"/>
                    <w:rPr>
                      <w:rFonts w:ascii="Times New Roman" w:hAnsi="Times New Roman" w:eastAsia="Times New Roman" w:cs="Times New Roman"/>
                      <w:color w:val="auto"/>
                      <w:sz w:val="20"/>
                      <w:szCs w:val="20"/>
                      <w:highlight w:val="none"/>
                      <w:u w:val="single"/>
                    </w:rPr>
                  </w:pPr>
                  <w:r>
                    <w:rPr>
                      <w:rFonts w:ascii="Times New Roman" w:hAnsi="Times New Roman" w:eastAsia="Times New Roman" w:cs="Times New Roman"/>
                      <w:color w:val="auto"/>
                      <w:spacing w:val="2"/>
                      <w:sz w:val="20"/>
                      <w:szCs w:val="20"/>
                      <w:highlight w:val="none"/>
                      <w:u w:val="single"/>
                    </w:rPr>
                    <w:t>/</w:t>
                  </w:r>
                </w:p>
              </w:tc>
              <w:tc>
                <w:tcPr>
                  <w:tcW w:w="828" w:type="dxa"/>
                  <w:vAlign w:val="center"/>
                </w:tcPr>
                <w:p w14:paraId="28DEB87B">
                  <w:pPr>
                    <w:spacing w:before="65" w:line="233" w:lineRule="auto"/>
                    <w:ind w:left="400"/>
                    <w:jc w:val="both"/>
                    <w:rPr>
                      <w:rFonts w:ascii="宋体" w:hAnsi="宋体" w:eastAsia="宋体" w:cs="宋体"/>
                      <w:color w:val="auto"/>
                      <w:sz w:val="20"/>
                      <w:szCs w:val="20"/>
                      <w:highlight w:val="none"/>
                      <w:u w:val="single"/>
                    </w:rPr>
                  </w:pPr>
                  <w:r>
                    <w:rPr>
                      <w:rFonts w:ascii="宋体" w:hAnsi="宋体" w:eastAsia="宋体" w:cs="宋体"/>
                      <w:color w:val="auto"/>
                      <w:sz w:val="20"/>
                      <w:szCs w:val="20"/>
                      <w:highlight w:val="none"/>
                      <w:u w:val="single"/>
                    </w:rPr>
                    <w:t>/</w:t>
                  </w:r>
                </w:p>
              </w:tc>
              <w:tc>
                <w:tcPr>
                  <w:tcW w:w="4484" w:type="dxa"/>
                  <w:vMerge w:val="continue"/>
                  <w:tcBorders>
                    <w:top w:val="nil"/>
                  </w:tcBorders>
                  <w:vAlign w:val="center"/>
                </w:tcPr>
                <w:p w14:paraId="35ED8EEF">
                  <w:pPr>
                    <w:jc w:val="center"/>
                    <w:rPr>
                      <w:rFonts w:ascii="Arial"/>
                      <w:color w:val="auto"/>
                      <w:sz w:val="21"/>
                      <w:highlight w:val="none"/>
                      <w:u w:val="single"/>
                    </w:rPr>
                  </w:pPr>
                </w:p>
              </w:tc>
            </w:tr>
          </w:tbl>
          <w:p w14:paraId="06D94410">
            <w:pPr>
              <w:pStyle w:val="24"/>
              <w:keepNext w:val="0"/>
              <w:keepLines w:val="0"/>
              <w:suppressLineNumbers w:val="0"/>
              <w:spacing w:before="0" w:beforeAutospacing="0" w:after="0" w:afterAutospacing="0"/>
              <w:ind w:right="0"/>
              <w:rPr>
                <w:rFonts w:hint="default"/>
                <w:color w:val="auto"/>
                <w:highlight w:val="none"/>
                <w:vertAlign w:val="baseline"/>
              </w:rPr>
            </w:pPr>
          </w:p>
        </w:tc>
      </w:tr>
    </w:tbl>
    <w:p w14:paraId="3C561881">
      <w:pPr>
        <w:pStyle w:val="24"/>
        <w:rPr>
          <w:rFonts w:hint="default"/>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5E1E4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F8FF741">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320" w:type="dxa"/>
            <w:noWrap w:val="0"/>
            <w:vAlign w:val="center"/>
          </w:tcPr>
          <w:p w14:paraId="1FE92432">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sz w:val="24"/>
                <w:szCs w:val="24"/>
                <w:highlight w:val="none"/>
              </w:rPr>
            </w:pPr>
            <w:r>
              <w:rPr>
                <w:rFonts w:hint="default" w:ascii="Times New Roman" w:hAnsi="Times New Roman" w:eastAsia="宋体" w:cs="Times New Roman"/>
                <w:caps w:val="0"/>
                <w:color w:val="auto"/>
                <w:kern w:val="2"/>
                <w:sz w:val="24"/>
                <w:szCs w:val="22"/>
                <w:highlight w:val="none"/>
                <w:u w:val="none"/>
                <w:lang w:val="en-US" w:eastAsia="zh-CN" w:bidi="ar-SA"/>
              </w:rPr>
              <w:t>为适应市场需要，202</w:t>
            </w:r>
            <w:r>
              <w:rPr>
                <w:rFonts w:hint="default" w:ascii="Times New Roman" w:hAnsi="Times New Roman" w:cs="Times New Roman"/>
                <w:caps w:val="0"/>
                <w:color w:val="auto"/>
                <w:kern w:val="2"/>
                <w:sz w:val="24"/>
                <w:szCs w:val="22"/>
                <w:highlight w:val="none"/>
                <w:u w:val="none"/>
                <w:lang w:val="en-US" w:eastAsia="zh-CN" w:bidi="ar-SA"/>
              </w:rPr>
              <w:t>4年委托</w:t>
            </w:r>
            <w:r>
              <w:rPr>
                <w:rFonts w:hint="default" w:ascii="Times New Roman" w:hAnsi="Times New Roman" w:eastAsia="宋体" w:cs="Times New Roman"/>
                <w:caps w:val="0"/>
                <w:color w:val="auto"/>
                <w:kern w:val="2"/>
                <w:sz w:val="24"/>
                <w:szCs w:val="22"/>
                <w:highlight w:val="none"/>
                <w:u w:val="none"/>
                <w:lang w:val="en-US" w:eastAsia="zh-CN" w:bidi="ar-SA"/>
              </w:rPr>
              <w:t>广西中冠智合生态环境有限公司</w:t>
            </w:r>
            <w:r>
              <w:rPr>
                <w:rFonts w:hint="default" w:ascii="Times New Roman" w:hAnsi="Times New Roman" w:cs="Times New Roman"/>
                <w:caps w:val="0"/>
                <w:color w:val="auto"/>
                <w:kern w:val="2"/>
                <w:sz w:val="24"/>
                <w:szCs w:val="22"/>
                <w:highlight w:val="none"/>
                <w:u w:val="none"/>
                <w:lang w:val="en-US" w:eastAsia="zh-CN" w:bidi="ar-SA"/>
              </w:rPr>
              <w:t>编制了</w:t>
            </w:r>
            <w:r>
              <w:rPr>
                <w:rFonts w:hint="default" w:ascii="Times New Roman" w:hAnsi="Times New Roman" w:eastAsia="宋体" w:cs="Times New Roman"/>
                <w:caps w:val="0"/>
                <w:color w:val="auto"/>
                <w:kern w:val="2"/>
                <w:sz w:val="24"/>
                <w:szCs w:val="22"/>
                <w:highlight w:val="none"/>
                <w:u w:val="none"/>
                <w:lang w:val="en-US" w:eastAsia="zh-CN" w:bidi="ar-SA"/>
              </w:rPr>
              <w:t>《钦州港大榄坪南作业区1#-6#泊位新增危险货物集装箱项目（重大变动）环境影响报告书》于202</w:t>
            </w:r>
            <w:r>
              <w:rPr>
                <w:rFonts w:hint="default" w:ascii="Times New Roman" w:hAnsi="Times New Roman" w:cs="Times New Roman"/>
                <w:caps w:val="0"/>
                <w:color w:val="auto"/>
                <w:kern w:val="2"/>
                <w:sz w:val="24"/>
                <w:szCs w:val="22"/>
                <w:highlight w:val="none"/>
                <w:u w:val="none"/>
                <w:lang w:val="en-US" w:eastAsia="zh-CN" w:bidi="ar-SA"/>
              </w:rPr>
              <w:t>4</w:t>
            </w:r>
            <w:r>
              <w:rPr>
                <w:rFonts w:hint="default" w:ascii="Times New Roman" w:hAnsi="Times New Roman" w:eastAsia="宋体" w:cs="Times New Roman"/>
                <w:caps w:val="0"/>
                <w:color w:val="auto"/>
                <w:kern w:val="2"/>
                <w:sz w:val="24"/>
                <w:szCs w:val="22"/>
                <w:highlight w:val="none"/>
                <w:u w:val="none"/>
                <w:lang w:val="en-US" w:eastAsia="zh-CN" w:bidi="ar-SA"/>
              </w:rPr>
              <w:t>年</w:t>
            </w:r>
            <w:r>
              <w:rPr>
                <w:rFonts w:hint="default" w:ascii="Times New Roman" w:hAnsi="Times New Roman" w:cs="Times New Roman"/>
                <w:caps w:val="0"/>
                <w:color w:val="auto"/>
                <w:kern w:val="2"/>
                <w:sz w:val="24"/>
                <w:szCs w:val="22"/>
                <w:highlight w:val="none"/>
                <w:u w:val="none"/>
                <w:lang w:val="en-US" w:eastAsia="zh-CN" w:bidi="ar-SA"/>
              </w:rPr>
              <w:t>7</w:t>
            </w:r>
            <w:r>
              <w:rPr>
                <w:rFonts w:hint="default" w:ascii="Times New Roman" w:hAnsi="Times New Roman" w:eastAsia="宋体" w:cs="Times New Roman"/>
                <w:caps w:val="0"/>
                <w:color w:val="auto"/>
                <w:kern w:val="2"/>
                <w:sz w:val="24"/>
                <w:szCs w:val="22"/>
                <w:highlight w:val="none"/>
                <w:u w:val="none"/>
                <w:lang w:val="en-US" w:eastAsia="zh-CN" w:bidi="ar-SA"/>
              </w:rPr>
              <w:t>月</w:t>
            </w:r>
            <w:r>
              <w:rPr>
                <w:rFonts w:hint="default" w:ascii="Times New Roman" w:hAnsi="Times New Roman" w:cs="Times New Roman"/>
                <w:caps w:val="0"/>
                <w:color w:val="auto"/>
                <w:kern w:val="2"/>
                <w:sz w:val="24"/>
                <w:szCs w:val="22"/>
                <w:highlight w:val="none"/>
                <w:u w:val="none"/>
                <w:lang w:val="en-US" w:eastAsia="zh-CN" w:bidi="ar-SA"/>
              </w:rPr>
              <w:t>31</w:t>
            </w:r>
            <w:r>
              <w:rPr>
                <w:rFonts w:hint="default" w:ascii="Times New Roman" w:hAnsi="Times New Roman" w:eastAsia="宋体" w:cs="Times New Roman"/>
                <w:caps w:val="0"/>
                <w:color w:val="auto"/>
                <w:kern w:val="2"/>
                <w:sz w:val="24"/>
                <w:szCs w:val="22"/>
                <w:highlight w:val="none"/>
                <w:u w:val="none"/>
                <w:lang w:val="en-US" w:eastAsia="zh-CN" w:bidi="ar-SA"/>
              </w:rPr>
              <w:t>日取得钦州市生态环境局的批复（批文号：自贸钦审批环〔202</w:t>
            </w:r>
            <w:r>
              <w:rPr>
                <w:rFonts w:hint="default" w:ascii="Times New Roman" w:hAnsi="Times New Roman" w:cs="Times New Roman"/>
                <w:caps w:val="0"/>
                <w:color w:val="auto"/>
                <w:kern w:val="2"/>
                <w:sz w:val="24"/>
                <w:szCs w:val="22"/>
                <w:highlight w:val="none"/>
                <w:u w:val="none"/>
                <w:lang w:val="en-US" w:eastAsia="zh-CN" w:bidi="ar-SA"/>
              </w:rPr>
              <w:t>4</w:t>
            </w:r>
            <w:r>
              <w:rPr>
                <w:rFonts w:hint="default" w:ascii="Times New Roman" w:hAnsi="Times New Roman" w:eastAsia="宋体" w:cs="Times New Roman"/>
                <w:caps w:val="0"/>
                <w:color w:val="auto"/>
                <w:kern w:val="2"/>
                <w:sz w:val="24"/>
                <w:szCs w:val="22"/>
                <w:highlight w:val="none"/>
                <w:u w:val="none"/>
                <w:lang w:val="en-US" w:eastAsia="zh-CN" w:bidi="ar-SA"/>
              </w:rPr>
              <w:t>〕</w:t>
            </w:r>
            <w:r>
              <w:rPr>
                <w:rFonts w:hint="default" w:ascii="Times New Roman" w:hAnsi="Times New Roman" w:cs="Times New Roman"/>
                <w:caps w:val="0"/>
                <w:color w:val="auto"/>
                <w:kern w:val="2"/>
                <w:sz w:val="24"/>
                <w:szCs w:val="22"/>
                <w:highlight w:val="none"/>
                <w:u w:val="none"/>
                <w:lang w:val="en-US" w:eastAsia="zh-CN" w:bidi="ar-SA"/>
              </w:rPr>
              <w:t>39</w:t>
            </w:r>
            <w:r>
              <w:rPr>
                <w:rFonts w:hint="default" w:ascii="Times New Roman" w:hAnsi="Times New Roman" w:eastAsia="宋体" w:cs="Times New Roman"/>
                <w:caps w:val="0"/>
                <w:color w:val="auto"/>
                <w:kern w:val="2"/>
                <w:sz w:val="24"/>
                <w:szCs w:val="22"/>
                <w:highlight w:val="none"/>
                <w:u w:val="none"/>
                <w:lang w:val="en-US" w:eastAsia="zh-CN" w:bidi="ar-SA"/>
              </w:rPr>
              <w:t>号）。</w:t>
            </w:r>
            <w:r>
              <w:rPr>
                <w:rFonts w:hint="eastAsia" w:ascii="Times New Roman" w:hAnsi="Times New Roman" w:eastAsia="宋体"/>
                <w:caps w:val="0"/>
                <w:color w:val="auto"/>
                <w:sz w:val="24"/>
                <w:szCs w:val="24"/>
                <w:highlight w:val="none"/>
              </w:rPr>
              <w:t>并于202</w:t>
            </w:r>
            <w:r>
              <w:rPr>
                <w:rFonts w:hint="eastAsia" w:ascii="Times New Roman" w:hAnsi="Times New Roman"/>
                <w:caps w:val="0"/>
                <w:color w:val="auto"/>
                <w:sz w:val="24"/>
                <w:szCs w:val="24"/>
                <w:highlight w:val="none"/>
                <w:lang w:val="en-US" w:eastAsia="zh-CN"/>
              </w:rPr>
              <w:t>4</w:t>
            </w:r>
            <w:r>
              <w:rPr>
                <w:rFonts w:hint="eastAsia" w:ascii="Times New Roman" w:hAnsi="Times New Roman" w:eastAsia="宋体"/>
                <w:caps w:val="0"/>
                <w:color w:val="auto"/>
                <w:sz w:val="24"/>
                <w:szCs w:val="24"/>
                <w:highlight w:val="none"/>
              </w:rPr>
              <w:t>年</w:t>
            </w:r>
            <w:r>
              <w:rPr>
                <w:rFonts w:hint="eastAsia" w:ascii="Times New Roman" w:hAnsi="Times New Roman"/>
                <w:caps w:val="0"/>
                <w:color w:val="auto"/>
                <w:sz w:val="24"/>
                <w:szCs w:val="24"/>
                <w:highlight w:val="none"/>
                <w:lang w:val="en-US" w:eastAsia="zh-CN"/>
              </w:rPr>
              <w:t>11</w:t>
            </w:r>
            <w:r>
              <w:rPr>
                <w:rFonts w:hint="eastAsia" w:ascii="Times New Roman" w:hAnsi="Times New Roman" w:eastAsia="宋体"/>
                <w:caps w:val="0"/>
                <w:color w:val="auto"/>
                <w:sz w:val="24"/>
                <w:szCs w:val="24"/>
                <w:highlight w:val="none"/>
              </w:rPr>
              <w:t>月组织开展了自主验收会议，并通过竣工环境保护验收</w:t>
            </w:r>
            <w:r>
              <w:rPr>
                <w:rFonts w:hint="eastAsia" w:ascii="Times New Roman" w:hAnsi="Times New Roman"/>
                <w:caps w:val="0"/>
                <w:color w:val="auto"/>
                <w:sz w:val="24"/>
                <w:szCs w:val="24"/>
                <w:highlight w:val="none"/>
                <w:lang w:eastAsia="zh-CN"/>
              </w:rPr>
              <w:t>（</w:t>
            </w:r>
            <w:r>
              <w:rPr>
                <w:rFonts w:hint="eastAsia" w:ascii="Times New Roman" w:hAnsi="Times New Roman"/>
                <w:caps w:val="0"/>
                <w:color w:val="auto"/>
                <w:sz w:val="24"/>
                <w:szCs w:val="24"/>
                <w:highlight w:val="none"/>
                <w:lang w:val="en-US" w:eastAsia="zh-CN"/>
              </w:rPr>
              <w:t>详见附件12</w:t>
            </w:r>
            <w:r>
              <w:rPr>
                <w:rFonts w:hint="eastAsia" w:ascii="Times New Roman" w:hAnsi="Times New Roman"/>
                <w:caps w:val="0"/>
                <w:color w:val="auto"/>
                <w:sz w:val="24"/>
                <w:szCs w:val="24"/>
                <w:highlight w:val="none"/>
                <w:lang w:eastAsia="zh-CN"/>
              </w:rPr>
              <w:t>）</w:t>
            </w:r>
            <w:r>
              <w:rPr>
                <w:rFonts w:hint="eastAsia" w:ascii="Times New Roman" w:hAnsi="Times New Roman" w:eastAsia="宋体"/>
                <w:caps w:val="0"/>
                <w:color w:val="auto"/>
                <w:sz w:val="24"/>
                <w:szCs w:val="24"/>
                <w:highlight w:val="none"/>
              </w:rPr>
              <w:t>。</w:t>
            </w:r>
          </w:p>
          <w:p w14:paraId="7C888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kern w:val="2"/>
                <w:sz w:val="24"/>
                <w:szCs w:val="22"/>
                <w:highlight w:val="none"/>
                <w:u w:val="none"/>
                <w:lang w:val="en-US" w:eastAsia="zh-CN" w:bidi="ar-SA"/>
              </w:rPr>
            </w:pPr>
            <w:r>
              <w:rPr>
                <w:rFonts w:hint="default" w:ascii="Times New Roman" w:hAnsi="Times New Roman" w:eastAsia="宋体" w:cs="Times New Roman"/>
                <w:caps w:val="0"/>
                <w:color w:val="auto"/>
                <w:kern w:val="2"/>
                <w:sz w:val="24"/>
                <w:szCs w:val="22"/>
                <w:highlight w:val="none"/>
                <w:u w:val="none"/>
                <w:lang w:val="en-US" w:eastAsia="zh-CN" w:bidi="ar-SA"/>
              </w:rPr>
              <w:t>维持现有码头吞吐量（320万TEU/a）和货类（危险货物货类共8类）不变，仅对原大榄坪南1#、2#泊位和3#~6#泊位批复的危险作业货种进行新增，其1#、2#泊位新增危险货种1814种，3#~6#泊位新增危险货种1844种。本项目新增货类后，1#~6#泊位可作业危险货物集装箱货种一致，共8类1869种（每个泊位均可作业每一种货物），主要包括：《危险货物品名表》（GB12268-2012）中的1类爆炸品（1.3G、1.4G、1.4S烟花爆竹、军工品）、2类气体（所有货种）、3类易燃液体（除氯丹外的所有货种）；4类易燃固体、易于自燃的物质、遇水放出易燃气体的物质（所有货种）；5类氧化性物质和有机过氧化物（所有货种）、6类毒性物质和感染性物质（除艾氏剂、狄氏剂、异狄氏剂、七氯、六氯苯、灭蚁灵、毒杀芬、滴滴涕、十氯酮、a-六氯环已烷、β-六氯环已烷、林丹、硫丹外的所有货种）；第8类腐蚀性物质（除氟化氢、氢氟酸、UN编号为3094的腐蚀性液体、UN编号为3096的腐蚀性固体、全氟辛基磺酸及其盐类和全氟辛基磺酰氟外的所有货种）；第9类杂项危险物质和物品，包括危害环境物质（除UN编号为3257的高温液体、UN编号为3258的高温固体、UN编号为3245的基因改变的微生物、多氯联苯、五氯苯、六溴联苯、四溴二苯醚和五溴二苯醚、六溴二苯醚和七溴二苯醚、六溴环十二烷外的所有货种）。</w:t>
            </w:r>
          </w:p>
          <w:p w14:paraId="00586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eastAsia="宋体" w:cs="Times New Roman"/>
                <w:caps w:val="0"/>
                <w:color w:val="auto"/>
                <w:kern w:val="2"/>
                <w:sz w:val="24"/>
                <w:szCs w:val="22"/>
                <w:highlight w:val="none"/>
                <w:u w:val="none"/>
                <w:lang w:val="en-US" w:eastAsia="zh-CN" w:bidi="ar-SA"/>
              </w:rPr>
              <w:t>新增危险货种后，码头危险货物集装箱作业量共10万TEU/a，占总吞吐量的3.125%</w:t>
            </w:r>
            <w:r>
              <w:rPr>
                <w:rFonts w:hint="default" w:ascii="Times New Roman" w:hAnsi="Times New Roman" w:cs="Times New Roman"/>
                <w:color w:val="auto"/>
                <w:sz w:val="24"/>
                <w:highlight w:val="none"/>
                <w:u w:val="none"/>
              </w:rPr>
              <w:t>。现有工程具体建设内容详见</w:t>
            </w:r>
            <w:r>
              <w:rPr>
                <w:rFonts w:hint="default" w:ascii="Times New Roman" w:hAnsi="Times New Roman" w:cs="Times New Roman"/>
                <w:color w:val="auto"/>
                <w:sz w:val="24"/>
                <w:highlight w:val="none"/>
                <w:u w:val="none"/>
                <w:lang w:eastAsia="zh-CN"/>
              </w:rPr>
              <w:t>下</w:t>
            </w:r>
            <w:r>
              <w:rPr>
                <w:rFonts w:hint="default" w:ascii="Times New Roman" w:hAnsi="Times New Roman" w:cs="Times New Roman"/>
                <w:color w:val="auto"/>
                <w:sz w:val="24"/>
                <w:highlight w:val="none"/>
                <w:u w:val="none"/>
              </w:rPr>
              <w:t>表。</w:t>
            </w:r>
          </w:p>
          <w:p w14:paraId="4224F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504D4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4A4DE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20CA6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0C44A6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F05F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47C9C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highlight w:val="none"/>
                <w:u w:val="none"/>
                <w:lang w:eastAsia="zh-CN"/>
              </w:rPr>
            </w:pPr>
          </w:p>
          <w:p w14:paraId="76222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u w:val="none"/>
                <w:vertAlign w:val="baseline"/>
                <w:lang w:val="en-US" w:eastAsia="zh-CN"/>
              </w:rPr>
            </w:pPr>
            <w:r>
              <w:rPr>
                <w:rFonts w:hint="default" w:ascii="Times New Roman" w:hAnsi="Times New Roman" w:cs="Times New Roman"/>
                <w:b/>
                <w:bCs/>
                <w:color w:val="auto"/>
                <w:sz w:val="24"/>
                <w:highlight w:val="none"/>
                <w:u w:val="none"/>
                <w:lang w:eastAsia="zh-CN"/>
              </w:rPr>
              <w:t>表</w:t>
            </w:r>
            <w:r>
              <w:rPr>
                <w:rFonts w:hint="default" w:ascii="Times New Roman" w:hAnsi="Times New Roman" w:cs="Times New Roman"/>
                <w:b/>
                <w:bCs/>
                <w:color w:val="auto"/>
                <w:sz w:val="24"/>
                <w:highlight w:val="none"/>
                <w:u w:val="none"/>
                <w:lang w:val="en-US" w:eastAsia="zh-CN"/>
              </w:rPr>
              <w:t>2-</w:t>
            </w:r>
            <w:r>
              <w:rPr>
                <w:rFonts w:hint="eastAsia" w:cs="Times New Roman"/>
                <w:b/>
                <w:bCs/>
                <w:color w:val="auto"/>
                <w:sz w:val="24"/>
                <w:highlight w:val="none"/>
                <w:u w:val="none"/>
                <w:lang w:val="en-US" w:eastAsia="zh-CN"/>
              </w:rPr>
              <w:t>16</w:t>
            </w:r>
            <w:r>
              <w:rPr>
                <w:rFonts w:hint="default" w:ascii="Times New Roman" w:hAnsi="Times New Roman" w:cs="Times New Roman"/>
                <w:b/>
                <w:bCs/>
                <w:color w:val="auto"/>
                <w:sz w:val="24"/>
                <w:highlight w:val="none"/>
                <w:u w:val="none"/>
                <w:lang w:val="en-US" w:eastAsia="zh-CN"/>
              </w:rPr>
              <w:t>现有工程建设内容一览表</w:t>
            </w:r>
          </w:p>
          <w:tbl>
            <w:tblPr>
              <w:tblStyle w:val="46"/>
              <w:tblW w:w="77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59"/>
              <w:gridCol w:w="306"/>
              <w:gridCol w:w="655"/>
              <w:gridCol w:w="6299"/>
            </w:tblGrid>
            <w:tr w14:paraId="139CD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restart"/>
                  <w:tcBorders>
                    <w:tl2br w:val="nil"/>
                    <w:tr2bl w:val="nil"/>
                  </w:tcBorders>
                  <w:noWrap w:val="0"/>
                  <w:vAlign w:val="center"/>
                </w:tcPr>
                <w:p w14:paraId="0157852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工程类别</w:t>
                  </w:r>
                </w:p>
              </w:tc>
              <w:tc>
                <w:tcPr>
                  <w:tcW w:w="961" w:type="dxa"/>
                  <w:gridSpan w:val="2"/>
                  <w:vMerge w:val="restart"/>
                  <w:tcBorders>
                    <w:tl2br w:val="nil"/>
                    <w:tr2bl w:val="nil"/>
                  </w:tcBorders>
                  <w:noWrap w:val="0"/>
                  <w:vAlign w:val="center"/>
                </w:tcPr>
                <w:p w14:paraId="17913BD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组成</w:t>
                  </w:r>
                </w:p>
              </w:tc>
              <w:tc>
                <w:tcPr>
                  <w:tcW w:w="6299" w:type="dxa"/>
                  <w:vMerge w:val="restart"/>
                  <w:tcBorders>
                    <w:tl2br w:val="nil"/>
                    <w:tr2bl w:val="nil"/>
                  </w:tcBorders>
                  <w:noWrap w:val="0"/>
                  <w:vAlign w:val="center"/>
                </w:tcPr>
                <w:p w14:paraId="7EC8D47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lang w:val="en-US" w:eastAsia="zh-CN"/>
                    </w:rPr>
                    <w:t>现有工程</w:t>
                  </w:r>
                  <w:r>
                    <w:rPr>
                      <w:rFonts w:hint="default" w:ascii="Times New Roman" w:hAnsi="Times New Roman" w:eastAsia="宋体" w:cs="Times New Roman"/>
                      <w:b/>
                      <w:caps w:val="0"/>
                      <w:color w:val="auto"/>
                      <w:sz w:val="21"/>
                      <w:szCs w:val="21"/>
                      <w:highlight w:val="none"/>
                      <w:u w:val="none" w:color="auto"/>
                    </w:rPr>
                    <w:t>规模</w:t>
                  </w:r>
                </w:p>
              </w:tc>
            </w:tr>
            <w:tr w14:paraId="678C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continue"/>
                  <w:tcBorders>
                    <w:tl2br w:val="nil"/>
                    <w:tr2bl w:val="nil"/>
                  </w:tcBorders>
                  <w:noWrap w:val="0"/>
                  <w:vAlign w:val="center"/>
                </w:tcPr>
                <w:p w14:paraId="7E21485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c>
                <w:tcPr>
                  <w:tcW w:w="961" w:type="dxa"/>
                  <w:gridSpan w:val="2"/>
                  <w:vMerge w:val="continue"/>
                  <w:tcBorders>
                    <w:tl2br w:val="nil"/>
                    <w:tr2bl w:val="nil"/>
                  </w:tcBorders>
                  <w:noWrap w:val="0"/>
                  <w:vAlign w:val="center"/>
                </w:tcPr>
                <w:p w14:paraId="3171642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c>
                <w:tcPr>
                  <w:tcW w:w="6299" w:type="dxa"/>
                  <w:vMerge w:val="continue"/>
                  <w:tcBorders>
                    <w:tl2br w:val="nil"/>
                    <w:tr2bl w:val="nil"/>
                  </w:tcBorders>
                  <w:noWrap w:val="0"/>
                  <w:vAlign w:val="center"/>
                </w:tcPr>
                <w:p w14:paraId="57FEDD0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u w:val="none" w:color="auto"/>
                    </w:rPr>
                  </w:pPr>
                </w:p>
              </w:tc>
            </w:tr>
            <w:tr w14:paraId="6328E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restart"/>
                  <w:tcBorders>
                    <w:tl2br w:val="nil"/>
                    <w:tr2bl w:val="nil"/>
                  </w:tcBorders>
                  <w:noWrap w:val="0"/>
                  <w:vAlign w:val="center"/>
                </w:tcPr>
                <w:p w14:paraId="215D888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主体工程</w:t>
                  </w:r>
                </w:p>
              </w:tc>
              <w:tc>
                <w:tcPr>
                  <w:tcW w:w="961" w:type="dxa"/>
                  <w:gridSpan w:val="2"/>
                  <w:tcBorders>
                    <w:tl2br w:val="nil"/>
                    <w:tr2bl w:val="nil"/>
                  </w:tcBorders>
                  <w:noWrap w:val="0"/>
                  <w:vAlign w:val="center"/>
                </w:tcPr>
                <w:p w14:paraId="4C9148F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泊位数、年吞吐量及通过能力等</w:t>
                  </w:r>
                </w:p>
              </w:tc>
              <w:tc>
                <w:tcPr>
                  <w:tcW w:w="6299" w:type="dxa"/>
                  <w:tcBorders>
                    <w:tl2br w:val="nil"/>
                    <w:tr2bl w:val="nil"/>
                  </w:tcBorders>
                  <w:noWrap w:val="0"/>
                  <w:vAlign w:val="center"/>
                </w:tcPr>
                <w:p w14:paraId="03BABD0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rPr>
                    <w:t>6个7万吨级多用途泊位（水工按10万吨级设计），设计集装箱吞吐量共320万TEU/a，其中危险货物集装箱作业量</w:t>
                  </w:r>
                  <w:r>
                    <w:rPr>
                      <w:rFonts w:hint="eastAsia" w:ascii="Times New Roman" w:hAnsi="Times New Roman" w:cs="Times New Roman"/>
                      <w:caps w:val="0"/>
                      <w:color w:val="auto"/>
                      <w:sz w:val="21"/>
                      <w:szCs w:val="21"/>
                      <w:highlight w:val="none"/>
                      <w:u w:val="none" w:color="auto"/>
                      <w:lang w:val="en-US" w:eastAsia="zh-CN"/>
                    </w:rPr>
                    <w:t>10</w:t>
                  </w:r>
                  <w:r>
                    <w:rPr>
                      <w:rFonts w:hint="default" w:ascii="Times New Roman" w:hAnsi="Times New Roman" w:eastAsia="宋体" w:cs="Times New Roman"/>
                      <w:caps w:val="0"/>
                      <w:color w:val="auto"/>
                      <w:sz w:val="21"/>
                      <w:szCs w:val="21"/>
                      <w:highlight w:val="none"/>
                      <w:u w:val="none" w:color="auto"/>
                    </w:rPr>
                    <w:t>万TEU/a，占总吞吐量的</w:t>
                  </w:r>
                  <w:r>
                    <w:rPr>
                      <w:rFonts w:hint="eastAsia" w:ascii="Times New Roman" w:hAnsi="Times New Roman" w:cs="Times New Roman"/>
                      <w:caps w:val="0"/>
                      <w:color w:val="auto"/>
                      <w:sz w:val="21"/>
                      <w:szCs w:val="21"/>
                      <w:highlight w:val="none"/>
                      <w:u w:val="none" w:color="auto"/>
                      <w:lang w:val="en-US" w:eastAsia="zh-CN"/>
                    </w:rPr>
                    <w:t>3.125</w:t>
                  </w:r>
                  <w:r>
                    <w:rPr>
                      <w:rFonts w:hint="default" w:ascii="Times New Roman" w:hAnsi="Times New Roman" w:eastAsia="宋体" w:cs="Times New Roman"/>
                      <w:caps w:val="0"/>
                      <w:color w:val="auto"/>
                      <w:sz w:val="21"/>
                      <w:szCs w:val="21"/>
                      <w:highlight w:val="none"/>
                      <w:u w:val="none" w:color="auto"/>
                    </w:rPr>
                    <w:t>%。</w:t>
                  </w:r>
                  <w:r>
                    <w:rPr>
                      <w:rFonts w:hint="default" w:ascii="Times New Roman" w:hAnsi="Times New Roman" w:eastAsia="宋体" w:cs="Times New Roman"/>
                      <w:caps w:val="0"/>
                      <w:color w:val="auto"/>
                      <w:kern w:val="2"/>
                      <w:sz w:val="21"/>
                      <w:szCs w:val="21"/>
                      <w:highlight w:val="none"/>
                      <w:u w:val="none"/>
                      <w:lang w:val="en-US" w:eastAsia="zh-CN" w:bidi="ar-SA"/>
                    </w:rPr>
                    <w:t>1#、2#泊位新增危险货种1814种，3#~6#泊位新增危险货种1844种。本项目新增货类后，1#~6#泊位可作业危险货物集装箱货种一致，共8类1869种（每个泊位均可作业每一种货物）</w:t>
                  </w:r>
                  <w:r>
                    <w:rPr>
                      <w:rFonts w:hint="eastAsia" w:ascii="Times New Roman" w:hAnsi="Times New Roman" w:cs="Times New Roman"/>
                      <w:caps w:val="0"/>
                      <w:color w:val="auto"/>
                      <w:kern w:val="2"/>
                      <w:sz w:val="21"/>
                      <w:szCs w:val="21"/>
                      <w:highlight w:val="none"/>
                      <w:u w:val="none"/>
                      <w:lang w:val="en-US" w:eastAsia="zh-CN" w:bidi="ar-SA"/>
                    </w:rPr>
                    <w:t>。</w:t>
                  </w:r>
                </w:p>
              </w:tc>
            </w:tr>
            <w:tr w14:paraId="4B6E6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3" w:hRule="atLeast"/>
                <w:jc w:val="center"/>
              </w:trPr>
              <w:tc>
                <w:tcPr>
                  <w:tcW w:w="459" w:type="dxa"/>
                  <w:vMerge w:val="continue"/>
                  <w:tcBorders>
                    <w:tl2br w:val="nil"/>
                    <w:tr2bl w:val="nil"/>
                  </w:tcBorders>
                  <w:noWrap w:val="0"/>
                  <w:vAlign w:val="center"/>
                </w:tcPr>
                <w:p w14:paraId="7EA2D1F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43770F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装卸工艺</w:t>
                  </w:r>
                </w:p>
              </w:tc>
              <w:tc>
                <w:tcPr>
                  <w:tcW w:w="6299" w:type="dxa"/>
                  <w:tcBorders>
                    <w:tl2br w:val="nil"/>
                    <w:tr2bl w:val="nil"/>
                  </w:tcBorders>
                  <w:noWrap w:val="0"/>
                  <w:vAlign w:val="center"/>
                </w:tcPr>
                <w:p w14:paraId="3527F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重箱、冷藏箱</w:t>
                  </w:r>
                  <w:r>
                    <w:rPr>
                      <w:rFonts w:hint="default" w:ascii="Times New Roman" w:hAnsi="Times New Roman" w:cs="Times New Roman"/>
                      <w:b/>
                      <w:bCs w:val="0"/>
                      <w:caps w:val="0"/>
                      <w:color w:val="auto"/>
                      <w:kern w:val="2"/>
                      <w:sz w:val="21"/>
                      <w:szCs w:val="21"/>
                      <w:highlight w:val="none"/>
                      <w:u w:val="none" w:color="auto"/>
                      <w:lang w:val="en-US" w:eastAsia="zh-CN" w:bidi="ar-SA"/>
                    </w:rPr>
                    <w:t>：</w:t>
                  </w:r>
                </w:p>
                <w:p w14:paraId="1F3F5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船←→岸桥←→集装箱牵引车拖半挂车←→轨道式场桥←→堆场；</w:t>
                  </w:r>
                </w:p>
                <w:p w14:paraId="40202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lang w:val="en-US"/>
                    </w:rPr>
                  </w:pPr>
                  <w:r>
                    <w:rPr>
                      <w:rFonts w:hint="default" w:ascii="Times New Roman" w:hAnsi="Times New Roman" w:eastAsia="宋体" w:cs="Times New Roman"/>
                      <w:bCs/>
                      <w:caps w:val="0"/>
                      <w:color w:val="auto"/>
                      <w:kern w:val="2"/>
                      <w:sz w:val="21"/>
                      <w:szCs w:val="21"/>
                      <w:highlight w:val="none"/>
                      <w:u w:val="none" w:color="auto"/>
                      <w:lang w:val="en-US" w:eastAsia="zh-CN" w:bidi="ar-SA"/>
                    </w:rPr>
                    <w:t>堆场←→轨道式场桥←→集装箱牵引车拖半挂车←→货主、拆装箱区。</w:t>
                  </w:r>
                </w:p>
              </w:tc>
            </w:tr>
            <w:tr w14:paraId="3759B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DCB1DE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18CEDA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F761AED">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空箱：</w:t>
                  </w:r>
                </w:p>
                <w:p w14:paraId="49450724">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船←→岸桥←→集装箱牵引车拖半挂车←→空箱堆高机←→空箱堆场；</w:t>
                  </w:r>
                </w:p>
                <w:p w14:paraId="1D901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空箱堆场←→空箱堆高机←→牵引车拖半挂车←→货主、拆装箱区。</w:t>
                  </w:r>
                </w:p>
              </w:tc>
            </w:tr>
            <w:tr w14:paraId="6D978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921" w:hRule="atLeast"/>
                <w:jc w:val="center"/>
              </w:trPr>
              <w:tc>
                <w:tcPr>
                  <w:tcW w:w="459" w:type="dxa"/>
                  <w:vMerge w:val="continue"/>
                  <w:tcBorders>
                    <w:tl2br w:val="nil"/>
                    <w:tr2bl w:val="nil"/>
                  </w:tcBorders>
                  <w:noWrap w:val="0"/>
                  <w:vAlign w:val="center"/>
                </w:tcPr>
                <w:p w14:paraId="0CAF6FA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929E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12498F1">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kern w:val="2"/>
                      <w:sz w:val="21"/>
                      <w:szCs w:val="21"/>
                      <w:highlight w:val="none"/>
                      <w:u w:val="none"/>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危险品箱：</w:t>
                  </w:r>
                  <w:r>
                    <w:rPr>
                      <w:rFonts w:hint="default" w:ascii="Times New Roman" w:hAnsi="Times New Roman" w:cs="Times New Roman"/>
                      <w:b/>
                      <w:bCs w:val="0"/>
                      <w:caps w:val="0"/>
                      <w:color w:val="auto"/>
                      <w:kern w:val="2"/>
                      <w:sz w:val="21"/>
                      <w:szCs w:val="21"/>
                      <w:highlight w:val="none"/>
                      <w:u w:val="none" w:color="auto"/>
                      <w:lang w:val="en-US" w:eastAsia="zh-CN" w:bidi="ar-SA"/>
                    </w:rPr>
                    <w:t>（现有危险货物部分进入</w:t>
                  </w:r>
                  <w:r>
                    <w:rPr>
                      <w:rFonts w:hint="default" w:ascii="Times New Roman" w:hAnsi="Times New Roman" w:eastAsia="宋体" w:cs="Times New Roman"/>
                      <w:b/>
                      <w:bCs w:val="0"/>
                      <w:caps w:val="0"/>
                      <w:color w:val="auto"/>
                      <w:kern w:val="2"/>
                      <w:sz w:val="21"/>
                      <w:szCs w:val="21"/>
                      <w:highlight w:val="none"/>
                      <w:u w:val="none" w:color="auto"/>
                      <w:lang w:val="en-US" w:eastAsia="zh-CN" w:bidi="ar-SA"/>
                    </w:rPr>
                    <w:t>危险货物集装箱专用堆场</w:t>
                  </w:r>
                  <w:r>
                    <w:rPr>
                      <w:rFonts w:hint="default" w:ascii="Times New Roman" w:hAnsi="Times New Roman" w:cs="Times New Roman"/>
                      <w:b/>
                      <w:bCs w:val="0"/>
                      <w:caps w:val="0"/>
                      <w:color w:val="auto"/>
                      <w:kern w:val="2"/>
                      <w:sz w:val="21"/>
                      <w:szCs w:val="21"/>
                      <w:highlight w:val="none"/>
                      <w:u w:val="none" w:color="auto"/>
                      <w:lang w:val="en-US" w:eastAsia="zh-CN" w:bidi="ar-SA"/>
                    </w:rPr>
                    <w:t>堆存，部分直装直取；</w:t>
                  </w:r>
                  <w:r>
                    <w:rPr>
                      <w:rFonts w:hint="default" w:ascii="Times New Roman" w:hAnsi="Times New Roman" w:eastAsia="宋体" w:cs="Times New Roman"/>
                      <w:b/>
                      <w:bCs w:val="0"/>
                      <w:caps w:val="0"/>
                      <w:color w:val="auto"/>
                      <w:kern w:val="2"/>
                      <w:sz w:val="21"/>
                      <w:szCs w:val="21"/>
                      <w:highlight w:val="none"/>
                      <w:u w:val="none" w:color="auto"/>
                      <w:lang w:val="en-US" w:eastAsia="zh-CN" w:bidi="ar-SA"/>
                    </w:rPr>
                    <w:t>堆场</w:t>
                  </w:r>
                  <w:r>
                    <w:rPr>
                      <w:rFonts w:hint="default" w:ascii="Times New Roman" w:hAnsi="Times New Roman" w:cs="Times New Roman"/>
                      <w:b/>
                      <w:bCs w:val="0"/>
                      <w:caps w:val="0"/>
                      <w:color w:val="auto"/>
                      <w:kern w:val="2"/>
                      <w:sz w:val="21"/>
                      <w:szCs w:val="21"/>
                      <w:highlight w:val="none"/>
                      <w:u w:val="none" w:color="auto"/>
                      <w:lang w:val="en-US" w:eastAsia="zh-CN" w:bidi="ar-SA"/>
                    </w:rPr>
                    <w:t>堆存货类见《港口危险货物作业附证》，附证所列货种均为“</w:t>
                  </w:r>
                  <w:r>
                    <w:rPr>
                      <w:rFonts w:hint="default" w:ascii="Times New Roman" w:hAnsi="Times New Roman" w:eastAsia="宋体" w:cs="Times New Roman"/>
                      <w:caps w:val="0"/>
                      <w:color w:val="auto"/>
                      <w:kern w:val="2"/>
                      <w:sz w:val="21"/>
                      <w:szCs w:val="21"/>
                      <w:highlight w:val="none"/>
                      <w:u w:val="none"/>
                      <w:lang w:val="en-US" w:eastAsia="zh-CN" w:bidi="ar-SA"/>
                    </w:rPr>
                    <w:t>1#、2#泊位新增危险货种1814种，3#~6#泊位新增危险货种1844种。本项目新增货类后，1#~6#泊位可作业危险货物集装箱货种一致，共8类1869种</w:t>
                  </w:r>
                  <w:r>
                    <w:rPr>
                      <w:rFonts w:hint="eastAsia" w:ascii="Times New Roman" w:hAnsi="Times New Roman" w:cs="Times New Roman"/>
                      <w:caps w:val="0"/>
                      <w:color w:val="auto"/>
                      <w:kern w:val="2"/>
                      <w:sz w:val="21"/>
                      <w:szCs w:val="21"/>
                      <w:highlight w:val="none"/>
                      <w:u w:val="none"/>
                      <w:lang w:val="en-US" w:eastAsia="zh-CN" w:bidi="ar-SA"/>
                    </w:rPr>
                    <w:t>”</w:t>
                  </w:r>
                </w:p>
                <w:p w14:paraId="4D07A950">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货主←→集卡←→正面吊、轨道式龙门起重机←→危险货物集装箱专用堆场；</w:t>
                  </w:r>
                </w:p>
                <w:p w14:paraId="2582B11E">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危险货物集装箱专用堆场←→正面吊、轨道式龙门起重机←→集卡←→岸桥←→船；</w:t>
                  </w:r>
                </w:p>
                <w:p w14:paraId="67DC43A4">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集装箱驳船（穿梭巴士）→桥岸→外贸集装箱班轮大船；</w:t>
                  </w:r>
                </w:p>
                <w:p w14:paraId="66222299">
                  <w:pPr>
                    <w:pStyle w:val="147"/>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集装箱驳船（穿梭巴士）→桥岸→港内集卡→桥岸→外贸集装箱班轮大船。</w:t>
                  </w:r>
                </w:p>
              </w:tc>
            </w:tr>
            <w:tr w14:paraId="7555A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13" w:hRule="atLeast"/>
                <w:jc w:val="center"/>
              </w:trPr>
              <w:tc>
                <w:tcPr>
                  <w:tcW w:w="459" w:type="dxa"/>
                  <w:vMerge w:val="continue"/>
                  <w:tcBorders>
                    <w:tl2br w:val="nil"/>
                    <w:tr2bl w:val="nil"/>
                  </w:tcBorders>
                  <w:noWrap w:val="0"/>
                  <w:vAlign w:val="center"/>
                </w:tcPr>
                <w:p w14:paraId="7D38D6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4C3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水工结构</w:t>
                  </w:r>
                </w:p>
              </w:tc>
              <w:tc>
                <w:tcPr>
                  <w:tcW w:w="6299" w:type="dxa"/>
                  <w:tcBorders>
                    <w:tl2br w:val="nil"/>
                    <w:tr2bl w:val="nil"/>
                  </w:tcBorders>
                  <w:noWrap w:val="0"/>
                  <w:vAlign w:val="center"/>
                </w:tcPr>
                <w:p w14:paraId="043C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vertAlign w:val="baseline"/>
                      <w:lang w:val="en-US" w:eastAsia="zh-CN"/>
                    </w:rPr>
                    <w:t>码头岸线总长1808m，宽86m，泊位前沿底高程-15.1m。</w:t>
                  </w:r>
                </w:p>
              </w:tc>
            </w:tr>
            <w:tr w14:paraId="7180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13B0DA6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0025E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港区陆域</w:t>
                  </w:r>
                </w:p>
              </w:tc>
              <w:tc>
                <w:tcPr>
                  <w:tcW w:w="6299" w:type="dxa"/>
                  <w:tcBorders>
                    <w:tl2br w:val="nil"/>
                    <w:tr2bl w:val="nil"/>
                  </w:tcBorders>
                  <w:noWrap w:val="0"/>
                  <w:vAlign w:val="center"/>
                </w:tcPr>
                <w:p w14:paraId="33D05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陆域占地总面积约135.64万m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建设集装箱</w:t>
                  </w:r>
                  <w:r>
                    <w:rPr>
                      <w:rFonts w:hint="default" w:ascii="Times New Roman" w:hAnsi="Times New Roman" w:eastAsia="宋体" w:cs="Times New Roman"/>
                      <w:caps w:val="0"/>
                      <w:color w:val="auto"/>
                      <w:sz w:val="21"/>
                      <w:szCs w:val="21"/>
                      <w:highlight w:val="none"/>
                      <w:u w:val="none" w:color="auto"/>
                    </w:rPr>
                    <w:t>堆场面积为</w:t>
                  </w:r>
                  <w:r>
                    <w:rPr>
                      <w:rFonts w:hint="default" w:ascii="Times New Roman" w:hAnsi="Times New Roman" w:eastAsia="宋体" w:cs="Times New Roman"/>
                      <w:caps w:val="0"/>
                      <w:color w:val="auto"/>
                      <w:sz w:val="21"/>
                      <w:szCs w:val="21"/>
                      <w:highlight w:val="none"/>
                      <w:u w:val="none" w:color="auto"/>
                      <w:lang w:val="en-US" w:eastAsia="zh-CN"/>
                    </w:rPr>
                    <w:t>988747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含1个5000m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vertAlign w:val="baseline"/>
                      <w:lang w:val="en-US" w:eastAsia="zh-CN"/>
                    </w:rPr>
                    <w:t>危险品货种集装箱堆场</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港内集卡停车场面积为26097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eastAsia" w:cs="Times New Roman"/>
                      <w:caps w:val="0"/>
                      <w:color w:val="auto"/>
                      <w:sz w:val="21"/>
                      <w:szCs w:val="21"/>
                      <w:highlight w:val="none"/>
                      <w:u w:val="none" w:color="auto"/>
                      <w:vertAlign w:val="baseline"/>
                      <w:lang w:eastAsia="zh-CN"/>
                    </w:rPr>
                    <w:t>候工楼</w:t>
                  </w:r>
                  <w:r>
                    <w:rPr>
                      <w:rFonts w:hint="default" w:ascii="Times New Roman" w:hAnsi="Times New Roman" w:eastAsia="宋体" w:cs="Times New Roman"/>
                      <w:caps w:val="0"/>
                      <w:color w:val="auto"/>
                      <w:sz w:val="21"/>
                      <w:szCs w:val="21"/>
                      <w:highlight w:val="none"/>
                      <w:u w:val="none" w:color="auto"/>
                      <w:vertAlign w:val="baseline"/>
                      <w:lang w:val="en-US" w:eastAsia="zh-CN"/>
                    </w:rPr>
                    <w:t>、维修站场、港内加油站、危险废物暂存间、含油污水处理站、应急物资库及</w:t>
                  </w:r>
                  <w:r>
                    <w:rPr>
                      <w:rFonts w:hint="default" w:ascii="Times New Roman" w:hAnsi="Times New Roman" w:eastAsia="宋体" w:cs="Times New Roman"/>
                      <w:caps w:val="0"/>
                      <w:color w:val="auto"/>
                      <w:sz w:val="21"/>
                      <w:szCs w:val="21"/>
                      <w:highlight w:val="none"/>
                      <w:u w:val="none" w:color="auto"/>
                    </w:rPr>
                    <w:t>变电所等。</w:t>
                  </w:r>
                </w:p>
              </w:tc>
            </w:tr>
            <w:tr w14:paraId="3B900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29567B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26B79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航道</w:t>
                  </w:r>
                </w:p>
              </w:tc>
              <w:tc>
                <w:tcPr>
                  <w:tcW w:w="6299" w:type="dxa"/>
                  <w:tcBorders>
                    <w:tl2br w:val="nil"/>
                    <w:tr2bl w:val="nil"/>
                  </w:tcBorders>
                  <w:noWrap w:val="0"/>
                  <w:vAlign w:val="center"/>
                </w:tcPr>
                <w:p w14:paraId="604BF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依托钦州湾东航道的大榄坪航道。</w:t>
                  </w:r>
                </w:p>
              </w:tc>
            </w:tr>
            <w:tr w14:paraId="31828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90" w:hRule="atLeast"/>
                <w:jc w:val="center"/>
              </w:trPr>
              <w:tc>
                <w:tcPr>
                  <w:tcW w:w="459" w:type="dxa"/>
                  <w:vMerge w:val="continue"/>
                  <w:tcBorders>
                    <w:tl2br w:val="nil"/>
                    <w:tr2bl w:val="nil"/>
                  </w:tcBorders>
                  <w:noWrap w:val="0"/>
                  <w:vAlign w:val="center"/>
                </w:tcPr>
                <w:p w14:paraId="2E80741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476B2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锚地</w:t>
                  </w:r>
                </w:p>
              </w:tc>
              <w:tc>
                <w:tcPr>
                  <w:tcW w:w="6299" w:type="dxa"/>
                  <w:tcBorders>
                    <w:tl2br w:val="nil"/>
                    <w:tr2bl w:val="nil"/>
                  </w:tcBorders>
                  <w:noWrap w:val="0"/>
                  <w:vAlign w:val="center"/>
                </w:tcPr>
                <w:p w14:paraId="745481F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依托钦州港</w:t>
                  </w:r>
                  <w:r>
                    <w:rPr>
                      <w:rFonts w:hint="default" w:ascii="Times New Roman" w:hAnsi="Times New Roman" w:eastAsia="宋体" w:cs="Times New Roman"/>
                      <w:caps w:val="0"/>
                      <w:color w:val="auto"/>
                      <w:sz w:val="21"/>
                      <w:szCs w:val="21"/>
                      <w:highlight w:val="none"/>
                      <w:u w:val="none" w:color="auto"/>
                      <w:lang w:val="en-US" w:eastAsia="zh-CN"/>
                    </w:rPr>
                    <w:t>规划设置的锚地</w:t>
                  </w:r>
                  <w:r>
                    <w:rPr>
                      <w:rFonts w:hint="default" w:ascii="Times New Roman" w:hAnsi="Times New Roman" w:eastAsia="宋体" w:cs="Times New Roman"/>
                      <w:caps w:val="0"/>
                      <w:color w:val="auto"/>
                      <w:sz w:val="21"/>
                      <w:szCs w:val="21"/>
                      <w:highlight w:val="none"/>
                      <w:u w:val="none" w:color="auto"/>
                    </w:rPr>
                    <w:t>，作为</w:t>
                  </w:r>
                  <w:r>
                    <w:rPr>
                      <w:rFonts w:hint="default" w:ascii="Times New Roman" w:hAnsi="Times New Roman" w:eastAsia="宋体" w:cs="Times New Roman"/>
                      <w:caps w:val="0"/>
                      <w:color w:val="auto"/>
                      <w:sz w:val="21"/>
                      <w:szCs w:val="21"/>
                      <w:highlight w:val="none"/>
                      <w:u w:val="none" w:color="auto"/>
                      <w:lang w:val="en-US" w:eastAsia="zh-CN"/>
                    </w:rPr>
                    <w:t>现有工程</w:t>
                  </w:r>
                  <w:r>
                    <w:rPr>
                      <w:rFonts w:hint="default" w:ascii="Times New Roman" w:hAnsi="Times New Roman" w:eastAsia="宋体" w:cs="Times New Roman"/>
                      <w:caps w:val="0"/>
                      <w:color w:val="auto"/>
                      <w:sz w:val="21"/>
                      <w:szCs w:val="21"/>
                      <w:highlight w:val="none"/>
                      <w:u w:val="none" w:color="auto"/>
                    </w:rPr>
                    <w:t>船舶锚泊地。</w:t>
                  </w:r>
                </w:p>
              </w:tc>
            </w:tr>
            <w:tr w14:paraId="5645D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restart"/>
                  <w:tcBorders>
                    <w:tl2br w:val="nil"/>
                    <w:tr2bl w:val="nil"/>
                  </w:tcBorders>
                  <w:noWrap w:val="0"/>
                  <w:vAlign w:val="center"/>
                </w:tcPr>
                <w:p w14:paraId="4F6F388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辅助工程</w:t>
                  </w:r>
                </w:p>
              </w:tc>
              <w:tc>
                <w:tcPr>
                  <w:tcW w:w="961" w:type="dxa"/>
                  <w:gridSpan w:val="2"/>
                  <w:tcBorders>
                    <w:tl2br w:val="nil"/>
                    <w:tr2bl w:val="nil"/>
                  </w:tcBorders>
                  <w:noWrap w:val="0"/>
                  <w:vAlign w:val="center"/>
                </w:tcPr>
                <w:p w14:paraId="3A96796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生产及辅助建筑物</w:t>
                  </w:r>
                </w:p>
              </w:tc>
              <w:tc>
                <w:tcPr>
                  <w:tcW w:w="6299" w:type="dxa"/>
                  <w:tcBorders>
                    <w:tl2br w:val="nil"/>
                    <w:tr2bl w:val="nil"/>
                  </w:tcBorders>
                  <w:noWrap w:val="0"/>
                  <w:vAlign w:val="center"/>
                </w:tcPr>
                <w:p w14:paraId="279ACA8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建设</w:t>
                  </w:r>
                  <w:r>
                    <w:rPr>
                      <w:rFonts w:hint="default" w:ascii="Times New Roman" w:hAnsi="Times New Roman" w:eastAsia="宋体" w:cs="Times New Roman"/>
                      <w:caps w:val="0"/>
                      <w:color w:val="auto"/>
                      <w:sz w:val="21"/>
                      <w:szCs w:val="21"/>
                      <w:highlight w:val="none"/>
                      <w:u w:val="none" w:color="auto"/>
                    </w:rPr>
                    <w:t>变电房</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候工楼</w:t>
                  </w:r>
                  <w:r>
                    <w:rPr>
                      <w:rFonts w:hint="default" w:ascii="Times New Roman" w:hAnsi="Times New Roman" w:cs="Times New Roman"/>
                      <w:caps w:val="0"/>
                      <w:color w:val="auto"/>
                      <w:sz w:val="21"/>
                      <w:szCs w:val="21"/>
                      <w:highlight w:val="none"/>
                      <w:u w:val="none" w:color="auto"/>
                      <w:lang w:val="en-US" w:eastAsia="zh-CN"/>
                    </w:rPr>
                    <w:t>、仓库（主要为粮食仓库）</w:t>
                  </w:r>
                  <w:r>
                    <w:rPr>
                      <w:rFonts w:hint="default" w:ascii="Times New Roman" w:hAnsi="Times New Roman" w:eastAsia="宋体" w:cs="Times New Roman"/>
                      <w:caps w:val="0"/>
                      <w:color w:val="auto"/>
                      <w:sz w:val="21"/>
                      <w:szCs w:val="21"/>
                      <w:highlight w:val="none"/>
                      <w:u w:val="none" w:color="auto"/>
                      <w:lang w:eastAsia="zh-CN"/>
                    </w:rPr>
                    <w:t>。</w:t>
                  </w:r>
                </w:p>
              </w:tc>
            </w:tr>
            <w:tr w14:paraId="2CD0C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B3907C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18E3E5F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670869D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建设维修站场、港内加油站、停车场等</w:t>
                  </w:r>
                  <w:r>
                    <w:rPr>
                      <w:rFonts w:hint="default" w:ascii="Times New Roman" w:hAnsi="Times New Roman" w:eastAsia="宋体" w:cs="Times New Roman"/>
                      <w:caps w:val="0"/>
                      <w:color w:val="auto"/>
                      <w:sz w:val="21"/>
                      <w:szCs w:val="21"/>
                      <w:highlight w:val="none"/>
                      <w:u w:val="none" w:color="auto"/>
                    </w:rPr>
                    <w:t>。</w:t>
                  </w:r>
                </w:p>
              </w:tc>
            </w:tr>
            <w:tr w14:paraId="686CE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2015FD6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6DEF9F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318A14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维修站场设置</w:t>
                  </w:r>
                  <w:r>
                    <w:rPr>
                      <w:rFonts w:hint="default" w:ascii="Times New Roman" w:hAnsi="Times New Roman" w:eastAsia="宋体" w:cs="Times New Roman"/>
                      <w:caps w:val="0"/>
                      <w:color w:val="auto"/>
                      <w:sz w:val="21"/>
                      <w:szCs w:val="21"/>
                      <w:highlight w:val="none"/>
                      <w:u w:val="none" w:color="auto"/>
                    </w:rPr>
                    <w:t>流动机械冲洗区。</w:t>
                  </w:r>
                </w:p>
              </w:tc>
            </w:tr>
            <w:tr w14:paraId="67BD1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4532105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444F31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1EF75C4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cs="Times New Roman"/>
                      <w:caps w:val="0"/>
                      <w:color w:val="auto"/>
                      <w:sz w:val="21"/>
                      <w:szCs w:val="21"/>
                      <w:highlight w:val="none"/>
                      <w:u w:val="none" w:color="auto"/>
                      <w:lang w:val="en-US" w:eastAsia="zh-CN"/>
                    </w:rPr>
                    <w:t>/</w:t>
                  </w:r>
                </w:p>
              </w:tc>
            </w:tr>
            <w:tr w14:paraId="75389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restart"/>
                  <w:tcBorders>
                    <w:tl2br w:val="nil"/>
                    <w:tr2bl w:val="nil"/>
                  </w:tcBorders>
                  <w:noWrap w:val="0"/>
                  <w:vAlign w:val="center"/>
                </w:tcPr>
                <w:p w14:paraId="4E019C6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公用工程</w:t>
                  </w:r>
                </w:p>
              </w:tc>
              <w:tc>
                <w:tcPr>
                  <w:tcW w:w="961" w:type="dxa"/>
                  <w:gridSpan w:val="2"/>
                  <w:tcBorders>
                    <w:tl2br w:val="nil"/>
                    <w:tr2bl w:val="nil"/>
                  </w:tcBorders>
                  <w:noWrap w:val="0"/>
                  <w:vAlign w:val="center"/>
                </w:tcPr>
                <w:p w14:paraId="73017570">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供电照明工程</w:t>
                  </w:r>
                </w:p>
              </w:tc>
              <w:tc>
                <w:tcPr>
                  <w:tcW w:w="6299" w:type="dxa"/>
                  <w:tcBorders>
                    <w:tl2br w:val="nil"/>
                    <w:tr2bl w:val="nil"/>
                  </w:tcBorders>
                  <w:noWrap w:val="0"/>
                  <w:vAlign w:val="center"/>
                </w:tcPr>
                <w:p w14:paraId="40CD202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从保税港区变电站引出8回10kV出线接入</w:t>
                  </w:r>
                  <w:r>
                    <w:rPr>
                      <w:rFonts w:hint="default" w:ascii="Times New Roman" w:hAnsi="Times New Roman" w:eastAsia="宋体" w:cs="Times New Roman"/>
                      <w:caps w:val="0"/>
                      <w:color w:val="auto"/>
                      <w:sz w:val="21"/>
                      <w:szCs w:val="21"/>
                      <w:highlight w:val="none"/>
                      <w:u w:val="none" w:color="auto"/>
                    </w:rPr>
                    <w:t>。</w:t>
                  </w:r>
                </w:p>
              </w:tc>
            </w:tr>
            <w:tr w14:paraId="6A050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08" w:hRule="atLeast"/>
                <w:jc w:val="center"/>
              </w:trPr>
              <w:tc>
                <w:tcPr>
                  <w:tcW w:w="459" w:type="dxa"/>
                  <w:vMerge w:val="continue"/>
                  <w:tcBorders>
                    <w:tl2br w:val="nil"/>
                    <w:tr2bl w:val="nil"/>
                  </w:tcBorders>
                  <w:noWrap w:val="0"/>
                  <w:vAlign w:val="center"/>
                </w:tcPr>
                <w:p w14:paraId="0412A7A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3D8A98B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给排水</w:t>
                  </w:r>
                </w:p>
              </w:tc>
              <w:tc>
                <w:tcPr>
                  <w:tcW w:w="655" w:type="dxa"/>
                  <w:tcBorders>
                    <w:tl2br w:val="nil"/>
                    <w:tr2bl w:val="nil"/>
                  </w:tcBorders>
                  <w:noWrap w:val="0"/>
                  <w:vAlign w:val="center"/>
                </w:tcPr>
                <w:p w14:paraId="13DB37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给水系统</w:t>
                  </w:r>
                </w:p>
              </w:tc>
              <w:tc>
                <w:tcPr>
                  <w:tcW w:w="6299" w:type="dxa"/>
                  <w:tcBorders>
                    <w:tl2br w:val="nil"/>
                    <w:tr2bl w:val="nil"/>
                  </w:tcBorders>
                  <w:noWrap w:val="0"/>
                  <w:vAlign w:val="center"/>
                </w:tcPr>
                <w:p w14:paraId="3D3FC91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现有</w:t>
                  </w:r>
                  <w:r>
                    <w:rPr>
                      <w:rFonts w:hint="default" w:ascii="Times New Roman" w:hAnsi="Times New Roman" w:eastAsia="宋体" w:cs="Times New Roman"/>
                      <w:caps w:val="0"/>
                      <w:color w:val="auto"/>
                      <w:sz w:val="21"/>
                      <w:szCs w:val="21"/>
                      <w:highlight w:val="none"/>
                      <w:u w:val="none" w:color="auto"/>
                    </w:rPr>
                    <w:t>工程水源由钦州港市政水厂提供，港区给水管网用船舶、生产、生活、环保及消防合用的供水系统。港区内管道布置为环状与枝状相结合</w:t>
                  </w:r>
                  <w:r>
                    <w:rPr>
                      <w:rFonts w:hint="default" w:ascii="Times New Roman" w:hAnsi="Times New Roman" w:eastAsia="宋体" w:cs="Times New Roman"/>
                      <w:caps w:val="0"/>
                      <w:color w:val="auto"/>
                      <w:sz w:val="21"/>
                      <w:szCs w:val="21"/>
                      <w:highlight w:val="none"/>
                      <w:u w:val="none" w:color="auto"/>
                      <w:lang w:eastAsia="zh-CN"/>
                    </w:rPr>
                    <w:t>。</w:t>
                  </w:r>
                </w:p>
              </w:tc>
            </w:tr>
            <w:tr w14:paraId="30123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FE798B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5417609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restart"/>
                  <w:tcBorders>
                    <w:tl2br w:val="nil"/>
                    <w:tr2bl w:val="nil"/>
                  </w:tcBorders>
                  <w:noWrap w:val="0"/>
                  <w:vAlign w:val="center"/>
                </w:tcPr>
                <w:p w14:paraId="46C7717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排水系统</w:t>
                  </w:r>
                </w:p>
              </w:tc>
              <w:tc>
                <w:tcPr>
                  <w:tcW w:w="6299" w:type="dxa"/>
                  <w:tcBorders>
                    <w:tl2br w:val="nil"/>
                    <w:tr2bl w:val="nil"/>
                  </w:tcBorders>
                  <w:noWrap w:val="0"/>
                  <w:vAlign w:val="center"/>
                </w:tcPr>
                <w:p w14:paraId="5B8B3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采用雨、污分流制。</w:t>
                  </w:r>
                </w:p>
              </w:tc>
            </w:tr>
            <w:tr w14:paraId="51D36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68D66D2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65780A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2C7117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53A22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雨水排水系统由雨水口、检查井和雨水管道组成。雨水经港区雨水沟（</w:t>
                  </w:r>
                  <w:r>
                    <w:rPr>
                      <w:rFonts w:hint="default" w:ascii="Times New Roman" w:hAnsi="Times New Roman" w:eastAsia="宋体" w:cs="Times New Roman"/>
                      <w:caps w:val="0"/>
                      <w:color w:val="auto"/>
                      <w:kern w:val="2"/>
                      <w:sz w:val="21"/>
                      <w:szCs w:val="21"/>
                      <w:highlight w:val="none"/>
                      <w:u w:val="none" w:color="auto"/>
                      <w:lang w:val="en-US" w:eastAsia="zh-CN"/>
                    </w:rPr>
                    <w:t>非露天</w:t>
                  </w:r>
                  <w:r>
                    <w:rPr>
                      <w:rFonts w:hint="default" w:ascii="Times New Roman" w:hAnsi="Times New Roman" w:eastAsia="宋体" w:cs="Times New Roman"/>
                      <w:caps w:val="0"/>
                      <w:color w:val="auto"/>
                      <w:kern w:val="2"/>
                      <w:sz w:val="21"/>
                      <w:szCs w:val="21"/>
                      <w:highlight w:val="none"/>
                      <w:u w:val="none" w:color="auto"/>
                      <w:lang w:eastAsia="zh-CN"/>
                    </w:rPr>
                    <w:t>）、雨水井收集排入码头前沿海域。</w:t>
                  </w:r>
                </w:p>
              </w:tc>
            </w:tr>
            <w:tr w14:paraId="6CE94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28" w:hRule="atLeast"/>
                <w:jc w:val="center"/>
              </w:trPr>
              <w:tc>
                <w:tcPr>
                  <w:tcW w:w="459" w:type="dxa"/>
                  <w:vMerge w:val="continue"/>
                  <w:tcBorders>
                    <w:tl2br w:val="nil"/>
                    <w:tr2bl w:val="nil"/>
                  </w:tcBorders>
                  <w:noWrap w:val="0"/>
                  <w:vAlign w:val="center"/>
                </w:tcPr>
                <w:p w14:paraId="798B7E0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EF6BEF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7A0621B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B11A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①码头不接收处理船舶生活污水、船舶压载水、船舶舱底油污水，船方委托有资质单位接收项目船舶污水。</w:t>
                  </w:r>
                </w:p>
                <w:p w14:paraId="29E8D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②机修废水经</w:t>
                  </w:r>
                  <w:r>
                    <w:rPr>
                      <w:rFonts w:hint="default" w:ascii="Times New Roman" w:hAnsi="Times New Roman" w:eastAsia="宋体" w:cs="Times New Roman"/>
                      <w:caps w:val="0"/>
                      <w:color w:val="auto"/>
                      <w:kern w:val="2"/>
                      <w:sz w:val="21"/>
                      <w:szCs w:val="21"/>
                      <w:highlight w:val="none"/>
                      <w:u w:val="none" w:color="auto"/>
                      <w:lang w:val="en-US" w:eastAsia="zh-CN"/>
                    </w:rPr>
                    <w:t>扩建的</w:t>
                  </w:r>
                  <w:r>
                    <w:rPr>
                      <w:rFonts w:hint="default" w:ascii="Times New Roman" w:hAnsi="Times New Roman" w:eastAsia="宋体" w:cs="Times New Roman"/>
                      <w:caps w:val="0"/>
                      <w:color w:val="auto"/>
                      <w:kern w:val="2"/>
                      <w:sz w:val="21"/>
                      <w:szCs w:val="21"/>
                      <w:highlight w:val="none"/>
                      <w:u w:val="none" w:color="auto"/>
                      <w:lang w:eastAsia="zh-CN"/>
                    </w:rPr>
                    <w:t>含油污水处理站处理</w:t>
                  </w:r>
                  <w:r>
                    <w:rPr>
                      <w:rFonts w:hint="default" w:ascii="Times New Roman" w:hAnsi="Times New Roman" w:cs="Times New Roman"/>
                      <w:caps w:val="0"/>
                      <w:color w:val="auto"/>
                      <w:kern w:val="2"/>
                      <w:sz w:val="21"/>
                      <w:szCs w:val="21"/>
                      <w:highlight w:val="none"/>
                      <w:u w:val="none" w:color="auto"/>
                      <w:lang w:eastAsia="zh-CN"/>
                    </w:rPr>
                    <w:t>满足《城市污水再生利用-城市杂用水水质》（GB/T18920-2020）和《城市污水再生利用工业用水水质标准》（GB/T19923-20</w:t>
                  </w:r>
                  <w:r>
                    <w:rPr>
                      <w:rFonts w:hint="default" w:ascii="Times New Roman" w:hAnsi="Times New Roman" w:cs="Times New Roman"/>
                      <w:caps w:val="0"/>
                      <w:color w:val="auto"/>
                      <w:kern w:val="2"/>
                      <w:sz w:val="21"/>
                      <w:szCs w:val="21"/>
                      <w:highlight w:val="none"/>
                      <w:u w:val="none" w:color="auto"/>
                      <w:lang w:val="en-US" w:eastAsia="zh-CN"/>
                    </w:rPr>
                    <w:t>24</w:t>
                  </w:r>
                  <w:r>
                    <w:rPr>
                      <w:rFonts w:hint="default" w:ascii="Times New Roman" w:hAnsi="Times New Roman" w:cs="Times New Roman"/>
                      <w:caps w:val="0"/>
                      <w:color w:val="auto"/>
                      <w:kern w:val="2"/>
                      <w:sz w:val="21"/>
                      <w:szCs w:val="21"/>
                      <w:highlight w:val="none"/>
                      <w:u w:val="none" w:color="auto"/>
                      <w:lang w:eastAsia="zh-CN"/>
                    </w:rPr>
                    <w:t>）用水标准，回用于机械冲洗用水</w:t>
                  </w:r>
                  <w:r>
                    <w:rPr>
                      <w:rFonts w:hint="default" w:ascii="Times New Roman" w:hAnsi="Times New Roman" w:cs="Times New Roman"/>
                      <w:caps w:val="0"/>
                      <w:color w:val="auto"/>
                      <w:kern w:val="2"/>
                      <w:sz w:val="21"/>
                      <w:szCs w:val="21"/>
                      <w:highlight w:val="none"/>
                      <w:u w:val="none" w:color="auto"/>
                      <w:lang w:val="en-US" w:eastAsia="zh-CN"/>
                    </w:rPr>
                    <w:t>、厂区绿化和</w:t>
                  </w:r>
                  <w:r>
                    <w:rPr>
                      <w:rFonts w:hint="default" w:ascii="Times New Roman" w:hAnsi="Times New Roman" w:cs="Times New Roman"/>
                      <w:caps w:val="0"/>
                      <w:color w:val="auto"/>
                      <w:kern w:val="2"/>
                      <w:sz w:val="21"/>
                      <w:szCs w:val="21"/>
                      <w:highlight w:val="none"/>
                      <w:u w:val="none" w:color="auto"/>
                      <w:lang w:eastAsia="zh-CN"/>
                    </w:rPr>
                    <w:t>道路清扫</w:t>
                  </w:r>
                  <w:r>
                    <w:rPr>
                      <w:rFonts w:hint="default" w:ascii="Times New Roman" w:hAnsi="Times New Roman" w:eastAsia="宋体" w:cs="Times New Roman"/>
                      <w:caps w:val="0"/>
                      <w:color w:val="auto"/>
                      <w:kern w:val="2"/>
                      <w:sz w:val="21"/>
                      <w:szCs w:val="21"/>
                      <w:highlight w:val="none"/>
                      <w:u w:val="none" w:color="auto"/>
                      <w:lang w:eastAsia="zh-CN"/>
                    </w:rPr>
                    <w:t>。</w:t>
                  </w:r>
                </w:p>
                <w:p w14:paraId="72A6B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③新增生活</w:t>
                  </w:r>
                  <w:r>
                    <w:rPr>
                      <w:rFonts w:hint="default" w:ascii="Times New Roman" w:hAnsi="Times New Roman" w:cs="Times New Roman"/>
                      <w:caps w:val="0"/>
                      <w:color w:val="auto"/>
                      <w:kern w:val="2"/>
                      <w:sz w:val="21"/>
                      <w:szCs w:val="21"/>
                      <w:highlight w:val="none"/>
                      <w:u w:val="none" w:color="auto"/>
                      <w:lang w:val="en-US" w:eastAsia="zh-CN"/>
                    </w:rPr>
                    <w:t>污水</w:t>
                  </w:r>
                  <w:r>
                    <w:rPr>
                      <w:rFonts w:hint="default" w:ascii="Times New Roman" w:hAnsi="Times New Roman" w:eastAsia="宋体" w:cs="Times New Roman"/>
                      <w:caps w:val="0"/>
                      <w:color w:val="auto"/>
                      <w:kern w:val="2"/>
                      <w:sz w:val="21"/>
                      <w:szCs w:val="21"/>
                      <w:highlight w:val="none"/>
                      <w:u w:val="none" w:color="auto"/>
                      <w:lang w:val="en-US" w:eastAsia="zh-CN"/>
                    </w:rPr>
                    <w:t>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48CF0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04E315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214F71B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55" w:type="dxa"/>
                  <w:tcBorders>
                    <w:tl2br w:val="nil"/>
                    <w:tr2bl w:val="nil"/>
                  </w:tcBorders>
                  <w:noWrap w:val="0"/>
                  <w:vAlign w:val="center"/>
                </w:tcPr>
                <w:p w14:paraId="5887E19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消防</w:t>
                  </w:r>
                </w:p>
              </w:tc>
              <w:tc>
                <w:tcPr>
                  <w:tcW w:w="6299" w:type="dxa"/>
                  <w:tcBorders>
                    <w:tl2br w:val="nil"/>
                    <w:tr2bl w:val="nil"/>
                  </w:tcBorders>
                  <w:noWrap w:val="0"/>
                  <w:vAlign w:val="center"/>
                </w:tcPr>
                <w:p w14:paraId="23E3E5F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消防</w:t>
                  </w:r>
                  <w:r>
                    <w:rPr>
                      <w:rFonts w:hint="default" w:ascii="Times New Roman" w:hAnsi="Times New Roman" w:eastAsia="宋体" w:cs="Times New Roman"/>
                      <w:caps w:val="0"/>
                      <w:color w:val="auto"/>
                      <w:kern w:val="2"/>
                      <w:sz w:val="21"/>
                      <w:szCs w:val="21"/>
                      <w:highlight w:val="none"/>
                      <w:u w:val="none" w:color="auto"/>
                      <w:lang w:val="en-US" w:eastAsia="zh-CN"/>
                    </w:rPr>
                    <w:t>用水</w:t>
                  </w:r>
                  <w:r>
                    <w:rPr>
                      <w:rFonts w:hint="default" w:ascii="Times New Roman" w:hAnsi="Times New Roman" w:eastAsia="宋体" w:cs="Times New Roman"/>
                      <w:caps w:val="0"/>
                      <w:color w:val="auto"/>
                      <w:kern w:val="2"/>
                      <w:sz w:val="21"/>
                      <w:szCs w:val="21"/>
                      <w:highlight w:val="none"/>
                      <w:u w:val="none" w:color="auto"/>
                      <w:lang w:eastAsia="zh-CN"/>
                    </w:rPr>
                    <w:t>采用市政供水，消防系统给水管网与生产、生活给水网合并，布置成环形；港区设计室外消火栓，汽车接受检查区等建筑物内设置足够的出口通道，配备室内消火栓、手提式干粉灭火器等消防器材，</w:t>
                  </w:r>
                  <w:r>
                    <w:rPr>
                      <w:rFonts w:hint="default" w:ascii="Times New Roman" w:hAnsi="Times New Roman" w:eastAsia="宋体" w:cs="Times New Roman"/>
                      <w:caps w:val="0"/>
                      <w:color w:val="auto"/>
                      <w:sz w:val="21"/>
                      <w:szCs w:val="21"/>
                      <w:highlight w:val="none"/>
                      <w:u w:val="none" w:color="auto"/>
                    </w:rPr>
                    <w:t>港区设地上式消火栓和地下式消火栓，其间距不超过120m</w:t>
                  </w:r>
                  <w:r>
                    <w:rPr>
                      <w:rFonts w:hint="default" w:ascii="Times New Roman" w:hAnsi="Times New Roman" w:eastAsia="宋体" w:cs="Times New Roman"/>
                      <w:caps w:val="0"/>
                      <w:color w:val="auto"/>
                      <w:kern w:val="2"/>
                      <w:sz w:val="21"/>
                      <w:szCs w:val="21"/>
                      <w:highlight w:val="none"/>
                      <w:u w:val="none" w:color="auto"/>
                      <w:lang w:eastAsia="zh-CN"/>
                    </w:rPr>
                    <w:t>。</w:t>
                  </w:r>
                </w:p>
              </w:tc>
            </w:tr>
            <w:tr w14:paraId="4A66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2207241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4118176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8072BA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通信</w:t>
                  </w:r>
                </w:p>
              </w:tc>
              <w:tc>
                <w:tcPr>
                  <w:tcW w:w="6299" w:type="dxa"/>
                  <w:tcBorders>
                    <w:tl2br w:val="nil"/>
                    <w:tr2bl w:val="nil"/>
                  </w:tcBorders>
                  <w:noWrap w:val="0"/>
                  <w:vAlign w:val="center"/>
                </w:tcPr>
                <w:p w14:paraId="5F655B2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港区通信系统包括有线电话系统、无线调度系统、甚高无线电话、电缆监控系统和火灾报警系统。</w:t>
                  </w:r>
                </w:p>
              </w:tc>
            </w:tr>
            <w:tr w14:paraId="6BA55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01A7DF9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3C91C16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D79DC5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控制</w:t>
                  </w:r>
                </w:p>
              </w:tc>
              <w:tc>
                <w:tcPr>
                  <w:tcW w:w="6299" w:type="dxa"/>
                  <w:tcBorders>
                    <w:tl2br w:val="nil"/>
                    <w:tr2bl w:val="nil"/>
                  </w:tcBorders>
                  <w:noWrap w:val="0"/>
                  <w:vAlign w:val="center"/>
                </w:tcPr>
                <w:p w14:paraId="003789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港区设监控系统，监控摄像头安装在港区高杆灯灯杆上，监控室设在港区综合办公楼内，可随时监控集装箱作业区的作业情况。</w:t>
                  </w:r>
                </w:p>
              </w:tc>
            </w:tr>
            <w:tr w14:paraId="7C03B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459" w:type="dxa"/>
                  <w:vMerge w:val="restart"/>
                  <w:tcBorders>
                    <w:tl2br w:val="nil"/>
                    <w:tr2bl w:val="nil"/>
                  </w:tcBorders>
                  <w:noWrap w:val="0"/>
                  <w:vAlign w:val="center"/>
                </w:tcPr>
                <w:p w14:paraId="3418303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环保工程</w:t>
                  </w:r>
                </w:p>
              </w:tc>
              <w:tc>
                <w:tcPr>
                  <w:tcW w:w="306" w:type="dxa"/>
                  <w:tcBorders>
                    <w:tl2br w:val="nil"/>
                    <w:tr2bl w:val="nil"/>
                  </w:tcBorders>
                  <w:noWrap w:val="0"/>
                  <w:vAlign w:val="center"/>
                </w:tcPr>
                <w:p w14:paraId="7F2CEAE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大气</w:t>
                  </w:r>
                </w:p>
                <w:p w14:paraId="7DA041F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3279208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作业机械及运输车辆尾气</w:t>
                  </w:r>
                </w:p>
              </w:tc>
              <w:tc>
                <w:tcPr>
                  <w:tcW w:w="6299" w:type="dxa"/>
                  <w:tcBorders>
                    <w:tl2br w:val="nil"/>
                    <w:tr2bl w:val="nil"/>
                  </w:tcBorders>
                  <w:noWrap w:val="0"/>
                  <w:vAlign w:val="center"/>
                </w:tcPr>
                <w:p w14:paraId="1A2EE6C6">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拆箱设备</w:t>
                  </w:r>
                  <w:r>
                    <w:rPr>
                      <w:rFonts w:hint="default" w:ascii="Times New Roman" w:hAnsi="Times New Roman" w:eastAsia="宋体" w:cs="Times New Roman"/>
                      <w:caps w:val="0"/>
                      <w:color w:val="auto"/>
                      <w:kern w:val="2"/>
                      <w:sz w:val="21"/>
                      <w:szCs w:val="21"/>
                      <w:highlight w:val="none"/>
                      <w:u w:val="none" w:color="auto"/>
                      <w:lang w:eastAsia="zh-CN"/>
                    </w:rPr>
                    <w:t>选用高质量装卸机械设备和燃料，强化各装置节能降耗措施；</w:t>
                  </w:r>
                  <w:r>
                    <w:rPr>
                      <w:rFonts w:hint="default" w:ascii="Times New Roman" w:hAnsi="Times New Roman" w:eastAsia="宋体" w:cs="Times New Roman"/>
                      <w:caps w:val="0"/>
                      <w:color w:val="auto"/>
                      <w:kern w:val="2"/>
                      <w:sz w:val="21"/>
                      <w:szCs w:val="21"/>
                      <w:highlight w:val="none"/>
                      <w:u w:val="none" w:color="auto"/>
                      <w:lang w:val="en-US" w:eastAsia="zh-CN"/>
                    </w:rPr>
                    <w:t>散货粮食拆装箱位于半封闭拆箱库内作业，不在露天拆箱或堆存；</w:t>
                  </w:r>
                  <w:r>
                    <w:rPr>
                      <w:rFonts w:hint="default" w:ascii="Times New Roman" w:hAnsi="Times New Roman" w:eastAsia="宋体" w:cs="Times New Roman"/>
                      <w:caps w:val="0"/>
                      <w:color w:val="auto"/>
                      <w:kern w:val="2"/>
                      <w:sz w:val="21"/>
                      <w:szCs w:val="21"/>
                      <w:highlight w:val="none"/>
                      <w:u w:val="none" w:color="auto"/>
                      <w:lang w:eastAsia="zh-CN"/>
                    </w:rPr>
                    <w:t>加强现场管理，船舶靠港后使用</w:t>
                  </w: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岸电</w:t>
                  </w:r>
                  <w:r>
                    <w:rPr>
                      <w:rFonts w:hint="default" w:ascii="Times New Roman" w:hAnsi="Times New Roman" w:eastAsia="宋体" w:cs="Times New Roman"/>
                      <w:caps w:val="0"/>
                      <w:color w:val="auto"/>
                      <w:kern w:val="2"/>
                      <w:sz w:val="21"/>
                      <w:szCs w:val="21"/>
                      <w:highlight w:val="none"/>
                      <w:u w:val="none" w:color="auto"/>
                      <w:lang w:val="en-US" w:eastAsia="zh-CN"/>
                    </w:rPr>
                    <w:t>装置</w:t>
                  </w:r>
                  <w:r>
                    <w:rPr>
                      <w:rFonts w:hint="default" w:ascii="Times New Roman" w:hAnsi="Times New Roman" w:eastAsia="宋体" w:cs="Times New Roman"/>
                      <w:caps w:val="0"/>
                      <w:color w:val="auto"/>
                      <w:kern w:val="2"/>
                      <w:sz w:val="21"/>
                      <w:szCs w:val="21"/>
                      <w:highlight w:val="none"/>
                      <w:u w:val="none" w:color="auto"/>
                      <w:lang w:eastAsia="zh-CN"/>
                    </w:rPr>
                    <w:t>。</w:t>
                  </w:r>
                </w:p>
              </w:tc>
            </w:tr>
            <w:tr w14:paraId="625DF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28" w:hRule="atLeast"/>
                <w:jc w:val="center"/>
              </w:trPr>
              <w:tc>
                <w:tcPr>
                  <w:tcW w:w="459" w:type="dxa"/>
                  <w:vMerge w:val="continue"/>
                  <w:tcBorders>
                    <w:tl2br w:val="nil"/>
                    <w:tr2bl w:val="nil"/>
                  </w:tcBorders>
                  <w:noWrap w:val="0"/>
                  <w:vAlign w:val="center"/>
                </w:tcPr>
                <w:p w14:paraId="642374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799C718">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废水</w:t>
                  </w:r>
                </w:p>
                <w:p w14:paraId="58A6ADB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249E5A57">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生产废水</w:t>
                  </w:r>
                </w:p>
              </w:tc>
              <w:tc>
                <w:tcPr>
                  <w:tcW w:w="6299" w:type="dxa"/>
                  <w:tcBorders>
                    <w:tl2br w:val="nil"/>
                    <w:tr2bl w:val="nil"/>
                  </w:tcBorders>
                  <w:noWrap w:val="0"/>
                  <w:vAlign w:val="center"/>
                </w:tcPr>
                <w:p w14:paraId="24F6504A">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2#泊位后方</w:t>
                  </w:r>
                  <w:r>
                    <w:rPr>
                      <w:rFonts w:hint="eastAsia"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p>
                <w:p w14:paraId="59E152C1">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lang w:val="en-US" w:eastAsia="zh-CN"/>
                    </w:rPr>
                  </w:pPr>
                  <w:r>
                    <w:rPr>
                      <w:rFonts w:hint="eastAsia" w:cs="Times New Roman"/>
                      <w:caps w:val="0"/>
                      <w:color w:val="auto"/>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eastAsia"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r>
                    <w:rPr>
                      <w:rFonts w:hint="eastAsia"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含油污水处理站总处理规模为20m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b w:val="0"/>
                      <w:bCs w:val="0"/>
                      <w:caps w:val="0"/>
                      <w:color w:val="auto"/>
                      <w:sz w:val="21"/>
                      <w:szCs w:val="21"/>
                      <w:highlight w:val="none"/>
                      <w:u w:val="none" w:color="auto"/>
                      <w:lang w:val="en-US" w:eastAsia="zh-CN"/>
                    </w:rPr>
                    <w:t>处理工艺为</w:t>
                  </w:r>
                  <w:r>
                    <w:rPr>
                      <w:rFonts w:hint="default" w:ascii="Times New Roman" w:hAnsi="Times New Roman" w:eastAsia="宋体" w:cs="Times New Roman"/>
                      <w:caps w:val="0"/>
                      <w:color w:val="auto"/>
                      <w:sz w:val="21"/>
                      <w:szCs w:val="21"/>
                      <w:highlight w:val="none"/>
                      <w:u w:val="none" w:color="auto"/>
                      <w:lang w:val="en-US" w:eastAsia="zh-CN"/>
                    </w:rPr>
                    <w:t>隔油池+混凝沉淀池+组合气浮装置</w:t>
                  </w:r>
                </w:p>
                <w:p w14:paraId="0CB447C9">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机修废水经</w:t>
                  </w:r>
                  <w:r>
                    <w:rPr>
                      <w:rFonts w:hint="eastAsia" w:cs="Times New Roman"/>
                      <w:caps w:val="0"/>
                      <w:color w:val="auto"/>
                      <w:kern w:val="2"/>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default" w:ascii="Times New Roman" w:hAnsi="Times New Roman" w:eastAsia="宋体" w:cs="Times New Roman"/>
                      <w:caps w:val="0"/>
                      <w:color w:val="auto"/>
                      <w:kern w:val="2"/>
                      <w:sz w:val="21"/>
                      <w:szCs w:val="21"/>
                      <w:highlight w:val="none"/>
                      <w:u w:val="none" w:color="auto"/>
                      <w:lang w:eastAsia="zh-CN"/>
                    </w:rPr>
                    <w:t>含油污水处理站处理回用于机械冲洗用水</w:t>
                  </w:r>
                  <w:r>
                    <w:rPr>
                      <w:rFonts w:hint="default" w:ascii="Times New Roman" w:hAnsi="Times New Roman" w:eastAsia="宋体" w:cs="Times New Roman"/>
                      <w:caps w:val="0"/>
                      <w:color w:val="auto"/>
                      <w:kern w:val="2"/>
                      <w:sz w:val="21"/>
                      <w:szCs w:val="21"/>
                      <w:highlight w:val="none"/>
                      <w:u w:val="none" w:color="auto"/>
                      <w:lang w:val="en-US" w:eastAsia="zh-CN"/>
                    </w:rPr>
                    <w:t>、厂区绿化和</w:t>
                  </w:r>
                  <w:r>
                    <w:rPr>
                      <w:rFonts w:hint="default" w:ascii="Times New Roman" w:hAnsi="Times New Roman" w:eastAsia="宋体" w:cs="Times New Roman"/>
                      <w:caps w:val="0"/>
                      <w:color w:val="auto"/>
                      <w:kern w:val="2"/>
                      <w:sz w:val="21"/>
                      <w:szCs w:val="21"/>
                      <w:highlight w:val="none"/>
                      <w:u w:val="none" w:color="auto"/>
                      <w:lang w:eastAsia="zh-CN"/>
                    </w:rPr>
                    <w:t>道路清扫。</w:t>
                  </w:r>
                </w:p>
              </w:tc>
            </w:tr>
            <w:tr w14:paraId="7BC6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35652E8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134D5ED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86A795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生活污水</w:t>
                  </w:r>
                </w:p>
              </w:tc>
              <w:tc>
                <w:tcPr>
                  <w:tcW w:w="6299" w:type="dxa"/>
                  <w:tcBorders>
                    <w:tl2br w:val="nil"/>
                    <w:tr2bl w:val="nil"/>
                  </w:tcBorders>
                  <w:noWrap w:val="0"/>
                  <w:vAlign w:val="center"/>
                </w:tcPr>
                <w:p w14:paraId="7F523DC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生活</w:t>
                  </w:r>
                  <w:r>
                    <w:rPr>
                      <w:rFonts w:hint="default" w:ascii="Times New Roman" w:hAnsi="Times New Roman" w:cs="Times New Roman"/>
                      <w:caps w:val="0"/>
                      <w:color w:val="auto"/>
                      <w:kern w:val="2"/>
                      <w:sz w:val="21"/>
                      <w:szCs w:val="21"/>
                      <w:highlight w:val="none"/>
                      <w:u w:val="none" w:color="auto"/>
                      <w:lang w:val="en-US" w:eastAsia="zh-CN"/>
                    </w:rPr>
                    <w:t>污水</w:t>
                  </w:r>
                  <w:r>
                    <w:rPr>
                      <w:rFonts w:hint="default" w:ascii="Times New Roman" w:hAnsi="Times New Roman" w:eastAsia="宋体" w:cs="Times New Roman"/>
                      <w:caps w:val="0"/>
                      <w:color w:val="auto"/>
                      <w:kern w:val="2"/>
                      <w:sz w:val="21"/>
                      <w:szCs w:val="21"/>
                      <w:highlight w:val="none"/>
                      <w:u w:val="none" w:color="auto"/>
                      <w:lang w:val="en-US" w:eastAsia="zh-CN"/>
                    </w:rPr>
                    <w:t>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15536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7" w:hRule="atLeast"/>
                <w:jc w:val="center"/>
              </w:trPr>
              <w:tc>
                <w:tcPr>
                  <w:tcW w:w="459" w:type="dxa"/>
                  <w:vMerge w:val="continue"/>
                  <w:tcBorders>
                    <w:tl2br w:val="nil"/>
                    <w:tr2bl w:val="nil"/>
                  </w:tcBorders>
                  <w:noWrap w:val="0"/>
                  <w:vAlign w:val="center"/>
                </w:tcPr>
                <w:p w14:paraId="3C3A502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2844CAD">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噪声</w:t>
                  </w:r>
                </w:p>
              </w:tc>
              <w:tc>
                <w:tcPr>
                  <w:tcW w:w="6299" w:type="dxa"/>
                  <w:tcBorders>
                    <w:tl2br w:val="nil"/>
                    <w:tr2bl w:val="nil"/>
                  </w:tcBorders>
                  <w:noWrap w:val="0"/>
                  <w:vAlign w:val="center"/>
                </w:tcPr>
                <w:p w14:paraId="38B7C71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高效低噪声设备、相应减震降噪措施</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经现有工程</w:t>
                  </w:r>
                  <w:r>
                    <w:rPr>
                      <w:rFonts w:hint="default" w:ascii="Times New Roman" w:hAnsi="Times New Roman" w:eastAsia="宋体" w:cs="Times New Roman"/>
                      <w:caps w:val="0"/>
                      <w:color w:val="auto"/>
                      <w:sz w:val="21"/>
                      <w:szCs w:val="21"/>
                      <w:highlight w:val="none"/>
                      <w:u w:val="none" w:color="auto"/>
                    </w:rPr>
                    <w:t>围墙</w:t>
                  </w:r>
                  <w:r>
                    <w:rPr>
                      <w:rFonts w:hint="default" w:ascii="Times New Roman" w:hAnsi="Times New Roman" w:eastAsia="宋体" w:cs="Times New Roman"/>
                      <w:caps w:val="0"/>
                      <w:color w:val="auto"/>
                      <w:sz w:val="21"/>
                      <w:szCs w:val="21"/>
                      <w:highlight w:val="none"/>
                      <w:u w:val="none" w:color="auto"/>
                      <w:lang w:val="en-US" w:eastAsia="zh-CN"/>
                    </w:rPr>
                    <w:t>隔声</w:t>
                  </w:r>
                  <w:r>
                    <w:rPr>
                      <w:rFonts w:hint="default" w:ascii="Times New Roman" w:hAnsi="Times New Roman" w:eastAsia="宋体" w:cs="Times New Roman"/>
                      <w:caps w:val="0"/>
                      <w:color w:val="auto"/>
                      <w:sz w:val="21"/>
                      <w:szCs w:val="21"/>
                      <w:highlight w:val="none"/>
                      <w:u w:val="none" w:color="auto"/>
                    </w:rPr>
                    <w:t>。</w:t>
                  </w:r>
                </w:p>
              </w:tc>
            </w:tr>
            <w:tr w14:paraId="0E27C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3DB68B6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124E23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固体</w:t>
                  </w:r>
                </w:p>
                <w:p w14:paraId="4BDEA83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废物</w:t>
                  </w:r>
                </w:p>
              </w:tc>
              <w:tc>
                <w:tcPr>
                  <w:tcW w:w="655" w:type="dxa"/>
                  <w:tcBorders>
                    <w:tl2br w:val="nil"/>
                    <w:tr2bl w:val="nil"/>
                  </w:tcBorders>
                  <w:noWrap w:val="0"/>
                  <w:vAlign w:val="center"/>
                </w:tcPr>
                <w:p w14:paraId="414DD63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生活垃圾</w:t>
                  </w:r>
                </w:p>
              </w:tc>
              <w:tc>
                <w:tcPr>
                  <w:tcW w:w="6299" w:type="dxa"/>
                  <w:tcBorders>
                    <w:tl2br w:val="nil"/>
                    <w:tr2bl w:val="nil"/>
                  </w:tcBorders>
                  <w:noWrap w:val="0"/>
                  <w:vAlign w:val="center"/>
                </w:tcPr>
                <w:p w14:paraId="238345B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不接收</w:t>
                  </w:r>
                  <w:r>
                    <w:rPr>
                      <w:rFonts w:hint="default" w:ascii="Times New Roman" w:hAnsi="Times New Roman" w:eastAsia="宋体" w:cs="Times New Roman"/>
                      <w:caps w:val="0"/>
                      <w:color w:val="auto"/>
                      <w:sz w:val="21"/>
                      <w:szCs w:val="21"/>
                      <w:highlight w:val="none"/>
                      <w:u w:val="none" w:color="auto"/>
                    </w:rPr>
                    <w:t>船舶</w:t>
                  </w:r>
                  <w:r>
                    <w:rPr>
                      <w:rFonts w:hint="default" w:ascii="Times New Roman" w:hAnsi="Times New Roman" w:eastAsia="宋体" w:cs="Times New Roman"/>
                      <w:caps w:val="0"/>
                      <w:color w:val="auto"/>
                      <w:sz w:val="21"/>
                      <w:szCs w:val="21"/>
                      <w:highlight w:val="none"/>
                      <w:u w:val="none" w:color="auto"/>
                      <w:lang w:val="en-US" w:eastAsia="zh-CN"/>
                    </w:rPr>
                    <w:t>生活</w:t>
                  </w:r>
                  <w:r>
                    <w:rPr>
                      <w:rFonts w:hint="default" w:ascii="Times New Roman" w:hAnsi="Times New Roman" w:eastAsia="宋体" w:cs="Times New Roman"/>
                      <w:caps w:val="0"/>
                      <w:color w:val="auto"/>
                      <w:sz w:val="21"/>
                      <w:szCs w:val="21"/>
                      <w:highlight w:val="none"/>
                      <w:u w:val="none" w:color="auto"/>
                    </w:rPr>
                    <w:t>垃圾</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由</w:t>
                  </w:r>
                  <w:r>
                    <w:rPr>
                      <w:rFonts w:hint="default" w:ascii="Times New Roman" w:hAnsi="Times New Roman" w:eastAsia="宋体" w:cs="Times New Roman"/>
                      <w:caps w:val="0"/>
                      <w:color w:val="auto"/>
                      <w:sz w:val="21"/>
                      <w:szCs w:val="21"/>
                      <w:highlight w:val="none"/>
                      <w:u w:val="none" w:color="auto"/>
                      <w:lang w:val="en-US" w:eastAsia="zh-CN"/>
                    </w:rPr>
                    <w:t>船舶</w:t>
                  </w:r>
                  <w:r>
                    <w:rPr>
                      <w:rFonts w:hint="default" w:ascii="Times New Roman" w:hAnsi="Times New Roman" w:eastAsia="宋体" w:cs="Times New Roman"/>
                      <w:caps w:val="0"/>
                      <w:color w:val="auto"/>
                      <w:sz w:val="21"/>
                      <w:szCs w:val="21"/>
                      <w:highlight w:val="none"/>
                      <w:u w:val="none" w:color="auto"/>
                    </w:rPr>
                    <w:t>委托有资质的外单位直接清运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码头</w:t>
                  </w:r>
                  <w:r>
                    <w:rPr>
                      <w:rFonts w:hint="default" w:ascii="Times New Roman" w:hAnsi="Times New Roman" w:eastAsia="宋体" w:cs="Times New Roman"/>
                      <w:caps w:val="0"/>
                      <w:color w:val="auto"/>
                      <w:sz w:val="21"/>
                      <w:szCs w:val="21"/>
                      <w:highlight w:val="none"/>
                      <w:u w:val="none" w:color="auto"/>
                      <w:lang w:val="en-US" w:eastAsia="zh-CN"/>
                    </w:rPr>
                    <w:t>新增</w:t>
                  </w:r>
                  <w:r>
                    <w:rPr>
                      <w:rFonts w:hint="default" w:ascii="Times New Roman" w:hAnsi="Times New Roman" w:eastAsia="宋体" w:cs="Times New Roman"/>
                      <w:caps w:val="0"/>
                      <w:color w:val="auto"/>
                      <w:sz w:val="21"/>
                      <w:szCs w:val="21"/>
                      <w:highlight w:val="none"/>
                      <w:u w:val="none" w:color="auto"/>
                    </w:rPr>
                    <w:t>生活垃圾经垃圾桶收集后由当地环卫</w:t>
                  </w:r>
                  <w:r>
                    <w:rPr>
                      <w:rFonts w:hint="default" w:ascii="Times New Roman" w:hAnsi="Times New Roman" w:eastAsia="宋体" w:cs="Times New Roman"/>
                      <w:caps w:val="0"/>
                      <w:color w:val="auto"/>
                      <w:sz w:val="21"/>
                      <w:szCs w:val="21"/>
                      <w:highlight w:val="none"/>
                      <w:u w:val="none" w:color="auto"/>
                      <w:lang w:val="en-US" w:eastAsia="zh-CN"/>
                    </w:rPr>
                    <w:t>部门</w:t>
                  </w:r>
                  <w:r>
                    <w:rPr>
                      <w:rFonts w:hint="default" w:ascii="Times New Roman" w:hAnsi="Times New Roman" w:eastAsia="宋体" w:cs="Times New Roman"/>
                      <w:caps w:val="0"/>
                      <w:color w:val="auto"/>
                      <w:sz w:val="21"/>
                      <w:szCs w:val="21"/>
                      <w:highlight w:val="none"/>
                      <w:u w:val="none" w:color="auto"/>
                    </w:rPr>
                    <w:t>定期清运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rPr>
                    <w:t>。</w:t>
                  </w:r>
                </w:p>
              </w:tc>
            </w:tr>
            <w:tr w14:paraId="42D9D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4" w:hRule="atLeast"/>
                <w:jc w:val="center"/>
              </w:trPr>
              <w:tc>
                <w:tcPr>
                  <w:tcW w:w="459" w:type="dxa"/>
                  <w:vMerge w:val="continue"/>
                  <w:tcBorders>
                    <w:tl2br w:val="nil"/>
                    <w:tr2bl w:val="nil"/>
                  </w:tcBorders>
                  <w:noWrap w:val="0"/>
                  <w:vAlign w:val="center"/>
                </w:tcPr>
                <w:p w14:paraId="370FC60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758952A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1853E3E">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rPr>
                    <w:t>废矿物油</w:t>
                  </w:r>
                  <w:r>
                    <w:rPr>
                      <w:rFonts w:hint="default" w:ascii="Times New Roman" w:hAnsi="Times New Roman" w:eastAsia="宋体" w:cs="Times New Roman"/>
                      <w:caps w:val="0"/>
                      <w:color w:val="auto"/>
                      <w:kern w:val="0"/>
                      <w:sz w:val="21"/>
                      <w:szCs w:val="21"/>
                      <w:highlight w:val="none"/>
                      <w:u w:val="none" w:color="auto"/>
                      <w:lang w:val="en-US" w:eastAsia="zh-CN"/>
                    </w:rPr>
                    <w:t>等</w:t>
                  </w:r>
                </w:p>
              </w:tc>
              <w:tc>
                <w:tcPr>
                  <w:tcW w:w="6299" w:type="dxa"/>
                  <w:tcBorders>
                    <w:tl2br w:val="nil"/>
                    <w:tr2bl w:val="nil"/>
                  </w:tcBorders>
                  <w:noWrap w:val="0"/>
                  <w:vAlign w:val="center"/>
                </w:tcPr>
                <w:p w14:paraId="62B206A3">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kern w:val="0"/>
                      <w:sz w:val="21"/>
                      <w:szCs w:val="21"/>
                      <w:highlight w:val="none"/>
                      <w:u w:val="none" w:color="auto"/>
                      <w:lang w:val="en-US" w:eastAsia="zh-CN"/>
                    </w:rPr>
                    <w:t>危险废物</w:t>
                  </w:r>
                  <w:r>
                    <w:rPr>
                      <w:rFonts w:hint="default" w:ascii="Times New Roman" w:hAnsi="Times New Roman" w:eastAsia="宋体" w:cs="Times New Roman"/>
                      <w:caps w:val="0"/>
                      <w:color w:val="auto"/>
                      <w:kern w:val="0"/>
                      <w:sz w:val="21"/>
                      <w:szCs w:val="21"/>
                      <w:highlight w:val="none"/>
                      <w:u w:val="none" w:color="auto"/>
                    </w:rPr>
                    <w:t>储存于</w:t>
                  </w:r>
                  <w:r>
                    <w:rPr>
                      <w:rFonts w:hint="default" w:ascii="Times New Roman" w:hAnsi="Times New Roman" w:eastAsia="宋体" w:cs="Times New Roman"/>
                      <w:caps w:val="0"/>
                      <w:color w:val="auto"/>
                      <w:kern w:val="0"/>
                      <w:sz w:val="21"/>
                      <w:szCs w:val="21"/>
                      <w:highlight w:val="none"/>
                      <w:u w:val="none" w:color="auto"/>
                      <w:lang w:val="en-US" w:eastAsia="zh-CN"/>
                    </w:rPr>
                    <w:t>现有1间建筑面积为154m</w:t>
                  </w:r>
                  <w:r>
                    <w:rPr>
                      <w:rFonts w:hint="default" w:ascii="Times New Roman" w:hAnsi="Times New Roman" w:eastAsia="宋体" w:cs="Times New Roman"/>
                      <w:caps w:val="0"/>
                      <w:color w:val="auto"/>
                      <w:kern w:val="0"/>
                      <w:sz w:val="21"/>
                      <w:szCs w:val="21"/>
                      <w:highlight w:val="none"/>
                      <w:u w:val="none" w:color="auto"/>
                      <w:vertAlign w:val="superscript"/>
                      <w:lang w:val="en-US" w:eastAsia="zh-CN"/>
                    </w:rPr>
                    <w:t>2</w:t>
                  </w:r>
                  <w:r>
                    <w:rPr>
                      <w:rFonts w:hint="default" w:ascii="Times New Roman" w:hAnsi="Times New Roman" w:eastAsia="宋体" w:cs="Times New Roman"/>
                      <w:caps w:val="0"/>
                      <w:color w:val="auto"/>
                      <w:kern w:val="0"/>
                      <w:sz w:val="21"/>
                      <w:szCs w:val="21"/>
                      <w:highlight w:val="none"/>
                      <w:u w:val="none" w:color="auto"/>
                      <w:lang w:val="en-US" w:eastAsia="zh-CN"/>
                    </w:rPr>
                    <w:t>危废暂存间</w:t>
                  </w:r>
                  <w:r>
                    <w:rPr>
                      <w:rFonts w:hint="default" w:ascii="Times New Roman" w:hAnsi="Times New Roman" w:eastAsia="宋体" w:cs="Times New Roman"/>
                      <w:caps w:val="0"/>
                      <w:color w:val="auto"/>
                      <w:kern w:val="0"/>
                      <w:sz w:val="21"/>
                      <w:szCs w:val="21"/>
                      <w:highlight w:val="none"/>
                      <w:u w:val="none" w:color="auto"/>
                    </w:rPr>
                    <w:t>，委托有资质单位处置</w:t>
                  </w:r>
                  <w:r>
                    <w:rPr>
                      <w:rFonts w:hint="default" w:ascii="Times New Roman" w:hAnsi="Times New Roman" w:eastAsia="宋体" w:cs="Times New Roman"/>
                      <w:caps w:val="0"/>
                      <w:color w:val="auto"/>
                      <w:kern w:val="0"/>
                      <w:sz w:val="21"/>
                      <w:szCs w:val="21"/>
                      <w:highlight w:val="none"/>
                      <w:u w:val="none" w:color="auto"/>
                      <w:lang w:eastAsia="zh-CN"/>
                    </w:rPr>
                    <w:t>。</w:t>
                  </w:r>
                </w:p>
              </w:tc>
            </w:tr>
            <w:tr w14:paraId="6F1B8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35" w:hRule="atLeast"/>
                <w:jc w:val="center"/>
              </w:trPr>
              <w:tc>
                <w:tcPr>
                  <w:tcW w:w="765" w:type="dxa"/>
                  <w:gridSpan w:val="2"/>
                  <w:vMerge w:val="restart"/>
                  <w:tcBorders>
                    <w:tl2br w:val="nil"/>
                    <w:tr2bl w:val="nil"/>
                  </w:tcBorders>
                  <w:noWrap w:val="0"/>
                  <w:vAlign w:val="center"/>
                </w:tcPr>
                <w:p w14:paraId="220A8D1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环境风险防范</w:t>
                  </w:r>
                </w:p>
              </w:tc>
              <w:tc>
                <w:tcPr>
                  <w:tcW w:w="655" w:type="dxa"/>
                  <w:tcBorders>
                    <w:tl2br w:val="nil"/>
                    <w:tr2bl w:val="nil"/>
                  </w:tcBorders>
                  <w:noWrap w:val="0"/>
                  <w:vAlign w:val="center"/>
                </w:tcPr>
                <w:p w14:paraId="45D17F2C">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应急处理场地</w:t>
                  </w:r>
                </w:p>
              </w:tc>
              <w:tc>
                <w:tcPr>
                  <w:tcW w:w="6299" w:type="dxa"/>
                  <w:tcBorders>
                    <w:tl2br w:val="nil"/>
                    <w:tr2bl w:val="nil"/>
                  </w:tcBorders>
                  <w:noWrap w:val="0"/>
                  <w:vAlign w:val="center"/>
                </w:tcPr>
                <w:p w14:paraId="22D319D9">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eastAsia="宋体" w:cs="Times New Roman"/>
                      <w:caps w:val="0"/>
                      <w:color w:val="auto"/>
                      <w:sz w:val="21"/>
                      <w:szCs w:val="21"/>
                      <w:highlight w:val="none"/>
                      <w:u w:val="none" w:color="auto"/>
                      <w:lang w:val="en-US" w:eastAsia="zh-CN"/>
                    </w:rPr>
                    <w:t>旁配套建设一处独立应急处理场地，应急处理场地面积为13.4m×2.6m，大于2个TEU箱位占地面积，场地周边设置0.5m高围挡；应急处理场地配套建设应急处置池，尺寸为3m×4.8m×3.1m，容积为44.64m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kern w:val="0"/>
                      <w:sz w:val="21"/>
                      <w:szCs w:val="21"/>
                      <w:highlight w:val="none"/>
                      <w:u w:val="none" w:color="auto"/>
                    </w:rPr>
                    <w:t>新增危险</w:t>
                  </w:r>
                  <w:r>
                    <w:rPr>
                      <w:rFonts w:hint="default" w:ascii="Times New Roman" w:hAnsi="Times New Roman" w:cs="Times New Roman"/>
                      <w:caps w:val="0"/>
                      <w:color w:val="auto"/>
                      <w:kern w:val="0"/>
                      <w:sz w:val="21"/>
                      <w:szCs w:val="21"/>
                      <w:highlight w:val="none"/>
                      <w:u w:val="none" w:color="auto"/>
                      <w:lang w:eastAsia="zh-CN"/>
                    </w:rPr>
                    <w:t>货种</w:t>
                  </w:r>
                  <w:r>
                    <w:rPr>
                      <w:rFonts w:hint="default" w:ascii="Times New Roman" w:hAnsi="Times New Roman" w:eastAsia="宋体" w:cs="Times New Roman"/>
                      <w:caps w:val="0"/>
                      <w:color w:val="auto"/>
                      <w:kern w:val="0"/>
                      <w:sz w:val="21"/>
                      <w:szCs w:val="21"/>
                      <w:highlight w:val="none"/>
                      <w:u w:val="none" w:color="auto"/>
                    </w:rPr>
                    <w:t>集装箱</w:t>
                  </w:r>
                  <w:r>
                    <w:rPr>
                      <w:rFonts w:hint="default" w:ascii="Times New Roman" w:hAnsi="Times New Roman" w:eastAsia="宋体" w:cs="Times New Roman"/>
                      <w:caps w:val="0"/>
                      <w:color w:val="auto"/>
                      <w:kern w:val="0"/>
                      <w:sz w:val="21"/>
                      <w:szCs w:val="21"/>
                      <w:highlight w:val="none"/>
                      <w:u w:val="none" w:color="auto"/>
                      <w:lang w:eastAsia="zh-CN"/>
                    </w:rPr>
                    <w:t>采用</w:t>
                  </w:r>
                  <w:r>
                    <w:rPr>
                      <w:rFonts w:hint="default" w:ascii="Times New Roman" w:hAnsi="Times New Roman" w:eastAsia="宋体" w:cs="Times New Roman"/>
                      <w:caps w:val="0"/>
                      <w:color w:val="auto"/>
                      <w:kern w:val="0"/>
                      <w:sz w:val="21"/>
                      <w:szCs w:val="21"/>
                      <w:highlight w:val="none"/>
                      <w:u w:val="none" w:color="auto"/>
                    </w:rPr>
                    <w:t>直装直取装卸工艺</w:t>
                  </w:r>
                  <w:r>
                    <w:rPr>
                      <w:rFonts w:hint="default" w:ascii="Times New Roman" w:hAnsi="Times New Roman" w:cs="Times New Roman"/>
                      <w:caps w:val="0"/>
                      <w:color w:val="auto"/>
                      <w:kern w:val="0"/>
                      <w:sz w:val="21"/>
                      <w:szCs w:val="21"/>
                      <w:highlight w:val="none"/>
                      <w:u w:val="none" w:color="auto"/>
                      <w:lang w:eastAsia="zh-CN"/>
                    </w:rPr>
                    <w:t>，新增货种不在现有</w:t>
                  </w: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cs="Times New Roman"/>
                      <w:caps w:val="0"/>
                      <w:color w:val="auto"/>
                      <w:sz w:val="21"/>
                      <w:szCs w:val="21"/>
                      <w:highlight w:val="none"/>
                      <w:u w:val="none" w:color="auto"/>
                      <w:lang w:eastAsia="zh-CN"/>
                    </w:rPr>
                    <w:t>堆存</w:t>
                  </w:r>
                </w:p>
              </w:tc>
            </w:tr>
            <w:tr w14:paraId="01D15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785BC9A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EB12A8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集污池和事故池</w:t>
                  </w:r>
                </w:p>
              </w:tc>
              <w:tc>
                <w:tcPr>
                  <w:tcW w:w="6299" w:type="dxa"/>
                  <w:tcBorders>
                    <w:tl2br w:val="nil"/>
                    <w:tr2bl w:val="nil"/>
                  </w:tcBorders>
                  <w:noWrap w:val="0"/>
                  <w:vAlign w:val="center"/>
                </w:tcPr>
                <w:p w14:paraId="55C0E6FA">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①危险品</w:t>
                  </w:r>
                  <w:r>
                    <w:rPr>
                      <w:rFonts w:hint="default" w:ascii="Times New Roman" w:hAnsi="Times New Roman" w:eastAsia="宋体" w:cs="Times New Roman"/>
                      <w:caps w:val="0"/>
                      <w:color w:val="auto"/>
                      <w:sz w:val="21"/>
                      <w:szCs w:val="21"/>
                      <w:highlight w:val="none"/>
                      <w:u w:val="none" w:color="auto"/>
                      <w:lang w:val="en-US" w:eastAsia="zh-CN"/>
                    </w:rPr>
                    <w:t>集装箱</w:t>
                  </w:r>
                  <w:r>
                    <w:rPr>
                      <w:rFonts w:hint="default" w:ascii="Times New Roman" w:hAnsi="Times New Roman" w:eastAsia="宋体" w:cs="Times New Roman"/>
                      <w:caps w:val="0"/>
                      <w:color w:val="auto"/>
                      <w:sz w:val="21"/>
                      <w:szCs w:val="21"/>
                      <w:highlight w:val="none"/>
                      <w:u w:val="none" w:color="auto"/>
                    </w:rPr>
                    <w:t>堆场四周设置独立排水沟，并在堆场外设有配套集污池和事故池，总容积约170m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p w14:paraId="310EDEDE">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②为避免码头危险货物在装卸和运输中发生环境风险事故，在5#泊位后方设置一处事故应急池，事故池容积约268.3m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tc>
            </w:tr>
            <w:tr w14:paraId="553BB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2522040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3CD4C233">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p>
              </w:tc>
              <w:tc>
                <w:tcPr>
                  <w:tcW w:w="6299" w:type="dxa"/>
                  <w:tcBorders>
                    <w:tl2br w:val="nil"/>
                    <w:tr2bl w:val="nil"/>
                  </w:tcBorders>
                  <w:noWrap w:val="0"/>
                  <w:vAlign w:val="center"/>
                </w:tcPr>
                <w:p w14:paraId="1F959505">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共设置有</w:t>
                  </w:r>
                  <w:r>
                    <w:rPr>
                      <w:rFonts w:hint="default" w:ascii="Times New Roman" w:hAnsi="Times New Roman" w:eastAsia="宋体" w:cs="Times New Roman"/>
                      <w:caps w:val="0"/>
                      <w:color w:val="auto"/>
                      <w:sz w:val="21"/>
                      <w:szCs w:val="21"/>
                      <w:highlight w:val="none"/>
                      <w:u w:val="none" w:color="auto"/>
                      <w:lang w:val="en-US" w:eastAsia="zh-CN"/>
                    </w:rPr>
                    <w:t>6</w:t>
                  </w:r>
                  <w:r>
                    <w:rPr>
                      <w:rFonts w:hint="default" w:ascii="Times New Roman" w:hAnsi="Times New Roman" w:eastAsia="宋体" w:cs="Times New Roman"/>
                      <w:caps w:val="0"/>
                      <w:color w:val="auto"/>
                      <w:sz w:val="21"/>
                      <w:szCs w:val="21"/>
                      <w:highlight w:val="none"/>
                      <w:u w:val="none" w:color="auto"/>
                    </w:rPr>
                    <w:t>个移动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，单位容积为26.39</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总容积约1</w:t>
                  </w:r>
                  <w:r>
                    <w:rPr>
                      <w:rFonts w:hint="default" w:ascii="Times New Roman" w:hAnsi="Times New Roman" w:eastAsia="宋体" w:cs="Times New Roman"/>
                      <w:caps w:val="0"/>
                      <w:color w:val="auto"/>
                      <w:sz w:val="21"/>
                      <w:szCs w:val="21"/>
                      <w:highlight w:val="none"/>
                      <w:u w:val="none" w:color="auto"/>
                      <w:lang w:val="en-US" w:eastAsia="zh-CN"/>
                    </w:rPr>
                    <w:t>58.34</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当码头前沿发生装卸事故导致危险货物泄漏或引发火灾事故时，通过沙袋围堰防止事故废水进入海域，并抽排进码头前沿放置的移动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内</w:t>
                  </w:r>
                  <w:r>
                    <w:rPr>
                      <w:rFonts w:hint="default" w:ascii="Times New Roman" w:hAnsi="Times New Roman" w:eastAsia="宋体" w:cs="Times New Roman"/>
                      <w:caps w:val="0"/>
                      <w:color w:val="auto"/>
                      <w:sz w:val="21"/>
                      <w:szCs w:val="21"/>
                      <w:highlight w:val="none"/>
                      <w:u w:val="none" w:color="auto"/>
                    </w:rPr>
                    <w:t>，转运至事故应急池临时存储。</w:t>
                  </w:r>
                </w:p>
              </w:tc>
            </w:tr>
            <w:tr w14:paraId="21441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765" w:type="dxa"/>
                  <w:gridSpan w:val="2"/>
                  <w:vMerge w:val="continue"/>
                  <w:tcBorders>
                    <w:tl2br w:val="nil"/>
                    <w:tr2bl w:val="nil"/>
                  </w:tcBorders>
                  <w:noWrap w:val="0"/>
                  <w:vAlign w:val="center"/>
                </w:tcPr>
                <w:p w14:paraId="0FE3B39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2CFA7B91">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应急设备</w:t>
                  </w:r>
                </w:p>
              </w:tc>
              <w:tc>
                <w:tcPr>
                  <w:tcW w:w="6299" w:type="dxa"/>
                  <w:tcBorders>
                    <w:tl2br w:val="nil"/>
                    <w:tr2bl w:val="nil"/>
                  </w:tcBorders>
                  <w:noWrap w:val="0"/>
                  <w:vAlign w:val="center"/>
                </w:tcPr>
                <w:p w14:paraId="25D04D54">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码头设有两处应急物资库，分别位于1#泊位、4#泊位后方，</w:t>
                  </w:r>
                  <w:r>
                    <w:rPr>
                      <w:rFonts w:hint="default" w:ascii="Times New Roman" w:hAnsi="Times New Roman" w:eastAsia="宋体" w:cs="Times New Roman"/>
                      <w:caps w:val="0"/>
                      <w:color w:val="auto"/>
                      <w:sz w:val="21"/>
                      <w:szCs w:val="21"/>
                      <w:highlight w:val="none"/>
                      <w:u w:val="none" w:color="auto"/>
                      <w:lang w:val="en-US" w:eastAsia="zh-CN"/>
                    </w:rPr>
                    <w:t>配置有</w:t>
                  </w:r>
                  <w:r>
                    <w:rPr>
                      <w:rFonts w:hint="default" w:ascii="Times New Roman" w:hAnsi="Times New Roman" w:eastAsia="宋体" w:cs="Times New Roman"/>
                      <w:caps w:val="0"/>
                      <w:color w:val="auto"/>
                      <w:sz w:val="21"/>
                      <w:szCs w:val="21"/>
                      <w:highlight w:val="none"/>
                      <w:u w:val="none" w:color="auto"/>
                    </w:rPr>
                    <w:t>固体浮子式PVC围油栏</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转盘式收油机</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溢油分散剂</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消油剂喷洒器</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吸油毡</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便捷式集油桶</w:t>
                  </w:r>
                  <w:r>
                    <w:rPr>
                      <w:rFonts w:hint="default" w:ascii="Times New Roman" w:hAnsi="Times New Roman" w:eastAsia="宋体" w:cs="Times New Roman"/>
                      <w:caps w:val="0"/>
                      <w:color w:val="auto"/>
                      <w:sz w:val="21"/>
                      <w:szCs w:val="21"/>
                      <w:highlight w:val="none"/>
                      <w:u w:val="none" w:color="auto"/>
                      <w:lang w:eastAsia="zh-CN"/>
                    </w:rPr>
                    <w:t>、化学品吸收吸附材料、碳酸氢钠、磷酸二氢钠重型防化服、防护服、正压式空气呼吸器、自吸过滤式防毒面具（全面罩）、五合一气体检测仪、护目罩、防尘口罩、耐酸碱手套</w:t>
                  </w:r>
                  <w:r>
                    <w:rPr>
                      <w:rFonts w:hint="default" w:ascii="Times New Roman" w:hAnsi="Times New Roman" w:eastAsia="宋体" w:cs="Times New Roman"/>
                      <w:caps w:val="0"/>
                      <w:color w:val="auto"/>
                      <w:sz w:val="21"/>
                      <w:szCs w:val="21"/>
                      <w:highlight w:val="none"/>
                      <w:u w:val="none" w:color="auto"/>
                    </w:rPr>
                    <w:t>等。</w:t>
                  </w:r>
                </w:p>
              </w:tc>
            </w:tr>
            <w:tr w14:paraId="6A582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45" w:hRule="atLeast"/>
                <w:jc w:val="center"/>
              </w:trPr>
              <w:tc>
                <w:tcPr>
                  <w:tcW w:w="765" w:type="dxa"/>
                  <w:gridSpan w:val="2"/>
                  <w:vMerge w:val="continue"/>
                  <w:tcBorders>
                    <w:tl2br w:val="nil"/>
                    <w:tr2bl w:val="nil"/>
                  </w:tcBorders>
                  <w:noWrap w:val="0"/>
                  <w:vAlign w:val="center"/>
                </w:tcPr>
                <w:p w14:paraId="38E3F74B">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07C03CCF">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7DCD94C2">
                  <w:pPr>
                    <w:pStyle w:val="1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应急预案、其他相关管理措施。</w:t>
                  </w:r>
                </w:p>
              </w:tc>
            </w:tr>
          </w:tbl>
          <w:p w14:paraId="131EFC7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4"/>
                <w:szCs w:val="24"/>
                <w:highlight w:val="none"/>
                <w:u w:val="none"/>
                <w:vertAlign w:val="baseline"/>
                <w:lang w:val="en-US" w:eastAsia="zh-CN"/>
              </w:rPr>
              <w:t>表2-</w:t>
            </w:r>
            <w:r>
              <w:rPr>
                <w:rFonts w:hint="eastAsia" w:cs="Times New Roman"/>
                <w:b/>
                <w:bCs w:val="0"/>
                <w:color w:val="auto"/>
                <w:sz w:val="24"/>
                <w:szCs w:val="24"/>
                <w:highlight w:val="none"/>
                <w:u w:val="none"/>
                <w:vertAlign w:val="baseline"/>
                <w:lang w:val="en-US" w:eastAsia="zh-CN"/>
              </w:rPr>
              <w:t>17</w:t>
            </w:r>
            <w:r>
              <w:rPr>
                <w:rFonts w:hint="default" w:ascii="Times New Roman" w:hAnsi="Times New Roman" w:eastAsia="宋体" w:cs="Times New Roman"/>
                <w:b/>
                <w:bCs/>
                <w:caps w:val="0"/>
                <w:color w:val="auto"/>
                <w:sz w:val="21"/>
                <w:szCs w:val="21"/>
                <w:highlight w:val="none"/>
                <w:lang w:val="en-US" w:eastAsia="zh-CN"/>
              </w:rPr>
              <w:t>项目建设</w:t>
            </w:r>
            <w:r>
              <w:rPr>
                <w:rFonts w:hint="eastAsia" w:cs="Times New Roman"/>
                <w:b/>
                <w:bCs/>
                <w:caps w:val="0"/>
                <w:color w:val="auto"/>
                <w:sz w:val="21"/>
                <w:szCs w:val="21"/>
                <w:highlight w:val="none"/>
                <w:lang w:val="en-US" w:eastAsia="zh-CN"/>
              </w:rPr>
              <w:t>现有</w:t>
            </w:r>
            <w:r>
              <w:rPr>
                <w:rFonts w:hint="default" w:ascii="Times New Roman" w:hAnsi="Times New Roman" w:eastAsia="宋体" w:cs="Times New Roman"/>
                <w:b/>
                <w:bCs/>
                <w:caps w:val="0"/>
                <w:color w:val="auto"/>
                <w:sz w:val="21"/>
                <w:szCs w:val="21"/>
                <w:highlight w:val="none"/>
              </w:rPr>
              <w:t>工程量变化表</w:t>
            </w:r>
          </w:p>
          <w:tbl>
            <w:tblPr>
              <w:tblStyle w:val="46"/>
              <w:tblW w:w="483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7"/>
              <w:gridCol w:w="3242"/>
              <w:gridCol w:w="2049"/>
              <w:gridCol w:w="1544"/>
            </w:tblGrid>
            <w:tr w14:paraId="732CD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blHeader/>
              </w:trPr>
              <w:tc>
                <w:tcPr>
                  <w:tcW w:w="969" w:type="dxa"/>
                  <w:vMerge w:val="restart"/>
                  <w:tcBorders>
                    <w:top w:val="single" w:color="auto" w:sz="6" w:space="0"/>
                    <w:left w:val="single" w:color="auto" w:sz="6" w:space="0"/>
                    <w:right w:val="single" w:color="auto" w:sz="6" w:space="0"/>
                  </w:tcBorders>
                  <w:noWrap w:val="0"/>
                  <w:vAlign w:val="center"/>
                </w:tcPr>
                <w:p w14:paraId="6F8E2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序号</w:t>
                  </w:r>
                </w:p>
              </w:tc>
              <w:tc>
                <w:tcPr>
                  <w:tcW w:w="3249" w:type="dxa"/>
                  <w:vMerge w:val="restart"/>
                  <w:tcBorders>
                    <w:top w:val="single" w:color="auto" w:sz="6" w:space="0"/>
                    <w:left w:val="single" w:color="auto" w:sz="6" w:space="0"/>
                    <w:right w:val="single" w:color="auto" w:sz="6" w:space="0"/>
                  </w:tcBorders>
                  <w:noWrap w:val="0"/>
                  <w:vAlign w:val="center"/>
                </w:tcPr>
                <w:p w14:paraId="33147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指标名称</w:t>
                  </w:r>
                </w:p>
              </w:tc>
              <w:tc>
                <w:tcPr>
                  <w:tcW w:w="2053" w:type="dxa"/>
                  <w:vMerge w:val="restart"/>
                  <w:tcBorders>
                    <w:top w:val="single" w:color="auto" w:sz="6" w:space="0"/>
                    <w:left w:val="single" w:color="auto" w:sz="6" w:space="0"/>
                    <w:right w:val="single" w:color="auto" w:sz="6" w:space="0"/>
                  </w:tcBorders>
                  <w:noWrap w:val="0"/>
                  <w:vAlign w:val="center"/>
                </w:tcPr>
                <w:p w14:paraId="13C4B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单位</w:t>
                  </w:r>
                </w:p>
              </w:tc>
              <w:tc>
                <w:tcPr>
                  <w:tcW w:w="1547" w:type="dxa"/>
                  <w:vMerge w:val="restart"/>
                  <w:tcBorders>
                    <w:top w:val="single" w:color="auto" w:sz="6" w:space="0"/>
                    <w:left w:val="single" w:color="auto" w:sz="6" w:space="0"/>
                    <w:right w:val="single" w:color="auto" w:sz="6" w:space="0"/>
                  </w:tcBorders>
                  <w:noWrap w:val="0"/>
                  <w:vAlign w:val="center"/>
                </w:tcPr>
                <w:p w14:paraId="1C33F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r>
                    <w:rPr>
                      <w:rFonts w:hint="default" w:ascii="Times New Roman" w:hAnsi="Times New Roman" w:eastAsia="宋体" w:cs="Times New Roman"/>
                      <w:b/>
                      <w:caps w:val="0"/>
                      <w:color w:val="auto"/>
                      <w:sz w:val="21"/>
                      <w:szCs w:val="21"/>
                      <w:highlight w:val="none"/>
                    </w:rPr>
                    <w:t>现有工程</w:t>
                  </w:r>
                </w:p>
              </w:tc>
            </w:tr>
            <w:tr w14:paraId="6E6C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0" w:hRule="atLeast"/>
                <w:tblHeader/>
              </w:trPr>
              <w:tc>
                <w:tcPr>
                  <w:tcW w:w="969" w:type="dxa"/>
                  <w:vMerge w:val="continue"/>
                  <w:tcBorders>
                    <w:left w:val="single" w:color="auto" w:sz="6" w:space="0"/>
                    <w:bottom w:val="single" w:color="auto" w:sz="6" w:space="0"/>
                    <w:right w:val="single" w:color="auto" w:sz="6" w:space="0"/>
                  </w:tcBorders>
                  <w:noWrap w:val="0"/>
                  <w:vAlign w:val="center"/>
                </w:tcPr>
                <w:p w14:paraId="54EA7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3249" w:type="dxa"/>
                  <w:vMerge w:val="continue"/>
                  <w:tcBorders>
                    <w:left w:val="single" w:color="auto" w:sz="6" w:space="0"/>
                    <w:bottom w:val="single" w:color="auto" w:sz="6" w:space="0"/>
                    <w:right w:val="single" w:color="auto" w:sz="6" w:space="0"/>
                  </w:tcBorders>
                  <w:noWrap w:val="0"/>
                  <w:vAlign w:val="center"/>
                </w:tcPr>
                <w:p w14:paraId="5C373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2053" w:type="dxa"/>
                  <w:vMerge w:val="continue"/>
                  <w:tcBorders>
                    <w:left w:val="single" w:color="auto" w:sz="6" w:space="0"/>
                    <w:bottom w:val="single" w:color="auto" w:sz="6" w:space="0"/>
                    <w:right w:val="single" w:color="auto" w:sz="6" w:space="0"/>
                  </w:tcBorders>
                  <w:noWrap w:val="0"/>
                  <w:vAlign w:val="center"/>
                </w:tcPr>
                <w:p w14:paraId="48666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c>
                <w:tcPr>
                  <w:tcW w:w="1547" w:type="dxa"/>
                  <w:vMerge w:val="continue"/>
                  <w:tcBorders>
                    <w:left w:val="single" w:color="auto" w:sz="6" w:space="0"/>
                    <w:bottom w:val="single" w:color="auto" w:sz="6" w:space="0"/>
                    <w:right w:val="single" w:color="auto" w:sz="6" w:space="0"/>
                  </w:tcBorders>
                  <w:noWrap w:val="0"/>
                  <w:vAlign w:val="center"/>
                </w:tcPr>
                <w:p w14:paraId="4AC9A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rPr>
                  </w:pPr>
                </w:p>
              </w:tc>
            </w:tr>
            <w:tr w14:paraId="13E5F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vMerge w:val="restart"/>
                  <w:tcBorders>
                    <w:top w:val="single" w:color="auto" w:sz="6" w:space="0"/>
                    <w:left w:val="single" w:color="auto" w:sz="6" w:space="0"/>
                    <w:right w:val="single" w:color="auto" w:sz="6" w:space="0"/>
                  </w:tcBorders>
                  <w:noWrap w:val="0"/>
                  <w:vAlign w:val="center"/>
                </w:tcPr>
                <w:p w14:paraId="68087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7AB5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设计集装箱吞吐量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40CF9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624EB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rPr>
                  </w:pPr>
                  <w:r>
                    <w:rPr>
                      <w:rFonts w:hint="default" w:ascii="Times New Roman" w:hAnsi="Times New Roman" w:eastAsia="宋体" w:cs="Times New Roman"/>
                      <w:caps w:val="0"/>
                      <w:color w:val="auto"/>
                      <w:sz w:val="21"/>
                      <w:szCs w:val="21"/>
                      <w:highlight w:val="none"/>
                      <w:lang w:val="en-US" w:eastAsia="zh-CN"/>
                    </w:rPr>
                    <w:t>320</w:t>
                  </w:r>
                </w:p>
              </w:tc>
            </w:tr>
            <w:tr w14:paraId="06ED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6CA57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2D59B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其中普通货物集装箱</w:t>
                  </w:r>
                  <w:r>
                    <w:rPr>
                      <w:rFonts w:hint="default" w:ascii="Times New Roman" w:hAnsi="Times New Roman" w:eastAsia="宋体" w:cs="Times New Roman"/>
                      <w:caps w:val="0"/>
                      <w:color w:val="auto"/>
                      <w:sz w:val="21"/>
                      <w:szCs w:val="21"/>
                      <w:highlight w:val="none"/>
                    </w:rPr>
                    <w:t>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02543B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07AD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310</w:t>
                  </w:r>
                </w:p>
              </w:tc>
            </w:tr>
            <w:tr w14:paraId="69977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2B017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A993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其中危险货物集装箱</w:t>
                  </w:r>
                  <w:r>
                    <w:rPr>
                      <w:rFonts w:hint="default" w:ascii="Times New Roman" w:hAnsi="Times New Roman" w:eastAsia="宋体" w:cs="Times New Roman"/>
                      <w:caps w:val="0"/>
                      <w:color w:val="auto"/>
                      <w:sz w:val="21"/>
                      <w:szCs w:val="21"/>
                      <w:highlight w:val="none"/>
                    </w:rPr>
                    <w:t>吞吐量</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2183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万</w:t>
                  </w:r>
                  <w:r>
                    <w:rPr>
                      <w:rFonts w:hint="default" w:ascii="Times New Roman" w:hAnsi="Times New Roman" w:eastAsia="宋体" w:cs="Times New Roman"/>
                      <w:caps w:val="0"/>
                      <w:color w:val="auto"/>
                      <w:sz w:val="21"/>
                      <w:szCs w:val="21"/>
                      <w:highlight w:val="none"/>
                    </w:rPr>
                    <w:t>TEU/年</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435F2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r>
            <w:tr w14:paraId="6C84A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633C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2</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32D86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泊位数</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21569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个</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1C169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6</w:t>
                  </w:r>
                </w:p>
              </w:tc>
            </w:tr>
            <w:tr w14:paraId="0B3C5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620F1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3</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F56D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泊位岸线总长度</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10F94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65B8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1808</w:t>
                  </w:r>
                </w:p>
              </w:tc>
            </w:tr>
            <w:tr w14:paraId="65C4A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49818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4</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90C9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陆域总面积</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9ECB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3ABFB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135.64</w:t>
                  </w:r>
                </w:p>
              </w:tc>
            </w:tr>
            <w:tr w14:paraId="2B8D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vMerge w:val="restart"/>
                  <w:tcBorders>
                    <w:top w:val="single" w:color="auto" w:sz="6" w:space="0"/>
                    <w:left w:val="single" w:color="auto" w:sz="6" w:space="0"/>
                    <w:right w:val="single" w:color="auto" w:sz="6" w:space="0"/>
                  </w:tcBorders>
                  <w:noWrap w:val="0"/>
                  <w:vAlign w:val="center"/>
                </w:tcPr>
                <w:p w14:paraId="0B094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5</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0DC94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堆场面积</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7086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41343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988747</w:t>
                  </w:r>
                </w:p>
              </w:tc>
            </w:tr>
            <w:tr w14:paraId="6C032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9" w:type="dxa"/>
                  <w:vMerge w:val="continue"/>
                  <w:tcBorders>
                    <w:left w:val="single" w:color="auto" w:sz="6" w:space="0"/>
                    <w:bottom w:val="single" w:color="auto" w:sz="6" w:space="0"/>
                    <w:right w:val="single" w:color="auto" w:sz="6" w:space="0"/>
                  </w:tcBorders>
                  <w:noWrap w:val="0"/>
                  <w:vAlign w:val="center"/>
                </w:tcPr>
                <w:p w14:paraId="380A6F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23CE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其中危险货物集装箱堆场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20C82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m</w:t>
                  </w:r>
                  <w:r>
                    <w:rPr>
                      <w:rFonts w:hint="default" w:ascii="Times New Roman" w:hAnsi="Times New Roman" w:eastAsia="宋体" w:cs="Times New Roman"/>
                      <w:caps w:val="0"/>
                      <w:color w:val="auto"/>
                      <w:sz w:val="21"/>
                      <w:szCs w:val="21"/>
                      <w:highlight w:val="none"/>
                      <w:vertAlign w:val="superscript"/>
                    </w:rPr>
                    <w:t>2</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2221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5000</w:t>
                  </w:r>
                </w:p>
              </w:tc>
            </w:tr>
            <w:tr w14:paraId="287EA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A7F7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6</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B9CC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rPr>
                  </w:pPr>
                  <w:r>
                    <w:rPr>
                      <w:rFonts w:hint="default" w:ascii="Times New Roman" w:hAnsi="Times New Roman" w:eastAsia="宋体" w:cs="Times New Roman"/>
                      <w:caps w:val="0"/>
                      <w:color w:val="auto"/>
                      <w:sz w:val="21"/>
                      <w:szCs w:val="21"/>
                      <w:highlight w:val="none"/>
                      <w:lang w:val="en-US" w:eastAsia="zh-CN"/>
                    </w:rPr>
                    <w:t>危险货物作业种类</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5CB4C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种</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52BEE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1869</w:t>
                  </w:r>
                </w:p>
              </w:tc>
            </w:tr>
            <w:tr w14:paraId="64C12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52EFC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7</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5530D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普货拆装箱场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5CA88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38398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u w:val="none"/>
                    </w:rPr>
                    <w:t>5515</w:t>
                  </w:r>
                </w:p>
              </w:tc>
            </w:tr>
            <w:tr w14:paraId="0C186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39864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8</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EEC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洗箱场</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4319A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686B2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0</w:t>
                  </w:r>
                </w:p>
              </w:tc>
            </w:tr>
            <w:tr w14:paraId="76E15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4FD383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9</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5AD974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洗箱污水处理站</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0B3AA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TEU/a</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A0B7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0</w:t>
                  </w:r>
                </w:p>
              </w:tc>
            </w:tr>
            <w:tr w14:paraId="0A26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3BD4E8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65943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含油污水处理站</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4175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m</w:t>
                  </w:r>
                  <w:r>
                    <w:rPr>
                      <w:rFonts w:hint="default" w:ascii="Times New Roman" w:hAnsi="Times New Roman" w:eastAsia="宋体" w:cs="Times New Roman"/>
                      <w:caps w:val="0"/>
                      <w:color w:val="auto"/>
                      <w:sz w:val="21"/>
                      <w:szCs w:val="21"/>
                      <w:highlight w:val="none"/>
                      <w:vertAlign w:val="superscript"/>
                      <w:lang w:val="en-US" w:eastAsia="zh-CN"/>
                    </w:rPr>
                    <w:t>3</w:t>
                  </w:r>
                  <w:r>
                    <w:rPr>
                      <w:rFonts w:hint="default" w:ascii="Times New Roman" w:hAnsi="Times New Roman" w:eastAsia="宋体" w:cs="Times New Roman"/>
                      <w:caps w:val="0"/>
                      <w:color w:val="auto"/>
                      <w:sz w:val="21"/>
                      <w:szCs w:val="21"/>
                      <w:highlight w:val="none"/>
                      <w:lang w:val="en-US" w:eastAsia="zh-CN"/>
                    </w:rPr>
                    <w:t>/h</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79927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20</w:t>
                  </w:r>
                </w:p>
              </w:tc>
            </w:tr>
            <w:tr w14:paraId="26698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69" w:type="dxa"/>
                  <w:tcBorders>
                    <w:top w:val="single" w:color="auto" w:sz="6" w:space="0"/>
                    <w:left w:val="single" w:color="auto" w:sz="6" w:space="0"/>
                    <w:bottom w:val="single" w:color="auto" w:sz="6" w:space="0"/>
                    <w:right w:val="single" w:color="auto" w:sz="6" w:space="0"/>
                  </w:tcBorders>
                  <w:noWrap w:val="0"/>
                  <w:vAlign w:val="center"/>
                </w:tcPr>
                <w:p w14:paraId="292F0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11</w:t>
                  </w:r>
                </w:p>
              </w:tc>
              <w:tc>
                <w:tcPr>
                  <w:tcW w:w="3249" w:type="dxa"/>
                  <w:tcBorders>
                    <w:top w:val="single" w:color="auto" w:sz="6" w:space="0"/>
                    <w:left w:val="single" w:color="auto" w:sz="6" w:space="0"/>
                    <w:bottom w:val="single" w:color="auto" w:sz="6" w:space="0"/>
                    <w:right w:val="single" w:color="auto" w:sz="6" w:space="0"/>
                  </w:tcBorders>
                  <w:noWrap w:val="0"/>
                  <w:vAlign w:val="center"/>
                </w:tcPr>
                <w:p w14:paraId="4B87C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作业员工</w:t>
                  </w:r>
                </w:p>
              </w:tc>
              <w:tc>
                <w:tcPr>
                  <w:tcW w:w="2053" w:type="dxa"/>
                  <w:tcBorders>
                    <w:top w:val="single" w:color="auto" w:sz="6" w:space="0"/>
                    <w:left w:val="single" w:color="auto" w:sz="6" w:space="0"/>
                    <w:bottom w:val="single" w:color="auto" w:sz="6" w:space="0"/>
                    <w:right w:val="single" w:color="auto" w:sz="6" w:space="0"/>
                  </w:tcBorders>
                  <w:noWrap w:val="0"/>
                  <w:vAlign w:val="center"/>
                </w:tcPr>
                <w:p w14:paraId="7D7CC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人</w:t>
                  </w:r>
                </w:p>
              </w:tc>
              <w:tc>
                <w:tcPr>
                  <w:tcW w:w="1547" w:type="dxa"/>
                  <w:tcBorders>
                    <w:top w:val="single" w:color="auto" w:sz="6" w:space="0"/>
                    <w:left w:val="single" w:color="auto" w:sz="6" w:space="0"/>
                    <w:bottom w:val="single" w:color="auto" w:sz="6" w:space="0"/>
                    <w:right w:val="single" w:color="auto" w:sz="6" w:space="0"/>
                  </w:tcBorders>
                  <w:noWrap w:val="0"/>
                  <w:vAlign w:val="center"/>
                </w:tcPr>
                <w:p w14:paraId="05ABA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488</w:t>
                  </w:r>
                </w:p>
              </w:tc>
            </w:tr>
          </w:tbl>
          <w:p w14:paraId="1E488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u w:val="none"/>
                <w:vertAlign w:val="baseline"/>
                <w:lang w:val="en-US" w:eastAsia="zh-CN"/>
              </w:rPr>
            </w:pPr>
            <w:r>
              <w:rPr>
                <w:rFonts w:hint="default" w:ascii="Times New Roman" w:hAnsi="Times New Roman" w:cs="Times New Roman"/>
                <w:b/>
                <w:bCs w:val="0"/>
                <w:color w:val="auto"/>
                <w:sz w:val="24"/>
                <w:szCs w:val="24"/>
                <w:highlight w:val="none"/>
                <w:u w:val="none"/>
                <w:vertAlign w:val="baseline"/>
                <w:lang w:val="en-US" w:eastAsia="zh-CN"/>
              </w:rPr>
              <w:t>2、主要设备</w:t>
            </w:r>
          </w:p>
          <w:p w14:paraId="35A51B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highlight w:val="none"/>
                <w:u w:val="none"/>
                <w:vertAlign w:val="baseline"/>
                <w:lang w:val="en-US" w:eastAsia="zh-CN"/>
              </w:rPr>
            </w:pPr>
            <w:r>
              <w:rPr>
                <w:rFonts w:hint="default" w:ascii="Times New Roman" w:hAnsi="Times New Roman" w:eastAsia="宋体" w:cs="Times New Roman"/>
                <w:b w:val="0"/>
                <w:bCs/>
                <w:color w:val="auto"/>
                <w:sz w:val="24"/>
                <w:szCs w:val="24"/>
                <w:highlight w:val="none"/>
                <w:u w:val="none"/>
                <w:vertAlign w:val="baseline"/>
                <w:lang w:val="en-US" w:eastAsia="zh-CN"/>
              </w:rPr>
              <w:t>现有工程主要装卸设备清单见下表。</w:t>
            </w:r>
          </w:p>
          <w:p w14:paraId="3BB2C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u w:val="none"/>
                <w:vertAlign w:val="baseline"/>
                <w:lang w:val="en-US" w:eastAsia="zh-CN"/>
              </w:rPr>
            </w:pPr>
            <w:r>
              <w:rPr>
                <w:rFonts w:hint="default" w:ascii="Times New Roman" w:hAnsi="Times New Roman" w:eastAsia="宋体" w:cs="Times New Roman"/>
                <w:b/>
                <w:bCs w:val="0"/>
                <w:color w:val="auto"/>
                <w:sz w:val="24"/>
                <w:szCs w:val="24"/>
                <w:highlight w:val="none"/>
                <w:u w:val="none"/>
                <w:vertAlign w:val="baseline"/>
                <w:lang w:val="en-US" w:eastAsia="zh-CN"/>
              </w:rPr>
              <w:t>表2-</w:t>
            </w:r>
            <w:r>
              <w:rPr>
                <w:rFonts w:hint="eastAsia" w:cs="Times New Roman"/>
                <w:b/>
                <w:bCs w:val="0"/>
                <w:color w:val="auto"/>
                <w:sz w:val="24"/>
                <w:szCs w:val="24"/>
                <w:highlight w:val="none"/>
                <w:u w:val="none"/>
                <w:vertAlign w:val="baseline"/>
                <w:lang w:val="en-US" w:eastAsia="zh-CN"/>
              </w:rPr>
              <w:t>18</w:t>
            </w:r>
            <w:r>
              <w:rPr>
                <w:rFonts w:hint="default" w:ascii="Times New Roman" w:hAnsi="Times New Roman" w:eastAsia="宋体" w:cs="Times New Roman"/>
                <w:b/>
                <w:bCs w:val="0"/>
                <w:color w:val="auto"/>
                <w:sz w:val="24"/>
                <w:szCs w:val="24"/>
                <w:highlight w:val="none"/>
                <w:u w:val="none"/>
                <w:vertAlign w:val="baseline"/>
                <w:lang w:val="en-US" w:eastAsia="zh-CN"/>
              </w:rPr>
              <w:t>现有工程装卸设备一览表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8"/>
              <w:gridCol w:w="2761"/>
              <w:gridCol w:w="1746"/>
              <w:gridCol w:w="1384"/>
            </w:tblGrid>
            <w:tr w14:paraId="5C70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top w:val="single" w:color="auto" w:sz="6" w:space="0"/>
                    <w:left w:val="single" w:color="auto" w:sz="6" w:space="0"/>
                    <w:right w:val="single" w:color="auto" w:sz="4" w:space="0"/>
                  </w:tcBorders>
                  <w:noWrap w:val="0"/>
                  <w:vAlign w:val="center"/>
                </w:tcPr>
                <w:p w14:paraId="3430A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1"/>
                      <w:szCs w:val="21"/>
                      <w:highlight w:val="none"/>
                      <w:vertAlign w:val="baseline"/>
                      <w:lang w:val="en-US" w:eastAsia="zh-CN"/>
                    </w:rPr>
                    <w:t>序号</w:t>
                  </w:r>
                </w:p>
              </w:tc>
              <w:tc>
                <w:tcPr>
                  <w:tcW w:w="2761" w:type="dxa"/>
                  <w:tcBorders>
                    <w:top w:val="single" w:color="auto" w:sz="6" w:space="0"/>
                    <w:left w:val="single" w:color="auto" w:sz="4" w:space="0"/>
                  </w:tcBorders>
                  <w:noWrap w:val="0"/>
                  <w:vAlign w:val="center"/>
                </w:tcPr>
                <w:p w14:paraId="6DBB5C6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名称</w:t>
                  </w:r>
                </w:p>
              </w:tc>
              <w:tc>
                <w:tcPr>
                  <w:tcW w:w="1746" w:type="dxa"/>
                  <w:tcBorders>
                    <w:top w:val="single" w:color="auto" w:sz="6" w:space="0"/>
                    <w:right w:val="single" w:color="auto" w:sz="4" w:space="0"/>
                  </w:tcBorders>
                  <w:noWrap w:val="0"/>
                  <w:vAlign w:val="center"/>
                </w:tcPr>
                <w:p w14:paraId="627F710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val="en-US" w:eastAsia="zh-CN"/>
                    </w:rPr>
                    <w:t>现有工程</w:t>
                  </w:r>
                  <w:r>
                    <w:rPr>
                      <w:rFonts w:hint="default" w:ascii="Times New Roman" w:hAnsi="Times New Roman" w:eastAsia="宋体" w:cs="Times New Roman"/>
                      <w:b/>
                      <w:bCs/>
                      <w:caps w:val="0"/>
                      <w:color w:val="auto"/>
                      <w:sz w:val="21"/>
                      <w:szCs w:val="21"/>
                      <w:highlight w:val="none"/>
                    </w:rPr>
                    <w:t>数量</w:t>
                  </w:r>
                </w:p>
              </w:tc>
              <w:tc>
                <w:tcPr>
                  <w:tcW w:w="1384" w:type="dxa"/>
                  <w:tcBorders>
                    <w:top w:val="single" w:color="auto" w:sz="6" w:space="0"/>
                    <w:left w:val="single" w:color="auto" w:sz="4" w:space="0"/>
                    <w:right w:val="single" w:color="auto" w:sz="4" w:space="0"/>
                  </w:tcBorders>
                  <w:noWrap w:val="0"/>
                  <w:vAlign w:val="center"/>
                </w:tcPr>
                <w:p w14:paraId="2F71487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cs="Times New Roman"/>
                      <w:b/>
                      <w:bCs w:val="0"/>
                      <w:color w:val="auto"/>
                      <w:sz w:val="21"/>
                      <w:szCs w:val="21"/>
                      <w:highlight w:val="none"/>
                      <w:vertAlign w:val="baseline"/>
                      <w:lang w:val="en-US" w:eastAsia="zh-CN"/>
                    </w:rPr>
                    <w:t>单位</w:t>
                  </w:r>
                </w:p>
              </w:tc>
            </w:tr>
            <w:tr w14:paraId="6AC6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45A93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1</w:t>
                  </w:r>
                </w:p>
              </w:tc>
              <w:tc>
                <w:tcPr>
                  <w:tcW w:w="2761" w:type="dxa"/>
                  <w:tcBorders>
                    <w:left w:val="single" w:color="auto" w:sz="4" w:space="0"/>
                  </w:tcBorders>
                  <w:noWrap w:val="0"/>
                  <w:vAlign w:val="center"/>
                </w:tcPr>
                <w:p w14:paraId="02563AE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岸边集装箱起重机</w:t>
                  </w:r>
                </w:p>
              </w:tc>
              <w:tc>
                <w:tcPr>
                  <w:tcW w:w="1746" w:type="dxa"/>
                  <w:tcBorders>
                    <w:right w:val="single" w:color="auto" w:sz="6" w:space="0"/>
                  </w:tcBorders>
                  <w:noWrap w:val="0"/>
                  <w:vAlign w:val="center"/>
                </w:tcPr>
                <w:p w14:paraId="77B9283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22</w:t>
                  </w:r>
                </w:p>
              </w:tc>
              <w:tc>
                <w:tcPr>
                  <w:tcW w:w="1384" w:type="dxa"/>
                  <w:tcBorders>
                    <w:right w:val="single" w:color="auto" w:sz="6" w:space="0"/>
                  </w:tcBorders>
                  <w:noWrap w:val="0"/>
                  <w:vAlign w:val="center"/>
                </w:tcPr>
                <w:p w14:paraId="1972C87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B177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1FB98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2</w:t>
                  </w:r>
                </w:p>
              </w:tc>
              <w:tc>
                <w:tcPr>
                  <w:tcW w:w="2761" w:type="dxa"/>
                  <w:tcBorders>
                    <w:left w:val="single" w:color="auto" w:sz="4" w:space="0"/>
                  </w:tcBorders>
                  <w:noWrap w:val="0"/>
                  <w:vAlign w:val="center"/>
                </w:tcPr>
                <w:p w14:paraId="237BEE9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轨道式集装箱门式起重机</w:t>
                  </w:r>
                </w:p>
              </w:tc>
              <w:tc>
                <w:tcPr>
                  <w:tcW w:w="1746" w:type="dxa"/>
                  <w:tcBorders>
                    <w:right w:val="single" w:color="auto" w:sz="6" w:space="0"/>
                  </w:tcBorders>
                  <w:noWrap w:val="0"/>
                  <w:vAlign w:val="center"/>
                </w:tcPr>
                <w:p w14:paraId="2FEFED8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w:t>
                  </w:r>
                  <w:r>
                    <w:rPr>
                      <w:rFonts w:hint="default" w:ascii="Times New Roman" w:hAnsi="Times New Roman" w:cs="Times New Roman"/>
                      <w:caps w:val="0"/>
                      <w:color w:val="auto"/>
                      <w:sz w:val="21"/>
                      <w:szCs w:val="21"/>
                      <w:highlight w:val="none"/>
                      <w:lang w:val="en-US" w:eastAsia="zh-CN"/>
                    </w:rPr>
                    <w:t>0</w:t>
                  </w:r>
                </w:p>
              </w:tc>
              <w:tc>
                <w:tcPr>
                  <w:tcW w:w="1384" w:type="dxa"/>
                  <w:tcBorders>
                    <w:right w:val="single" w:color="auto" w:sz="6" w:space="0"/>
                  </w:tcBorders>
                  <w:noWrap w:val="0"/>
                  <w:vAlign w:val="center"/>
                </w:tcPr>
                <w:p w14:paraId="6826E85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8AA8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2C494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3</w:t>
                  </w:r>
                </w:p>
              </w:tc>
              <w:tc>
                <w:tcPr>
                  <w:tcW w:w="2761" w:type="dxa"/>
                  <w:tcBorders>
                    <w:left w:val="single" w:color="auto" w:sz="4" w:space="0"/>
                  </w:tcBorders>
                  <w:noWrap w:val="0"/>
                  <w:vAlign w:val="center"/>
                </w:tcPr>
                <w:p w14:paraId="2CCE49A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轮胎式龙门起重机</w:t>
                  </w:r>
                </w:p>
              </w:tc>
              <w:tc>
                <w:tcPr>
                  <w:tcW w:w="1746" w:type="dxa"/>
                  <w:tcBorders>
                    <w:right w:val="single" w:color="auto" w:sz="6" w:space="0"/>
                  </w:tcBorders>
                  <w:noWrap w:val="0"/>
                  <w:vAlign w:val="center"/>
                </w:tcPr>
                <w:p w14:paraId="58EC8FA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34</w:t>
                  </w:r>
                </w:p>
              </w:tc>
              <w:tc>
                <w:tcPr>
                  <w:tcW w:w="1384" w:type="dxa"/>
                  <w:tcBorders>
                    <w:right w:val="single" w:color="auto" w:sz="6" w:space="0"/>
                  </w:tcBorders>
                  <w:noWrap w:val="0"/>
                  <w:vAlign w:val="center"/>
                </w:tcPr>
                <w:p w14:paraId="1AEDB0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86EC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09037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4</w:t>
                  </w:r>
                </w:p>
              </w:tc>
              <w:tc>
                <w:tcPr>
                  <w:tcW w:w="2761" w:type="dxa"/>
                  <w:tcBorders>
                    <w:left w:val="single" w:color="auto" w:sz="4" w:space="0"/>
                  </w:tcBorders>
                  <w:noWrap w:val="0"/>
                  <w:vAlign w:val="center"/>
                </w:tcPr>
                <w:p w14:paraId="78468783">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集装箱正面吊</w:t>
                  </w:r>
                </w:p>
              </w:tc>
              <w:tc>
                <w:tcPr>
                  <w:tcW w:w="1746" w:type="dxa"/>
                  <w:tcBorders>
                    <w:right w:val="single" w:color="auto" w:sz="6" w:space="0"/>
                  </w:tcBorders>
                  <w:noWrap w:val="0"/>
                  <w:vAlign w:val="center"/>
                </w:tcPr>
                <w:p w14:paraId="089457C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cs="Times New Roman"/>
                      <w:caps w:val="0"/>
                      <w:color w:val="auto"/>
                      <w:sz w:val="21"/>
                      <w:szCs w:val="21"/>
                      <w:highlight w:val="none"/>
                      <w:lang w:val="en-US" w:eastAsia="zh-CN"/>
                    </w:rPr>
                    <w:t>7</w:t>
                  </w:r>
                </w:p>
              </w:tc>
              <w:tc>
                <w:tcPr>
                  <w:tcW w:w="1384" w:type="dxa"/>
                  <w:tcBorders>
                    <w:right w:val="single" w:color="auto" w:sz="6" w:space="0"/>
                  </w:tcBorders>
                  <w:noWrap w:val="0"/>
                  <w:vAlign w:val="center"/>
                </w:tcPr>
                <w:p w14:paraId="35192F0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154B8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4FC5D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5</w:t>
                  </w:r>
                </w:p>
              </w:tc>
              <w:tc>
                <w:tcPr>
                  <w:tcW w:w="2761" w:type="dxa"/>
                  <w:tcBorders>
                    <w:left w:val="single" w:color="auto" w:sz="4" w:space="0"/>
                  </w:tcBorders>
                  <w:noWrap w:val="0"/>
                  <w:vAlign w:val="center"/>
                </w:tcPr>
                <w:p w14:paraId="3E31685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空箱堆高机</w:t>
                  </w:r>
                </w:p>
              </w:tc>
              <w:tc>
                <w:tcPr>
                  <w:tcW w:w="1746" w:type="dxa"/>
                  <w:tcBorders>
                    <w:right w:val="single" w:color="auto" w:sz="6" w:space="0"/>
                  </w:tcBorders>
                  <w:noWrap w:val="0"/>
                  <w:vAlign w:val="center"/>
                </w:tcPr>
                <w:p w14:paraId="4E56DCD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13</w:t>
                  </w:r>
                </w:p>
              </w:tc>
              <w:tc>
                <w:tcPr>
                  <w:tcW w:w="1384" w:type="dxa"/>
                  <w:tcBorders>
                    <w:right w:val="single" w:color="auto" w:sz="6" w:space="0"/>
                  </w:tcBorders>
                  <w:noWrap w:val="0"/>
                  <w:vAlign w:val="center"/>
                </w:tcPr>
                <w:p w14:paraId="7B5368A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33CE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6650F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6</w:t>
                  </w:r>
                </w:p>
              </w:tc>
              <w:tc>
                <w:tcPr>
                  <w:tcW w:w="2761" w:type="dxa"/>
                  <w:tcBorders>
                    <w:left w:val="single" w:color="auto" w:sz="4" w:space="0"/>
                  </w:tcBorders>
                  <w:noWrap w:val="0"/>
                  <w:vAlign w:val="center"/>
                </w:tcPr>
                <w:p w14:paraId="0D66E8C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集装箱牵引车拖半挂车</w:t>
                  </w:r>
                </w:p>
              </w:tc>
              <w:tc>
                <w:tcPr>
                  <w:tcW w:w="1746" w:type="dxa"/>
                  <w:tcBorders>
                    <w:right w:val="single" w:color="auto" w:sz="6" w:space="0"/>
                  </w:tcBorders>
                  <w:noWrap w:val="0"/>
                  <w:vAlign w:val="center"/>
                </w:tcPr>
                <w:p w14:paraId="5EDBBFE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22</w:t>
                  </w:r>
                </w:p>
              </w:tc>
              <w:tc>
                <w:tcPr>
                  <w:tcW w:w="1384" w:type="dxa"/>
                  <w:tcBorders>
                    <w:right w:val="single" w:color="auto" w:sz="6" w:space="0"/>
                  </w:tcBorders>
                  <w:noWrap w:val="0"/>
                  <w:vAlign w:val="center"/>
                </w:tcPr>
                <w:p w14:paraId="7C2A353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651E4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1A49D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7</w:t>
                  </w:r>
                </w:p>
              </w:tc>
              <w:tc>
                <w:tcPr>
                  <w:tcW w:w="2761" w:type="dxa"/>
                  <w:tcBorders>
                    <w:left w:val="single" w:color="auto" w:sz="4" w:space="0"/>
                  </w:tcBorders>
                  <w:noWrap w:val="0"/>
                  <w:vAlign w:val="center"/>
                </w:tcPr>
                <w:p w14:paraId="6A540CB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w:t>
                  </w:r>
                  <w:r>
                    <w:rPr>
                      <w:rFonts w:hint="default" w:ascii="Times New Roman" w:hAnsi="Times New Roman" w:eastAsia="宋体" w:cs="Times New Roman"/>
                      <w:caps w:val="0"/>
                      <w:color w:val="auto"/>
                      <w:sz w:val="21"/>
                      <w:szCs w:val="21"/>
                      <w:highlight w:val="none"/>
                      <w:lang w:val="en-US" w:eastAsia="zh-CN"/>
                    </w:rPr>
                    <w:t>16</w:t>
                  </w:r>
                  <w:r>
                    <w:rPr>
                      <w:rFonts w:hint="default" w:ascii="Times New Roman" w:hAnsi="Times New Roman" w:eastAsia="宋体" w:cs="Times New Roman"/>
                      <w:caps w:val="0"/>
                      <w:color w:val="auto"/>
                      <w:sz w:val="21"/>
                      <w:szCs w:val="21"/>
                      <w:highlight w:val="none"/>
                    </w:rPr>
                    <w:t>吨）</w:t>
                  </w:r>
                </w:p>
              </w:tc>
              <w:tc>
                <w:tcPr>
                  <w:tcW w:w="1746" w:type="dxa"/>
                  <w:tcBorders>
                    <w:right w:val="single" w:color="auto" w:sz="6" w:space="0"/>
                  </w:tcBorders>
                  <w:noWrap w:val="0"/>
                  <w:vAlign w:val="center"/>
                </w:tcPr>
                <w:p w14:paraId="7B8D0685">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1</w:t>
                  </w:r>
                </w:p>
              </w:tc>
              <w:tc>
                <w:tcPr>
                  <w:tcW w:w="1384" w:type="dxa"/>
                  <w:tcBorders>
                    <w:right w:val="single" w:color="auto" w:sz="6" w:space="0"/>
                  </w:tcBorders>
                  <w:noWrap w:val="0"/>
                  <w:vAlign w:val="center"/>
                </w:tcPr>
                <w:p w14:paraId="70193B5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6C0A7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7FC2C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8</w:t>
                  </w:r>
                </w:p>
              </w:tc>
              <w:tc>
                <w:tcPr>
                  <w:tcW w:w="2761" w:type="dxa"/>
                  <w:tcBorders>
                    <w:left w:val="single" w:color="auto" w:sz="4" w:space="0"/>
                  </w:tcBorders>
                  <w:noWrap w:val="0"/>
                  <w:vAlign w:val="center"/>
                </w:tcPr>
                <w:p w14:paraId="039E051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柴油平衡式叉车（5吨）</w:t>
                  </w:r>
                </w:p>
              </w:tc>
              <w:tc>
                <w:tcPr>
                  <w:tcW w:w="1746" w:type="dxa"/>
                  <w:tcBorders>
                    <w:right w:val="single" w:color="auto" w:sz="6" w:space="0"/>
                  </w:tcBorders>
                  <w:noWrap w:val="0"/>
                  <w:vAlign w:val="center"/>
                </w:tcPr>
                <w:p w14:paraId="52905D2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cs="Times New Roman"/>
                      <w:caps w:val="0"/>
                      <w:color w:val="auto"/>
                      <w:sz w:val="21"/>
                      <w:szCs w:val="21"/>
                      <w:highlight w:val="none"/>
                      <w:lang w:val="en-US" w:eastAsia="zh-CN"/>
                    </w:rPr>
                    <w:t>2</w:t>
                  </w:r>
                </w:p>
              </w:tc>
              <w:tc>
                <w:tcPr>
                  <w:tcW w:w="1384" w:type="dxa"/>
                  <w:tcBorders>
                    <w:right w:val="single" w:color="auto" w:sz="6" w:space="0"/>
                  </w:tcBorders>
                  <w:noWrap w:val="0"/>
                  <w:vAlign w:val="center"/>
                </w:tcPr>
                <w:p w14:paraId="71042C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9A3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6A92F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rPr>
                    <w:t>9</w:t>
                  </w:r>
                </w:p>
              </w:tc>
              <w:tc>
                <w:tcPr>
                  <w:tcW w:w="2761" w:type="dxa"/>
                  <w:tcBorders>
                    <w:left w:val="single" w:color="auto" w:sz="4" w:space="0"/>
                  </w:tcBorders>
                  <w:noWrap w:val="0"/>
                  <w:vAlign w:val="center"/>
                </w:tcPr>
                <w:p w14:paraId="32122A4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柴油平衡式叉车（3.5吨）</w:t>
                  </w:r>
                </w:p>
              </w:tc>
              <w:tc>
                <w:tcPr>
                  <w:tcW w:w="1746" w:type="dxa"/>
                  <w:tcBorders>
                    <w:right w:val="single" w:color="auto" w:sz="6" w:space="0"/>
                  </w:tcBorders>
                  <w:noWrap w:val="0"/>
                  <w:vAlign w:val="center"/>
                </w:tcPr>
                <w:p w14:paraId="4243FA2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6</w:t>
                  </w:r>
                </w:p>
              </w:tc>
              <w:tc>
                <w:tcPr>
                  <w:tcW w:w="1384" w:type="dxa"/>
                  <w:tcBorders>
                    <w:right w:val="single" w:color="auto" w:sz="6" w:space="0"/>
                  </w:tcBorders>
                  <w:noWrap w:val="0"/>
                  <w:vAlign w:val="center"/>
                </w:tcPr>
                <w:p w14:paraId="32BE123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34286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noWrap w:val="0"/>
                  <w:vAlign w:val="center"/>
                </w:tcPr>
                <w:p w14:paraId="27EB900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10</w:t>
                  </w:r>
                </w:p>
              </w:tc>
              <w:tc>
                <w:tcPr>
                  <w:tcW w:w="2761" w:type="dxa"/>
                  <w:tcBorders>
                    <w:left w:val="single" w:color="auto" w:sz="4" w:space="0"/>
                  </w:tcBorders>
                  <w:shd w:val="clear" w:color="auto" w:fill="auto"/>
                  <w:noWrap w:val="0"/>
                  <w:vAlign w:val="center"/>
                </w:tcPr>
                <w:p w14:paraId="6103AD9F">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柴油平衡式叉车（8吨）</w:t>
                  </w:r>
                </w:p>
              </w:tc>
              <w:tc>
                <w:tcPr>
                  <w:tcW w:w="1746" w:type="dxa"/>
                  <w:tcBorders>
                    <w:right w:val="single" w:color="auto" w:sz="6" w:space="0"/>
                  </w:tcBorders>
                  <w:noWrap w:val="0"/>
                  <w:vAlign w:val="center"/>
                </w:tcPr>
                <w:p w14:paraId="0E95165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1</w:t>
                  </w:r>
                </w:p>
              </w:tc>
              <w:tc>
                <w:tcPr>
                  <w:tcW w:w="1384" w:type="dxa"/>
                  <w:tcBorders>
                    <w:right w:val="single" w:color="auto" w:sz="6" w:space="0"/>
                  </w:tcBorders>
                  <w:noWrap w:val="0"/>
                  <w:vAlign w:val="center"/>
                </w:tcPr>
                <w:p w14:paraId="1370E9B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B6E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top"/>
                </w:tcPr>
                <w:p w14:paraId="7B64C41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11</w:t>
                  </w:r>
                </w:p>
              </w:tc>
              <w:tc>
                <w:tcPr>
                  <w:tcW w:w="2761" w:type="dxa"/>
                  <w:tcBorders>
                    <w:left w:val="single" w:color="auto" w:sz="4" w:space="0"/>
                  </w:tcBorders>
                  <w:shd w:val="clear" w:color="auto" w:fill="auto"/>
                  <w:noWrap w:val="0"/>
                  <w:vAlign w:val="top"/>
                </w:tcPr>
                <w:p w14:paraId="001A4C3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电动叉车（3.5吨）</w:t>
                  </w:r>
                </w:p>
              </w:tc>
              <w:tc>
                <w:tcPr>
                  <w:tcW w:w="1746" w:type="dxa"/>
                  <w:tcBorders>
                    <w:right w:val="single" w:color="auto" w:sz="6" w:space="0"/>
                  </w:tcBorders>
                  <w:noWrap w:val="0"/>
                  <w:vAlign w:val="center"/>
                </w:tcPr>
                <w:p w14:paraId="7985406B">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8</w:t>
                  </w:r>
                </w:p>
              </w:tc>
              <w:tc>
                <w:tcPr>
                  <w:tcW w:w="1384" w:type="dxa"/>
                  <w:tcBorders>
                    <w:right w:val="single" w:color="auto" w:sz="6" w:space="0"/>
                  </w:tcBorders>
                  <w:noWrap w:val="0"/>
                  <w:vAlign w:val="center"/>
                </w:tcPr>
                <w:p w14:paraId="0D577B4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07417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center"/>
                </w:tcPr>
                <w:p w14:paraId="0D70243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12</w:t>
                  </w:r>
                </w:p>
              </w:tc>
              <w:tc>
                <w:tcPr>
                  <w:tcW w:w="2761" w:type="dxa"/>
                  <w:tcBorders>
                    <w:left w:val="single" w:color="auto" w:sz="4" w:space="0"/>
                  </w:tcBorders>
                  <w:shd w:val="clear" w:color="auto" w:fill="auto"/>
                  <w:noWrap w:val="0"/>
                  <w:vAlign w:val="center"/>
                </w:tcPr>
                <w:p w14:paraId="07AB9D8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集装箱自卸车</w:t>
                  </w:r>
                </w:p>
              </w:tc>
              <w:tc>
                <w:tcPr>
                  <w:tcW w:w="1746" w:type="dxa"/>
                  <w:tcBorders>
                    <w:right w:val="single" w:color="auto" w:sz="6" w:space="0"/>
                  </w:tcBorders>
                  <w:noWrap w:val="0"/>
                  <w:vAlign w:val="center"/>
                </w:tcPr>
                <w:p w14:paraId="52929A6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6</w:t>
                  </w:r>
                </w:p>
              </w:tc>
              <w:tc>
                <w:tcPr>
                  <w:tcW w:w="1384" w:type="dxa"/>
                  <w:tcBorders>
                    <w:right w:val="single" w:color="auto" w:sz="6" w:space="0"/>
                  </w:tcBorders>
                  <w:noWrap w:val="0"/>
                  <w:vAlign w:val="center"/>
                </w:tcPr>
                <w:p w14:paraId="07F06F1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7AB0F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noWrap w:val="0"/>
                  <w:vAlign w:val="center"/>
                </w:tcPr>
                <w:p w14:paraId="7849142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13</w:t>
                  </w:r>
                </w:p>
              </w:tc>
              <w:tc>
                <w:tcPr>
                  <w:tcW w:w="2761" w:type="dxa"/>
                  <w:tcBorders>
                    <w:left w:val="single" w:color="auto" w:sz="4" w:space="0"/>
                  </w:tcBorders>
                  <w:shd w:val="clear" w:color="auto" w:fill="auto"/>
                  <w:noWrap w:val="0"/>
                  <w:vAlign w:val="center"/>
                </w:tcPr>
                <w:p w14:paraId="09FAF1E0">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闭合抓斗</w:t>
                  </w:r>
                </w:p>
              </w:tc>
              <w:tc>
                <w:tcPr>
                  <w:tcW w:w="1746" w:type="dxa"/>
                  <w:tcBorders>
                    <w:right w:val="single" w:color="auto" w:sz="6" w:space="0"/>
                  </w:tcBorders>
                  <w:noWrap w:val="0"/>
                  <w:vAlign w:val="center"/>
                </w:tcPr>
                <w:p w14:paraId="761C49A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w:t>
                  </w:r>
                </w:p>
              </w:tc>
              <w:tc>
                <w:tcPr>
                  <w:tcW w:w="1384" w:type="dxa"/>
                  <w:tcBorders>
                    <w:right w:val="single" w:color="auto" w:sz="6" w:space="0"/>
                  </w:tcBorders>
                  <w:noWrap w:val="0"/>
                  <w:vAlign w:val="center"/>
                </w:tcPr>
                <w:p w14:paraId="09A524FF">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r w14:paraId="5D4EC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1848" w:type="dxa"/>
                  <w:tcBorders>
                    <w:left w:val="single" w:color="auto" w:sz="6" w:space="0"/>
                    <w:bottom w:val="single" w:color="auto" w:sz="6" w:space="0"/>
                    <w:right w:val="single" w:color="auto" w:sz="4" w:space="0"/>
                  </w:tcBorders>
                  <w:noWrap w:val="0"/>
                  <w:vAlign w:val="center"/>
                </w:tcPr>
                <w:p w14:paraId="2A145CF7">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14</w:t>
                  </w:r>
                </w:p>
              </w:tc>
              <w:tc>
                <w:tcPr>
                  <w:tcW w:w="2761" w:type="dxa"/>
                  <w:tcBorders>
                    <w:left w:val="single" w:color="auto" w:sz="4" w:space="0"/>
                    <w:bottom w:val="single" w:color="auto" w:sz="6" w:space="0"/>
                  </w:tcBorders>
                  <w:shd w:val="clear" w:color="auto" w:fill="auto"/>
                  <w:noWrap w:val="0"/>
                  <w:vAlign w:val="center"/>
                </w:tcPr>
                <w:p w14:paraId="6BFCC70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sz w:val="21"/>
                      <w:szCs w:val="21"/>
                      <w:highlight w:val="none"/>
                      <w:lang w:val="en-US" w:eastAsia="zh-CN"/>
                    </w:rPr>
                    <w:t>污水泵</w:t>
                  </w:r>
                </w:p>
              </w:tc>
              <w:tc>
                <w:tcPr>
                  <w:tcW w:w="1746" w:type="dxa"/>
                  <w:tcBorders>
                    <w:bottom w:val="single" w:color="auto" w:sz="6" w:space="0"/>
                    <w:right w:val="single" w:color="auto" w:sz="6" w:space="0"/>
                  </w:tcBorders>
                  <w:noWrap w:val="0"/>
                  <w:vAlign w:val="center"/>
                </w:tcPr>
                <w:p w14:paraId="3BF9990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6</w:t>
                  </w:r>
                </w:p>
              </w:tc>
              <w:tc>
                <w:tcPr>
                  <w:tcW w:w="1384" w:type="dxa"/>
                  <w:tcBorders>
                    <w:bottom w:val="single" w:color="auto" w:sz="6" w:space="0"/>
                    <w:right w:val="single" w:color="auto" w:sz="6" w:space="0"/>
                  </w:tcBorders>
                  <w:noWrap w:val="0"/>
                  <w:vAlign w:val="center"/>
                </w:tcPr>
                <w:p w14:paraId="2A31866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r>
                    <w:rPr>
                      <w:rFonts w:hint="default" w:ascii="Times New Roman" w:hAnsi="Times New Roman" w:eastAsia="宋体" w:cs="Times New Roman"/>
                      <w:b w:val="0"/>
                      <w:bCs w:val="0"/>
                      <w:caps w:val="0"/>
                      <w:color w:val="auto"/>
                      <w:sz w:val="21"/>
                      <w:szCs w:val="21"/>
                      <w:highlight w:val="none"/>
                    </w:rPr>
                    <w:t>台</w:t>
                  </w:r>
                </w:p>
              </w:tc>
            </w:tr>
          </w:tbl>
          <w:p w14:paraId="5D149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vertAlign w:val="baseline"/>
                <w:lang w:val="en-US" w:eastAsia="zh-CN"/>
              </w:rPr>
            </w:pPr>
          </w:p>
          <w:p w14:paraId="59771292">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val="0"/>
                <w:color w:val="auto"/>
                <w:sz w:val="24"/>
                <w:szCs w:val="24"/>
                <w:highlight w:val="none"/>
                <w:u w:val="none"/>
                <w:lang w:val="en-US" w:eastAsia="zh-CN"/>
              </w:rPr>
            </w:pPr>
            <w:r>
              <w:rPr>
                <w:rFonts w:hint="default" w:ascii="Times New Roman" w:hAnsi="Times New Roman" w:cs="Times New Roman"/>
                <w:b/>
                <w:bCs w:val="0"/>
                <w:color w:val="auto"/>
                <w:sz w:val="24"/>
                <w:szCs w:val="24"/>
                <w:highlight w:val="none"/>
                <w:u w:val="none"/>
                <w:lang w:val="en-US" w:eastAsia="zh-CN"/>
              </w:rPr>
              <w:t>生产制度和劳动定员</w:t>
            </w:r>
          </w:p>
          <w:p w14:paraId="16D86C5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z w:val="24"/>
                <w:szCs w:val="24"/>
                <w:highlight w:val="none"/>
                <w:u w:val="none"/>
                <w:lang w:val="en-US" w:eastAsia="zh-CN"/>
              </w:rPr>
            </w:pPr>
            <w:r>
              <w:rPr>
                <w:rFonts w:hint="default" w:ascii="Times New Roman" w:hAnsi="Times New Roman" w:cs="Times New Roman"/>
                <w:b w:val="0"/>
                <w:bCs/>
                <w:color w:val="auto"/>
                <w:sz w:val="24"/>
                <w:szCs w:val="24"/>
                <w:highlight w:val="none"/>
                <w:u w:val="none"/>
                <w:lang w:val="en-US" w:eastAsia="zh-CN"/>
              </w:rPr>
              <w:t>现有工程工作人员488人</w:t>
            </w:r>
            <w:r>
              <w:rPr>
                <w:rFonts w:hint="default" w:ascii="Times New Roman" w:hAnsi="Times New Roman" w:eastAsia="宋体" w:cs="Times New Roman"/>
                <w:b w:val="0"/>
                <w:bCs/>
                <w:color w:val="auto"/>
                <w:sz w:val="24"/>
                <w:szCs w:val="24"/>
                <w:highlight w:val="none"/>
                <w:u w:val="none"/>
                <w:lang w:val="en-US" w:eastAsia="zh-CN"/>
              </w:rPr>
              <w:t>，年生产365天，每天生产24小时，4班</w:t>
            </w:r>
            <w:r>
              <w:rPr>
                <w:rFonts w:hint="default" w:ascii="Times New Roman" w:hAnsi="Times New Roman" w:cs="Times New Roman"/>
                <w:b w:val="0"/>
                <w:bCs/>
                <w:color w:val="auto"/>
                <w:sz w:val="24"/>
                <w:szCs w:val="24"/>
                <w:highlight w:val="none"/>
                <w:u w:val="none"/>
                <w:lang w:val="en-US" w:eastAsia="zh-CN"/>
              </w:rPr>
              <w:t>3倒制。</w:t>
            </w:r>
          </w:p>
          <w:p w14:paraId="17FAEB8A">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val="0"/>
                <w:color w:val="auto"/>
                <w:sz w:val="24"/>
                <w:szCs w:val="24"/>
                <w:highlight w:val="none"/>
                <w:u w:val="none"/>
                <w:lang w:val="en-US" w:eastAsia="zh-CN"/>
              </w:rPr>
            </w:pPr>
            <w:r>
              <w:rPr>
                <w:rFonts w:hint="default" w:ascii="Times New Roman" w:hAnsi="Times New Roman" w:cs="Times New Roman"/>
                <w:b/>
                <w:bCs w:val="0"/>
                <w:color w:val="auto"/>
                <w:sz w:val="24"/>
                <w:szCs w:val="24"/>
                <w:highlight w:val="none"/>
                <w:u w:val="none"/>
                <w:lang w:val="en-US" w:eastAsia="zh-CN"/>
              </w:rPr>
              <w:t>现有工程环保措施情况</w:t>
            </w:r>
          </w:p>
          <w:p w14:paraId="626BF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rPr>
              <w:t>根据</w:t>
            </w:r>
            <w:r>
              <w:rPr>
                <w:rFonts w:hint="eastAsia" w:cs="Times New Roman"/>
                <w:caps w:val="0"/>
                <w:color w:val="auto"/>
                <w:sz w:val="24"/>
                <w:szCs w:val="24"/>
                <w:highlight w:val="none"/>
                <w:u w:val="none"/>
                <w:lang w:val="en-US" w:eastAsia="zh-CN"/>
              </w:rPr>
              <w:t>2024年11月编制的</w:t>
            </w:r>
            <w:r>
              <w:rPr>
                <w:rFonts w:hint="default" w:ascii="Times New Roman" w:hAnsi="Times New Roman" w:eastAsia="宋体" w:cs="Times New Roman"/>
                <w:caps w:val="0"/>
                <w:color w:val="auto"/>
                <w:sz w:val="24"/>
                <w:szCs w:val="24"/>
                <w:highlight w:val="none"/>
                <w:u w:val="none"/>
              </w:rPr>
              <w:t>《</w:t>
            </w:r>
            <w:r>
              <w:rPr>
                <w:rFonts w:hint="default"/>
                <w:color w:val="auto"/>
                <w:spacing w:val="1"/>
                <w:sz w:val="24"/>
                <w:szCs w:val="24"/>
                <w:highlight w:val="none"/>
              </w:rPr>
              <w:t>钦州港大榄坪南作业区</w:t>
            </w:r>
            <w:r>
              <w:rPr>
                <w:rFonts w:hint="default" w:ascii="Times New Roman" w:hAnsi="Times New Roman" w:eastAsia="Times New Roman" w:cs="Times New Roman"/>
                <w:color w:val="auto"/>
                <w:spacing w:val="1"/>
                <w:sz w:val="24"/>
                <w:szCs w:val="24"/>
                <w:highlight w:val="none"/>
              </w:rPr>
              <w:t>1#-6#</w:t>
            </w:r>
            <w:r>
              <w:rPr>
                <w:rFonts w:hint="default"/>
                <w:color w:val="auto"/>
                <w:spacing w:val="1"/>
                <w:sz w:val="24"/>
                <w:szCs w:val="24"/>
                <w:highlight w:val="none"/>
              </w:rPr>
              <w:t>泊位新增危险货物集装</w:t>
            </w:r>
            <w:r>
              <w:rPr>
                <w:rFonts w:hint="default"/>
                <w:color w:val="auto"/>
                <w:sz w:val="24"/>
                <w:szCs w:val="24"/>
                <w:highlight w:val="none"/>
              </w:rPr>
              <w:t>箱项目（重大变</w:t>
            </w:r>
            <w:r>
              <w:rPr>
                <w:rFonts w:hint="default"/>
                <w:color w:val="auto"/>
                <w:spacing w:val="-6"/>
                <w:sz w:val="24"/>
                <w:szCs w:val="24"/>
                <w:highlight w:val="none"/>
              </w:rPr>
              <w:t>动）</w:t>
            </w:r>
            <w:r>
              <w:rPr>
                <w:rFonts w:hint="default" w:ascii="Times New Roman" w:hAnsi="Times New Roman" w:eastAsia="宋体" w:cs="Times New Roman"/>
                <w:caps w:val="0"/>
                <w:color w:val="auto"/>
                <w:sz w:val="24"/>
                <w:szCs w:val="24"/>
                <w:highlight w:val="none"/>
                <w:u w:val="none"/>
              </w:rPr>
              <w:t>竣工环境保护验收调查报告》及现场调查情况，现有工程</w:t>
            </w:r>
            <w:r>
              <w:rPr>
                <w:rFonts w:hint="default" w:ascii="Times New Roman" w:hAnsi="Times New Roman" w:eastAsia="宋体" w:cs="Times New Roman"/>
                <w:caps w:val="0"/>
                <w:color w:val="auto"/>
                <w:sz w:val="24"/>
                <w:szCs w:val="24"/>
                <w:highlight w:val="none"/>
                <w:u w:val="none"/>
                <w:lang w:val="en-US" w:eastAsia="zh-CN"/>
              </w:rPr>
              <w:t>无拆箱、洗箱作业，</w:t>
            </w:r>
            <w:r>
              <w:rPr>
                <w:rFonts w:hint="default" w:ascii="Times New Roman" w:hAnsi="Times New Roman" w:eastAsia="宋体" w:cs="Times New Roman"/>
                <w:caps w:val="0"/>
                <w:color w:val="auto"/>
                <w:sz w:val="24"/>
                <w:szCs w:val="24"/>
                <w:highlight w:val="none"/>
                <w:u w:val="none"/>
              </w:rPr>
              <w:t>产污情况如下：</w:t>
            </w:r>
          </w:p>
          <w:p w14:paraId="367222BD">
            <w:pPr>
              <w:pStyle w:val="5"/>
              <w:pageBreakBefore w:val="0"/>
              <w:widowControl w:val="0"/>
              <w:suppressLineNumbers w:val="0"/>
              <w:kinsoku/>
              <w:wordWrap/>
              <w:overflowPunct/>
              <w:topLinePunct w:val="0"/>
              <w:autoSpaceDE/>
              <w:autoSpaceDN/>
              <w:bidi w:val="0"/>
              <w:adjustRightInd/>
              <w:spacing w:before="0" w:beforeLines="0" w:after="0" w:afterLines="0" w:line="36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lang w:val="en-US" w:eastAsia="zh-CN"/>
              </w:rPr>
              <w:t>（1）</w:t>
            </w:r>
            <w:r>
              <w:rPr>
                <w:rFonts w:hint="default" w:ascii="Times New Roman" w:hAnsi="Times New Roman" w:eastAsia="宋体" w:cs="Times New Roman"/>
                <w:caps w:val="0"/>
                <w:color w:val="auto"/>
                <w:sz w:val="24"/>
                <w:szCs w:val="24"/>
                <w:highlight w:val="none"/>
                <w:u w:val="none"/>
              </w:rPr>
              <w:t>废气</w:t>
            </w:r>
          </w:p>
          <w:p w14:paraId="21D7C268">
            <w:pPr>
              <w:keepNext w:val="0"/>
              <w:keepLines w:val="0"/>
              <w:suppressLineNumbers w:val="0"/>
              <w:snapToGrid w:val="0"/>
              <w:spacing w:before="0" w:beforeAutospacing="0" w:after="0" w:afterAutospacing="0" w:line="360" w:lineRule="auto"/>
              <w:ind w:left="0" w:right="0" w:firstLine="480"/>
              <w:rPr>
                <w:rFonts w:hint="default"/>
                <w:color w:val="auto"/>
                <w:spacing w:val="-1"/>
                <w:sz w:val="24"/>
                <w:szCs w:val="24"/>
                <w:highlight w:val="none"/>
              </w:rPr>
            </w:pPr>
            <w:r>
              <w:rPr>
                <w:rFonts w:hint="default"/>
                <w:color w:val="auto"/>
                <w:spacing w:val="-3"/>
                <w:sz w:val="24"/>
                <w:szCs w:val="24"/>
                <w:highlight w:val="none"/>
              </w:rPr>
              <w:t>验收调查阶段，本项目无散装粮食拆装箱业务，无</w:t>
            </w:r>
            <w:r>
              <w:rPr>
                <w:rFonts w:hint="default"/>
                <w:color w:val="auto"/>
                <w:spacing w:val="-4"/>
                <w:sz w:val="24"/>
                <w:szCs w:val="24"/>
                <w:highlight w:val="none"/>
              </w:rPr>
              <w:t>散货粮食装卸粉尘产生，若后期增加</w:t>
            </w:r>
            <w:r>
              <w:rPr>
                <w:rFonts w:hint="default"/>
                <w:color w:val="auto"/>
                <w:spacing w:val="-3"/>
                <w:sz w:val="24"/>
                <w:szCs w:val="24"/>
                <w:highlight w:val="none"/>
              </w:rPr>
              <w:t>散装粮食拆装箱作业，则在半封闭拆箱库内进行，并及时清理地面积</w:t>
            </w:r>
            <w:r>
              <w:rPr>
                <w:rFonts w:hint="default"/>
                <w:color w:val="auto"/>
                <w:spacing w:val="-4"/>
                <w:sz w:val="24"/>
                <w:szCs w:val="24"/>
                <w:highlight w:val="none"/>
              </w:rPr>
              <w:t>灰，避免扬尘。本项目</w:t>
            </w:r>
            <w:r>
              <w:rPr>
                <w:rFonts w:hint="default"/>
                <w:color w:val="auto"/>
                <w:spacing w:val="-3"/>
                <w:sz w:val="24"/>
                <w:szCs w:val="24"/>
                <w:highlight w:val="none"/>
              </w:rPr>
              <w:t>新增机械设备有</w:t>
            </w:r>
            <w:r>
              <w:rPr>
                <w:rFonts w:hint="default" w:ascii="Times New Roman" w:hAnsi="Times New Roman" w:eastAsia="Times New Roman" w:cs="Times New Roman"/>
                <w:color w:val="auto"/>
                <w:spacing w:val="-3"/>
                <w:sz w:val="24"/>
                <w:szCs w:val="24"/>
                <w:highlight w:val="none"/>
              </w:rPr>
              <w:t>5</w:t>
            </w:r>
            <w:r>
              <w:rPr>
                <w:rFonts w:hint="default"/>
                <w:color w:val="auto"/>
                <w:spacing w:val="-3"/>
                <w:sz w:val="24"/>
                <w:szCs w:val="24"/>
                <w:highlight w:val="none"/>
              </w:rPr>
              <w:t>台电动叉车和</w:t>
            </w:r>
            <w:r>
              <w:rPr>
                <w:rFonts w:hint="default" w:ascii="Times New Roman" w:hAnsi="Times New Roman" w:eastAsia="Times New Roman" w:cs="Times New Roman"/>
                <w:color w:val="auto"/>
                <w:spacing w:val="-3"/>
                <w:sz w:val="24"/>
                <w:szCs w:val="24"/>
                <w:highlight w:val="none"/>
              </w:rPr>
              <w:t>2</w:t>
            </w:r>
            <w:r>
              <w:rPr>
                <w:rFonts w:hint="default"/>
                <w:color w:val="auto"/>
                <w:spacing w:val="-3"/>
                <w:sz w:val="24"/>
                <w:szCs w:val="24"/>
                <w:highlight w:val="none"/>
              </w:rPr>
              <w:t>台电动堆</w:t>
            </w:r>
            <w:r>
              <w:rPr>
                <w:rFonts w:hint="default"/>
                <w:color w:val="auto"/>
                <w:spacing w:val="-4"/>
                <w:sz w:val="24"/>
                <w:szCs w:val="24"/>
                <w:highlight w:val="none"/>
              </w:rPr>
              <w:t>高机，电动机械设备无燃油尾气产生。经调查，</w:t>
            </w:r>
            <w:r>
              <w:rPr>
                <w:rFonts w:hint="default"/>
                <w:color w:val="auto"/>
                <w:spacing w:val="-3"/>
                <w:sz w:val="24"/>
                <w:szCs w:val="24"/>
                <w:highlight w:val="none"/>
              </w:rPr>
              <w:t>项目运营期主要环境空气污染源为少量的装卸机械设备作业废气、运</w:t>
            </w:r>
            <w:r>
              <w:rPr>
                <w:rFonts w:hint="default"/>
                <w:color w:val="auto"/>
                <w:spacing w:val="-4"/>
                <w:sz w:val="24"/>
                <w:szCs w:val="24"/>
                <w:highlight w:val="none"/>
              </w:rPr>
              <w:t>输车辆尾气以及靠泊船</w:t>
            </w:r>
            <w:r>
              <w:rPr>
                <w:rFonts w:hint="default"/>
                <w:color w:val="auto"/>
                <w:sz w:val="24"/>
                <w:szCs w:val="24"/>
                <w:highlight w:val="none"/>
              </w:rPr>
              <w:t>舶辅机燃油产生的废气等，均为无组织排放，</w:t>
            </w:r>
            <w:r>
              <w:rPr>
                <w:rFonts w:hint="default"/>
                <w:color w:val="auto"/>
                <w:spacing w:val="-1"/>
                <w:sz w:val="24"/>
                <w:szCs w:val="24"/>
                <w:highlight w:val="none"/>
              </w:rPr>
              <w:t>对大气环境影响较小。</w:t>
            </w:r>
          </w:p>
          <w:p w14:paraId="01C0C54D">
            <w:pPr>
              <w:pStyle w:val="19"/>
              <w:keepNext w:val="0"/>
              <w:keepLines w:val="0"/>
              <w:suppressLineNumbers w:val="0"/>
              <w:spacing w:before="40" w:beforeAutospacing="0" w:afterAutospacing="0" w:line="210" w:lineRule="auto"/>
              <w:ind w:left="2053"/>
              <w:rPr>
                <w:rFonts w:hint="default" w:ascii="Times New Roman" w:hAnsi="Times New Roman" w:eastAsia="Times New Roman" w:cs="Times New Roman"/>
                <w:color w:val="auto"/>
                <w:sz w:val="15"/>
                <w:szCs w:val="15"/>
                <w:highlight w:val="none"/>
              </w:rPr>
            </w:pPr>
            <w:r>
              <w:rPr>
                <w:rFonts w:hint="default"/>
                <w:b/>
                <w:bCs/>
                <w:color w:val="auto"/>
                <w:spacing w:val="-1"/>
                <w:sz w:val="24"/>
                <w:szCs w:val="24"/>
                <w:highlight w:val="none"/>
              </w:rPr>
              <w:t>表</w:t>
            </w:r>
            <w:r>
              <w:rPr>
                <w:rFonts w:hint="eastAsia"/>
                <w:b/>
                <w:bCs/>
                <w:color w:val="auto"/>
                <w:spacing w:val="-1"/>
                <w:sz w:val="24"/>
                <w:szCs w:val="24"/>
                <w:highlight w:val="none"/>
                <w:lang w:val="en-US" w:eastAsia="zh-CN"/>
              </w:rPr>
              <w:t>2-19</w:t>
            </w:r>
            <w:r>
              <w:rPr>
                <w:rFonts w:hint="default"/>
                <w:b/>
                <w:bCs/>
                <w:color w:val="auto"/>
                <w:spacing w:val="-1"/>
                <w:sz w:val="24"/>
                <w:szCs w:val="24"/>
                <w:highlight w:val="none"/>
              </w:rPr>
              <w:t>厂界环境空气监测与评估结</w:t>
            </w:r>
            <w:r>
              <w:rPr>
                <w:rFonts w:hint="default"/>
                <w:b/>
                <w:bCs/>
                <w:color w:val="auto"/>
                <w:spacing w:val="-2"/>
                <w:sz w:val="24"/>
                <w:szCs w:val="24"/>
                <w:highlight w:val="none"/>
              </w:rPr>
              <w:t>果单位：</w:t>
            </w:r>
            <w:r>
              <w:rPr>
                <w:rFonts w:hint="default" w:ascii="Times New Roman" w:hAnsi="Times New Roman" w:eastAsia="Times New Roman" w:cs="Times New Roman"/>
                <w:b/>
                <w:bCs/>
                <w:color w:val="auto"/>
                <w:spacing w:val="-2"/>
                <w:sz w:val="24"/>
                <w:szCs w:val="24"/>
                <w:highlight w:val="none"/>
              </w:rPr>
              <w:t>μg/m</w:t>
            </w:r>
            <w:r>
              <w:rPr>
                <w:rFonts w:hint="default" w:ascii="Times New Roman" w:hAnsi="Times New Roman" w:eastAsia="Times New Roman" w:cs="Times New Roman"/>
                <w:b/>
                <w:bCs/>
                <w:color w:val="auto"/>
                <w:spacing w:val="-2"/>
                <w:position w:val="8"/>
                <w:sz w:val="15"/>
                <w:szCs w:val="15"/>
                <w:highlight w:val="none"/>
              </w:rPr>
              <w:t>3</w:t>
            </w:r>
          </w:p>
          <w:p w14:paraId="02CA2718">
            <w:pPr>
              <w:keepNext w:val="0"/>
              <w:keepLines w:val="0"/>
              <w:suppressLineNumbers w:val="0"/>
              <w:spacing w:before="0" w:beforeAutospacing="0" w:after="0" w:afterAutospacing="0" w:line="156" w:lineRule="exact"/>
              <w:ind w:left="0" w:right="0"/>
              <w:rPr>
                <w:rFonts w:hint="default"/>
                <w:color w:val="auto"/>
                <w:highlight w:val="none"/>
              </w:rPr>
            </w:pPr>
          </w:p>
          <w:tbl>
            <w:tblPr>
              <w:tblStyle w:val="142"/>
              <w:tblW w:w="791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5"/>
              <w:gridCol w:w="738"/>
              <w:gridCol w:w="967"/>
              <w:gridCol w:w="1049"/>
              <w:gridCol w:w="1049"/>
              <w:gridCol w:w="1134"/>
              <w:gridCol w:w="904"/>
              <w:gridCol w:w="910"/>
            </w:tblGrid>
            <w:tr w14:paraId="1BE8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903" w:type="dxa"/>
                  <w:gridSpan w:val="2"/>
                  <w:tcBorders>
                    <w:top w:val="single" w:color="000000" w:sz="10" w:space="0"/>
                    <w:left w:val="single" w:color="000000" w:sz="10" w:space="0"/>
                    <w:tl2br w:val="single" w:color="000000" w:sz="4" w:space="0"/>
                  </w:tcBorders>
                  <w:vAlign w:val="center"/>
                </w:tcPr>
                <w:p w14:paraId="11945027">
                  <w:pPr>
                    <w:spacing w:before="99" w:line="228" w:lineRule="auto"/>
                    <w:ind w:left="1557"/>
                    <w:jc w:val="center"/>
                    <w:rPr>
                      <w:rFonts w:ascii="宋体" w:hAnsi="宋体" w:eastAsia="宋体" w:cs="宋体"/>
                      <w:color w:val="auto"/>
                      <w:sz w:val="21"/>
                      <w:szCs w:val="21"/>
                      <w:highlight w:val="none"/>
                    </w:rPr>
                  </w:pPr>
                  <w:r>
                    <w:rPr>
                      <w:rFonts w:ascii="宋体" w:hAnsi="宋体" w:eastAsia="宋体" w:cs="宋体"/>
                      <w:b/>
                      <w:bCs/>
                      <w:color w:val="auto"/>
                      <w:spacing w:val="-15"/>
                      <w:sz w:val="21"/>
                      <w:szCs w:val="21"/>
                      <w:highlight w:val="none"/>
                    </w:rPr>
                    <w:t>日期</w:t>
                  </w:r>
                </w:p>
                <w:p w14:paraId="5DDB0628">
                  <w:pPr>
                    <w:spacing w:before="24" w:line="228" w:lineRule="auto"/>
                    <w:ind w:left="116"/>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点位及项目</w:t>
                  </w:r>
                </w:p>
              </w:tc>
              <w:tc>
                <w:tcPr>
                  <w:tcW w:w="967" w:type="dxa"/>
                  <w:tcBorders>
                    <w:top w:val="single" w:color="000000" w:sz="10" w:space="0"/>
                  </w:tcBorders>
                  <w:vAlign w:val="center"/>
                </w:tcPr>
                <w:p w14:paraId="57100C06">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7</w:t>
                  </w:r>
                  <w:r>
                    <w:rPr>
                      <w:rFonts w:ascii="宋体" w:hAnsi="宋体" w:eastAsia="宋体" w:cs="宋体"/>
                      <w:b/>
                      <w:bCs/>
                      <w:color w:val="auto"/>
                      <w:spacing w:val="-4"/>
                      <w:sz w:val="21"/>
                      <w:szCs w:val="21"/>
                      <w:highlight w:val="none"/>
                    </w:rPr>
                    <w:t>日</w:t>
                  </w:r>
                </w:p>
              </w:tc>
              <w:tc>
                <w:tcPr>
                  <w:tcW w:w="1049" w:type="dxa"/>
                  <w:tcBorders>
                    <w:top w:val="single" w:color="000000" w:sz="10" w:space="0"/>
                  </w:tcBorders>
                  <w:vAlign w:val="center"/>
                </w:tcPr>
                <w:p w14:paraId="2A4C1AC6">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日</w:t>
                  </w:r>
                </w:p>
              </w:tc>
              <w:tc>
                <w:tcPr>
                  <w:tcW w:w="1049" w:type="dxa"/>
                  <w:tcBorders>
                    <w:top w:val="single" w:color="000000" w:sz="10" w:space="0"/>
                  </w:tcBorders>
                  <w:vAlign w:val="center"/>
                </w:tcPr>
                <w:p w14:paraId="2D86EA21">
                  <w:pPr>
                    <w:spacing w:before="156" w:beforeAutospacing="0"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b/>
                      <w:bCs/>
                      <w:color w:val="auto"/>
                      <w:spacing w:val="-4"/>
                      <w:sz w:val="21"/>
                      <w:szCs w:val="21"/>
                      <w:highlight w:val="none"/>
                      <w:lang w:val="en-US" w:eastAsia="zh-CN"/>
                    </w:rPr>
                    <w:t>2024年</w:t>
                  </w:r>
                  <w:r>
                    <w:rPr>
                      <w:rFonts w:ascii="Times New Roman" w:hAnsi="Times New Roman" w:eastAsia="Times New Roman" w:cs="Times New Roman"/>
                      <w:b/>
                      <w:bCs/>
                      <w:color w:val="auto"/>
                      <w:spacing w:val="-4"/>
                      <w:sz w:val="21"/>
                      <w:szCs w:val="21"/>
                      <w:highlight w:val="none"/>
                    </w:rPr>
                    <w:t>8</w:t>
                  </w:r>
                  <w:r>
                    <w:rPr>
                      <w:rFonts w:ascii="宋体" w:hAnsi="宋体" w:eastAsia="宋体" w:cs="宋体"/>
                      <w:b/>
                      <w:bCs/>
                      <w:color w:val="auto"/>
                      <w:spacing w:val="-4"/>
                      <w:sz w:val="21"/>
                      <w:szCs w:val="21"/>
                      <w:highlight w:val="none"/>
                    </w:rPr>
                    <w:t>月</w:t>
                  </w:r>
                  <w:r>
                    <w:rPr>
                      <w:rFonts w:ascii="Times New Roman" w:hAnsi="Times New Roman" w:eastAsia="Times New Roman" w:cs="Times New Roman"/>
                      <w:b/>
                      <w:bCs/>
                      <w:color w:val="auto"/>
                      <w:spacing w:val="-4"/>
                      <w:sz w:val="21"/>
                      <w:szCs w:val="21"/>
                      <w:highlight w:val="none"/>
                    </w:rPr>
                    <w:t>9</w:t>
                  </w:r>
                  <w:r>
                    <w:rPr>
                      <w:rFonts w:ascii="宋体" w:hAnsi="宋体" w:eastAsia="宋体" w:cs="宋体"/>
                      <w:b/>
                      <w:bCs/>
                      <w:color w:val="auto"/>
                      <w:spacing w:val="-4"/>
                      <w:sz w:val="21"/>
                      <w:szCs w:val="21"/>
                      <w:highlight w:val="none"/>
                    </w:rPr>
                    <w:t>日</w:t>
                  </w:r>
                </w:p>
              </w:tc>
              <w:tc>
                <w:tcPr>
                  <w:tcW w:w="1134" w:type="dxa"/>
                  <w:tcBorders>
                    <w:top w:val="single" w:color="000000" w:sz="10" w:space="0"/>
                  </w:tcBorders>
                  <w:vAlign w:val="center"/>
                </w:tcPr>
                <w:p w14:paraId="0982D906">
                  <w:pPr>
                    <w:spacing w:before="156" w:beforeAutospacing="0" w:line="245" w:lineRule="auto"/>
                    <w:ind w:left="0" w:leftChars="0" w:right="159"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最大监测值</w:t>
                  </w:r>
                  <w:r>
                    <w:rPr>
                      <w:rFonts w:ascii="宋体" w:hAnsi="宋体" w:eastAsia="宋体" w:cs="宋体"/>
                      <w:b/>
                      <w:bCs/>
                      <w:color w:val="auto"/>
                      <w:spacing w:val="5"/>
                      <w:sz w:val="21"/>
                      <w:szCs w:val="21"/>
                      <w:highlight w:val="none"/>
                    </w:rPr>
                    <w:t>（</w:t>
                  </w:r>
                  <w:r>
                    <w:rPr>
                      <w:rFonts w:ascii="Times New Roman" w:hAnsi="Times New Roman" w:eastAsia="Times New Roman" w:cs="Times New Roman"/>
                      <w:b/>
                      <w:bCs/>
                      <w:color w:val="auto"/>
                      <w:sz w:val="21"/>
                      <w:szCs w:val="21"/>
                      <w:highlight w:val="none"/>
                    </w:rPr>
                    <w:t>Cmax</w:t>
                  </w:r>
                  <w:r>
                    <w:rPr>
                      <w:rFonts w:ascii="宋体" w:hAnsi="宋体" w:eastAsia="宋体" w:cs="宋体"/>
                      <w:b/>
                      <w:bCs/>
                      <w:color w:val="auto"/>
                      <w:spacing w:val="5"/>
                      <w:sz w:val="21"/>
                      <w:szCs w:val="21"/>
                      <w:highlight w:val="none"/>
                    </w:rPr>
                    <w:t>）</w:t>
                  </w:r>
                </w:p>
              </w:tc>
              <w:tc>
                <w:tcPr>
                  <w:tcW w:w="904" w:type="dxa"/>
                  <w:tcBorders>
                    <w:top w:val="single" w:color="000000" w:sz="10" w:space="0"/>
                  </w:tcBorders>
                  <w:vAlign w:val="center"/>
                </w:tcPr>
                <w:p w14:paraId="7C8C2FD6">
                  <w:pPr>
                    <w:spacing w:before="156" w:beforeAutospacing="0" w:line="236" w:lineRule="auto"/>
                    <w:ind w:left="0" w:leftChars="0" w:right="223"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标准值</w:t>
                  </w:r>
                  <w:r>
                    <w:rPr>
                      <w:rFonts w:ascii="宋体" w:hAnsi="宋体" w:eastAsia="宋体" w:cs="宋体"/>
                      <w:b/>
                      <w:bCs/>
                      <w:color w:val="auto"/>
                      <w:spacing w:val="-2"/>
                      <w:sz w:val="21"/>
                      <w:szCs w:val="21"/>
                      <w:highlight w:val="none"/>
                    </w:rPr>
                    <w:t>（</w:t>
                  </w:r>
                  <w:r>
                    <w:rPr>
                      <w:rFonts w:ascii="Times New Roman" w:hAnsi="Times New Roman" w:eastAsia="Times New Roman" w:cs="Times New Roman"/>
                      <w:b/>
                      <w:bCs/>
                      <w:color w:val="auto"/>
                      <w:spacing w:val="-2"/>
                      <w:sz w:val="21"/>
                      <w:szCs w:val="21"/>
                      <w:highlight w:val="none"/>
                    </w:rPr>
                    <w:t>Sj</w:t>
                  </w:r>
                  <w:r>
                    <w:rPr>
                      <w:rFonts w:ascii="宋体" w:hAnsi="宋体" w:eastAsia="宋体" w:cs="宋体"/>
                      <w:b/>
                      <w:bCs/>
                      <w:color w:val="auto"/>
                      <w:spacing w:val="-2"/>
                      <w:sz w:val="21"/>
                      <w:szCs w:val="21"/>
                      <w:highlight w:val="none"/>
                    </w:rPr>
                    <w:t>）</w:t>
                  </w:r>
                </w:p>
              </w:tc>
              <w:tc>
                <w:tcPr>
                  <w:tcW w:w="910" w:type="dxa"/>
                  <w:tcBorders>
                    <w:top w:val="single" w:color="000000" w:sz="10" w:space="0"/>
                    <w:right w:val="single" w:color="000000" w:sz="10" w:space="0"/>
                  </w:tcBorders>
                  <w:vAlign w:val="center"/>
                </w:tcPr>
                <w:p w14:paraId="31E6D76A">
                  <w:pPr>
                    <w:spacing w:before="156" w:beforeAutospacing="0" w:line="197"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Cmax/Sj</w:t>
                  </w:r>
                </w:p>
              </w:tc>
            </w:tr>
            <w:tr w14:paraId="5CF99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7C670C27">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A1</w:t>
                  </w:r>
                  <w:r>
                    <w:rPr>
                      <w:rFonts w:ascii="宋体" w:hAnsi="宋体" w:eastAsia="宋体" w:cs="宋体"/>
                      <w:color w:val="auto"/>
                      <w:spacing w:val="3"/>
                      <w:position w:val="1"/>
                      <w:sz w:val="21"/>
                      <w:szCs w:val="21"/>
                      <w:highlight w:val="none"/>
                    </w:rPr>
                    <w:t>：</w:t>
                  </w:r>
                </w:p>
                <w:p w14:paraId="0B3CCB49">
                  <w:pPr>
                    <w:spacing w:line="240" w:lineRule="auto"/>
                    <w:ind w:left="0" w:right="0" w:firstLine="0"/>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港口集团办</w:t>
                  </w:r>
                  <w:r>
                    <w:rPr>
                      <w:rFonts w:ascii="宋体" w:hAnsi="宋体" w:eastAsia="宋体" w:cs="宋体"/>
                      <w:color w:val="auto"/>
                      <w:spacing w:val="1"/>
                      <w:sz w:val="21"/>
                      <w:szCs w:val="21"/>
                      <w:highlight w:val="none"/>
                    </w:rPr>
                    <w:t>公楼</w:t>
                  </w:r>
                </w:p>
              </w:tc>
              <w:tc>
                <w:tcPr>
                  <w:tcW w:w="738" w:type="dxa"/>
                  <w:vAlign w:val="top"/>
                </w:tcPr>
                <w:p w14:paraId="24C7975E">
                  <w:pPr>
                    <w:spacing w:before="75" w:line="195" w:lineRule="auto"/>
                    <w:ind w:left="26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top"/>
                </w:tcPr>
                <w:p w14:paraId="52C46188">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1049" w:type="dxa"/>
                  <w:vAlign w:val="top"/>
                </w:tcPr>
                <w:p w14:paraId="5E7B4B51">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134</w:t>
                  </w:r>
                </w:p>
              </w:tc>
              <w:tc>
                <w:tcPr>
                  <w:tcW w:w="1049" w:type="dxa"/>
                  <w:vAlign w:val="top"/>
                </w:tcPr>
                <w:p w14:paraId="479AD072">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1134" w:type="dxa"/>
                  <w:vAlign w:val="top"/>
                </w:tcPr>
                <w:p w14:paraId="1FA29DB1">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904" w:type="dxa"/>
                  <w:vAlign w:val="top"/>
                </w:tcPr>
                <w:p w14:paraId="459713B6">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300</w:t>
                  </w:r>
                </w:p>
              </w:tc>
              <w:tc>
                <w:tcPr>
                  <w:tcW w:w="910" w:type="dxa"/>
                  <w:tcBorders>
                    <w:right w:val="single" w:color="000000" w:sz="10" w:space="0"/>
                  </w:tcBorders>
                  <w:vAlign w:val="top"/>
                </w:tcPr>
                <w:p w14:paraId="77891670">
                  <w:pPr>
                    <w:spacing w:before="7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r>
            <w:tr w14:paraId="0EF3F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continue"/>
                  <w:tcBorders>
                    <w:top w:val="nil"/>
                    <w:left w:val="single" w:color="000000" w:sz="10" w:space="0"/>
                    <w:bottom w:val="nil"/>
                  </w:tcBorders>
                  <w:vAlign w:val="center"/>
                </w:tcPr>
                <w:p w14:paraId="70B69C1E">
                  <w:pPr>
                    <w:spacing w:line="240" w:lineRule="auto"/>
                    <w:ind w:left="0" w:right="0" w:firstLine="0"/>
                    <w:jc w:val="center"/>
                    <w:rPr>
                      <w:rFonts w:ascii="Arial"/>
                      <w:color w:val="auto"/>
                      <w:sz w:val="21"/>
                      <w:szCs w:val="21"/>
                      <w:highlight w:val="none"/>
                    </w:rPr>
                  </w:pPr>
                </w:p>
              </w:tc>
              <w:tc>
                <w:tcPr>
                  <w:tcW w:w="738" w:type="dxa"/>
                  <w:vAlign w:val="top"/>
                </w:tcPr>
                <w:p w14:paraId="073D0EC2">
                  <w:pPr>
                    <w:spacing w:before="82" w:line="19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top"/>
                </w:tcPr>
                <w:p w14:paraId="2EECC351">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58</w:t>
                  </w:r>
                </w:p>
              </w:tc>
              <w:tc>
                <w:tcPr>
                  <w:tcW w:w="1049" w:type="dxa"/>
                  <w:vAlign w:val="top"/>
                </w:tcPr>
                <w:p w14:paraId="1C317B44">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63</w:t>
                  </w:r>
                </w:p>
              </w:tc>
              <w:tc>
                <w:tcPr>
                  <w:tcW w:w="1049" w:type="dxa"/>
                  <w:vAlign w:val="top"/>
                </w:tcPr>
                <w:p w14:paraId="451D1ED3">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1134" w:type="dxa"/>
                  <w:vAlign w:val="top"/>
                </w:tcPr>
                <w:p w14:paraId="491C3919">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04" w:type="dxa"/>
                  <w:vAlign w:val="top"/>
                </w:tcPr>
                <w:p w14:paraId="1D494C64">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150</w:t>
                  </w:r>
                </w:p>
              </w:tc>
              <w:tc>
                <w:tcPr>
                  <w:tcW w:w="910" w:type="dxa"/>
                  <w:tcBorders>
                    <w:right w:val="single" w:color="000000" w:sz="10" w:space="0"/>
                  </w:tcBorders>
                  <w:vAlign w:val="top"/>
                </w:tcPr>
                <w:p w14:paraId="3A724C58">
                  <w:pPr>
                    <w:spacing w:before="79"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0.46</w:t>
                  </w:r>
                </w:p>
              </w:tc>
            </w:tr>
            <w:tr w14:paraId="6639F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5" w:type="dxa"/>
                  <w:vMerge w:val="continue"/>
                  <w:tcBorders>
                    <w:top w:val="nil"/>
                    <w:left w:val="single" w:color="000000" w:sz="10" w:space="0"/>
                  </w:tcBorders>
                  <w:vAlign w:val="center"/>
                </w:tcPr>
                <w:p w14:paraId="63D36775">
                  <w:pPr>
                    <w:spacing w:line="240" w:lineRule="auto"/>
                    <w:ind w:left="0" w:right="0" w:firstLine="0"/>
                    <w:jc w:val="center"/>
                    <w:rPr>
                      <w:rFonts w:ascii="Arial"/>
                      <w:color w:val="auto"/>
                      <w:sz w:val="21"/>
                      <w:szCs w:val="21"/>
                      <w:highlight w:val="none"/>
                    </w:rPr>
                  </w:pPr>
                </w:p>
              </w:tc>
              <w:tc>
                <w:tcPr>
                  <w:tcW w:w="738" w:type="dxa"/>
                  <w:vAlign w:val="center"/>
                </w:tcPr>
                <w:p w14:paraId="7FF2030C">
                  <w:pPr>
                    <w:spacing w:beforeAutospacing="0" w:line="202" w:lineRule="auto"/>
                    <w:ind w:left="24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35B65F3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19</w:t>
                  </w:r>
                </w:p>
              </w:tc>
              <w:tc>
                <w:tcPr>
                  <w:tcW w:w="1049" w:type="dxa"/>
                  <w:vAlign w:val="center"/>
                </w:tcPr>
                <w:p w14:paraId="08708AB7">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1049" w:type="dxa"/>
                  <w:vAlign w:val="center"/>
                </w:tcPr>
                <w:p w14:paraId="2251C33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134" w:type="dxa"/>
                  <w:vAlign w:val="center"/>
                </w:tcPr>
                <w:p w14:paraId="53F607B4">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904" w:type="dxa"/>
                  <w:vAlign w:val="center"/>
                </w:tcPr>
                <w:p w14:paraId="1956086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80</w:t>
                  </w:r>
                </w:p>
              </w:tc>
              <w:tc>
                <w:tcPr>
                  <w:tcW w:w="910" w:type="dxa"/>
                  <w:tcBorders>
                    <w:right w:val="single" w:color="000000" w:sz="10" w:space="0"/>
                  </w:tcBorders>
                  <w:vAlign w:val="center"/>
                </w:tcPr>
                <w:p w14:paraId="23386834">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0.30</w:t>
                  </w:r>
                </w:p>
              </w:tc>
            </w:tr>
            <w:tr w14:paraId="60A90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0408C883">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A2</w:t>
                  </w:r>
                  <w:r>
                    <w:rPr>
                      <w:rFonts w:ascii="宋体" w:hAnsi="宋体" w:eastAsia="宋体" w:cs="宋体"/>
                      <w:color w:val="auto"/>
                      <w:spacing w:val="8"/>
                      <w:sz w:val="21"/>
                      <w:szCs w:val="21"/>
                      <w:highlight w:val="none"/>
                    </w:rPr>
                    <w:t>：厂界上</w:t>
                  </w:r>
                  <w:r>
                    <w:rPr>
                      <w:rFonts w:ascii="宋体" w:hAnsi="宋体" w:eastAsia="宋体" w:cs="宋体"/>
                      <w:color w:val="auto"/>
                      <w:spacing w:val="4"/>
                      <w:sz w:val="21"/>
                      <w:szCs w:val="21"/>
                      <w:highlight w:val="none"/>
                    </w:rPr>
                    <w:t>风向</w:t>
                  </w:r>
                </w:p>
              </w:tc>
              <w:tc>
                <w:tcPr>
                  <w:tcW w:w="738" w:type="dxa"/>
                  <w:vAlign w:val="center"/>
                </w:tcPr>
                <w:p w14:paraId="69B4324F">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3F414CAC">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143</w:t>
                  </w:r>
                </w:p>
              </w:tc>
              <w:tc>
                <w:tcPr>
                  <w:tcW w:w="1049" w:type="dxa"/>
                  <w:vAlign w:val="center"/>
                </w:tcPr>
                <w:p w14:paraId="2EBBAFBB">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145</w:t>
                  </w:r>
                </w:p>
              </w:tc>
              <w:tc>
                <w:tcPr>
                  <w:tcW w:w="1049" w:type="dxa"/>
                  <w:vAlign w:val="center"/>
                </w:tcPr>
                <w:p w14:paraId="30DF6523">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140</w:t>
                  </w:r>
                </w:p>
              </w:tc>
              <w:tc>
                <w:tcPr>
                  <w:tcW w:w="1134" w:type="dxa"/>
                  <w:vAlign w:val="center"/>
                </w:tcPr>
                <w:p w14:paraId="4378B8DF">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145</w:t>
                  </w:r>
                </w:p>
              </w:tc>
              <w:tc>
                <w:tcPr>
                  <w:tcW w:w="904" w:type="dxa"/>
                  <w:vAlign w:val="center"/>
                </w:tcPr>
                <w:p w14:paraId="3F955051">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5535EEC3">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31B52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3C4CF366">
                  <w:pPr>
                    <w:spacing w:line="240" w:lineRule="auto"/>
                    <w:ind w:left="0" w:right="0" w:firstLine="0"/>
                    <w:jc w:val="center"/>
                    <w:rPr>
                      <w:rFonts w:ascii="Arial"/>
                      <w:color w:val="auto"/>
                      <w:sz w:val="21"/>
                      <w:szCs w:val="21"/>
                      <w:highlight w:val="none"/>
                    </w:rPr>
                  </w:pPr>
                </w:p>
              </w:tc>
              <w:tc>
                <w:tcPr>
                  <w:tcW w:w="738" w:type="dxa"/>
                  <w:vAlign w:val="center"/>
                </w:tcPr>
                <w:p w14:paraId="3D7C816E">
                  <w:pPr>
                    <w:spacing w:beforeAutospacing="0" w:line="199"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06A6F9AD">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64</w:t>
                  </w:r>
                </w:p>
              </w:tc>
              <w:tc>
                <w:tcPr>
                  <w:tcW w:w="1049" w:type="dxa"/>
                  <w:vAlign w:val="center"/>
                </w:tcPr>
                <w:p w14:paraId="5862AFCB">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1049" w:type="dxa"/>
                  <w:vAlign w:val="center"/>
                </w:tcPr>
                <w:p w14:paraId="24CCCC65">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w:t>
                  </w:r>
                </w:p>
              </w:tc>
              <w:tc>
                <w:tcPr>
                  <w:tcW w:w="1134" w:type="dxa"/>
                  <w:vAlign w:val="center"/>
                </w:tcPr>
                <w:p w14:paraId="17BF1962">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904" w:type="dxa"/>
                  <w:vAlign w:val="center"/>
                </w:tcPr>
                <w:p w14:paraId="1B6E0E6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476509AA">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0.07</w:t>
                  </w:r>
                </w:p>
              </w:tc>
            </w:tr>
            <w:tr w14:paraId="64CF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165" w:type="dxa"/>
                  <w:vMerge w:val="continue"/>
                  <w:tcBorders>
                    <w:top w:val="nil"/>
                    <w:left w:val="single" w:color="000000" w:sz="10" w:space="0"/>
                  </w:tcBorders>
                  <w:vAlign w:val="center"/>
                </w:tcPr>
                <w:p w14:paraId="6C9CA35A">
                  <w:pPr>
                    <w:spacing w:line="240" w:lineRule="auto"/>
                    <w:ind w:left="0" w:right="0" w:firstLine="0"/>
                    <w:jc w:val="center"/>
                    <w:rPr>
                      <w:rFonts w:ascii="Arial"/>
                      <w:color w:val="auto"/>
                      <w:sz w:val="21"/>
                      <w:szCs w:val="21"/>
                      <w:highlight w:val="none"/>
                    </w:rPr>
                  </w:pPr>
                </w:p>
              </w:tc>
              <w:tc>
                <w:tcPr>
                  <w:tcW w:w="738" w:type="dxa"/>
                  <w:vAlign w:val="center"/>
                </w:tcPr>
                <w:p w14:paraId="55764621">
                  <w:pPr>
                    <w:spacing w:beforeAutospacing="0" w:line="20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76EF365E">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049" w:type="dxa"/>
                  <w:vAlign w:val="center"/>
                </w:tcPr>
                <w:p w14:paraId="4E2855DE">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27</w:t>
                  </w:r>
                </w:p>
              </w:tc>
              <w:tc>
                <w:tcPr>
                  <w:tcW w:w="1049" w:type="dxa"/>
                  <w:vAlign w:val="center"/>
                </w:tcPr>
                <w:p w14:paraId="6B5CE932">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1134" w:type="dxa"/>
                  <w:vAlign w:val="center"/>
                </w:tcPr>
                <w:p w14:paraId="622D2FC5">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27</w:t>
                  </w:r>
                </w:p>
              </w:tc>
              <w:tc>
                <w:tcPr>
                  <w:tcW w:w="904" w:type="dxa"/>
                  <w:vAlign w:val="center"/>
                </w:tcPr>
                <w:p w14:paraId="71D09CE0">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49159BC9">
                  <w:pPr>
                    <w:spacing w:beforeAutospacing="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0.23</w:t>
                  </w:r>
                </w:p>
              </w:tc>
            </w:tr>
            <w:tr w14:paraId="20A25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2BC8BFB5">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A3</w:t>
                  </w:r>
                  <w:r>
                    <w:rPr>
                      <w:rFonts w:ascii="宋体" w:hAnsi="宋体" w:eastAsia="宋体" w:cs="宋体"/>
                      <w:color w:val="auto"/>
                      <w:spacing w:val="3"/>
                      <w:position w:val="1"/>
                      <w:sz w:val="21"/>
                      <w:szCs w:val="21"/>
                      <w:highlight w:val="none"/>
                    </w:rPr>
                    <w:t>：</w:t>
                  </w:r>
                </w:p>
                <w:p w14:paraId="407ADA1C">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1</w:t>
                  </w:r>
                </w:p>
              </w:tc>
              <w:tc>
                <w:tcPr>
                  <w:tcW w:w="738" w:type="dxa"/>
                  <w:vAlign w:val="center"/>
                </w:tcPr>
                <w:p w14:paraId="225123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3761BBBE">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157</w:t>
                  </w:r>
                </w:p>
              </w:tc>
              <w:tc>
                <w:tcPr>
                  <w:tcW w:w="1049" w:type="dxa"/>
                  <w:vAlign w:val="center"/>
                </w:tcPr>
                <w:p w14:paraId="6D1A47F5">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1049" w:type="dxa"/>
                  <w:vAlign w:val="center"/>
                </w:tcPr>
                <w:p w14:paraId="2DDA1A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165</w:t>
                  </w:r>
                </w:p>
              </w:tc>
              <w:tc>
                <w:tcPr>
                  <w:tcW w:w="1134" w:type="dxa"/>
                  <w:vAlign w:val="center"/>
                </w:tcPr>
                <w:p w14:paraId="5082A670">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904" w:type="dxa"/>
                  <w:vAlign w:val="center"/>
                </w:tcPr>
                <w:p w14:paraId="710CEA9B">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2BEDB19B">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03588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4EF3903F">
                  <w:pPr>
                    <w:spacing w:line="240" w:lineRule="auto"/>
                    <w:ind w:left="0" w:right="0" w:firstLine="0"/>
                    <w:jc w:val="center"/>
                    <w:rPr>
                      <w:rFonts w:ascii="Arial"/>
                      <w:color w:val="auto"/>
                      <w:sz w:val="21"/>
                      <w:szCs w:val="21"/>
                      <w:highlight w:val="none"/>
                    </w:rPr>
                  </w:pPr>
                </w:p>
              </w:tc>
              <w:tc>
                <w:tcPr>
                  <w:tcW w:w="738" w:type="dxa"/>
                  <w:vAlign w:val="center"/>
                </w:tcPr>
                <w:p w14:paraId="68615979">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59FB583F">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1049" w:type="dxa"/>
                  <w:vAlign w:val="center"/>
                </w:tcPr>
                <w:p w14:paraId="4C9BFA0E">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79</w:t>
                  </w:r>
                </w:p>
              </w:tc>
              <w:tc>
                <w:tcPr>
                  <w:tcW w:w="1049" w:type="dxa"/>
                  <w:vAlign w:val="center"/>
                </w:tcPr>
                <w:p w14:paraId="52A4E36D">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1134" w:type="dxa"/>
                  <w:vAlign w:val="center"/>
                </w:tcPr>
                <w:p w14:paraId="49BA593D">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79</w:t>
                  </w:r>
                </w:p>
              </w:tc>
              <w:tc>
                <w:tcPr>
                  <w:tcW w:w="904" w:type="dxa"/>
                  <w:vAlign w:val="center"/>
                </w:tcPr>
                <w:p w14:paraId="57D84086">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77115135">
                  <w:pPr>
                    <w:spacing w:beforeAutospacing="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19463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65" w:type="dxa"/>
                  <w:vMerge w:val="continue"/>
                  <w:tcBorders>
                    <w:top w:val="nil"/>
                    <w:left w:val="single" w:color="000000" w:sz="10" w:space="0"/>
                  </w:tcBorders>
                  <w:vAlign w:val="center"/>
                </w:tcPr>
                <w:p w14:paraId="5719B4B9">
                  <w:pPr>
                    <w:spacing w:line="240" w:lineRule="auto"/>
                    <w:ind w:left="0" w:right="0" w:firstLine="0"/>
                    <w:jc w:val="center"/>
                    <w:rPr>
                      <w:rFonts w:ascii="Arial"/>
                      <w:color w:val="auto"/>
                      <w:sz w:val="21"/>
                      <w:szCs w:val="21"/>
                      <w:highlight w:val="none"/>
                    </w:rPr>
                  </w:pPr>
                </w:p>
              </w:tc>
              <w:tc>
                <w:tcPr>
                  <w:tcW w:w="738" w:type="dxa"/>
                  <w:vAlign w:val="center"/>
                </w:tcPr>
                <w:p w14:paraId="2DD52BC3">
                  <w:pPr>
                    <w:spacing w:before="89"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62F3ED5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788FEA1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33</w:t>
                  </w:r>
                </w:p>
              </w:tc>
              <w:tc>
                <w:tcPr>
                  <w:tcW w:w="1049" w:type="dxa"/>
                  <w:vAlign w:val="center"/>
                </w:tcPr>
                <w:p w14:paraId="15597D5A">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1134" w:type="dxa"/>
                  <w:vAlign w:val="center"/>
                </w:tcPr>
                <w:p w14:paraId="0277FB87">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33</w:t>
                  </w:r>
                </w:p>
              </w:tc>
              <w:tc>
                <w:tcPr>
                  <w:tcW w:w="904" w:type="dxa"/>
                  <w:vAlign w:val="center"/>
                </w:tcPr>
                <w:p w14:paraId="5F0B4908">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3C46F9D9">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0.28</w:t>
                  </w:r>
                </w:p>
              </w:tc>
            </w:tr>
            <w:tr w14:paraId="1C83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3A26111B">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A4</w:t>
                  </w:r>
                  <w:r>
                    <w:rPr>
                      <w:rFonts w:ascii="宋体" w:hAnsi="宋体" w:eastAsia="宋体" w:cs="宋体"/>
                      <w:color w:val="auto"/>
                      <w:spacing w:val="3"/>
                      <w:position w:val="1"/>
                      <w:sz w:val="21"/>
                      <w:szCs w:val="21"/>
                      <w:highlight w:val="none"/>
                    </w:rPr>
                    <w:t>：</w:t>
                  </w:r>
                </w:p>
                <w:p w14:paraId="36B44239">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2</w:t>
                  </w:r>
                </w:p>
              </w:tc>
              <w:tc>
                <w:tcPr>
                  <w:tcW w:w="738" w:type="dxa"/>
                  <w:vAlign w:val="center"/>
                </w:tcPr>
                <w:p w14:paraId="62817E82">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24ADED64">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155</w:t>
                  </w:r>
                </w:p>
              </w:tc>
              <w:tc>
                <w:tcPr>
                  <w:tcW w:w="1049" w:type="dxa"/>
                  <w:vAlign w:val="center"/>
                </w:tcPr>
                <w:p w14:paraId="2DD09C7E">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167</w:t>
                  </w:r>
                </w:p>
              </w:tc>
              <w:tc>
                <w:tcPr>
                  <w:tcW w:w="1049" w:type="dxa"/>
                  <w:vAlign w:val="center"/>
                </w:tcPr>
                <w:p w14:paraId="41169DBE">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152</w:t>
                  </w:r>
                </w:p>
              </w:tc>
              <w:tc>
                <w:tcPr>
                  <w:tcW w:w="1134" w:type="dxa"/>
                  <w:vAlign w:val="center"/>
                </w:tcPr>
                <w:p w14:paraId="6AA2E79A">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167</w:t>
                  </w:r>
                </w:p>
              </w:tc>
              <w:tc>
                <w:tcPr>
                  <w:tcW w:w="904" w:type="dxa"/>
                  <w:vAlign w:val="center"/>
                </w:tcPr>
                <w:p w14:paraId="2F0B92D0">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49D41C13">
                  <w:pPr>
                    <w:spacing w:before="88"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0B914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197D1554">
                  <w:pPr>
                    <w:spacing w:line="240" w:lineRule="auto"/>
                    <w:ind w:left="0" w:right="0" w:firstLine="0"/>
                    <w:jc w:val="center"/>
                    <w:rPr>
                      <w:rFonts w:ascii="Arial"/>
                      <w:color w:val="auto"/>
                      <w:sz w:val="21"/>
                      <w:szCs w:val="21"/>
                      <w:highlight w:val="none"/>
                    </w:rPr>
                  </w:pPr>
                </w:p>
              </w:tc>
              <w:tc>
                <w:tcPr>
                  <w:tcW w:w="738" w:type="dxa"/>
                  <w:vAlign w:val="center"/>
                </w:tcPr>
                <w:p w14:paraId="3CEC8304">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430E2FDB">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1049" w:type="dxa"/>
                  <w:vAlign w:val="center"/>
                </w:tcPr>
                <w:p w14:paraId="5C1727D7">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1049" w:type="dxa"/>
                  <w:vAlign w:val="center"/>
                </w:tcPr>
                <w:p w14:paraId="35D015E1">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67</w:t>
                  </w:r>
                </w:p>
              </w:tc>
              <w:tc>
                <w:tcPr>
                  <w:tcW w:w="1134" w:type="dxa"/>
                  <w:vAlign w:val="center"/>
                </w:tcPr>
                <w:p w14:paraId="2F17B58A">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04" w:type="dxa"/>
                  <w:vAlign w:val="center"/>
                </w:tcPr>
                <w:p w14:paraId="4A07F2FB">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4ABBF3A0">
                  <w:pPr>
                    <w:spacing w:before="92"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671C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165" w:type="dxa"/>
                  <w:vMerge w:val="continue"/>
                  <w:tcBorders>
                    <w:top w:val="nil"/>
                    <w:left w:val="single" w:color="000000" w:sz="10" w:space="0"/>
                  </w:tcBorders>
                  <w:vAlign w:val="center"/>
                </w:tcPr>
                <w:p w14:paraId="2139346A">
                  <w:pPr>
                    <w:spacing w:line="240" w:lineRule="auto"/>
                    <w:ind w:left="0" w:right="0" w:firstLine="0"/>
                    <w:jc w:val="center"/>
                    <w:rPr>
                      <w:rFonts w:ascii="Arial"/>
                      <w:color w:val="auto"/>
                      <w:sz w:val="21"/>
                      <w:szCs w:val="21"/>
                      <w:highlight w:val="none"/>
                    </w:rPr>
                  </w:pPr>
                </w:p>
              </w:tc>
              <w:tc>
                <w:tcPr>
                  <w:tcW w:w="738" w:type="dxa"/>
                  <w:vAlign w:val="center"/>
                </w:tcPr>
                <w:p w14:paraId="7F432666">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vAlign w:val="center"/>
                </w:tcPr>
                <w:p w14:paraId="5417CD11">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67B87DB8">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28</w:t>
                  </w:r>
                </w:p>
              </w:tc>
              <w:tc>
                <w:tcPr>
                  <w:tcW w:w="1049" w:type="dxa"/>
                  <w:vAlign w:val="center"/>
                </w:tcPr>
                <w:p w14:paraId="22834058">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31</w:t>
                  </w:r>
                </w:p>
              </w:tc>
              <w:tc>
                <w:tcPr>
                  <w:tcW w:w="1134" w:type="dxa"/>
                  <w:vAlign w:val="center"/>
                </w:tcPr>
                <w:p w14:paraId="1C04F49E">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31</w:t>
                  </w:r>
                </w:p>
              </w:tc>
              <w:tc>
                <w:tcPr>
                  <w:tcW w:w="904" w:type="dxa"/>
                  <w:vAlign w:val="center"/>
                </w:tcPr>
                <w:p w14:paraId="37A06C09">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right w:val="single" w:color="000000" w:sz="10" w:space="0"/>
                  </w:tcBorders>
                  <w:vAlign w:val="center"/>
                </w:tcPr>
                <w:p w14:paraId="55B8DD7A">
                  <w:pPr>
                    <w:spacing w:before="95"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0.26</w:t>
                  </w:r>
                </w:p>
              </w:tc>
            </w:tr>
            <w:tr w14:paraId="791D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restart"/>
                  <w:tcBorders>
                    <w:left w:val="single" w:color="000000" w:sz="10" w:space="0"/>
                    <w:bottom w:val="nil"/>
                  </w:tcBorders>
                  <w:vAlign w:val="center"/>
                </w:tcPr>
                <w:p w14:paraId="0A6C35C2">
                  <w:pPr>
                    <w:spacing w:line="240" w:lineRule="auto"/>
                    <w:ind w:left="0" w:right="0" w:firstLine="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
                      <w:sz w:val="21"/>
                      <w:szCs w:val="21"/>
                      <w:highlight w:val="none"/>
                    </w:rPr>
                    <w:t>A5</w:t>
                  </w:r>
                  <w:r>
                    <w:rPr>
                      <w:rFonts w:ascii="宋体" w:hAnsi="宋体" w:eastAsia="宋体" w:cs="宋体"/>
                      <w:color w:val="auto"/>
                      <w:spacing w:val="3"/>
                      <w:position w:val="1"/>
                      <w:sz w:val="21"/>
                      <w:szCs w:val="21"/>
                      <w:highlight w:val="none"/>
                    </w:rPr>
                    <w:t>：</w:t>
                  </w:r>
                </w:p>
                <w:p w14:paraId="0746D82A">
                  <w:pPr>
                    <w:spacing w:line="240" w:lineRule="auto"/>
                    <w:ind w:left="0" w:right="0" w:firstLine="0"/>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6"/>
                      <w:sz w:val="21"/>
                      <w:szCs w:val="21"/>
                      <w:highlight w:val="none"/>
                    </w:rPr>
                    <w:t>厂界下风向</w:t>
                  </w:r>
                  <w:r>
                    <w:rPr>
                      <w:rFonts w:ascii="Times New Roman" w:hAnsi="Times New Roman" w:eastAsia="Times New Roman" w:cs="Times New Roman"/>
                      <w:color w:val="auto"/>
                      <w:spacing w:val="6"/>
                      <w:sz w:val="21"/>
                      <w:szCs w:val="21"/>
                      <w:highlight w:val="none"/>
                    </w:rPr>
                    <w:t>3</w:t>
                  </w:r>
                </w:p>
              </w:tc>
              <w:tc>
                <w:tcPr>
                  <w:tcW w:w="738" w:type="dxa"/>
                  <w:vAlign w:val="center"/>
                </w:tcPr>
                <w:p w14:paraId="4A9C3B2B">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TSP</w:t>
                  </w:r>
                </w:p>
              </w:tc>
              <w:tc>
                <w:tcPr>
                  <w:tcW w:w="967" w:type="dxa"/>
                  <w:vAlign w:val="center"/>
                </w:tcPr>
                <w:p w14:paraId="22460763">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1049" w:type="dxa"/>
                  <w:vAlign w:val="center"/>
                </w:tcPr>
                <w:p w14:paraId="2EAAADFD">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159</w:t>
                  </w:r>
                </w:p>
              </w:tc>
              <w:tc>
                <w:tcPr>
                  <w:tcW w:w="1049" w:type="dxa"/>
                  <w:vAlign w:val="center"/>
                </w:tcPr>
                <w:p w14:paraId="535BC205">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153</w:t>
                  </w:r>
                </w:p>
              </w:tc>
              <w:tc>
                <w:tcPr>
                  <w:tcW w:w="1134" w:type="dxa"/>
                  <w:vAlign w:val="center"/>
                </w:tcPr>
                <w:p w14:paraId="258C72F5">
                  <w:pPr>
                    <w:spacing w:before="94"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169</w:t>
                  </w:r>
                </w:p>
              </w:tc>
              <w:tc>
                <w:tcPr>
                  <w:tcW w:w="904" w:type="dxa"/>
                  <w:vAlign w:val="center"/>
                </w:tcPr>
                <w:p w14:paraId="1E58734A">
                  <w:pPr>
                    <w:spacing w:before="91"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10" w:type="dxa"/>
                  <w:tcBorders>
                    <w:right w:val="single" w:color="000000" w:sz="10" w:space="0"/>
                  </w:tcBorders>
                  <w:vAlign w:val="center"/>
                </w:tcPr>
                <w:p w14:paraId="0A225DB7">
                  <w:pPr>
                    <w:spacing w:before="91"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r>
            <w:tr w14:paraId="5A5D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top"/>
                </w:tcPr>
                <w:p w14:paraId="25CAF77B">
                  <w:pPr>
                    <w:rPr>
                      <w:rFonts w:ascii="Arial"/>
                      <w:color w:val="auto"/>
                      <w:sz w:val="21"/>
                      <w:szCs w:val="21"/>
                      <w:highlight w:val="none"/>
                    </w:rPr>
                  </w:pPr>
                </w:p>
              </w:tc>
              <w:tc>
                <w:tcPr>
                  <w:tcW w:w="738" w:type="dxa"/>
                  <w:vAlign w:val="center"/>
                </w:tcPr>
                <w:p w14:paraId="70015156">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PM</w:t>
                  </w:r>
                  <w:r>
                    <w:rPr>
                      <w:rFonts w:ascii="Times New Roman" w:hAnsi="Times New Roman" w:eastAsia="Times New Roman" w:cs="Times New Roman"/>
                      <w:color w:val="auto"/>
                      <w:spacing w:val="8"/>
                      <w:position w:val="-1"/>
                      <w:sz w:val="21"/>
                      <w:szCs w:val="21"/>
                      <w:highlight w:val="none"/>
                    </w:rPr>
                    <w:t>10</w:t>
                  </w:r>
                </w:p>
              </w:tc>
              <w:tc>
                <w:tcPr>
                  <w:tcW w:w="967" w:type="dxa"/>
                  <w:vAlign w:val="center"/>
                </w:tcPr>
                <w:p w14:paraId="1E2D5C09">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1049" w:type="dxa"/>
                  <w:vAlign w:val="center"/>
                </w:tcPr>
                <w:p w14:paraId="744CCDEB">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1049" w:type="dxa"/>
                  <w:vAlign w:val="center"/>
                </w:tcPr>
                <w:p w14:paraId="56BC1424">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68</w:t>
                  </w:r>
                </w:p>
              </w:tc>
              <w:tc>
                <w:tcPr>
                  <w:tcW w:w="1134" w:type="dxa"/>
                  <w:vAlign w:val="center"/>
                </w:tcPr>
                <w:p w14:paraId="4466C1BD">
                  <w:pPr>
                    <w:spacing w:before="100"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04" w:type="dxa"/>
                  <w:vAlign w:val="center"/>
                </w:tcPr>
                <w:p w14:paraId="065CB5CF">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1000</w:t>
                  </w:r>
                </w:p>
              </w:tc>
              <w:tc>
                <w:tcPr>
                  <w:tcW w:w="910" w:type="dxa"/>
                  <w:tcBorders>
                    <w:right w:val="single" w:color="000000" w:sz="10" w:space="0"/>
                  </w:tcBorders>
                  <w:vAlign w:val="center"/>
                </w:tcPr>
                <w:p w14:paraId="06229224">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0.08</w:t>
                  </w:r>
                </w:p>
              </w:tc>
            </w:tr>
            <w:tr w14:paraId="1E3FC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165" w:type="dxa"/>
                  <w:vMerge w:val="continue"/>
                  <w:tcBorders>
                    <w:top w:val="nil"/>
                    <w:left w:val="single" w:color="000000" w:sz="10" w:space="0"/>
                    <w:bottom w:val="single" w:color="000000" w:sz="10" w:space="0"/>
                  </w:tcBorders>
                  <w:vAlign w:val="top"/>
                </w:tcPr>
                <w:p w14:paraId="045C48B3">
                  <w:pPr>
                    <w:rPr>
                      <w:rFonts w:ascii="Arial"/>
                      <w:color w:val="auto"/>
                      <w:sz w:val="21"/>
                      <w:szCs w:val="21"/>
                      <w:highlight w:val="none"/>
                    </w:rPr>
                  </w:pPr>
                </w:p>
              </w:tc>
              <w:tc>
                <w:tcPr>
                  <w:tcW w:w="738" w:type="dxa"/>
                  <w:tcBorders>
                    <w:bottom w:val="single" w:color="000000" w:sz="10" w:space="0"/>
                  </w:tcBorders>
                  <w:vAlign w:val="center"/>
                </w:tcPr>
                <w:p w14:paraId="0EA55BF5">
                  <w:pPr>
                    <w:spacing w:before="97"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NO</w:t>
                  </w:r>
                  <w:r>
                    <w:rPr>
                      <w:rFonts w:ascii="Times New Roman" w:hAnsi="Times New Roman" w:eastAsia="Times New Roman" w:cs="Times New Roman"/>
                      <w:color w:val="auto"/>
                      <w:spacing w:val="7"/>
                      <w:position w:val="-1"/>
                      <w:sz w:val="21"/>
                      <w:szCs w:val="21"/>
                      <w:highlight w:val="none"/>
                    </w:rPr>
                    <w:t>2</w:t>
                  </w:r>
                </w:p>
              </w:tc>
              <w:tc>
                <w:tcPr>
                  <w:tcW w:w="967" w:type="dxa"/>
                  <w:tcBorders>
                    <w:bottom w:val="single" w:color="000000" w:sz="10" w:space="0"/>
                  </w:tcBorders>
                  <w:vAlign w:val="center"/>
                </w:tcPr>
                <w:p w14:paraId="0E61BD6D">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29</w:t>
                  </w:r>
                </w:p>
              </w:tc>
              <w:tc>
                <w:tcPr>
                  <w:tcW w:w="1049" w:type="dxa"/>
                  <w:tcBorders>
                    <w:bottom w:val="single" w:color="000000" w:sz="10" w:space="0"/>
                  </w:tcBorders>
                  <w:vAlign w:val="center"/>
                </w:tcPr>
                <w:p w14:paraId="51F57792">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30</w:t>
                  </w:r>
                </w:p>
              </w:tc>
              <w:tc>
                <w:tcPr>
                  <w:tcW w:w="1049" w:type="dxa"/>
                  <w:tcBorders>
                    <w:bottom w:val="single" w:color="000000" w:sz="10" w:space="0"/>
                  </w:tcBorders>
                  <w:vAlign w:val="center"/>
                </w:tcPr>
                <w:p w14:paraId="2EDD1E1C">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1134" w:type="dxa"/>
                  <w:tcBorders>
                    <w:bottom w:val="single" w:color="000000" w:sz="10" w:space="0"/>
                  </w:tcBorders>
                  <w:vAlign w:val="center"/>
                </w:tcPr>
                <w:p w14:paraId="5E95F4D6">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32</w:t>
                  </w:r>
                </w:p>
              </w:tc>
              <w:tc>
                <w:tcPr>
                  <w:tcW w:w="904" w:type="dxa"/>
                  <w:tcBorders>
                    <w:bottom w:val="single" w:color="000000" w:sz="10" w:space="0"/>
                  </w:tcBorders>
                  <w:vAlign w:val="center"/>
                </w:tcPr>
                <w:p w14:paraId="4D4D21CF">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120</w:t>
                  </w:r>
                </w:p>
              </w:tc>
              <w:tc>
                <w:tcPr>
                  <w:tcW w:w="910" w:type="dxa"/>
                  <w:tcBorders>
                    <w:bottom w:val="single" w:color="000000" w:sz="10" w:space="0"/>
                    <w:right w:val="single" w:color="000000" w:sz="10" w:space="0"/>
                  </w:tcBorders>
                  <w:vAlign w:val="center"/>
                </w:tcPr>
                <w:p w14:paraId="271D939D">
                  <w:pPr>
                    <w:spacing w:before="96" w:line="240"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0.27</w:t>
                  </w:r>
                </w:p>
              </w:tc>
            </w:tr>
          </w:tbl>
          <w:p w14:paraId="0CF5CBCB">
            <w:pPr>
              <w:pStyle w:val="19"/>
              <w:keepNext w:val="0"/>
              <w:keepLines w:val="0"/>
              <w:suppressLineNumbers w:val="0"/>
              <w:spacing w:before="155" w:beforeAutospacing="0" w:afterAutospacing="0" w:line="212" w:lineRule="auto"/>
              <w:ind w:left="2053"/>
              <w:rPr>
                <w:rFonts w:hint="default" w:ascii="Times New Roman" w:hAnsi="Times New Roman" w:eastAsia="Times New Roman" w:cs="Times New Roman"/>
                <w:color w:val="auto"/>
                <w:sz w:val="15"/>
                <w:szCs w:val="15"/>
                <w:highlight w:val="none"/>
              </w:rPr>
            </w:pPr>
            <w:bookmarkStart w:id="6" w:name="bookmark92"/>
            <w:bookmarkEnd w:id="6"/>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cs="Times New Roman"/>
                <w:b/>
                <w:bCs/>
                <w:color w:val="auto"/>
                <w:spacing w:val="-1"/>
                <w:sz w:val="24"/>
                <w:szCs w:val="24"/>
                <w:highlight w:val="none"/>
                <w:lang w:val="en-US" w:eastAsia="zh-CN"/>
              </w:rPr>
              <w:t>20</w:t>
            </w:r>
            <w:r>
              <w:rPr>
                <w:rFonts w:hint="default"/>
                <w:b/>
                <w:bCs/>
                <w:color w:val="auto"/>
                <w:spacing w:val="-1"/>
                <w:sz w:val="24"/>
                <w:szCs w:val="24"/>
                <w:highlight w:val="none"/>
              </w:rPr>
              <w:t>厂界环境空气监测与评估结</w:t>
            </w:r>
            <w:r>
              <w:rPr>
                <w:rFonts w:hint="default"/>
                <w:b/>
                <w:bCs/>
                <w:color w:val="auto"/>
                <w:spacing w:val="-2"/>
                <w:sz w:val="24"/>
                <w:szCs w:val="24"/>
                <w:highlight w:val="none"/>
              </w:rPr>
              <w:t>果单位：</w:t>
            </w:r>
            <w:r>
              <w:rPr>
                <w:rFonts w:hint="default" w:ascii="Times New Roman" w:hAnsi="Times New Roman" w:eastAsia="Times New Roman" w:cs="Times New Roman"/>
                <w:b/>
                <w:bCs/>
                <w:color w:val="auto"/>
                <w:spacing w:val="-2"/>
                <w:sz w:val="24"/>
                <w:szCs w:val="24"/>
                <w:highlight w:val="none"/>
              </w:rPr>
              <w:t>μg/m</w:t>
            </w:r>
            <w:r>
              <w:rPr>
                <w:rFonts w:hint="default" w:ascii="Times New Roman" w:hAnsi="Times New Roman" w:eastAsia="Times New Roman" w:cs="Times New Roman"/>
                <w:b/>
                <w:bCs/>
                <w:color w:val="auto"/>
                <w:spacing w:val="-2"/>
                <w:position w:val="8"/>
                <w:sz w:val="15"/>
                <w:szCs w:val="15"/>
                <w:highlight w:val="none"/>
              </w:rPr>
              <w:t>3</w:t>
            </w:r>
          </w:p>
          <w:p w14:paraId="240141DD">
            <w:pPr>
              <w:keepNext w:val="0"/>
              <w:keepLines w:val="0"/>
              <w:suppressLineNumbers w:val="0"/>
              <w:spacing w:before="0" w:beforeAutospacing="0" w:after="0" w:afterAutospacing="0" w:line="156" w:lineRule="exact"/>
              <w:ind w:left="0" w:right="0"/>
              <w:rPr>
                <w:rFonts w:hint="default"/>
                <w:color w:val="auto"/>
                <w:highlight w:val="none"/>
              </w:rPr>
            </w:pPr>
          </w:p>
          <w:tbl>
            <w:tblPr>
              <w:tblStyle w:val="142"/>
              <w:tblW w:w="78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219"/>
              <w:gridCol w:w="1485"/>
              <w:gridCol w:w="1315"/>
              <w:gridCol w:w="1388"/>
              <w:gridCol w:w="1491"/>
            </w:tblGrid>
            <w:tr w14:paraId="0D4B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jc w:val="center"/>
              </w:trPr>
              <w:tc>
                <w:tcPr>
                  <w:tcW w:w="2180" w:type="dxa"/>
                  <w:gridSpan w:val="2"/>
                  <w:vMerge w:val="restart"/>
                  <w:tcBorders>
                    <w:bottom w:val="nil"/>
                  </w:tcBorders>
                  <w:vAlign w:val="top"/>
                </w:tcPr>
                <w:p w14:paraId="309DE966">
                  <w:pPr>
                    <w:spacing w:before="36" w:line="240" w:lineRule="auto"/>
                    <w:ind w:left="1355"/>
                    <w:rPr>
                      <w:rFonts w:ascii="宋体" w:hAnsi="宋体" w:eastAsia="宋体" w:cs="宋体"/>
                      <w:color w:val="auto"/>
                      <w:sz w:val="21"/>
                      <w:szCs w:val="21"/>
                      <w:highlight w:val="none"/>
                    </w:rPr>
                  </w:pPr>
                  <w:r>
                    <w:rPr>
                      <w:color w:val="auto"/>
                      <w:sz w:val="21"/>
                      <w:szCs w:val="21"/>
                      <w:highlight w:val="none"/>
                    </w:rPr>
                    <w:drawing>
                      <wp:anchor distT="0" distB="0" distL="0" distR="0" simplePos="0" relativeHeight="251664384" behindDoc="1" locked="0" layoutInCell="1" allowOverlap="1">
                        <wp:simplePos x="0" y="0"/>
                        <wp:positionH relativeFrom="column">
                          <wp:posOffset>4445</wp:posOffset>
                        </wp:positionH>
                        <wp:positionV relativeFrom="paragraph">
                          <wp:posOffset>23495</wp:posOffset>
                        </wp:positionV>
                        <wp:extent cx="1327150" cy="612775"/>
                        <wp:effectExtent l="0" t="0" r="6350" b="15875"/>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
                                <a:stretch>
                                  <a:fillRect/>
                                </a:stretch>
                              </pic:blipFill>
                              <pic:spPr>
                                <a:xfrm>
                                  <a:off x="0" y="0"/>
                                  <a:ext cx="1327150" cy="612775"/>
                                </a:xfrm>
                                <a:prstGeom prst="rect">
                                  <a:avLst/>
                                </a:prstGeom>
                              </pic:spPr>
                            </pic:pic>
                          </a:graphicData>
                        </a:graphic>
                      </wp:anchor>
                    </w:drawing>
                  </w:r>
                  <w:r>
                    <w:rPr>
                      <w:rFonts w:ascii="宋体" w:hAnsi="宋体" w:eastAsia="宋体" w:cs="宋体"/>
                      <w:b/>
                      <w:bCs/>
                      <w:color w:val="auto"/>
                      <w:spacing w:val="4"/>
                      <w:sz w:val="21"/>
                      <w:szCs w:val="21"/>
                      <w:highlight w:val="none"/>
                    </w:rPr>
                    <w:t>点位及项目</w:t>
                  </w:r>
                </w:p>
                <w:p w14:paraId="070FABA9">
                  <w:pPr>
                    <w:spacing w:before="265" w:line="240" w:lineRule="auto"/>
                    <w:ind w:left="1224"/>
                    <w:rPr>
                      <w:rFonts w:ascii="宋体" w:hAnsi="宋体" w:eastAsia="宋体" w:cs="宋体"/>
                      <w:color w:val="auto"/>
                      <w:sz w:val="21"/>
                      <w:szCs w:val="21"/>
                      <w:highlight w:val="none"/>
                    </w:rPr>
                  </w:pPr>
                  <w:r>
                    <w:rPr>
                      <w:rFonts w:ascii="宋体" w:hAnsi="宋体" w:eastAsia="宋体" w:cs="宋体"/>
                      <w:b/>
                      <w:bCs/>
                      <w:color w:val="auto"/>
                      <w:spacing w:val="-15"/>
                      <w:sz w:val="21"/>
                      <w:szCs w:val="21"/>
                      <w:highlight w:val="none"/>
                    </w:rPr>
                    <w:t>日期</w:t>
                  </w:r>
                </w:p>
              </w:tc>
              <w:tc>
                <w:tcPr>
                  <w:tcW w:w="5679" w:type="dxa"/>
                  <w:gridSpan w:val="4"/>
                  <w:vAlign w:val="center"/>
                </w:tcPr>
                <w:p w14:paraId="202917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非甲烷总烃</w:t>
                  </w:r>
                </w:p>
              </w:tc>
            </w:tr>
            <w:tr w14:paraId="37C84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2180" w:type="dxa"/>
                  <w:gridSpan w:val="2"/>
                  <w:vMerge w:val="continue"/>
                  <w:tcBorders>
                    <w:top w:val="nil"/>
                  </w:tcBorders>
                  <w:vAlign w:val="top"/>
                </w:tcPr>
                <w:p w14:paraId="72CF0068">
                  <w:pPr>
                    <w:spacing w:line="240" w:lineRule="auto"/>
                    <w:rPr>
                      <w:rFonts w:ascii="Arial"/>
                      <w:color w:val="auto"/>
                      <w:sz w:val="21"/>
                      <w:szCs w:val="21"/>
                      <w:highlight w:val="none"/>
                    </w:rPr>
                  </w:pPr>
                </w:p>
              </w:tc>
              <w:tc>
                <w:tcPr>
                  <w:tcW w:w="1485" w:type="dxa"/>
                  <w:vAlign w:val="center"/>
                </w:tcPr>
                <w:p w14:paraId="7A1B21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厂界上风向</w:t>
                  </w:r>
                </w:p>
              </w:tc>
              <w:tc>
                <w:tcPr>
                  <w:tcW w:w="1315" w:type="dxa"/>
                  <w:vAlign w:val="center"/>
                </w:tcPr>
                <w:p w14:paraId="1D9EB5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1</w:t>
                  </w:r>
                </w:p>
              </w:tc>
              <w:tc>
                <w:tcPr>
                  <w:tcW w:w="1388" w:type="dxa"/>
                  <w:vAlign w:val="center"/>
                </w:tcPr>
                <w:p w14:paraId="605559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2</w:t>
                  </w:r>
                </w:p>
              </w:tc>
              <w:tc>
                <w:tcPr>
                  <w:tcW w:w="1491" w:type="dxa"/>
                  <w:vAlign w:val="center"/>
                </w:tcPr>
                <w:p w14:paraId="2EB726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宋体" w:hAnsi="宋体" w:eastAsia="宋体" w:cs="宋体"/>
                      <w:b/>
                      <w:bCs/>
                      <w:color w:val="auto"/>
                      <w:spacing w:val="5"/>
                      <w:sz w:val="21"/>
                      <w:szCs w:val="21"/>
                      <w:highlight w:val="none"/>
                    </w:rPr>
                    <w:t>厂界下风向</w:t>
                  </w:r>
                  <w:r>
                    <w:rPr>
                      <w:rFonts w:ascii="Times New Roman" w:hAnsi="Times New Roman" w:eastAsia="Times New Roman" w:cs="Times New Roman"/>
                      <w:b/>
                      <w:bCs/>
                      <w:color w:val="auto"/>
                      <w:spacing w:val="5"/>
                      <w:sz w:val="21"/>
                      <w:szCs w:val="21"/>
                      <w:highlight w:val="none"/>
                    </w:rPr>
                    <w:t>3</w:t>
                  </w:r>
                </w:p>
              </w:tc>
            </w:tr>
            <w:tr w14:paraId="30E4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restart"/>
                  <w:tcBorders>
                    <w:bottom w:val="nil"/>
                  </w:tcBorders>
                  <w:vAlign w:val="center"/>
                </w:tcPr>
                <w:p w14:paraId="269F6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16</w:t>
                  </w:r>
                  <w:r>
                    <w:rPr>
                      <w:rFonts w:ascii="宋体" w:hAnsi="宋体" w:eastAsia="宋体" w:cs="宋体"/>
                      <w:color w:val="auto"/>
                      <w:spacing w:val="-5"/>
                      <w:sz w:val="21"/>
                      <w:szCs w:val="21"/>
                      <w:highlight w:val="none"/>
                    </w:rPr>
                    <w:t>日</w:t>
                  </w:r>
                </w:p>
              </w:tc>
              <w:tc>
                <w:tcPr>
                  <w:tcW w:w="1219" w:type="dxa"/>
                  <w:vAlign w:val="center"/>
                </w:tcPr>
                <w:p w14:paraId="545DB3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4263517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0.49</w:t>
                  </w:r>
                </w:p>
              </w:tc>
              <w:tc>
                <w:tcPr>
                  <w:tcW w:w="1315" w:type="dxa"/>
                  <w:vAlign w:val="center"/>
                </w:tcPr>
                <w:p w14:paraId="56B11D9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0.58</w:t>
                  </w:r>
                </w:p>
              </w:tc>
              <w:tc>
                <w:tcPr>
                  <w:tcW w:w="1388" w:type="dxa"/>
                  <w:vAlign w:val="center"/>
                </w:tcPr>
                <w:p w14:paraId="19AAB8D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1D17D7A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140A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center"/>
                </w:tcPr>
                <w:p w14:paraId="6B0A5D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26EB18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3D0E655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777D20D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0.53</w:t>
                  </w:r>
                </w:p>
              </w:tc>
              <w:tc>
                <w:tcPr>
                  <w:tcW w:w="1388" w:type="dxa"/>
                  <w:vAlign w:val="center"/>
                </w:tcPr>
                <w:p w14:paraId="1E09498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491" w:type="dxa"/>
                  <w:vAlign w:val="center"/>
                </w:tcPr>
                <w:p w14:paraId="2B72BAF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118F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bottom w:val="nil"/>
                  </w:tcBorders>
                  <w:vAlign w:val="center"/>
                </w:tcPr>
                <w:p w14:paraId="0A034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126321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278BBD6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0.44</w:t>
                  </w:r>
                </w:p>
              </w:tc>
              <w:tc>
                <w:tcPr>
                  <w:tcW w:w="1315" w:type="dxa"/>
                  <w:vAlign w:val="center"/>
                </w:tcPr>
                <w:p w14:paraId="58EC269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388" w:type="dxa"/>
                  <w:vAlign w:val="center"/>
                </w:tcPr>
                <w:p w14:paraId="786829F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5B052063">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3B7B4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tcBorders>
                  <w:vAlign w:val="center"/>
                </w:tcPr>
                <w:p w14:paraId="3E2B7D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737657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62FEB0A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0.43</w:t>
                  </w:r>
                </w:p>
              </w:tc>
              <w:tc>
                <w:tcPr>
                  <w:tcW w:w="1315" w:type="dxa"/>
                  <w:vAlign w:val="center"/>
                </w:tcPr>
                <w:p w14:paraId="04DA9D8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0.51</w:t>
                  </w:r>
                </w:p>
              </w:tc>
              <w:tc>
                <w:tcPr>
                  <w:tcW w:w="1388" w:type="dxa"/>
                  <w:vAlign w:val="center"/>
                </w:tcPr>
                <w:p w14:paraId="62B063CB">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491" w:type="dxa"/>
                  <w:vAlign w:val="center"/>
                </w:tcPr>
                <w:p w14:paraId="308CB13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0.68</w:t>
                  </w:r>
                </w:p>
              </w:tc>
            </w:tr>
            <w:tr w14:paraId="5B51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restart"/>
                  <w:tcBorders>
                    <w:bottom w:val="nil"/>
                  </w:tcBorders>
                  <w:vAlign w:val="center"/>
                </w:tcPr>
                <w:p w14:paraId="20000A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17</w:t>
                  </w:r>
                  <w:r>
                    <w:rPr>
                      <w:rFonts w:ascii="宋体" w:hAnsi="宋体" w:eastAsia="宋体" w:cs="宋体"/>
                      <w:color w:val="auto"/>
                      <w:spacing w:val="-5"/>
                      <w:sz w:val="21"/>
                      <w:szCs w:val="21"/>
                      <w:highlight w:val="none"/>
                    </w:rPr>
                    <w:t>日</w:t>
                  </w:r>
                </w:p>
              </w:tc>
              <w:tc>
                <w:tcPr>
                  <w:tcW w:w="1219" w:type="dxa"/>
                  <w:vAlign w:val="center"/>
                </w:tcPr>
                <w:p w14:paraId="417429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120ACA4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0.48</w:t>
                  </w:r>
                </w:p>
              </w:tc>
              <w:tc>
                <w:tcPr>
                  <w:tcW w:w="1315" w:type="dxa"/>
                  <w:vAlign w:val="center"/>
                </w:tcPr>
                <w:p w14:paraId="412FF54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7EC4A11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c>
                <w:tcPr>
                  <w:tcW w:w="1491" w:type="dxa"/>
                  <w:vAlign w:val="center"/>
                </w:tcPr>
                <w:p w14:paraId="355861E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7BE7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center"/>
                </w:tcPr>
                <w:p w14:paraId="7384D9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07EB4C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1156DCC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5655568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0F9420B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0.64</w:t>
                  </w:r>
                </w:p>
              </w:tc>
              <w:tc>
                <w:tcPr>
                  <w:tcW w:w="1491" w:type="dxa"/>
                  <w:vAlign w:val="center"/>
                </w:tcPr>
                <w:p w14:paraId="035A39C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395DA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bottom w:val="nil"/>
                  </w:tcBorders>
                  <w:vAlign w:val="center"/>
                </w:tcPr>
                <w:p w14:paraId="065C7E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1F3BF5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2DBAD0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0.47</w:t>
                  </w:r>
                </w:p>
              </w:tc>
              <w:tc>
                <w:tcPr>
                  <w:tcW w:w="1315" w:type="dxa"/>
                  <w:vAlign w:val="center"/>
                </w:tcPr>
                <w:p w14:paraId="4B718BD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0.58</w:t>
                  </w:r>
                </w:p>
              </w:tc>
              <w:tc>
                <w:tcPr>
                  <w:tcW w:w="1388" w:type="dxa"/>
                  <w:vAlign w:val="center"/>
                </w:tcPr>
                <w:p w14:paraId="597278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c>
                <w:tcPr>
                  <w:tcW w:w="1491" w:type="dxa"/>
                  <w:vAlign w:val="center"/>
                </w:tcPr>
                <w:p w14:paraId="091E97D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0.62</w:t>
                  </w:r>
                </w:p>
              </w:tc>
            </w:tr>
            <w:tr w14:paraId="2CCAE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961" w:type="dxa"/>
                  <w:vMerge w:val="continue"/>
                  <w:tcBorders>
                    <w:top w:val="nil"/>
                  </w:tcBorders>
                  <w:vAlign w:val="center"/>
                </w:tcPr>
                <w:p w14:paraId="302E2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color w:val="auto"/>
                      <w:sz w:val="21"/>
                      <w:szCs w:val="21"/>
                      <w:highlight w:val="none"/>
                    </w:rPr>
                  </w:pPr>
                </w:p>
              </w:tc>
              <w:tc>
                <w:tcPr>
                  <w:tcW w:w="1219" w:type="dxa"/>
                  <w:vAlign w:val="center"/>
                </w:tcPr>
                <w:p w14:paraId="2E97D1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78059C9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0.45</w:t>
                  </w:r>
                </w:p>
              </w:tc>
              <w:tc>
                <w:tcPr>
                  <w:tcW w:w="1315" w:type="dxa"/>
                  <w:vAlign w:val="center"/>
                </w:tcPr>
                <w:p w14:paraId="1C9B75C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44ECBE2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c>
                <w:tcPr>
                  <w:tcW w:w="1491" w:type="dxa"/>
                  <w:vAlign w:val="center"/>
                </w:tcPr>
                <w:p w14:paraId="7123558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7ED9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restart"/>
                  <w:tcBorders>
                    <w:bottom w:val="nil"/>
                  </w:tcBorders>
                  <w:vAlign w:val="center"/>
                </w:tcPr>
                <w:p w14:paraId="4AB872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z w:val="21"/>
                      <w:szCs w:val="21"/>
                      <w:highlight w:val="none"/>
                    </w:rPr>
                  </w:pPr>
                  <w:r>
                    <w:rPr>
                      <w:rFonts w:hint="eastAsia" w:ascii="Times New Roman" w:hAnsi="Times New Roman" w:eastAsia="宋体" w:cs="Times New Roman"/>
                      <w:color w:val="auto"/>
                      <w:spacing w:val="-5"/>
                      <w:sz w:val="21"/>
                      <w:szCs w:val="21"/>
                      <w:highlight w:val="none"/>
                      <w:lang w:val="en-US" w:eastAsia="zh-CN"/>
                    </w:rPr>
                    <w:t>2024年</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月</w:t>
                  </w:r>
                  <w:r>
                    <w:rPr>
                      <w:rFonts w:ascii="Times New Roman" w:hAnsi="Times New Roman" w:eastAsia="Times New Roman" w:cs="Times New Roman"/>
                      <w:color w:val="auto"/>
                      <w:spacing w:val="-5"/>
                      <w:sz w:val="21"/>
                      <w:szCs w:val="21"/>
                      <w:highlight w:val="none"/>
                    </w:rPr>
                    <w:t>18</w:t>
                  </w:r>
                  <w:r>
                    <w:rPr>
                      <w:rFonts w:ascii="宋体" w:hAnsi="宋体" w:eastAsia="宋体" w:cs="宋体"/>
                      <w:color w:val="auto"/>
                      <w:spacing w:val="-5"/>
                      <w:sz w:val="21"/>
                      <w:szCs w:val="21"/>
                      <w:highlight w:val="none"/>
                    </w:rPr>
                    <w:t>日</w:t>
                  </w:r>
                </w:p>
              </w:tc>
              <w:tc>
                <w:tcPr>
                  <w:tcW w:w="1219" w:type="dxa"/>
                  <w:vAlign w:val="center"/>
                </w:tcPr>
                <w:p w14:paraId="4482C8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第一时段</w:t>
                  </w:r>
                </w:p>
              </w:tc>
              <w:tc>
                <w:tcPr>
                  <w:tcW w:w="1485" w:type="dxa"/>
                  <w:vAlign w:val="center"/>
                </w:tcPr>
                <w:p w14:paraId="76D13AF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0.45</w:t>
                  </w:r>
                </w:p>
              </w:tc>
              <w:tc>
                <w:tcPr>
                  <w:tcW w:w="1315" w:type="dxa"/>
                  <w:vAlign w:val="center"/>
                </w:tcPr>
                <w:p w14:paraId="5FFE3C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3A857BE0">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491" w:type="dxa"/>
                  <w:vAlign w:val="center"/>
                </w:tcPr>
                <w:p w14:paraId="7EC2E22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r>
            <w:tr w14:paraId="1905C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top"/>
                </w:tcPr>
                <w:p w14:paraId="6E0B5A23">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2AF2A6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第二时段</w:t>
                  </w:r>
                </w:p>
              </w:tc>
              <w:tc>
                <w:tcPr>
                  <w:tcW w:w="1485" w:type="dxa"/>
                  <w:vAlign w:val="center"/>
                </w:tcPr>
                <w:p w14:paraId="60047EE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0.43</w:t>
                  </w:r>
                </w:p>
              </w:tc>
              <w:tc>
                <w:tcPr>
                  <w:tcW w:w="1315" w:type="dxa"/>
                  <w:vAlign w:val="center"/>
                </w:tcPr>
                <w:p w14:paraId="1620620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1388" w:type="dxa"/>
                  <w:vAlign w:val="center"/>
                </w:tcPr>
                <w:p w14:paraId="2B32234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c>
                <w:tcPr>
                  <w:tcW w:w="1491" w:type="dxa"/>
                  <w:vAlign w:val="center"/>
                </w:tcPr>
                <w:p w14:paraId="53336D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0.64</w:t>
                  </w:r>
                </w:p>
              </w:tc>
            </w:tr>
            <w:tr w14:paraId="3C9F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bottom w:val="nil"/>
                  </w:tcBorders>
                  <w:vAlign w:val="top"/>
                </w:tcPr>
                <w:p w14:paraId="799C1A96">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667C50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第三时段</w:t>
                  </w:r>
                </w:p>
              </w:tc>
              <w:tc>
                <w:tcPr>
                  <w:tcW w:w="1485" w:type="dxa"/>
                  <w:vAlign w:val="center"/>
                </w:tcPr>
                <w:p w14:paraId="131F67D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0.44</w:t>
                  </w:r>
                </w:p>
              </w:tc>
              <w:tc>
                <w:tcPr>
                  <w:tcW w:w="1315" w:type="dxa"/>
                  <w:vAlign w:val="center"/>
                </w:tcPr>
                <w:p w14:paraId="11DC55FF">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0.57</w:t>
                  </w:r>
                </w:p>
              </w:tc>
              <w:tc>
                <w:tcPr>
                  <w:tcW w:w="1388" w:type="dxa"/>
                  <w:vAlign w:val="center"/>
                </w:tcPr>
                <w:p w14:paraId="528697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c>
                <w:tcPr>
                  <w:tcW w:w="1491" w:type="dxa"/>
                  <w:vAlign w:val="center"/>
                </w:tcPr>
                <w:p w14:paraId="540408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r>
            <w:tr w14:paraId="4F1AF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961" w:type="dxa"/>
                  <w:vMerge w:val="continue"/>
                  <w:tcBorders>
                    <w:top w:val="nil"/>
                  </w:tcBorders>
                  <w:vAlign w:val="top"/>
                </w:tcPr>
                <w:p w14:paraId="12A6103D">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Arial"/>
                      <w:color w:val="auto"/>
                      <w:sz w:val="21"/>
                      <w:szCs w:val="21"/>
                      <w:highlight w:val="none"/>
                    </w:rPr>
                  </w:pPr>
                </w:p>
              </w:tc>
              <w:tc>
                <w:tcPr>
                  <w:tcW w:w="1219" w:type="dxa"/>
                  <w:vAlign w:val="center"/>
                </w:tcPr>
                <w:p w14:paraId="1C6013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第四时段</w:t>
                  </w:r>
                </w:p>
              </w:tc>
              <w:tc>
                <w:tcPr>
                  <w:tcW w:w="1485" w:type="dxa"/>
                  <w:vAlign w:val="center"/>
                </w:tcPr>
                <w:p w14:paraId="4CA0CA2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0.46</w:t>
                  </w:r>
                </w:p>
              </w:tc>
              <w:tc>
                <w:tcPr>
                  <w:tcW w:w="1315" w:type="dxa"/>
                  <w:vAlign w:val="center"/>
                </w:tcPr>
                <w:p w14:paraId="352CA36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0.55</w:t>
                  </w:r>
                </w:p>
              </w:tc>
              <w:tc>
                <w:tcPr>
                  <w:tcW w:w="1388" w:type="dxa"/>
                  <w:vAlign w:val="center"/>
                </w:tcPr>
                <w:p w14:paraId="510E8F2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0.61</w:t>
                  </w:r>
                </w:p>
              </w:tc>
              <w:tc>
                <w:tcPr>
                  <w:tcW w:w="1491" w:type="dxa"/>
                  <w:vAlign w:val="center"/>
                </w:tcPr>
                <w:p w14:paraId="594A51C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0.63</w:t>
                  </w:r>
                </w:p>
              </w:tc>
            </w:tr>
            <w:tr w14:paraId="1D7DB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2180" w:type="dxa"/>
                  <w:gridSpan w:val="2"/>
                  <w:vAlign w:val="center"/>
                </w:tcPr>
                <w:p w14:paraId="27B3EE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最大监测值（</w:t>
                  </w:r>
                  <w:r>
                    <w:rPr>
                      <w:rFonts w:ascii="Times New Roman" w:hAnsi="Times New Roman" w:eastAsia="Times New Roman" w:cs="Times New Roman"/>
                      <w:color w:val="auto"/>
                      <w:sz w:val="21"/>
                      <w:szCs w:val="21"/>
                      <w:highlight w:val="none"/>
                    </w:rPr>
                    <w:t>Cmax</w:t>
                  </w:r>
                  <w:r>
                    <w:rPr>
                      <w:rFonts w:ascii="宋体" w:hAnsi="宋体" w:eastAsia="宋体" w:cs="宋体"/>
                      <w:color w:val="auto"/>
                      <w:spacing w:val="10"/>
                      <w:sz w:val="21"/>
                      <w:szCs w:val="21"/>
                      <w:highlight w:val="none"/>
                    </w:rPr>
                    <w:t>）</w:t>
                  </w:r>
                </w:p>
              </w:tc>
              <w:tc>
                <w:tcPr>
                  <w:tcW w:w="1485" w:type="dxa"/>
                  <w:vAlign w:val="center"/>
                </w:tcPr>
                <w:p w14:paraId="3118D29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0.49</w:t>
                  </w:r>
                </w:p>
              </w:tc>
              <w:tc>
                <w:tcPr>
                  <w:tcW w:w="1315" w:type="dxa"/>
                  <w:vAlign w:val="center"/>
                </w:tcPr>
                <w:p w14:paraId="50671BC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0.6</w:t>
                  </w:r>
                </w:p>
              </w:tc>
              <w:tc>
                <w:tcPr>
                  <w:tcW w:w="1388" w:type="dxa"/>
                  <w:vAlign w:val="center"/>
                </w:tcPr>
                <w:p w14:paraId="2F61126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0.65</w:t>
                  </w:r>
                </w:p>
              </w:tc>
              <w:tc>
                <w:tcPr>
                  <w:tcW w:w="1491" w:type="dxa"/>
                  <w:vAlign w:val="center"/>
                </w:tcPr>
                <w:p w14:paraId="17EE8E0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0.68</w:t>
                  </w:r>
                </w:p>
              </w:tc>
            </w:tr>
            <w:tr w14:paraId="6806C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2180" w:type="dxa"/>
                  <w:gridSpan w:val="2"/>
                  <w:vAlign w:val="center"/>
                </w:tcPr>
                <w:p w14:paraId="6B639E3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标准值（</w:t>
                  </w:r>
                  <w:r>
                    <w:rPr>
                      <w:rFonts w:ascii="Times New Roman" w:hAnsi="Times New Roman" w:eastAsia="Times New Roman" w:cs="Times New Roman"/>
                      <w:color w:val="auto"/>
                      <w:sz w:val="21"/>
                      <w:szCs w:val="21"/>
                      <w:highlight w:val="none"/>
                    </w:rPr>
                    <w:t>Sj</w:t>
                  </w:r>
                  <w:r>
                    <w:rPr>
                      <w:rFonts w:ascii="宋体" w:hAnsi="宋体" w:eastAsia="宋体" w:cs="宋体"/>
                      <w:color w:val="auto"/>
                      <w:spacing w:val="7"/>
                      <w:sz w:val="21"/>
                      <w:szCs w:val="21"/>
                      <w:highlight w:val="none"/>
                    </w:rPr>
                    <w:t>）</w:t>
                  </w:r>
                </w:p>
              </w:tc>
              <w:tc>
                <w:tcPr>
                  <w:tcW w:w="1485" w:type="dxa"/>
                  <w:vAlign w:val="center"/>
                </w:tcPr>
                <w:p w14:paraId="64171548">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15" w:type="dxa"/>
                  <w:vAlign w:val="center"/>
                </w:tcPr>
                <w:p w14:paraId="7D3F3900">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88" w:type="dxa"/>
                  <w:vAlign w:val="center"/>
                </w:tcPr>
                <w:p w14:paraId="49F574AE">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491" w:type="dxa"/>
                  <w:vAlign w:val="center"/>
                </w:tcPr>
                <w:p w14:paraId="388B7491">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r>
            <w:tr w14:paraId="5CD3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2180" w:type="dxa"/>
                  <w:gridSpan w:val="2"/>
                  <w:vAlign w:val="center"/>
                </w:tcPr>
                <w:p w14:paraId="661DDF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Cmax/Sj</w:t>
                  </w:r>
                </w:p>
              </w:tc>
              <w:tc>
                <w:tcPr>
                  <w:tcW w:w="1485" w:type="dxa"/>
                  <w:vAlign w:val="center"/>
                </w:tcPr>
                <w:p w14:paraId="1A0EE453">
                  <w:pPr>
                    <w:keepNext w:val="0"/>
                    <w:keepLines w:val="0"/>
                    <w:pageBreakBefore w:val="0"/>
                    <w:widowControl w:val="0"/>
                    <w:kinsoku/>
                    <w:wordWrap/>
                    <w:overflowPunct/>
                    <w:topLinePunct w:val="0"/>
                    <w:autoSpaceDE/>
                    <w:autoSpaceDN/>
                    <w:bidi w:val="0"/>
                    <w:adjustRightInd/>
                    <w:snapToGrid/>
                    <w:spacing w:line="240" w:lineRule="auto"/>
                    <w:ind w:left="725" w:leftChars="0" w:hanging="725"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0.098</w:t>
                  </w:r>
                </w:p>
              </w:tc>
              <w:tc>
                <w:tcPr>
                  <w:tcW w:w="1315" w:type="dxa"/>
                  <w:vAlign w:val="center"/>
                </w:tcPr>
                <w:p w14:paraId="37BD4303">
                  <w:pPr>
                    <w:keepNext w:val="0"/>
                    <w:keepLines w:val="0"/>
                    <w:pageBreakBefore w:val="0"/>
                    <w:widowControl w:val="0"/>
                    <w:kinsoku/>
                    <w:wordWrap/>
                    <w:overflowPunct/>
                    <w:topLinePunct w:val="0"/>
                    <w:autoSpaceDE/>
                    <w:autoSpaceDN/>
                    <w:bidi w:val="0"/>
                    <w:adjustRightInd/>
                    <w:snapToGrid/>
                    <w:spacing w:line="240" w:lineRule="auto"/>
                    <w:ind w:left="678" w:leftChars="0" w:hanging="678"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0.12</w:t>
                  </w:r>
                </w:p>
              </w:tc>
              <w:tc>
                <w:tcPr>
                  <w:tcW w:w="1388" w:type="dxa"/>
                  <w:vAlign w:val="center"/>
                </w:tcPr>
                <w:p w14:paraId="11A1653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c>
                <w:tcPr>
                  <w:tcW w:w="1491" w:type="dxa"/>
                  <w:vAlign w:val="center"/>
                </w:tcPr>
                <w:p w14:paraId="5CCFB60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0.136</w:t>
                  </w:r>
                </w:p>
              </w:tc>
            </w:tr>
          </w:tbl>
          <w:p w14:paraId="01B38C8E">
            <w:pPr>
              <w:pStyle w:val="5"/>
              <w:pageBreakBefore w:val="0"/>
              <w:widowControl w:val="0"/>
              <w:suppressLineNumbers w:val="0"/>
              <w:kinsoku/>
              <w:wordWrap/>
              <w:overflowPunct/>
              <w:topLinePunct w:val="0"/>
              <w:autoSpaceDE/>
              <w:autoSpaceDN/>
              <w:bidi w:val="0"/>
              <w:adjustRightInd/>
              <w:spacing w:before="0" w:beforeLines="0" w:after="0" w:afterLines="0" w:line="36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lang w:val="en-US" w:eastAsia="zh-CN"/>
              </w:rPr>
            </w:pPr>
            <w:r>
              <w:rPr>
                <w:rFonts w:hint="default" w:ascii="Times New Roman" w:hAnsi="Times New Roman" w:eastAsia="宋体" w:cs="Times New Roman"/>
                <w:caps w:val="0"/>
                <w:color w:val="auto"/>
                <w:sz w:val="24"/>
                <w:szCs w:val="24"/>
                <w:highlight w:val="none"/>
                <w:u w:val="none"/>
                <w:lang w:val="en-US" w:eastAsia="zh-CN"/>
              </w:rPr>
              <w:t>（2）废水</w:t>
            </w:r>
          </w:p>
          <w:p w14:paraId="069AF106">
            <w:pPr>
              <w:pStyle w:val="19"/>
              <w:keepNext w:val="0"/>
              <w:keepLines w:val="0"/>
              <w:suppressLineNumbers w:val="0"/>
              <w:spacing w:before="178" w:beforeAutospacing="0" w:afterAutospacing="0" w:line="353" w:lineRule="auto"/>
              <w:ind w:left="130" w:right="121" w:firstLine="480"/>
              <w:jc w:val="both"/>
              <w:rPr>
                <w:rFonts w:hint="default"/>
                <w:color w:val="auto"/>
                <w:sz w:val="24"/>
                <w:szCs w:val="24"/>
                <w:highlight w:val="none"/>
              </w:rPr>
            </w:pPr>
            <w:r>
              <w:rPr>
                <w:rFonts w:hint="default"/>
                <w:color w:val="auto"/>
                <w:spacing w:val="3"/>
                <w:sz w:val="24"/>
                <w:szCs w:val="24"/>
                <w:highlight w:val="none"/>
              </w:rPr>
              <w:t>港区厕所产生的生活污水接入市政污水管道</w:t>
            </w:r>
            <w:r>
              <w:rPr>
                <w:rFonts w:hint="default"/>
                <w:color w:val="auto"/>
                <w:spacing w:val="2"/>
                <w:sz w:val="24"/>
                <w:szCs w:val="24"/>
                <w:highlight w:val="none"/>
              </w:rPr>
              <w:t>，排入大榄坪污水处理厂。机修和车辆冲</w:t>
            </w:r>
            <w:r>
              <w:rPr>
                <w:rFonts w:hint="default"/>
                <w:color w:val="auto"/>
                <w:spacing w:val="1"/>
                <w:sz w:val="24"/>
                <w:szCs w:val="24"/>
                <w:highlight w:val="none"/>
              </w:rPr>
              <w:t>洗废水进行收集后送至</w:t>
            </w:r>
            <w:r>
              <w:rPr>
                <w:rFonts w:hint="default" w:ascii="Times New Roman" w:hAnsi="Times New Roman" w:eastAsia="Times New Roman" w:cs="Times New Roman"/>
                <w:color w:val="auto"/>
                <w:spacing w:val="1"/>
                <w:sz w:val="24"/>
                <w:szCs w:val="24"/>
                <w:highlight w:val="none"/>
              </w:rPr>
              <w:t>2#</w:t>
            </w:r>
            <w:r>
              <w:rPr>
                <w:rFonts w:hint="default"/>
                <w:color w:val="auto"/>
                <w:spacing w:val="1"/>
                <w:sz w:val="24"/>
                <w:szCs w:val="24"/>
                <w:highlight w:val="none"/>
              </w:rPr>
              <w:t>泊位和</w:t>
            </w:r>
            <w:r>
              <w:rPr>
                <w:rFonts w:hint="default" w:ascii="Times New Roman" w:hAnsi="Times New Roman" w:eastAsia="Times New Roman" w:cs="Times New Roman"/>
                <w:color w:val="auto"/>
                <w:spacing w:val="1"/>
                <w:sz w:val="24"/>
                <w:szCs w:val="24"/>
                <w:highlight w:val="none"/>
              </w:rPr>
              <w:t>5#</w:t>
            </w:r>
            <w:r>
              <w:rPr>
                <w:rFonts w:hint="default"/>
                <w:color w:val="auto"/>
                <w:spacing w:val="1"/>
                <w:sz w:val="24"/>
                <w:szCs w:val="24"/>
                <w:highlight w:val="none"/>
              </w:rPr>
              <w:t>泊位的含油污水处理</w:t>
            </w:r>
            <w:r>
              <w:rPr>
                <w:rFonts w:hint="default"/>
                <w:color w:val="auto"/>
                <w:sz w:val="24"/>
                <w:szCs w:val="24"/>
                <w:highlight w:val="none"/>
              </w:rPr>
              <w:t>站进行处理，出水水质标准后回用</w:t>
            </w:r>
            <w:r>
              <w:rPr>
                <w:rFonts w:hint="default"/>
                <w:color w:val="auto"/>
                <w:spacing w:val="2"/>
                <w:sz w:val="24"/>
                <w:szCs w:val="24"/>
                <w:highlight w:val="none"/>
              </w:rPr>
              <w:t>于机械冲洗用水、厂区绿化和道路清扫。码头不接收船舶生活污水、船舶压载水、船舶舱</w:t>
            </w:r>
            <w:r>
              <w:rPr>
                <w:rFonts w:hint="default"/>
                <w:color w:val="auto"/>
                <w:spacing w:val="-1"/>
                <w:sz w:val="24"/>
                <w:szCs w:val="24"/>
                <w:highlight w:val="none"/>
              </w:rPr>
              <w:t>底油污水，由有资质单位从码头前沿派环保船接收运处理。</w:t>
            </w:r>
          </w:p>
          <w:p w14:paraId="6923F8B5">
            <w:pPr>
              <w:pStyle w:val="19"/>
              <w:keepNext w:val="0"/>
              <w:keepLines w:val="0"/>
              <w:suppressLineNumbers w:val="0"/>
              <w:spacing w:before="34" w:beforeAutospacing="0" w:afterAutospacing="0" w:line="214" w:lineRule="auto"/>
              <w:ind w:left="0"/>
              <w:jc w:val="center"/>
              <w:rPr>
                <w:rFonts w:hint="default"/>
                <w:b/>
                <w:bCs/>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-2</w:t>
            </w:r>
            <w:r>
              <w:rPr>
                <w:rFonts w:hint="eastAsia" w:cs="Times New Roman"/>
                <w:b/>
                <w:bCs/>
                <w:color w:val="auto"/>
                <w:spacing w:val="1"/>
                <w:sz w:val="24"/>
                <w:szCs w:val="24"/>
                <w:highlight w:val="none"/>
                <w:lang w:val="en-US" w:eastAsia="zh-CN"/>
              </w:rPr>
              <w:t xml:space="preserve">1 </w:t>
            </w:r>
            <w:r>
              <w:rPr>
                <w:rFonts w:hint="default" w:ascii="Times New Roman" w:hAnsi="Times New Roman" w:eastAsia="Times New Roman" w:cs="Times New Roman"/>
                <w:b/>
                <w:bCs/>
                <w:color w:val="auto"/>
                <w:spacing w:val="1"/>
                <w:sz w:val="24"/>
                <w:szCs w:val="24"/>
                <w:highlight w:val="none"/>
              </w:rPr>
              <w:t>2#</w:t>
            </w:r>
            <w:r>
              <w:rPr>
                <w:rFonts w:hint="default"/>
                <w:b/>
                <w:bCs/>
                <w:color w:val="auto"/>
                <w:spacing w:val="1"/>
                <w:sz w:val="24"/>
                <w:szCs w:val="24"/>
                <w:highlight w:val="none"/>
              </w:rPr>
              <w:t>泊位含油污水处理站进、出水</w:t>
            </w:r>
            <w:r>
              <w:rPr>
                <w:rFonts w:hint="default"/>
                <w:b/>
                <w:bCs/>
                <w:color w:val="auto"/>
                <w:sz w:val="24"/>
                <w:szCs w:val="24"/>
                <w:highlight w:val="none"/>
              </w:rPr>
              <w:t>水质监测结果</w:t>
            </w:r>
          </w:p>
          <w:p w14:paraId="46B6E937">
            <w:pPr>
              <w:pStyle w:val="19"/>
              <w:keepNext w:val="0"/>
              <w:keepLines w:val="0"/>
              <w:suppressLineNumbers w:val="0"/>
              <w:spacing w:before="34" w:beforeAutospacing="0" w:afterAutospacing="0" w:line="214" w:lineRule="auto"/>
              <w:ind w:left="0"/>
              <w:jc w:val="right"/>
              <w:rPr>
                <w:rFonts w:hint="default"/>
                <w:color w:val="auto"/>
                <w:sz w:val="24"/>
                <w:szCs w:val="24"/>
                <w:highlight w:val="none"/>
              </w:rPr>
            </w:pPr>
            <w:r>
              <w:rPr>
                <w:rFonts w:hint="default"/>
                <w:b/>
                <w:bCs/>
                <w:color w:val="auto"/>
                <w:sz w:val="24"/>
                <w:szCs w:val="24"/>
                <w:highlight w:val="none"/>
              </w:rPr>
              <w:t>单位：</w:t>
            </w:r>
            <w:r>
              <w:rPr>
                <w:rFonts w:hint="default" w:ascii="Times New Roman" w:hAnsi="Times New Roman" w:eastAsia="Times New Roman" w:cs="Times New Roman"/>
                <w:b/>
                <w:bCs/>
                <w:color w:val="auto"/>
                <w:sz w:val="24"/>
                <w:szCs w:val="24"/>
                <w:highlight w:val="none"/>
              </w:rPr>
              <w:t>mg/L</w:t>
            </w:r>
            <w:r>
              <w:rPr>
                <w:rFonts w:hint="default"/>
                <w:b/>
                <w:bCs/>
                <w:color w:val="auto"/>
                <w:sz w:val="24"/>
                <w:szCs w:val="24"/>
                <w:highlight w:val="none"/>
              </w:rPr>
              <w:t>（除</w:t>
            </w:r>
            <w:r>
              <w:rPr>
                <w:rFonts w:hint="default" w:ascii="Times New Roman" w:hAnsi="Times New Roman" w:eastAsia="Times New Roman" w:cs="Times New Roman"/>
                <w:b/>
                <w:bCs/>
                <w:color w:val="auto"/>
                <w:sz w:val="24"/>
                <w:szCs w:val="24"/>
                <w:highlight w:val="none"/>
              </w:rPr>
              <w:t>pH</w:t>
            </w:r>
            <w:r>
              <w:rPr>
                <w:rFonts w:hint="default"/>
                <w:b/>
                <w:bCs/>
                <w:color w:val="auto"/>
                <w:sz w:val="24"/>
                <w:szCs w:val="24"/>
                <w:highlight w:val="none"/>
              </w:rPr>
              <w:t>外）</w:t>
            </w:r>
          </w:p>
          <w:tbl>
            <w:tblPr>
              <w:tblStyle w:val="142"/>
              <w:tblW w:w="803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626"/>
              <w:gridCol w:w="647"/>
              <w:gridCol w:w="992"/>
              <w:gridCol w:w="927"/>
              <w:gridCol w:w="844"/>
              <w:gridCol w:w="677"/>
              <w:gridCol w:w="875"/>
              <w:gridCol w:w="690"/>
            </w:tblGrid>
            <w:tr w14:paraId="4A2D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7" w:type="dxa"/>
                  <w:gridSpan w:val="2"/>
                  <w:vMerge w:val="restart"/>
                  <w:tcBorders>
                    <w:top w:val="single" w:color="000000" w:sz="10" w:space="0"/>
                    <w:left w:val="single" w:color="000000" w:sz="10" w:space="0"/>
                    <w:bottom w:val="nil"/>
                  </w:tcBorders>
                  <w:vAlign w:val="top"/>
                </w:tcPr>
                <w:p w14:paraId="5013A7B4">
                  <w:pPr>
                    <w:spacing w:before="215" w:line="240" w:lineRule="auto"/>
                    <w:ind w:left="253" w:leftChars="0" w:hanging="253" w:hangingChars="118"/>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7"/>
                  <w:tcBorders>
                    <w:top w:val="single" w:color="000000" w:sz="10" w:space="0"/>
                    <w:right w:val="single" w:color="000000" w:sz="10" w:space="0"/>
                  </w:tcBorders>
                  <w:vAlign w:val="top"/>
                </w:tcPr>
                <w:p w14:paraId="2008C641">
                  <w:pPr>
                    <w:spacing w:before="55" w:line="240" w:lineRule="auto"/>
                    <w:ind w:left="263" w:leftChars="0" w:hanging="263" w:hangingChars="118"/>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3FCA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vMerge w:val="continue"/>
                  <w:tcBorders>
                    <w:top w:val="nil"/>
                    <w:left w:val="single" w:color="000000" w:sz="10" w:space="0"/>
                  </w:tcBorders>
                  <w:vAlign w:val="top"/>
                </w:tcPr>
                <w:p w14:paraId="54C59D75">
                  <w:pPr>
                    <w:spacing w:line="240" w:lineRule="auto"/>
                    <w:ind w:left="247" w:leftChars="0" w:hanging="247" w:hangingChars="118"/>
                    <w:jc w:val="center"/>
                    <w:rPr>
                      <w:rFonts w:ascii="Arial"/>
                      <w:color w:val="auto"/>
                      <w:sz w:val="21"/>
                      <w:szCs w:val="21"/>
                      <w:highlight w:val="none"/>
                    </w:rPr>
                  </w:pPr>
                </w:p>
              </w:tc>
              <w:tc>
                <w:tcPr>
                  <w:tcW w:w="647" w:type="dxa"/>
                  <w:vAlign w:val="top"/>
                </w:tcPr>
                <w:p w14:paraId="067525FF">
                  <w:pPr>
                    <w:spacing w:before="89" w:line="240" w:lineRule="auto"/>
                    <w:ind w:left="255" w:leftChars="0" w:hanging="25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2" w:type="dxa"/>
                  <w:vAlign w:val="top"/>
                </w:tcPr>
                <w:p w14:paraId="0E544593">
                  <w:pPr>
                    <w:spacing w:before="90" w:line="240" w:lineRule="auto"/>
                    <w:ind w:left="248" w:leftChars="0" w:hanging="24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8"/>
                      <w:sz w:val="21"/>
                      <w:szCs w:val="21"/>
                      <w:highlight w:val="none"/>
                    </w:rPr>
                    <w:t>3-N</w:t>
                  </w:r>
                </w:p>
              </w:tc>
              <w:tc>
                <w:tcPr>
                  <w:tcW w:w="927" w:type="dxa"/>
                  <w:vAlign w:val="top"/>
                </w:tcPr>
                <w:p w14:paraId="779D00DB">
                  <w:pPr>
                    <w:spacing w:before="87" w:line="240" w:lineRule="auto"/>
                    <w:ind w:left="248" w:leftChars="0" w:hanging="24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BOD</w:t>
                  </w:r>
                  <w:r>
                    <w:rPr>
                      <w:rFonts w:ascii="Times New Roman" w:hAnsi="Times New Roman" w:eastAsia="Times New Roman" w:cs="Times New Roman"/>
                      <w:b/>
                      <w:bCs/>
                      <w:color w:val="auto"/>
                      <w:spacing w:val="19"/>
                      <w:position w:val="-1"/>
                      <w:sz w:val="21"/>
                      <w:szCs w:val="21"/>
                      <w:highlight w:val="none"/>
                    </w:rPr>
                    <w:t>5</w:t>
                  </w:r>
                </w:p>
              </w:tc>
              <w:tc>
                <w:tcPr>
                  <w:tcW w:w="844" w:type="dxa"/>
                  <w:vAlign w:val="top"/>
                </w:tcPr>
                <w:p w14:paraId="6B1E19B3">
                  <w:pPr>
                    <w:spacing w:before="86"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7" w:type="dxa"/>
                  <w:vAlign w:val="top"/>
                </w:tcPr>
                <w:p w14:paraId="4750470D">
                  <w:pPr>
                    <w:spacing w:before="87" w:line="240" w:lineRule="auto"/>
                    <w:ind w:left="246" w:leftChars="0" w:hanging="24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5" w:type="dxa"/>
                  <w:vAlign w:val="top"/>
                </w:tcPr>
                <w:p w14:paraId="64C16047">
                  <w:pPr>
                    <w:spacing w:before="50"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0" w:type="dxa"/>
                  <w:tcBorders>
                    <w:right w:val="single" w:color="000000" w:sz="10" w:space="0"/>
                  </w:tcBorders>
                  <w:vAlign w:val="top"/>
                </w:tcPr>
                <w:p w14:paraId="20F50B67">
                  <w:pPr>
                    <w:spacing w:before="31" w:line="240" w:lineRule="auto"/>
                    <w:ind w:left="251" w:leftChars="0" w:hanging="251" w:hangingChars="118"/>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27F76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61" w:type="dxa"/>
                  <w:vMerge w:val="restart"/>
                  <w:tcBorders>
                    <w:left w:val="single" w:color="000000" w:sz="10" w:space="0"/>
                    <w:bottom w:val="nil"/>
                  </w:tcBorders>
                  <w:vAlign w:val="center"/>
                </w:tcPr>
                <w:p w14:paraId="2396177D">
                  <w:pPr>
                    <w:spacing w:before="58" w:line="240" w:lineRule="auto"/>
                    <w:ind w:left="257" w:leftChars="0" w:right="251" w:hanging="257"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W1</w:t>
                  </w:r>
                  <w:r>
                    <w:rPr>
                      <w:rFonts w:ascii="宋体" w:hAnsi="宋体" w:eastAsia="宋体" w:cs="宋体"/>
                      <w:color w:val="auto"/>
                      <w:spacing w:val="3"/>
                      <w:sz w:val="21"/>
                      <w:szCs w:val="21"/>
                      <w:highlight w:val="none"/>
                    </w:rPr>
                    <w:t>（进</w:t>
                  </w:r>
                  <w:r>
                    <w:rPr>
                      <w:rFonts w:ascii="宋体" w:hAnsi="宋体" w:eastAsia="宋体" w:cs="宋体"/>
                      <w:color w:val="auto"/>
                      <w:spacing w:val="-1"/>
                      <w:sz w:val="21"/>
                      <w:szCs w:val="21"/>
                      <w:highlight w:val="none"/>
                    </w:rPr>
                    <w:t>水）</w:t>
                  </w:r>
                </w:p>
              </w:tc>
              <w:tc>
                <w:tcPr>
                  <w:tcW w:w="1626" w:type="dxa"/>
                  <w:vAlign w:val="top"/>
                </w:tcPr>
                <w:p w14:paraId="24F25CA4">
                  <w:pPr>
                    <w:spacing w:before="8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vAlign w:val="top"/>
                </w:tcPr>
                <w:p w14:paraId="489FDA4F">
                  <w:pPr>
                    <w:spacing w:before="12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992" w:type="dxa"/>
                  <w:vAlign w:val="top"/>
                </w:tcPr>
                <w:p w14:paraId="4EB47548">
                  <w:pPr>
                    <w:spacing w:before="123"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1.770</w:t>
                  </w:r>
                </w:p>
              </w:tc>
              <w:tc>
                <w:tcPr>
                  <w:tcW w:w="927" w:type="dxa"/>
                  <w:vAlign w:val="top"/>
                </w:tcPr>
                <w:p w14:paraId="5B352999">
                  <w:pPr>
                    <w:spacing w:before="12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39.5</w:t>
                  </w:r>
                </w:p>
              </w:tc>
              <w:tc>
                <w:tcPr>
                  <w:tcW w:w="844" w:type="dxa"/>
                  <w:vAlign w:val="top"/>
                </w:tcPr>
                <w:p w14:paraId="5AF18020">
                  <w:pPr>
                    <w:spacing w:before="123"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193</w:t>
                  </w:r>
                </w:p>
              </w:tc>
              <w:tc>
                <w:tcPr>
                  <w:tcW w:w="677" w:type="dxa"/>
                  <w:vAlign w:val="top"/>
                </w:tcPr>
                <w:p w14:paraId="38417F1E">
                  <w:pPr>
                    <w:spacing w:before="12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875" w:type="dxa"/>
                  <w:vAlign w:val="top"/>
                </w:tcPr>
                <w:p w14:paraId="2DC7D027">
                  <w:pPr>
                    <w:spacing w:before="12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18.4</w:t>
                  </w:r>
                </w:p>
              </w:tc>
              <w:tc>
                <w:tcPr>
                  <w:tcW w:w="690" w:type="dxa"/>
                  <w:tcBorders>
                    <w:right w:val="single" w:color="000000" w:sz="10" w:space="0"/>
                  </w:tcBorders>
                  <w:vAlign w:val="top"/>
                </w:tcPr>
                <w:p w14:paraId="39773C22">
                  <w:pPr>
                    <w:spacing w:before="12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13.2</w:t>
                  </w:r>
                </w:p>
              </w:tc>
            </w:tr>
            <w:tr w14:paraId="2DF07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34A49A9">
                  <w:pPr>
                    <w:spacing w:line="240" w:lineRule="auto"/>
                    <w:ind w:left="247" w:leftChars="0" w:hanging="247" w:hangingChars="118"/>
                    <w:jc w:val="center"/>
                    <w:rPr>
                      <w:rFonts w:ascii="Arial"/>
                      <w:color w:val="auto"/>
                      <w:sz w:val="21"/>
                      <w:szCs w:val="21"/>
                      <w:highlight w:val="none"/>
                    </w:rPr>
                  </w:pPr>
                </w:p>
              </w:tc>
              <w:tc>
                <w:tcPr>
                  <w:tcW w:w="1626" w:type="dxa"/>
                  <w:vAlign w:val="top"/>
                </w:tcPr>
                <w:p w14:paraId="5F14D451">
                  <w:pPr>
                    <w:spacing w:before="51"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vAlign w:val="top"/>
                </w:tcPr>
                <w:p w14:paraId="51521F35">
                  <w:pPr>
                    <w:spacing w:before="8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992" w:type="dxa"/>
                  <w:vAlign w:val="top"/>
                </w:tcPr>
                <w:p w14:paraId="4E714074">
                  <w:pPr>
                    <w:spacing w:before="88"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1.800</w:t>
                  </w:r>
                </w:p>
              </w:tc>
              <w:tc>
                <w:tcPr>
                  <w:tcW w:w="927" w:type="dxa"/>
                  <w:vAlign w:val="top"/>
                </w:tcPr>
                <w:p w14:paraId="1DFC988E">
                  <w:pPr>
                    <w:spacing w:before="8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39.5</w:t>
                  </w:r>
                </w:p>
              </w:tc>
              <w:tc>
                <w:tcPr>
                  <w:tcW w:w="844" w:type="dxa"/>
                  <w:vAlign w:val="top"/>
                </w:tcPr>
                <w:p w14:paraId="5300B3D4">
                  <w:pPr>
                    <w:spacing w:before="88"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200</w:t>
                  </w:r>
                </w:p>
              </w:tc>
              <w:tc>
                <w:tcPr>
                  <w:tcW w:w="677" w:type="dxa"/>
                  <w:vAlign w:val="top"/>
                </w:tcPr>
                <w:p w14:paraId="01876806">
                  <w:pPr>
                    <w:spacing w:before="8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875" w:type="dxa"/>
                  <w:vAlign w:val="top"/>
                </w:tcPr>
                <w:p w14:paraId="1AB493C6">
                  <w:pPr>
                    <w:spacing w:before="88"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17.6</w:t>
                  </w:r>
                </w:p>
              </w:tc>
              <w:tc>
                <w:tcPr>
                  <w:tcW w:w="690" w:type="dxa"/>
                  <w:tcBorders>
                    <w:right w:val="single" w:color="000000" w:sz="10" w:space="0"/>
                  </w:tcBorders>
                  <w:vAlign w:val="top"/>
                </w:tcPr>
                <w:p w14:paraId="0D3D49AF">
                  <w:pPr>
                    <w:spacing w:before="88"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13.1</w:t>
                  </w:r>
                </w:p>
              </w:tc>
            </w:tr>
            <w:tr w14:paraId="6379D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4B5717F">
                  <w:pPr>
                    <w:spacing w:line="240" w:lineRule="auto"/>
                    <w:ind w:left="247" w:leftChars="0" w:hanging="247" w:hangingChars="118"/>
                    <w:jc w:val="center"/>
                    <w:rPr>
                      <w:rFonts w:ascii="Arial"/>
                      <w:color w:val="auto"/>
                      <w:sz w:val="21"/>
                      <w:szCs w:val="21"/>
                      <w:highlight w:val="none"/>
                    </w:rPr>
                  </w:pPr>
                </w:p>
              </w:tc>
              <w:tc>
                <w:tcPr>
                  <w:tcW w:w="1626" w:type="dxa"/>
                  <w:vAlign w:val="top"/>
                </w:tcPr>
                <w:p w14:paraId="63E025BB">
                  <w:pPr>
                    <w:spacing w:before="52"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vAlign w:val="top"/>
                </w:tcPr>
                <w:p w14:paraId="42ACDBCC">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2D2500E2">
                  <w:pPr>
                    <w:spacing w:before="91"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1.872</w:t>
                  </w:r>
                </w:p>
              </w:tc>
              <w:tc>
                <w:tcPr>
                  <w:tcW w:w="927" w:type="dxa"/>
                  <w:vAlign w:val="top"/>
                </w:tcPr>
                <w:p w14:paraId="2C66E475">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40.0</w:t>
                  </w:r>
                </w:p>
              </w:tc>
              <w:tc>
                <w:tcPr>
                  <w:tcW w:w="844" w:type="dxa"/>
                  <w:vAlign w:val="top"/>
                </w:tcPr>
                <w:p w14:paraId="012C9FE7">
                  <w:pPr>
                    <w:spacing w:before="91"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197</w:t>
                  </w:r>
                </w:p>
              </w:tc>
              <w:tc>
                <w:tcPr>
                  <w:tcW w:w="677" w:type="dxa"/>
                  <w:vAlign w:val="top"/>
                </w:tcPr>
                <w:p w14:paraId="76C7432B">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875" w:type="dxa"/>
                  <w:vAlign w:val="top"/>
                </w:tcPr>
                <w:p w14:paraId="485D22BA">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16.4</w:t>
                  </w:r>
                </w:p>
              </w:tc>
              <w:tc>
                <w:tcPr>
                  <w:tcW w:w="690" w:type="dxa"/>
                  <w:tcBorders>
                    <w:right w:val="single" w:color="000000" w:sz="10" w:space="0"/>
                  </w:tcBorders>
                  <w:vAlign w:val="top"/>
                </w:tcPr>
                <w:p w14:paraId="180B344B">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13.5</w:t>
                  </w:r>
                </w:p>
              </w:tc>
            </w:tr>
            <w:tr w14:paraId="480A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D44E382">
                  <w:pPr>
                    <w:spacing w:line="240" w:lineRule="auto"/>
                    <w:ind w:left="247" w:leftChars="0" w:hanging="247" w:hangingChars="118"/>
                    <w:jc w:val="center"/>
                    <w:rPr>
                      <w:rFonts w:ascii="Arial"/>
                      <w:color w:val="auto"/>
                      <w:sz w:val="21"/>
                      <w:szCs w:val="21"/>
                      <w:highlight w:val="none"/>
                    </w:rPr>
                  </w:pPr>
                </w:p>
              </w:tc>
              <w:tc>
                <w:tcPr>
                  <w:tcW w:w="1626" w:type="dxa"/>
                  <w:vAlign w:val="top"/>
                </w:tcPr>
                <w:p w14:paraId="14145DE4">
                  <w:pPr>
                    <w:spacing w:before="5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vAlign w:val="top"/>
                </w:tcPr>
                <w:p w14:paraId="257DCCF6">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43789F9E">
                  <w:pPr>
                    <w:spacing w:before="91"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1.700</w:t>
                  </w:r>
                </w:p>
              </w:tc>
              <w:tc>
                <w:tcPr>
                  <w:tcW w:w="927" w:type="dxa"/>
                  <w:vAlign w:val="top"/>
                </w:tcPr>
                <w:p w14:paraId="416E314C">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41.5</w:t>
                  </w:r>
                </w:p>
              </w:tc>
              <w:tc>
                <w:tcPr>
                  <w:tcW w:w="844" w:type="dxa"/>
                  <w:vAlign w:val="top"/>
                </w:tcPr>
                <w:p w14:paraId="532D9E79">
                  <w:pPr>
                    <w:spacing w:before="9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201</w:t>
                  </w:r>
                </w:p>
              </w:tc>
              <w:tc>
                <w:tcPr>
                  <w:tcW w:w="677" w:type="dxa"/>
                  <w:vAlign w:val="top"/>
                </w:tcPr>
                <w:p w14:paraId="7744B31B">
                  <w:pPr>
                    <w:spacing w:before="9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875" w:type="dxa"/>
                  <w:vAlign w:val="top"/>
                </w:tcPr>
                <w:p w14:paraId="48AEAD57">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16.6</w:t>
                  </w:r>
                </w:p>
              </w:tc>
              <w:tc>
                <w:tcPr>
                  <w:tcW w:w="690" w:type="dxa"/>
                  <w:tcBorders>
                    <w:right w:val="single" w:color="000000" w:sz="10" w:space="0"/>
                  </w:tcBorders>
                  <w:vAlign w:val="top"/>
                </w:tcPr>
                <w:p w14:paraId="09D73C48">
                  <w:pPr>
                    <w:spacing w:before="91"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13.7</w:t>
                  </w:r>
                </w:p>
              </w:tc>
            </w:tr>
            <w:tr w14:paraId="5A0F3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15916A54">
                  <w:pPr>
                    <w:spacing w:line="240" w:lineRule="auto"/>
                    <w:ind w:left="247" w:leftChars="0" w:hanging="247" w:hangingChars="118"/>
                    <w:jc w:val="center"/>
                    <w:rPr>
                      <w:rFonts w:ascii="Arial"/>
                      <w:color w:val="auto"/>
                      <w:sz w:val="21"/>
                      <w:szCs w:val="21"/>
                      <w:highlight w:val="none"/>
                    </w:rPr>
                  </w:pPr>
                </w:p>
              </w:tc>
              <w:tc>
                <w:tcPr>
                  <w:tcW w:w="1626" w:type="dxa"/>
                  <w:vAlign w:val="top"/>
                </w:tcPr>
                <w:p w14:paraId="4243BB34">
                  <w:pPr>
                    <w:spacing w:before="56"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vAlign w:val="top"/>
                </w:tcPr>
                <w:p w14:paraId="6B3EC433">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486754B6">
                  <w:pPr>
                    <w:spacing w:before="92"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1.906</w:t>
                  </w:r>
                </w:p>
              </w:tc>
              <w:tc>
                <w:tcPr>
                  <w:tcW w:w="927" w:type="dxa"/>
                  <w:vAlign w:val="top"/>
                </w:tcPr>
                <w:p w14:paraId="6303316C">
                  <w:pPr>
                    <w:spacing w:before="92"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39.8</w:t>
                  </w:r>
                </w:p>
              </w:tc>
              <w:tc>
                <w:tcPr>
                  <w:tcW w:w="844" w:type="dxa"/>
                  <w:vAlign w:val="top"/>
                </w:tcPr>
                <w:p w14:paraId="1205D879">
                  <w:pPr>
                    <w:spacing w:before="92"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195</w:t>
                  </w:r>
                </w:p>
              </w:tc>
              <w:tc>
                <w:tcPr>
                  <w:tcW w:w="677" w:type="dxa"/>
                  <w:vAlign w:val="top"/>
                </w:tcPr>
                <w:p w14:paraId="69D5D942">
                  <w:pPr>
                    <w:spacing w:before="95"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875" w:type="dxa"/>
                  <w:vAlign w:val="top"/>
                </w:tcPr>
                <w:p w14:paraId="48C0990C">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15.3</w:t>
                  </w:r>
                </w:p>
              </w:tc>
              <w:tc>
                <w:tcPr>
                  <w:tcW w:w="690" w:type="dxa"/>
                  <w:tcBorders>
                    <w:right w:val="single" w:color="000000" w:sz="10" w:space="0"/>
                  </w:tcBorders>
                  <w:vAlign w:val="top"/>
                </w:tcPr>
                <w:p w14:paraId="299CFF59">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13.2</w:t>
                  </w:r>
                </w:p>
              </w:tc>
            </w:tr>
            <w:tr w14:paraId="07C6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67FAFB5">
                  <w:pPr>
                    <w:spacing w:line="240" w:lineRule="auto"/>
                    <w:ind w:left="247" w:leftChars="0" w:hanging="247" w:hangingChars="118"/>
                    <w:jc w:val="center"/>
                    <w:rPr>
                      <w:rFonts w:ascii="Arial"/>
                      <w:color w:val="auto"/>
                      <w:sz w:val="21"/>
                      <w:szCs w:val="21"/>
                      <w:highlight w:val="none"/>
                    </w:rPr>
                  </w:pPr>
                </w:p>
              </w:tc>
              <w:tc>
                <w:tcPr>
                  <w:tcW w:w="1626" w:type="dxa"/>
                  <w:vAlign w:val="top"/>
                </w:tcPr>
                <w:p w14:paraId="76E37AEA">
                  <w:pPr>
                    <w:spacing w:before="56"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vAlign w:val="top"/>
                </w:tcPr>
                <w:p w14:paraId="2581C663">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33995D2D">
                  <w:pPr>
                    <w:spacing w:before="92"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1.653</w:t>
                  </w:r>
                </w:p>
              </w:tc>
              <w:tc>
                <w:tcPr>
                  <w:tcW w:w="927" w:type="dxa"/>
                  <w:vAlign w:val="top"/>
                </w:tcPr>
                <w:p w14:paraId="3202F3B6">
                  <w:pPr>
                    <w:spacing w:before="92"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38.8</w:t>
                  </w:r>
                </w:p>
              </w:tc>
              <w:tc>
                <w:tcPr>
                  <w:tcW w:w="844" w:type="dxa"/>
                  <w:vAlign w:val="top"/>
                </w:tcPr>
                <w:p w14:paraId="55166F14">
                  <w:pPr>
                    <w:spacing w:before="92"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198</w:t>
                  </w:r>
                </w:p>
              </w:tc>
              <w:tc>
                <w:tcPr>
                  <w:tcW w:w="677" w:type="dxa"/>
                  <w:vAlign w:val="top"/>
                </w:tcPr>
                <w:p w14:paraId="2C360CD4">
                  <w:pPr>
                    <w:spacing w:before="92"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875" w:type="dxa"/>
                  <w:vAlign w:val="top"/>
                </w:tcPr>
                <w:p w14:paraId="1F377160">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14.4</w:t>
                  </w:r>
                </w:p>
              </w:tc>
              <w:tc>
                <w:tcPr>
                  <w:tcW w:w="690" w:type="dxa"/>
                  <w:tcBorders>
                    <w:right w:val="single" w:color="000000" w:sz="10" w:space="0"/>
                  </w:tcBorders>
                  <w:vAlign w:val="top"/>
                </w:tcPr>
                <w:p w14:paraId="0706F011">
                  <w:pPr>
                    <w:spacing w:before="92"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13.6</w:t>
                  </w:r>
                </w:p>
              </w:tc>
            </w:tr>
            <w:tr w14:paraId="7C8E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2D548247">
                  <w:pPr>
                    <w:spacing w:line="240" w:lineRule="auto"/>
                    <w:ind w:left="247" w:leftChars="0" w:hanging="247" w:hangingChars="118"/>
                    <w:jc w:val="center"/>
                    <w:rPr>
                      <w:rFonts w:ascii="Arial"/>
                      <w:color w:val="auto"/>
                      <w:sz w:val="21"/>
                      <w:szCs w:val="21"/>
                      <w:highlight w:val="none"/>
                    </w:rPr>
                  </w:pPr>
                </w:p>
              </w:tc>
              <w:tc>
                <w:tcPr>
                  <w:tcW w:w="1626" w:type="dxa"/>
                  <w:vAlign w:val="top"/>
                </w:tcPr>
                <w:p w14:paraId="51658BCF">
                  <w:pPr>
                    <w:spacing w:before="5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vAlign w:val="top"/>
                </w:tcPr>
                <w:p w14:paraId="41330B49">
                  <w:pPr>
                    <w:spacing w:before="9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2" w:type="dxa"/>
                  <w:vAlign w:val="top"/>
                </w:tcPr>
                <w:p w14:paraId="68B05F39">
                  <w:pPr>
                    <w:spacing w:before="93"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1.814</w:t>
                  </w:r>
                </w:p>
              </w:tc>
              <w:tc>
                <w:tcPr>
                  <w:tcW w:w="927" w:type="dxa"/>
                  <w:vAlign w:val="top"/>
                </w:tcPr>
                <w:p w14:paraId="627F6825">
                  <w:pPr>
                    <w:spacing w:before="9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39.3</w:t>
                  </w:r>
                </w:p>
              </w:tc>
              <w:tc>
                <w:tcPr>
                  <w:tcW w:w="844" w:type="dxa"/>
                  <w:vAlign w:val="top"/>
                </w:tcPr>
                <w:p w14:paraId="196CE61E">
                  <w:pPr>
                    <w:spacing w:before="93"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190</w:t>
                  </w:r>
                </w:p>
              </w:tc>
              <w:tc>
                <w:tcPr>
                  <w:tcW w:w="677" w:type="dxa"/>
                  <w:vAlign w:val="top"/>
                </w:tcPr>
                <w:p w14:paraId="2346F184">
                  <w:pPr>
                    <w:spacing w:before="9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72</w:t>
                  </w:r>
                </w:p>
              </w:tc>
              <w:tc>
                <w:tcPr>
                  <w:tcW w:w="875" w:type="dxa"/>
                  <w:vAlign w:val="top"/>
                </w:tcPr>
                <w:p w14:paraId="0DBF0A74">
                  <w:pPr>
                    <w:spacing w:before="9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14.9</w:t>
                  </w:r>
                </w:p>
              </w:tc>
              <w:tc>
                <w:tcPr>
                  <w:tcW w:w="690" w:type="dxa"/>
                  <w:tcBorders>
                    <w:right w:val="single" w:color="000000" w:sz="10" w:space="0"/>
                  </w:tcBorders>
                  <w:vAlign w:val="top"/>
                </w:tcPr>
                <w:p w14:paraId="70C76888">
                  <w:pPr>
                    <w:spacing w:before="93"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13.7</w:t>
                  </w:r>
                </w:p>
              </w:tc>
            </w:tr>
            <w:tr w14:paraId="7AED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center"/>
                </w:tcPr>
                <w:p w14:paraId="654C1DAB">
                  <w:pPr>
                    <w:spacing w:line="240" w:lineRule="auto"/>
                    <w:ind w:left="247" w:leftChars="0" w:hanging="247" w:hangingChars="118"/>
                    <w:jc w:val="center"/>
                    <w:rPr>
                      <w:rFonts w:ascii="Arial"/>
                      <w:color w:val="auto"/>
                      <w:sz w:val="21"/>
                      <w:szCs w:val="21"/>
                      <w:highlight w:val="none"/>
                    </w:rPr>
                  </w:pPr>
                </w:p>
              </w:tc>
              <w:tc>
                <w:tcPr>
                  <w:tcW w:w="1626" w:type="dxa"/>
                  <w:vAlign w:val="top"/>
                </w:tcPr>
                <w:p w14:paraId="6CFE664D">
                  <w:pPr>
                    <w:spacing w:before="57"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vAlign w:val="top"/>
                </w:tcPr>
                <w:p w14:paraId="51CBF5B7">
                  <w:pPr>
                    <w:spacing w:before="94"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2" w:type="dxa"/>
                  <w:vAlign w:val="top"/>
                </w:tcPr>
                <w:p w14:paraId="0BF3B506">
                  <w:pPr>
                    <w:spacing w:before="94" w:line="240" w:lineRule="auto"/>
                    <w:ind w:left="245" w:leftChars="0" w:hanging="245"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1.786</w:t>
                  </w:r>
                </w:p>
              </w:tc>
              <w:tc>
                <w:tcPr>
                  <w:tcW w:w="927" w:type="dxa"/>
                  <w:vAlign w:val="top"/>
                </w:tcPr>
                <w:p w14:paraId="64B9AAFA">
                  <w:pPr>
                    <w:spacing w:before="94"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41.0</w:t>
                  </w:r>
                </w:p>
              </w:tc>
              <w:tc>
                <w:tcPr>
                  <w:tcW w:w="844" w:type="dxa"/>
                  <w:vAlign w:val="top"/>
                </w:tcPr>
                <w:p w14:paraId="239A8B3F">
                  <w:pPr>
                    <w:spacing w:before="94" w:line="240" w:lineRule="auto"/>
                    <w:ind w:left="240" w:leftChars="0" w:hanging="24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199</w:t>
                  </w:r>
                </w:p>
              </w:tc>
              <w:tc>
                <w:tcPr>
                  <w:tcW w:w="677" w:type="dxa"/>
                  <w:vAlign w:val="top"/>
                </w:tcPr>
                <w:p w14:paraId="601F6E0F">
                  <w:pPr>
                    <w:spacing w:before="94"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71</w:t>
                  </w:r>
                </w:p>
              </w:tc>
              <w:tc>
                <w:tcPr>
                  <w:tcW w:w="875" w:type="dxa"/>
                  <w:vAlign w:val="top"/>
                </w:tcPr>
                <w:p w14:paraId="4611615B">
                  <w:pPr>
                    <w:spacing w:before="94"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17.9</w:t>
                  </w:r>
                </w:p>
              </w:tc>
              <w:tc>
                <w:tcPr>
                  <w:tcW w:w="690" w:type="dxa"/>
                  <w:tcBorders>
                    <w:right w:val="single" w:color="000000" w:sz="10" w:space="0"/>
                  </w:tcBorders>
                  <w:vAlign w:val="top"/>
                </w:tcPr>
                <w:p w14:paraId="7AF305DC">
                  <w:pPr>
                    <w:spacing w:before="94"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13.4</w:t>
                  </w:r>
                </w:p>
              </w:tc>
            </w:tr>
            <w:tr w14:paraId="7283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restart"/>
                  <w:tcBorders>
                    <w:left w:val="single" w:color="000000" w:sz="10" w:space="0"/>
                    <w:bottom w:val="nil"/>
                  </w:tcBorders>
                  <w:vAlign w:val="center"/>
                </w:tcPr>
                <w:p w14:paraId="28B0BE12">
                  <w:pPr>
                    <w:spacing w:before="57" w:line="240" w:lineRule="auto"/>
                    <w:ind w:left="257" w:leftChars="0" w:right="251" w:hanging="257"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W2</w:t>
                  </w:r>
                  <w:r>
                    <w:rPr>
                      <w:rFonts w:ascii="宋体" w:hAnsi="宋体" w:eastAsia="宋体" w:cs="宋体"/>
                      <w:color w:val="auto"/>
                      <w:spacing w:val="3"/>
                      <w:sz w:val="21"/>
                      <w:szCs w:val="21"/>
                      <w:highlight w:val="none"/>
                    </w:rPr>
                    <w:t>（出</w:t>
                  </w:r>
                  <w:r>
                    <w:rPr>
                      <w:rFonts w:ascii="宋体" w:hAnsi="宋体" w:eastAsia="宋体" w:cs="宋体"/>
                      <w:color w:val="auto"/>
                      <w:spacing w:val="-1"/>
                      <w:sz w:val="21"/>
                      <w:szCs w:val="21"/>
                      <w:highlight w:val="none"/>
                    </w:rPr>
                    <w:t>水）</w:t>
                  </w:r>
                </w:p>
              </w:tc>
              <w:tc>
                <w:tcPr>
                  <w:tcW w:w="1626" w:type="dxa"/>
                  <w:vAlign w:val="top"/>
                </w:tcPr>
                <w:p w14:paraId="6D6D968E">
                  <w:pPr>
                    <w:spacing w:before="58"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vAlign w:val="top"/>
                </w:tcPr>
                <w:p w14:paraId="40560988">
                  <w:pPr>
                    <w:spacing w:before="97"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958E9EE">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927" w:type="dxa"/>
                  <w:vAlign w:val="top"/>
                </w:tcPr>
                <w:p w14:paraId="40BB562C">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44" w:type="dxa"/>
                  <w:vAlign w:val="top"/>
                </w:tcPr>
                <w:p w14:paraId="3FDCDB41">
                  <w:pPr>
                    <w:spacing w:before="97"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12</w:t>
                  </w:r>
                </w:p>
              </w:tc>
              <w:tc>
                <w:tcPr>
                  <w:tcW w:w="677" w:type="dxa"/>
                  <w:vAlign w:val="top"/>
                </w:tcPr>
                <w:p w14:paraId="71615F45">
                  <w:pPr>
                    <w:spacing w:before="97"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4A50C4DF">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0.99</w:t>
                  </w:r>
                </w:p>
              </w:tc>
              <w:tc>
                <w:tcPr>
                  <w:tcW w:w="690" w:type="dxa"/>
                  <w:tcBorders>
                    <w:right w:val="single" w:color="000000" w:sz="10" w:space="0"/>
                  </w:tcBorders>
                  <w:vAlign w:val="top"/>
                </w:tcPr>
                <w:p w14:paraId="58ACE87F">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63EA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1C103065">
                  <w:pPr>
                    <w:spacing w:line="240" w:lineRule="auto"/>
                    <w:ind w:left="247" w:leftChars="0" w:hanging="247" w:hangingChars="118"/>
                    <w:jc w:val="center"/>
                    <w:rPr>
                      <w:rFonts w:ascii="Arial"/>
                      <w:color w:val="auto"/>
                      <w:sz w:val="21"/>
                      <w:szCs w:val="21"/>
                      <w:highlight w:val="none"/>
                    </w:rPr>
                  </w:pPr>
                </w:p>
              </w:tc>
              <w:tc>
                <w:tcPr>
                  <w:tcW w:w="1626" w:type="dxa"/>
                  <w:vAlign w:val="top"/>
                </w:tcPr>
                <w:p w14:paraId="104DF0D9">
                  <w:pPr>
                    <w:spacing w:before="58"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vAlign w:val="top"/>
                </w:tcPr>
                <w:p w14:paraId="15FB8F5A">
                  <w:pPr>
                    <w:spacing w:before="100"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2" w:type="dxa"/>
                  <w:vAlign w:val="top"/>
                </w:tcPr>
                <w:p w14:paraId="0B530735">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0.96</w:t>
                  </w:r>
                </w:p>
              </w:tc>
              <w:tc>
                <w:tcPr>
                  <w:tcW w:w="927" w:type="dxa"/>
                  <w:vAlign w:val="top"/>
                </w:tcPr>
                <w:p w14:paraId="065A1A9A">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44" w:type="dxa"/>
                  <w:vAlign w:val="top"/>
                </w:tcPr>
                <w:p w14:paraId="14803A18">
                  <w:pPr>
                    <w:spacing w:before="97"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14</w:t>
                  </w:r>
                </w:p>
              </w:tc>
              <w:tc>
                <w:tcPr>
                  <w:tcW w:w="677" w:type="dxa"/>
                  <w:vAlign w:val="top"/>
                </w:tcPr>
                <w:p w14:paraId="7FCB88F5">
                  <w:pPr>
                    <w:spacing w:before="97"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6B215B55">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0.91</w:t>
                  </w:r>
                </w:p>
              </w:tc>
              <w:tc>
                <w:tcPr>
                  <w:tcW w:w="690" w:type="dxa"/>
                  <w:tcBorders>
                    <w:right w:val="single" w:color="000000" w:sz="10" w:space="0"/>
                  </w:tcBorders>
                  <w:vAlign w:val="top"/>
                </w:tcPr>
                <w:p w14:paraId="1EA9DE58">
                  <w:pPr>
                    <w:spacing w:before="9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0.06</w:t>
                  </w:r>
                </w:p>
              </w:tc>
            </w:tr>
            <w:tr w14:paraId="2DE7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E298214">
                  <w:pPr>
                    <w:spacing w:line="240" w:lineRule="auto"/>
                    <w:ind w:left="247" w:leftChars="0" w:hanging="247" w:hangingChars="118"/>
                    <w:jc w:val="center"/>
                    <w:rPr>
                      <w:rFonts w:ascii="Arial"/>
                      <w:color w:val="auto"/>
                      <w:sz w:val="21"/>
                      <w:szCs w:val="21"/>
                      <w:highlight w:val="none"/>
                    </w:rPr>
                  </w:pPr>
                </w:p>
              </w:tc>
              <w:tc>
                <w:tcPr>
                  <w:tcW w:w="1626" w:type="dxa"/>
                  <w:vAlign w:val="top"/>
                </w:tcPr>
                <w:p w14:paraId="0C663D74">
                  <w:pPr>
                    <w:spacing w:before="62"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vAlign w:val="top"/>
                </w:tcPr>
                <w:p w14:paraId="597FA78C">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7668F59">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0.98</w:t>
                  </w:r>
                </w:p>
              </w:tc>
              <w:tc>
                <w:tcPr>
                  <w:tcW w:w="927" w:type="dxa"/>
                  <w:vAlign w:val="top"/>
                </w:tcPr>
                <w:p w14:paraId="703E5ACC">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2.3</w:t>
                  </w:r>
                </w:p>
              </w:tc>
              <w:tc>
                <w:tcPr>
                  <w:tcW w:w="844" w:type="dxa"/>
                  <w:vAlign w:val="top"/>
                </w:tcPr>
                <w:p w14:paraId="3DD7B2AF">
                  <w:pPr>
                    <w:spacing w:before="98"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11</w:t>
                  </w:r>
                </w:p>
              </w:tc>
              <w:tc>
                <w:tcPr>
                  <w:tcW w:w="677" w:type="dxa"/>
                  <w:vAlign w:val="top"/>
                </w:tcPr>
                <w:p w14:paraId="4D754003">
                  <w:pPr>
                    <w:spacing w:before="98"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875" w:type="dxa"/>
                  <w:vAlign w:val="top"/>
                </w:tcPr>
                <w:p w14:paraId="021A0448">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0.9</w:t>
                  </w:r>
                </w:p>
              </w:tc>
              <w:tc>
                <w:tcPr>
                  <w:tcW w:w="690" w:type="dxa"/>
                  <w:tcBorders>
                    <w:right w:val="single" w:color="000000" w:sz="10" w:space="0"/>
                  </w:tcBorders>
                  <w:vAlign w:val="top"/>
                </w:tcPr>
                <w:p w14:paraId="42520143">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0.04</w:t>
                  </w:r>
                </w:p>
              </w:tc>
            </w:tr>
            <w:tr w14:paraId="744E7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78828121">
                  <w:pPr>
                    <w:spacing w:line="240" w:lineRule="auto"/>
                    <w:ind w:left="247" w:leftChars="0" w:hanging="247" w:hangingChars="118"/>
                    <w:jc w:val="center"/>
                    <w:rPr>
                      <w:rFonts w:ascii="Arial"/>
                      <w:color w:val="auto"/>
                      <w:sz w:val="21"/>
                      <w:szCs w:val="21"/>
                      <w:highlight w:val="none"/>
                    </w:rPr>
                  </w:pPr>
                </w:p>
              </w:tc>
              <w:tc>
                <w:tcPr>
                  <w:tcW w:w="1626" w:type="dxa"/>
                  <w:vAlign w:val="top"/>
                </w:tcPr>
                <w:p w14:paraId="3960BBD9">
                  <w:pPr>
                    <w:spacing w:before="6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vAlign w:val="top"/>
                </w:tcPr>
                <w:p w14:paraId="35B78084">
                  <w:pPr>
                    <w:spacing w:before="98"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21FE8C50">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c>
                <w:tcPr>
                  <w:tcW w:w="927" w:type="dxa"/>
                  <w:vAlign w:val="top"/>
                </w:tcPr>
                <w:p w14:paraId="06EF8760">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2.4</w:t>
                  </w:r>
                </w:p>
              </w:tc>
              <w:tc>
                <w:tcPr>
                  <w:tcW w:w="844" w:type="dxa"/>
                  <w:vAlign w:val="top"/>
                </w:tcPr>
                <w:p w14:paraId="6292F43C">
                  <w:pPr>
                    <w:spacing w:before="99"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14</w:t>
                  </w:r>
                </w:p>
              </w:tc>
              <w:tc>
                <w:tcPr>
                  <w:tcW w:w="677" w:type="dxa"/>
                  <w:vAlign w:val="top"/>
                </w:tcPr>
                <w:p w14:paraId="2745621F">
                  <w:pPr>
                    <w:spacing w:before="101"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5" w:type="dxa"/>
                  <w:vAlign w:val="top"/>
                </w:tcPr>
                <w:p w14:paraId="2E0451CB">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690" w:type="dxa"/>
                  <w:tcBorders>
                    <w:right w:val="single" w:color="000000" w:sz="10" w:space="0"/>
                  </w:tcBorders>
                  <w:vAlign w:val="top"/>
                </w:tcPr>
                <w:p w14:paraId="740113C8">
                  <w:pPr>
                    <w:spacing w:before="98"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75305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2E76C1BB">
                  <w:pPr>
                    <w:spacing w:line="240" w:lineRule="auto"/>
                    <w:ind w:left="247" w:leftChars="0" w:hanging="247" w:hangingChars="118"/>
                    <w:jc w:val="center"/>
                    <w:rPr>
                      <w:rFonts w:ascii="Arial"/>
                      <w:color w:val="auto"/>
                      <w:sz w:val="21"/>
                      <w:szCs w:val="21"/>
                      <w:highlight w:val="none"/>
                    </w:rPr>
                  </w:pPr>
                </w:p>
              </w:tc>
              <w:tc>
                <w:tcPr>
                  <w:tcW w:w="1626" w:type="dxa"/>
                  <w:vAlign w:val="top"/>
                </w:tcPr>
                <w:p w14:paraId="15B006BD">
                  <w:pPr>
                    <w:spacing w:before="63"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vAlign w:val="top"/>
                </w:tcPr>
                <w:p w14:paraId="28205823">
                  <w:pPr>
                    <w:spacing w:before="99"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2" w:type="dxa"/>
                  <w:vAlign w:val="top"/>
                </w:tcPr>
                <w:p w14:paraId="51D50C39">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0.90</w:t>
                  </w:r>
                </w:p>
              </w:tc>
              <w:tc>
                <w:tcPr>
                  <w:tcW w:w="927" w:type="dxa"/>
                  <w:vAlign w:val="top"/>
                </w:tcPr>
                <w:p w14:paraId="14C1844D">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44" w:type="dxa"/>
                  <w:vAlign w:val="top"/>
                </w:tcPr>
                <w:p w14:paraId="637D3C3C">
                  <w:pPr>
                    <w:spacing w:before="99"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399E30D2">
                  <w:pPr>
                    <w:spacing w:before="99"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5" w:type="dxa"/>
                  <w:vAlign w:val="top"/>
                </w:tcPr>
                <w:p w14:paraId="4144AF76">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0.87</w:t>
                  </w:r>
                </w:p>
              </w:tc>
              <w:tc>
                <w:tcPr>
                  <w:tcW w:w="690" w:type="dxa"/>
                  <w:tcBorders>
                    <w:right w:val="single" w:color="000000" w:sz="10" w:space="0"/>
                  </w:tcBorders>
                  <w:vAlign w:val="top"/>
                </w:tcPr>
                <w:p w14:paraId="0FF6DA44">
                  <w:pPr>
                    <w:spacing w:before="99"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1C45C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31B0AA2">
                  <w:pPr>
                    <w:spacing w:line="240" w:lineRule="auto"/>
                    <w:ind w:left="247" w:leftChars="0" w:hanging="247" w:hangingChars="118"/>
                    <w:jc w:val="center"/>
                    <w:rPr>
                      <w:rFonts w:ascii="Arial"/>
                      <w:color w:val="auto"/>
                      <w:sz w:val="21"/>
                      <w:szCs w:val="21"/>
                      <w:highlight w:val="none"/>
                    </w:rPr>
                  </w:pPr>
                </w:p>
              </w:tc>
              <w:tc>
                <w:tcPr>
                  <w:tcW w:w="1626" w:type="dxa"/>
                  <w:vAlign w:val="top"/>
                </w:tcPr>
                <w:p w14:paraId="1E444952">
                  <w:pPr>
                    <w:spacing w:before="6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vAlign w:val="top"/>
                </w:tcPr>
                <w:p w14:paraId="784AC167">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2" w:type="dxa"/>
                  <w:vAlign w:val="top"/>
                </w:tcPr>
                <w:p w14:paraId="5D530E75">
                  <w:pPr>
                    <w:spacing w:before="100" w:line="240" w:lineRule="auto"/>
                    <w:ind w:left="243" w:leftChars="0" w:hanging="243"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1.02</w:t>
                  </w:r>
                </w:p>
              </w:tc>
              <w:tc>
                <w:tcPr>
                  <w:tcW w:w="927" w:type="dxa"/>
                  <w:vAlign w:val="top"/>
                </w:tcPr>
                <w:p w14:paraId="513E95C4">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44" w:type="dxa"/>
                  <w:vAlign w:val="top"/>
                </w:tcPr>
                <w:p w14:paraId="5FA73296">
                  <w:pPr>
                    <w:spacing w:before="100"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12</w:t>
                  </w:r>
                </w:p>
              </w:tc>
              <w:tc>
                <w:tcPr>
                  <w:tcW w:w="677" w:type="dxa"/>
                  <w:vAlign w:val="top"/>
                </w:tcPr>
                <w:p w14:paraId="456A69CD">
                  <w:pPr>
                    <w:spacing w:before="103"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5" w:type="dxa"/>
                  <w:vAlign w:val="top"/>
                </w:tcPr>
                <w:p w14:paraId="7CE3C4FA">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0.88</w:t>
                  </w:r>
                </w:p>
              </w:tc>
              <w:tc>
                <w:tcPr>
                  <w:tcW w:w="690" w:type="dxa"/>
                  <w:tcBorders>
                    <w:right w:val="single" w:color="000000" w:sz="10" w:space="0"/>
                  </w:tcBorders>
                  <w:vAlign w:val="top"/>
                </w:tcPr>
                <w:p w14:paraId="4F6FEB0B">
                  <w:pPr>
                    <w:spacing w:before="100"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0.04</w:t>
                  </w:r>
                </w:p>
              </w:tc>
            </w:tr>
            <w:tr w14:paraId="0503E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038314CF">
                  <w:pPr>
                    <w:spacing w:line="240" w:lineRule="auto"/>
                    <w:ind w:left="247" w:leftChars="0" w:hanging="247" w:hangingChars="118"/>
                    <w:jc w:val="center"/>
                    <w:rPr>
                      <w:rFonts w:ascii="Arial"/>
                      <w:color w:val="auto"/>
                      <w:sz w:val="21"/>
                      <w:szCs w:val="21"/>
                      <w:highlight w:val="none"/>
                    </w:rPr>
                  </w:pPr>
                </w:p>
              </w:tc>
              <w:tc>
                <w:tcPr>
                  <w:tcW w:w="1626" w:type="dxa"/>
                  <w:vAlign w:val="top"/>
                </w:tcPr>
                <w:p w14:paraId="4977F820">
                  <w:pPr>
                    <w:spacing w:before="6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vAlign w:val="top"/>
                </w:tcPr>
                <w:p w14:paraId="552B4EDD">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2" w:type="dxa"/>
                  <w:vAlign w:val="top"/>
                </w:tcPr>
                <w:p w14:paraId="66AF61F8">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0.92</w:t>
                  </w:r>
                </w:p>
              </w:tc>
              <w:tc>
                <w:tcPr>
                  <w:tcW w:w="927" w:type="dxa"/>
                  <w:vAlign w:val="top"/>
                </w:tcPr>
                <w:p w14:paraId="12FD889C">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w:t>
                  </w:r>
                </w:p>
              </w:tc>
              <w:tc>
                <w:tcPr>
                  <w:tcW w:w="844" w:type="dxa"/>
                  <w:vAlign w:val="top"/>
                </w:tcPr>
                <w:p w14:paraId="76F27AA8">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185EC7B1">
                  <w:pPr>
                    <w:spacing w:before="106"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5" w:type="dxa"/>
                  <w:vAlign w:val="top"/>
                </w:tcPr>
                <w:p w14:paraId="6FF06BD9">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0.86</w:t>
                  </w:r>
                </w:p>
              </w:tc>
              <w:tc>
                <w:tcPr>
                  <w:tcW w:w="690" w:type="dxa"/>
                  <w:tcBorders>
                    <w:right w:val="single" w:color="000000" w:sz="10" w:space="0"/>
                  </w:tcBorders>
                  <w:vAlign w:val="top"/>
                </w:tcPr>
                <w:p w14:paraId="1F77C9BA">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0.05</w:t>
                  </w:r>
                </w:p>
              </w:tc>
            </w:tr>
            <w:tr w14:paraId="10DC8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top"/>
                </w:tcPr>
                <w:p w14:paraId="7087D4A0">
                  <w:pPr>
                    <w:spacing w:line="240" w:lineRule="auto"/>
                    <w:ind w:left="247" w:leftChars="0" w:hanging="247" w:hangingChars="118"/>
                    <w:jc w:val="center"/>
                    <w:rPr>
                      <w:rFonts w:ascii="Arial"/>
                      <w:color w:val="auto"/>
                      <w:sz w:val="21"/>
                      <w:szCs w:val="21"/>
                      <w:highlight w:val="none"/>
                    </w:rPr>
                  </w:pPr>
                </w:p>
              </w:tc>
              <w:tc>
                <w:tcPr>
                  <w:tcW w:w="1626" w:type="dxa"/>
                  <w:vAlign w:val="top"/>
                </w:tcPr>
                <w:p w14:paraId="0B735E51">
                  <w:pPr>
                    <w:spacing w:before="65"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vAlign w:val="top"/>
                </w:tcPr>
                <w:p w14:paraId="0C620131">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2" w:type="dxa"/>
                  <w:vAlign w:val="top"/>
                </w:tcPr>
                <w:p w14:paraId="6E0A744D">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0.99</w:t>
                  </w:r>
                </w:p>
              </w:tc>
              <w:tc>
                <w:tcPr>
                  <w:tcW w:w="927" w:type="dxa"/>
                  <w:vAlign w:val="top"/>
                </w:tcPr>
                <w:p w14:paraId="3488C9FD">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w:t>
                  </w:r>
                </w:p>
              </w:tc>
              <w:tc>
                <w:tcPr>
                  <w:tcW w:w="844" w:type="dxa"/>
                  <w:vAlign w:val="top"/>
                </w:tcPr>
                <w:p w14:paraId="0EA2B924">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13</w:t>
                  </w:r>
                </w:p>
              </w:tc>
              <w:tc>
                <w:tcPr>
                  <w:tcW w:w="677" w:type="dxa"/>
                  <w:vAlign w:val="top"/>
                </w:tcPr>
                <w:p w14:paraId="40877ADF">
                  <w:pPr>
                    <w:spacing w:before="103" w:line="240" w:lineRule="auto"/>
                    <w:ind w:left="228" w:leftChars="0" w:hanging="228"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10</w:t>
                  </w:r>
                </w:p>
              </w:tc>
              <w:tc>
                <w:tcPr>
                  <w:tcW w:w="875" w:type="dxa"/>
                  <w:vAlign w:val="top"/>
                </w:tcPr>
                <w:p w14:paraId="5A4A4E34">
                  <w:pPr>
                    <w:spacing w:before="103"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0.9</w:t>
                  </w:r>
                </w:p>
              </w:tc>
              <w:tc>
                <w:tcPr>
                  <w:tcW w:w="690" w:type="dxa"/>
                  <w:tcBorders>
                    <w:right w:val="single" w:color="000000" w:sz="10" w:space="0"/>
                  </w:tcBorders>
                  <w:vAlign w:val="top"/>
                </w:tcPr>
                <w:p w14:paraId="5E90A7E5">
                  <w:pPr>
                    <w:spacing w:before="103"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0.06</w:t>
                  </w:r>
                </w:p>
              </w:tc>
            </w:tr>
            <w:tr w14:paraId="5EDB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2387" w:type="dxa"/>
                  <w:gridSpan w:val="2"/>
                  <w:tcBorders>
                    <w:left w:val="single" w:color="000000" w:sz="10" w:space="0"/>
                  </w:tcBorders>
                  <w:vAlign w:val="top"/>
                </w:tcPr>
                <w:p w14:paraId="786BD58C">
                  <w:pPr>
                    <w:spacing w:before="49" w:line="240" w:lineRule="auto"/>
                    <w:ind w:left="266" w:leftChars="0" w:right="23" w:hanging="266" w:hangingChars="118"/>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《城市污水再生利用</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城市杂</w:t>
                  </w:r>
                  <w:r>
                    <w:rPr>
                      <w:rFonts w:ascii="宋体" w:hAnsi="宋体" w:eastAsia="宋体" w:cs="宋体"/>
                      <w:color w:val="auto"/>
                      <w:spacing w:val="-5"/>
                      <w:sz w:val="21"/>
                      <w:szCs w:val="21"/>
                      <w:highlight w:val="none"/>
                    </w:rPr>
                    <w:t>用水水质》（</w:t>
                  </w:r>
                  <w:r>
                    <w:rPr>
                      <w:rFonts w:ascii="Times New Roman" w:hAnsi="Times New Roman" w:eastAsia="Times New Roman" w:cs="Times New Roman"/>
                      <w:color w:val="auto"/>
                      <w:spacing w:val="-5"/>
                      <w:sz w:val="21"/>
                      <w:szCs w:val="21"/>
                      <w:highlight w:val="none"/>
                    </w:rPr>
                    <w:t>GB/T18920-2020</w:t>
                  </w:r>
                  <w:r>
                    <w:rPr>
                      <w:rFonts w:ascii="宋体" w:hAnsi="宋体" w:eastAsia="宋体" w:cs="宋体"/>
                      <w:color w:val="auto"/>
                      <w:spacing w:val="-5"/>
                      <w:sz w:val="21"/>
                      <w:szCs w:val="21"/>
                      <w:highlight w:val="none"/>
                    </w:rPr>
                    <w:t>）</w:t>
                  </w:r>
                </w:p>
                <w:p w14:paraId="6CF14211">
                  <w:pPr>
                    <w:spacing w:before="24" w:line="240" w:lineRule="auto"/>
                    <w:ind w:left="261" w:leftChars="0" w:right="66"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城市绿化、道路清扫、消防、建筑施工</w:t>
                  </w:r>
                </w:p>
              </w:tc>
              <w:tc>
                <w:tcPr>
                  <w:tcW w:w="647" w:type="dxa"/>
                  <w:vAlign w:val="top"/>
                </w:tcPr>
                <w:p w14:paraId="70C22801">
                  <w:pPr>
                    <w:spacing w:line="240" w:lineRule="auto"/>
                    <w:ind w:left="247" w:leftChars="0" w:hanging="247" w:hangingChars="118"/>
                    <w:jc w:val="center"/>
                    <w:rPr>
                      <w:rFonts w:ascii="Arial"/>
                      <w:color w:val="auto"/>
                      <w:sz w:val="21"/>
                      <w:szCs w:val="21"/>
                      <w:highlight w:val="none"/>
                    </w:rPr>
                  </w:pPr>
                </w:p>
                <w:p w14:paraId="14F61AC6">
                  <w:pPr>
                    <w:spacing w:before="57"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6~9</w:t>
                  </w:r>
                </w:p>
              </w:tc>
              <w:tc>
                <w:tcPr>
                  <w:tcW w:w="992" w:type="dxa"/>
                  <w:vAlign w:val="top"/>
                </w:tcPr>
                <w:p w14:paraId="7ED7BCE1">
                  <w:pPr>
                    <w:spacing w:line="240" w:lineRule="auto"/>
                    <w:ind w:left="247" w:leftChars="0" w:hanging="247" w:hangingChars="118"/>
                    <w:jc w:val="center"/>
                    <w:rPr>
                      <w:rFonts w:ascii="Arial"/>
                      <w:color w:val="auto"/>
                      <w:sz w:val="21"/>
                      <w:szCs w:val="21"/>
                      <w:highlight w:val="none"/>
                    </w:rPr>
                  </w:pPr>
                </w:p>
                <w:p w14:paraId="13D0C88F">
                  <w:pPr>
                    <w:spacing w:before="58"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≤8</w:t>
                  </w:r>
                </w:p>
              </w:tc>
              <w:tc>
                <w:tcPr>
                  <w:tcW w:w="927" w:type="dxa"/>
                  <w:vAlign w:val="top"/>
                </w:tcPr>
                <w:p w14:paraId="0FE2BABB">
                  <w:pPr>
                    <w:spacing w:line="240" w:lineRule="auto"/>
                    <w:ind w:left="247" w:leftChars="0" w:hanging="247" w:hangingChars="118"/>
                    <w:jc w:val="center"/>
                    <w:rPr>
                      <w:rFonts w:ascii="Arial"/>
                      <w:color w:val="auto"/>
                      <w:sz w:val="21"/>
                      <w:szCs w:val="21"/>
                      <w:highlight w:val="none"/>
                    </w:rPr>
                  </w:pPr>
                </w:p>
                <w:p w14:paraId="0F186311">
                  <w:pPr>
                    <w:spacing w:before="58"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4" w:type="dxa"/>
                  <w:vAlign w:val="top"/>
                </w:tcPr>
                <w:p w14:paraId="31D9503F">
                  <w:pPr>
                    <w:spacing w:line="240" w:lineRule="auto"/>
                    <w:ind w:left="247" w:leftChars="0" w:hanging="247" w:hangingChars="118"/>
                    <w:jc w:val="center"/>
                    <w:rPr>
                      <w:rFonts w:ascii="Arial"/>
                      <w:color w:val="auto"/>
                      <w:sz w:val="21"/>
                      <w:szCs w:val="21"/>
                      <w:highlight w:val="none"/>
                    </w:rPr>
                  </w:pPr>
                </w:p>
                <w:p w14:paraId="5FDA24A2">
                  <w:pPr>
                    <w:spacing w:line="240" w:lineRule="auto"/>
                    <w:ind w:left="247" w:leftChars="0" w:hanging="247" w:hangingChars="118"/>
                    <w:jc w:val="center"/>
                    <w:rPr>
                      <w:rFonts w:ascii="Arial"/>
                      <w:color w:val="auto"/>
                      <w:sz w:val="21"/>
                      <w:szCs w:val="21"/>
                      <w:highlight w:val="none"/>
                    </w:rPr>
                  </w:pPr>
                </w:p>
                <w:p w14:paraId="0A79F829">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7" w:type="dxa"/>
                  <w:vAlign w:val="top"/>
                </w:tcPr>
                <w:p w14:paraId="5B1E07AC">
                  <w:pPr>
                    <w:spacing w:line="240" w:lineRule="auto"/>
                    <w:ind w:left="247" w:leftChars="0" w:hanging="247" w:hangingChars="118"/>
                    <w:jc w:val="center"/>
                    <w:rPr>
                      <w:rFonts w:ascii="Arial"/>
                      <w:color w:val="auto"/>
                      <w:sz w:val="21"/>
                      <w:szCs w:val="21"/>
                      <w:highlight w:val="none"/>
                    </w:rPr>
                  </w:pPr>
                </w:p>
                <w:p w14:paraId="4674CC65">
                  <w:pPr>
                    <w:spacing w:line="240" w:lineRule="auto"/>
                    <w:ind w:left="247" w:leftChars="0" w:hanging="247" w:hangingChars="118"/>
                    <w:jc w:val="center"/>
                    <w:rPr>
                      <w:rFonts w:ascii="Arial"/>
                      <w:color w:val="auto"/>
                      <w:sz w:val="21"/>
                      <w:szCs w:val="21"/>
                      <w:highlight w:val="none"/>
                    </w:rPr>
                  </w:pPr>
                </w:p>
                <w:p w14:paraId="4104DA87">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462BADEB">
                  <w:pPr>
                    <w:spacing w:line="240" w:lineRule="auto"/>
                    <w:ind w:left="247" w:leftChars="0" w:hanging="247" w:hangingChars="118"/>
                    <w:jc w:val="center"/>
                    <w:rPr>
                      <w:rFonts w:ascii="Arial"/>
                      <w:color w:val="auto"/>
                      <w:sz w:val="21"/>
                      <w:szCs w:val="21"/>
                      <w:highlight w:val="none"/>
                    </w:rPr>
                  </w:pPr>
                </w:p>
                <w:p w14:paraId="553F8A30">
                  <w:pPr>
                    <w:spacing w:line="240" w:lineRule="auto"/>
                    <w:ind w:left="247" w:leftChars="0" w:hanging="247" w:hangingChars="118"/>
                    <w:jc w:val="center"/>
                    <w:rPr>
                      <w:rFonts w:ascii="Arial"/>
                      <w:color w:val="auto"/>
                      <w:sz w:val="21"/>
                      <w:szCs w:val="21"/>
                      <w:highlight w:val="none"/>
                    </w:rPr>
                  </w:pPr>
                </w:p>
                <w:p w14:paraId="73B19DED">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0" w:type="dxa"/>
                  <w:tcBorders>
                    <w:right w:val="single" w:color="000000" w:sz="10" w:space="0"/>
                  </w:tcBorders>
                  <w:vAlign w:val="top"/>
                </w:tcPr>
                <w:p w14:paraId="6A8C59A6">
                  <w:pPr>
                    <w:spacing w:line="240" w:lineRule="auto"/>
                    <w:ind w:left="247" w:leftChars="0" w:hanging="247" w:hangingChars="118"/>
                    <w:jc w:val="center"/>
                    <w:rPr>
                      <w:rFonts w:ascii="Arial"/>
                      <w:color w:val="auto"/>
                      <w:sz w:val="21"/>
                      <w:szCs w:val="21"/>
                      <w:highlight w:val="none"/>
                    </w:rPr>
                  </w:pPr>
                </w:p>
                <w:p w14:paraId="0B537B30">
                  <w:pPr>
                    <w:spacing w:line="240" w:lineRule="auto"/>
                    <w:ind w:left="247" w:leftChars="0" w:hanging="247" w:hangingChars="118"/>
                    <w:jc w:val="center"/>
                    <w:rPr>
                      <w:rFonts w:ascii="Arial"/>
                      <w:color w:val="auto"/>
                      <w:sz w:val="21"/>
                      <w:szCs w:val="21"/>
                      <w:highlight w:val="none"/>
                    </w:rPr>
                  </w:pPr>
                </w:p>
                <w:p w14:paraId="3AADB76C">
                  <w:pPr>
                    <w:spacing w:before="58"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0582B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17E1B1F4">
                  <w:pPr>
                    <w:spacing w:before="68"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vAlign w:val="top"/>
                </w:tcPr>
                <w:p w14:paraId="6658B6FE">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2" w:type="dxa"/>
                  <w:vAlign w:val="top"/>
                </w:tcPr>
                <w:p w14:paraId="3DD4F079">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vAlign w:val="top"/>
                </w:tcPr>
                <w:p w14:paraId="3CFE1708">
                  <w:pPr>
                    <w:spacing w:before="68"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4" w:type="dxa"/>
                  <w:vAlign w:val="top"/>
                </w:tcPr>
                <w:p w14:paraId="5FFCECB5">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7" w:type="dxa"/>
                  <w:vAlign w:val="top"/>
                </w:tcPr>
                <w:p w14:paraId="4069DE4E">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75DD9BB6">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0" w:type="dxa"/>
                  <w:tcBorders>
                    <w:right w:val="single" w:color="000000" w:sz="10" w:space="0"/>
                  </w:tcBorders>
                  <w:vAlign w:val="top"/>
                </w:tcPr>
                <w:p w14:paraId="3459D132">
                  <w:pPr>
                    <w:spacing w:before="196"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7F5C0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2387" w:type="dxa"/>
                  <w:gridSpan w:val="2"/>
                  <w:tcBorders>
                    <w:left w:val="single" w:color="000000" w:sz="10" w:space="0"/>
                  </w:tcBorders>
                  <w:vAlign w:val="top"/>
                </w:tcPr>
                <w:p w14:paraId="7AD6DD8B">
                  <w:pPr>
                    <w:spacing w:before="53" w:line="240" w:lineRule="auto"/>
                    <w:ind w:left="266" w:leftChars="0" w:right="125" w:hanging="266" w:hangingChars="118"/>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8"/>
                      <w:sz w:val="21"/>
                      <w:szCs w:val="21"/>
                      <w:highlight w:val="none"/>
                    </w:rPr>
                    <w:t>《城市污水再生利用工业用</w:t>
                  </w:r>
                  <w:r>
                    <w:rPr>
                      <w:rFonts w:ascii="宋体" w:hAnsi="宋体" w:eastAsia="宋体" w:cs="宋体"/>
                      <w:color w:val="auto"/>
                      <w:spacing w:val="5"/>
                      <w:sz w:val="21"/>
                      <w:szCs w:val="21"/>
                      <w:highlight w:val="none"/>
                    </w:rPr>
                    <w:t>水水质标准》（</w:t>
                  </w:r>
                  <w:r>
                    <w:rPr>
                      <w:rFonts w:ascii="Times New Roman" w:hAnsi="Times New Roman" w:eastAsia="Times New Roman" w:cs="Times New Roman"/>
                      <w:color w:val="auto"/>
                      <w:sz w:val="21"/>
                      <w:szCs w:val="21"/>
                      <w:highlight w:val="none"/>
                    </w:rPr>
                    <w:t>GB</w:t>
                  </w:r>
                  <w:r>
                    <w:rPr>
                      <w:rFonts w:ascii="Times New Roman" w:hAnsi="Times New Roman" w:eastAsia="Times New Roman" w:cs="Times New Roman"/>
                      <w:color w:val="auto"/>
                      <w:spacing w:val="5"/>
                      <w:sz w:val="21"/>
                      <w:szCs w:val="21"/>
                      <w:highlight w:val="none"/>
                    </w:rPr>
                    <w:t>/T19923-</w:t>
                  </w:r>
                </w:p>
                <w:p w14:paraId="4D1C5A82">
                  <w:pPr>
                    <w:spacing w:before="24" w:line="240" w:lineRule="auto"/>
                    <w:ind w:left="264" w:leftChars="0" w:hanging="264" w:hangingChars="118"/>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2024</w:t>
                  </w:r>
                  <w:r>
                    <w:rPr>
                      <w:rFonts w:ascii="宋体" w:hAnsi="宋体" w:eastAsia="宋体" w:cs="宋体"/>
                      <w:color w:val="auto"/>
                      <w:spacing w:val="7"/>
                      <w:sz w:val="21"/>
                      <w:szCs w:val="21"/>
                      <w:highlight w:val="none"/>
                    </w:rPr>
                    <w:t>）洗涤用水</w:t>
                  </w:r>
                </w:p>
              </w:tc>
              <w:tc>
                <w:tcPr>
                  <w:tcW w:w="647" w:type="dxa"/>
                  <w:vAlign w:val="top"/>
                </w:tcPr>
                <w:p w14:paraId="1F6BE385">
                  <w:pPr>
                    <w:spacing w:line="240" w:lineRule="auto"/>
                    <w:ind w:left="247" w:leftChars="0" w:hanging="247" w:hangingChars="118"/>
                    <w:jc w:val="center"/>
                    <w:rPr>
                      <w:rFonts w:ascii="Arial"/>
                      <w:color w:val="auto"/>
                      <w:sz w:val="21"/>
                      <w:szCs w:val="21"/>
                      <w:highlight w:val="none"/>
                    </w:rPr>
                  </w:pPr>
                </w:p>
                <w:p w14:paraId="21320797">
                  <w:pPr>
                    <w:spacing w:before="58" w:line="240" w:lineRule="auto"/>
                    <w:ind w:left="247" w:leftChars="0" w:hanging="24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92" w:type="dxa"/>
                  <w:vAlign w:val="top"/>
                </w:tcPr>
                <w:p w14:paraId="21DF7CFD">
                  <w:pPr>
                    <w:spacing w:line="240" w:lineRule="auto"/>
                    <w:ind w:left="247" w:leftChars="0" w:hanging="247" w:hangingChars="118"/>
                    <w:jc w:val="center"/>
                    <w:rPr>
                      <w:rFonts w:ascii="Arial"/>
                      <w:color w:val="auto"/>
                      <w:sz w:val="21"/>
                      <w:szCs w:val="21"/>
                      <w:highlight w:val="none"/>
                    </w:rPr>
                  </w:pPr>
                </w:p>
                <w:p w14:paraId="687FAD4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w:t>
                  </w:r>
                </w:p>
              </w:tc>
              <w:tc>
                <w:tcPr>
                  <w:tcW w:w="927" w:type="dxa"/>
                  <w:vAlign w:val="top"/>
                </w:tcPr>
                <w:p w14:paraId="00EDC946">
                  <w:pPr>
                    <w:spacing w:line="240" w:lineRule="auto"/>
                    <w:ind w:left="247" w:leftChars="0" w:hanging="247" w:hangingChars="118"/>
                    <w:jc w:val="center"/>
                    <w:rPr>
                      <w:rFonts w:ascii="Arial"/>
                      <w:color w:val="auto"/>
                      <w:sz w:val="21"/>
                      <w:szCs w:val="21"/>
                      <w:highlight w:val="none"/>
                    </w:rPr>
                  </w:pPr>
                </w:p>
                <w:p w14:paraId="6F8FA479">
                  <w:pPr>
                    <w:spacing w:before="57"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4" w:type="dxa"/>
                  <w:vAlign w:val="top"/>
                </w:tcPr>
                <w:p w14:paraId="71EF8CB0">
                  <w:pPr>
                    <w:spacing w:line="240" w:lineRule="auto"/>
                    <w:ind w:left="247" w:leftChars="0" w:hanging="247" w:hangingChars="118"/>
                    <w:jc w:val="center"/>
                    <w:rPr>
                      <w:rFonts w:ascii="Arial"/>
                      <w:color w:val="auto"/>
                      <w:sz w:val="21"/>
                      <w:szCs w:val="21"/>
                      <w:highlight w:val="none"/>
                    </w:rPr>
                  </w:pPr>
                </w:p>
                <w:p w14:paraId="22CAEE97">
                  <w:pPr>
                    <w:spacing w:before="57" w:line="240" w:lineRule="auto"/>
                    <w:ind w:left="257" w:leftChars="0" w:hanging="257"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≤50</w:t>
                  </w:r>
                </w:p>
              </w:tc>
              <w:tc>
                <w:tcPr>
                  <w:tcW w:w="677" w:type="dxa"/>
                  <w:vAlign w:val="top"/>
                </w:tcPr>
                <w:p w14:paraId="2086E29D">
                  <w:pPr>
                    <w:spacing w:line="240" w:lineRule="auto"/>
                    <w:ind w:left="247" w:leftChars="0" w:hanging="247" w:hangingChars="118"/>
                    <w:jc w:val="center"/>
                    <w:rPr>
                      <w:rFonts w:ascii="Arial"/>
                      <w:color w:val="auto"/>
                      <w:sz w:val="21"/>
                      <w:szCs w:val="21"/>
                      <w:highlight w:val="none"/>
                    </w:rPr>
                  </w:pPr>
                </w:p>
                <w:p w14:paraId="538A8333">
                  <w:pPr>
                    <w:spacing w:before="57"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19D12D55">
                  <w:pPr>
                    <w:spacing w:line="240" w:lineRule="auto"/>
                    <w:ind w:left="247" w:leftChars="0" w:hanging="247" w:hangingChars="118"/>
                    <w:jc w:val="center"/>
                    <w:rPr>
                      <w:rFonts w:ascii="Arial"/>
                      <w:color w:val="auto"/>
                      <w:sz w:val="21"/>
                      <w:szCs w:val="21"/>
                      <w:highlight w:val="none"/>
                    </w:rPr>
                  </w:pPr>
                </w:p>
                <w:p w14:paraId="3292043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w:t>
                  </w:r>
                </w:p>
              </w:tc>
              <w:tc>
                <w:tcPr>
                  <w:tcW w:w="690" w:type="dxa"/>
                  <w:tcBorders>
                    <w:right w:val="single" w:color="000000" w:sz="10" w:space="0"/>
                  </w:tcBorders>
                  <w:vAlign w:val="top"/>
                </w:tcPr>
                <w:p w14:paraId="6A98E93D">
                  <w:pPr>
                    <w:spacing w:line="240" w:lineRule="auto"/>
                    <w:ind w:left="247" w:leftChars="0" w:hanging="247" w:hangingChars="118"/>
                    <w:jc w:val="center"/>
                    <w:rPr>
                      <w:rFonts w:ascii="Arial"/>
                      <w:color w:val="auto"/>
                      <w:sz w:val="21"/>
                      <w:szCs w:val="21"/>
                      <w:highlight w:val="none"/>
                    </w:rPr>
                  </w:pPr>
                </w:p>
                <w:p w14:paraId="4ABE6D2B">
                  <w:pPr>
                    <w:spacing w:before="57"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≤0.5</w:t>
                  </w:r>
                </w:p>
              </w:tc>
            </w:tr>
            <w:tr w14:paraId="690D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035FC42B">
                  <w:pPr>
                    <w:spacing w:before="73" w:line="240" w:lineRule="auto"/>
                    <w:ind w:left="261" w:leftChars="0" w:hanging="261" w:hangingChars="118"/>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vAlign w:val="top"/>
                </w:tcPr>
                <w:p w14:paraId="59EC6AE2">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2" w:type="dxa"/>
                  <w:vAlign w:val="top"/>
                </w:tcPr>
                <w:p w14:paraId="3E7757E7">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vAlign w:val="top"/>
                </w:tcPr>
                <w:p w14:paraId="5139CFA5">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4" w:type="dxa"/>
                  <w:vAlign w:val="top"/>
                </w:tcPr>
                <w:p w14:paraId="38021451">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77" w:type="dxa"/>
                  <w:vAlign w:val="top"/>
                </w:tcPr>
                <w:p w14:paraId="25BF157E">
                  <w:pPr>
                    <w:spacing w:before="200" w:line="240" w:lineRule="auto"/>
                    <w:ind w:left="276" w:leftChars="0" w:hanging="276"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5" w:type="dxa"/>
                  <w:vAlign w:val="top"/>
                </w:tcPr>
                <w:p w14:paraId="3BC4DFBB">
                  <w:pPr>
                    <w:spacing w:before="73"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90" w:type="dxa"/>
                  <w:tcBorders>
                    <w:right w:val="single" w:color="000000" w:sz="10" w:space="0"/>
                  </w:tcBorders>
                  <w:vAlign w:val="top"/>
                </w:tcPr>
                <w:p w14:paraId="0E8E3CB2">
                  <w:pPr>
                    <w:spacing w:before="54" w:line="240" w:lineRule="auto"/>
                    <w:ind w:left="259" w:leftChars="0" w:hanging="259" w:hangingChars="118"/>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07815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387" w:type="dxa"/>
                  <w:gridSpan w:val="2"/>
                  <w:tcBorders>
                    <w:left w:val="single" w:color="000000" w:sz="10" w:space="0"/>
                    <w:bottom w:val="single" w:color="000000" w:sz="10" w:space="0"/>
                  </w:tcBorders>
                  <w:vAlign w:val="top"/>
                </w:tcPr>
                <w:p w14:paraId="3559E10E">
                  <w:pPr>
                    <w:spacing w:before="73" w:line="240" w:lineRule="auto"/>
                    <w:ind w:left="266" w:leftChars="0" w:hanging="266" w:hangingChars="118"/>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污水处理效率（平均值</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w:t>
                  </w:r>
                </w:p>
              </w:tc>
              <w:tc>
                <w:tcPr>
                  <w:tcW w:w="647" w:type="dxa"/>
                  <w:tcBorders>
                    <w:bottom w:val="single" w:color="000000" w:sz="10" w:space="0"/>
                  </w:tcBorders>
                  <w:vAlign w:val="top"/>
                </w:tcPr>
                <w:p w14:paraId="63BFB621">
                  <w:pPr>
                    <w:spacing w:before="107"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92" w:type="dxa"/>
                  <w:tcBorders>
                    <w:bottom w:val="single" w:color="000000" w:sz="10" w:space="0"/>
                  </w:tcBorders>
                  <w:vAlign w:val="top"/>
                </w:tcPr>
                <w:p w14:paraId="3C8BAE0D">
                  <w:pPr>
                    <w:spacing w:before="111" w:line="240" w:lineRule="auto"/>
                    <w:ind w:left="254" w:leftChars="0" w:hanging="254"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47.3</w:t>
                  </w:r>
                </w:p>
              </w:tc>
              <w:tc>
                <w:tcPr>
                  <w:tcW w:w="927" w:type="dxa"/>
                  <w:tcBorders>
                    <w:bottom w:val="single" w:color="000000" w:sz="10" w:space="0"/>
                  </w:tcBorders>
                  <w:vAlign w:val="top"/>
                </w:tcPr>
                <w:p w14:paraId="28B779FC">
                  <w:pPr>
                    <w:spacing w:before="111" w:line="240" w:lineRule="auto"/>
                    <w:ind w:left="250" w:leftChars="0" w:hanging="250"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94.5</w:t>
                  </w:r>
                </w:p>
              </w:tc>
              <w:tc>
                <w:tcPr>
                  <w:tcW w:w="844" w:type="dxa"/>
                  <w:tcBorders>
                    <w:bottom w:val="single" w:color="000000" w:sz="10" w:space="0"/>
                  </w:tcBorders>
                  <w:vAlign w:val="top"/>
                </w:tcPr>
                <w:p w14:paraId="55A459D2">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93.5</w:t>
                  </w:r>
                </w:p>
              </w:tc>
              <w:tc>
                <w:tcPr>
                  <w:tcW w:w="677" w:type="dxa"/>
                  <w:tcBorders>
                    <w:bottom w:val="single" w:color="000000" w:sz="10" w:space="0"/>
                  </w:tcBorders>
                  <w:vAlign w:val="top"/>
                </w:tcPr>
                <w:p w14:paraId="0C9F190A">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90.7</w:t>
                  </w:r>
                </w:p>
              </w:tc>
              <w:tc>
                <w:tcPr>
                  <w:tcW w:w="875" w:type="dxa"/>
                  <w:tcBorders>
                    <w:bottom w:val="single" w:color="000000" w:sz="10" w:space="0"/>
                  </w:tcBorders>
                  <w:vAlign w:val="top"/>
                </w:tcPr>
                <w:p w14:paraId="383081FF">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94.5</w:t>
                  </w:r>
                </w:p>
              </w:tc>
              <w:tc>
                <w:tcPr>
                  <w:tcW w:w="690" w:type="dxa"/>
                  <w:tcBorders>
                    <w:bottom w:val="single" w:color="000000" w:sz="10" w:space="0"/>
                    <w:right w:val="single" w:color="000000" w:sz="10" w:space="0"/>
                  </w:tcBorders>
                  <w:vAlign w:val="top"/>
                </w:tcPr>
                <w:p w14:paraId="553678EC">
                  <w:pPr>
                    <w:spacing w:before="111" w:line="240" w:lineRule="auto"/>
                    <w:ind w:left="252" w:leftChars="0" w:hanging="252" w:hangingChars="118"/>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99.6</w:t>
                  </w:r>
                </w:p>
              </w:tc>
            </w:tr>
          </w:tbl>
          <w:p w14:paraId="1E5D1F0F">
            <w:pPr>
              <w:pStyle w:val="19"/>
              <w:keepNext w:val="0"/>
              <w:keepLines w:val="0"/>
              <w:suppressLineNumbers w:val="0"/>
              <w:spacing w:before="35" w:beforeAutospacing="0" w:afterAutospacing="0" w:line="212" w:lineRule="auto"/>
              <w:ind w:left="0"/>
              <w:jc w:val="center"/>
              <w:rPr>
                <w:rFonts w:hint="default"/>
                <w:b/>
                <w:bCs/>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ascii="Times New Roman" w:hAnsi="Times New Roman" w:eastAsia="宋体" w:cs="Times New Roman"/>
                <w:b/>
                <w:bCs/>
                <w:color w:val="auto"/>
                <w:spacing w:val="1"/>
                <w:sz w:val="24"/>
                <w:szCs w:val="24"/>
                <w:highlight w:val="none"/>
                <w:lang w:val="en-US" w:eastAsia="zh-CN"/>
              </w:rPr>
              <w:t>2</w:t>
            </w:r>
            <w:r>
              <w:rPr>
                <w:rFonts w:hint="eastAsia" w:cs="Times New Roman"/>
                <w:b/>
                <w:bCs/>
                <w:color w:val="auto"/>
                <w:spacing w:val="1"/>
                <w:sz w:val="24"/>
                <w:szCs w:val="24"/>
                <w:highlight w:val="none"/>
                <w:lang w:val="en-US" w:eastAsia="zh-CN"/>
              </w:rPr>
              <w:t xml:space="preserve">2  </w:t>
            </w:r>
            <w:r>
              <w:rPr>
                <w:rFonts w:hint="default" w:ascii="Times New Roman" w:hAnsi="Times New Roman" w:eastAsia="Times New Roman" w:cs="Times New Roman"/>
                <w:b/>
                <w:bCs/>
                <w:color w:val="auto"/>
                <w:spacing w:val="1"/>
                <w:sz w:val="24"/>
                <w:szCs w:val="24"/>
                <w:highlight w:val="none"/>
              </w:rPr>
              <w:t>5#</w:t>
            </w:r>
            <w:r>
              <w:rPr>
                <w:rFonts w:hint="default"/>
                <w:b/>
                <w:bCs/>
                <w:color w:val="auto"/>
                <w:spacing w:val="1"/>
                <w:sz w:val="24"/>
                <w:szCs w:val="24"/>
                <w:highlight w:val="none"/>
              </w:rPr>
              <w:t>泊位含油污水处</w:t>
            </w:r>
            <w:r>
              <w:rPr>
                <w:rFonts w:hint="default"/>
                <w:b/>
                <w:bCs/>
                <w:color w:val="auto"/>
                <w:sz w:val="24"/>
                <w:szCs w:val="24"/>
                <w:highlight w:val="none"/>
              </w:rPr>
              <w:t>理站进、出水水质监测结果</w:t>
            </w:r>
          </w:p>
          <w:p w14:paraId="563E85BA">
            <w:pPr>
              <w:pStyle w:val="19"/>
              <w:keepNext w:val="0"/>
              <w:keepLines w:val="0"/>
              <w:suppressLineNumbers w:val="0"/>
              <w:spacing w:before="35" w:beforeAutospacing="0" w:afterAutospacing="0" w:line="212" w:lineRule="auto"/>
              <w:ind w:left="0"/>
              <w:jc w:val="right"/>
              <w:rPr>
                <w:rFonts w:hint="default"/>
                <w:color w:val="auto"/>
                <w:sz w:val="20"/>
                <w:szCs w:val="20"/>
                <w:highlight w:val="none"/>
              </w:rPr>
            </w:pPr>
            <w:r>
              <w:rPr>
                <w:rFonts w:hint="default"/>
                <w:b/>
                <w:bCs/>
                <w:color w:val="auto"/>
                <w:sz w:val="20"/>
                <w:szCs w:val="20"/>
                <w:highlight w:val="none"/>
              </w:rPr>
              <w:t>单位：</w:t>
            </w:r>
            <w:r>
              <w:rPr>
                <w:rFonts w:hint="default" w:ascii="Times New Roman" w:hAnsi="Times New Roman" w:eastAsia="Times New Roman" w:cs="Times New Roman"/>
                <w:b/>
                <w:bCs/>
                <w:color w:val="auto"/>
                <w:sz w:val="20"/>
                <w:szCs w:val="20"/>
                <w:highlight w:val="none"/>
              </w:rPr>
              <w:t>mg/L</w:t>
            </w:r>
            <w:r>
              <w:rPr>
                <w:rFonts w:hint="default"/>
                <w:b/>
                <w:bCs/>
                <w:color w:val="auto"/>
                <w:sz w:val="20"/>
                <w:szCs w:val="20"/>
                <w:highlight w:val="none"/>
              </w:rPr>
              <w:t>（除</w:t>
            </w:r>
            <w:r>
              <w:rPr>
                <w:rFonts w:hint="default" w:ascii="Times New Roman" w:hAnsi="Times New Roman" w:eastAsia="Times New Roman" w:cs="Times New Roman"/>
                <w:b/>
                <w:bCs/>
                <w:color w:val="auto"/>
                <w:sz w:val="20"/>
                <w:szCs w:val="20"/>
                <w:highlight w:val="none"/>
              </w:rPr>
              <w:t>pH</w:t>
            </w:r>
            <w:r>
              <w:rPr>
                <w:rFonts w:hint="default"/>
                <w:b/>
                <w:bCs/>
                <w:color w:val="auto"/>
                <w:sz w:val="20"/>
                <w:szCs w:val="20"/>
                <w:highlight w:val="none"/>
              </w:rPr>
              <w:t>外）</w:t>
            </w:r>
          </w:p>
          <w:tbl>
            <w:tblPr>
              <w:tblStyle w:val="142"/>
              <w:tblW w:w="8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759"/>
              <w:gridCol w:w="1"/>
              <w:gridCol w:w="1625"/>
              <w:gridCol w:w="1"/>
              <w:gridCol w:w="646"/>
              <w:gridCol w:w="1"/>
              <w:gridCol w:w="990"/>
              <w:gridCol w:w="1"/>
              <w:gridCol w:w="926"/>
              <w:gridCol w:w="1"/>
              <w:gridCol w:w="842"/>
              <w:gridCol w:w="1"/>
              <w:gridCol w:w="675"/>
              <w:gridCol w:w="1"/>
              <w:gridCol w:w="875"/>
              <w:gridCol w:w="1"/>
              <w:gridCol w:w="691"/>
              <w:gridCol w:w="1"/>
            </w:tblGrid>
            <w:tr w14:paraId="59213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72" w:hRule="atLeast"/>
              </w:trPr>
              <w:tc>
                <w:tcPr>
                  <w:tcW w:w="2386" w:type="dxa"/>
                  <w:gridSpan w:val="4"/>
                  <w:vMerge w:val="restart"/>
                  <w:tcBorders>
                    <w:top w:val="single" w:color="000000" w:sz="10" w:space="0"/>
                    <w:left w:val="single" w:color="000000" w:sz="10" w:space="0"/>
                    <w:bottom w:val="nil"/>
                  </w:tcBorders>
                  <w:vAlign w:val="top"/>
                </w:tcPr>
                <w:p w14:paraId="1A0F5564">
                  <w:pPr>
                    <w:spacing w:before="214" w:line="240" w:lineRule="auto"/>
                    <w:ind w:left="262" w:leftChars="0" w:hanging="262" w:hangingChars="122"/>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14"/>
                  <w:tcBorders>
                    <w:top w:val="single" w:color="000000" w:sz="10" w:space="0"/>
                    <w:right w:val="single" w:color="000000" w:sz="10" w:space="0"/>
                  </w:tcBorders>
                  <w:vAlign w:val="top"/>
                </w:tcPr>
                <w:p w14:paraId="05AD7B99">
                  <w:pPr>
                    <w:spacing w:before="54" w:line="240" w:lineRule="auto"/>
                    <w:ind w:left="272" w:leftChars="0" w:hanging="272" w:hangingChars="122"/>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060D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39" w:hRule="atLeast"/>
              </w:trPr>
              <w:tc>
                <w:tcPr>
                  <w:tcW w:w="2386" w:type="dxa"/>
                  <w:gridSpan w:val="4"/>
                  <w:vMerge w:val="continue"/>
                  <w:tcBorders>
                    <w:top w:val="nil"/>
                    <w:left w:val="single" w:color="000000" w:sz="10" w:space="0"/>
                  </w:tcBorders>
                  <w:vAlign w:val="top"/>
                </w:tcPr>
                <w:p w14:paraId="504BBF59">
                  <w:pPr>
                    <w:spacing w:line="240" w:lineRule="auto"/>
                    <w:ind w:left="256" w:leftChars="0" w:hanging="256" w:hangingChars="122"/>
                    <w:jc w:val="center"/>
                    <w:rPr>
                      <w:rFonts w:ascii="Arial"/>
                      <w:color w:val="auto"/>
                      <w:sz w:val="21"/>
                      <w:szCs w:val="21"/>
                      <w:highlight w:val="none"/>
                    </w:rPr>
                  </w:pPr>
                </w:p>
              </w:tc>
              <w:tc>
                <w:tcPr>
                  <w:tcW w:w="647" w:type="dxa"/>
                  <w:gridSpan w:val="2"/>
                  <w:vAlign w:val="top"/>
                </w:tcPr>
                <w:p w14:paraId="482F2B31">
                  <w:pPr>
                    <w:spacing w:before="94" w:line="240" w:lineRule="auto"/>
                    <w:ind w:left="264" w:leftChars="0" w:hanging="26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1" w:type="dxa"/>
                  <w:gridSpan w:val="2"/>
                  <w:vAlign w:val="top"/>
                </w:tcPr>
                <w:p w14:paraId="201A2FFF">
                  <w:pPr>
                    <w:spacing w:before="94"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7"/>
                      <w:sz w:val="21"/>
                      <w:szCs w:val="21"/>
                      <w:highlight w:val="none"/>
                    </w:rPr>
                    <w:t>3-N</w:t>
                  </w:r>
                </w:p>
              </w:tc>
              <w:tc>
                <w:tcPr>
                  <w:tcW w:w="927" w:type="dxa"/>
                  <w:gridSpan w:val="2"/>
                  <w:vAlign w:val="top"/>
                </w:tcPr>
                <w:p w14:paraId="6E583AC1">
                  <w:pPr>
                    <w:spacing w:before="91" w:line="240" w:lineRule="auto"/>
                    <w:ind w:left="269" w:leftChars="0" w:hanging="269"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5"/>
                      <w:sz w:val="21"/>
                      <w:szCs w:val="21"/>
                      <w:highlight w:val="none"/>
                    </w:rPr>
                    <w:t>BOD</w:t>
                  </w:r>
                  <w:r>
                    <w:rPr>
                      <w:rFonts w:ascii="Times New Roman" w:hAnsi="Times New Roman" w:eastAsia="Times New Roman" w:cs="Times New Roman"/>
                      <w:b/>
                      <w:bCs/>
                      <w:color w:val="auto"/>
                      <w:spacing w:val="5"/>
                      <w:position w:val="-1"/>
                      <w:sz w:val="21"/>
                      <w:szCs w:val="21"/>
                      <w:highlight w:val="none"/>
                    </w:rPr>
                    <w:t>5</w:t>
                  </w:r>
                </w:p>
              </w:tc>
              <w:tc>
                <w:tcPr>
                  <w:tcW w:w="843" w:type="dxa"/>
                  <w:gridSpan w:val="2"/>
                  <w:vAlign w:val="top"/>
                </w:tcPr>
                <w:p w14:paraId="14955B31">
                  <w:pPr>
                    <w:spacing w:before="91" w:line="240" w:lineRule="auto"/>
                    <w:ind w:left="266" w:leftChars="0" w:hanging="26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6" w:type="dxa"/>
                  <w:gridSpan w:val="2"/>
                  <w:vAlign w:val="top"/>
                </w:tcPr>
                <w:p w14:paraId="78623291">
                  <w:pPr>
                    <w:spacing w:before="91" w:line="240" w:lineRule="auto"/>
                    <w:ind w:left="254" w:leftChars="0" w:hanging="25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6" w:type="dxa"/>
                  <w:gridSpan w:val="2"/>
                  <w:vAlign w:val="top"/>
                </w:tcPr>
                <w:p w14:paraId="79C2B6DE">
                  <w:pPr>
                    <w:spacing w:before="52" w:line="240" w:lineRule="auto"/>
                    <w:ind w:left="269" w:leftChars="0" w:hanging="269" w:hangingChars="122"/>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2" w:type="dxa"/>
                  <w:gridSpan w:val="2"/>
                  <w:tcBorders>
                    <w:right w:val="single" w:color="000000" w:sz="10" w:space="0"/>
                  </w:tcBorders>
                  <w:vAlign w:val="top"/>
                </w:tcPr>
                <w:p w14:paraId="1487170A">
                  <w:pPr>
                    <w:spacing w:before="33" w:line="240" w:lineRule="auto"/>
                    <w:ind w:left="260" w:leftChars="0" w:hanging="260" w:hangingChars="122"/>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04E7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98" w:hRule="atLeast"/>
              </w:trPr>
              <w:tc>
                <w:tcPr>
                  <w:tcW w:w="760" w:type="dxa"/>
                  <w:gridSpan w:val="2"/>
                  <w:vMerge w:val="restart"/>
                  <w:tcBorders>
                    <w:left w:val="single" w:color="000000" w:sz="10" w:space="0"/>
                    <w:bottom w:val="nil"/>
                  </w:tcBorders>
                  <w:vAlign w:val="top"/>
                </w:tcPr>
                <w:p w14:paraId="6373704B">
                  <w:pPr>
                    <w:spacing w:line="240" w:lineRule="auto"/>
                    <w:ind w:left="256" w:leftChars="0" w:hanging="256" w:hangingChars="122"/>
                    <w:jc w:val="center"/>
                    <w:rPr>
                      <w:rFonts w:ascii="Arial"/>
                      <w:color w:val="auto"/>
                      <w:sz w:val="21"/>
                      <w:szCs w:val="21"/>
                      <w:highlight w:val="none"/>
                    </w:rPr>
                  </w:pPr>
                </w:p>
                <w:p w14:paraId="01FF957F">
                  <w:pPr>
                    <w:spacing w:before="57" w:line="240" w:lineRule="auto"/>
                    <w:ind w:left="265" w:leftChars="0" w:right="250" w:hanging="265"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W3</w:t>
                  </w:r>
                  <w:r>
                    <w:rPr>
                      <w:rFonts w:ascii="宋体" w:hAnsi="宋体" w:eastAsia="宋体" w:cs="宋体"/>
                      <w:color w:val="auto"/>
                      <w:spacing w:val="3"/>
                      <w:sz w:val="21"/>
                      <w:szCs w:val="21"/>
                      <w:highlight w:val="none"/>
                    </w:rPr>
                    <w:t>（进</w:t>
                  </w:r>
                  <w:r>
                    <w:rPr>
                      <w:rFonts w:ascii="宋体" w:hAnsi="宋体" w:eastAsia="宋体" w:cs="宋体"/>
                      <w:color w:val="auto"/>
                      <w:spacing w:val="-1"/>
                      <w:sz w:val="21"/>
                      <w:szCs w:val="21"/>
                      <w:highlight w:val="none"/>
                    </w:rPr>
                    <w:t>水）</w:t>
                  </w:r>
                </w:p>
              </w:tc>
              <w:tc>
                <w:tcPr>
                  <w:tcW w:w="1626" w:type="dxa"/>
                  <w:gridSpan w:val="2"/>
                  <w:vAlign w:val="top"/>
                </w:tcPr>
                <w:p w14:paraId="666AB62B">
                  <w:pPr>
                    <w:spacing w:before="9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gridSpan w:val="2"/>
                  <w:vAlign w:val="top"/>
                </w:tcPr>
                <w:p w14:paraId="2D5B55F8">
                  <w:pPr>
                    <w:spacing w:before="13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64C04EB3">
                  <w:pPr>
                    <w:spacing w:before="130"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18.68</w:t>
                  </w:r>
                </w:p>
              </w:tc>
              <w:tc>
                <w:tcPr>
                  <w:tcW w:w="927" w:type="dxa"/>
                  <w:gridSpan w:val="2"/>
                  <w:vAlign w:val="top"/>
                </w:tcPr>
                <w:p w14:paraId="0DA74758">
                  <w:pPr>
                    <w:spacing w:before="13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29.8</w:t>
                  </w:r>
                </w:p>
              </w:tc>
              <w:tc>
                <w:tcPr>
                  <w:tcW w:w="843" w:type="dxa"/>
                  <w:gridSpan w:val="2"/>
                  <w:vAlign w:val="top"/>
                </w:tcPr>
                <w:p w14:paraId="3E5F83B5">
                  <w:pPr>
                    <w:spacing w:before="130"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676" w:type="dxa"/>
                  <w:gridSpan w:val="2"/>
                  <w:vAlign w:val="top"/>
                </w:tcPr>
                <w:p w14:paraId="383A0092">
                  <w:pPr>
                    <w:spacing w:before="131"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76" w:type="dxa"/>
                  <w:gridSpan w:val="2"/>
                  <w:vAlign w:val="top"/>
                </w:tcPr>
                <w:p w14:paraId="64C2029A">
                  <w:pPr>
                    <w:spacing w:before="13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5.54</w:t>
                  </w:r>
                </w:p>
              </w:tc>
              <w:tc>
                <w:tcPr>
                  <w:tcW w:w="692" w:type="dxa"/>
                  <w:gridSpan w:val="2"/>
                  <w:tcBorders>
                    <w:right w:val="single" w:color="000000" w:sz="10" w:space="0"/>
                  </w:tcBorders>
                  <w:vAlign w:val="top"/>
                </w:tcPr>
                <w:p w14:paraId="64F8A43B">
                  <w:pPr>
                    <w:spacing w:before="13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0.83</w:t>
                  </w:r>
                </w:p>
              </w:tc>
            </w:tr>
            <w:tr w14:paraId="1E9B7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3" w:hRule="atLeast"/>
              </w:trPr>
              <w:tc>
                <w:tcPr>
                  <w:tcW w:w="760" w:type="dxa"/>
                  <w:gridSpan w:val="2"/>
                  <w:vMerge w:val="continue"/>
                  <w:tcBorders>
                    <w:top w:val="nil"/>
                    <w:left w:val="single" w:color="000000" w:sz="10" w:space="0"/>
                    <w:bottom w:val="nil"/>
                  </w:tcBorders>
                  <w:vAlign w:val="top"/>
                </w:tcPr>
                <w:p w14:paraId="5B14A188">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3784CAD0">
                  <w:pPr>
                    <w:spacing w:before="60"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gridSpan w:val="2"/>
                  <w:vAlign w:val="top"/>
                </w:tcPr>
                <w:p w14:paraId="41C4FDAD">
                  <w:pPr>
                    <w:spacing w:before="98"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40872D49">
                  <w:pPr>
                    <w:spacing w:before="98"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16.25</w:t>
                  </w:r>
                </w:p>
              </w:tc>
              <w:tc>
                <w:tcPr>
                  <w:tcW w:w="927" w:type="dxa"/>
                  <w:gridSpan w:val="2"/>
                  <w:vAlign w:val="top"/>
                </w:tcPr>
                <w:p w14:paraId="72EDBC1C">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30.0</w:t>
                  </w:r>
                </w:p>
              </w:tc>
              <w:tc>
                <w:tcPr>
                  <w:tcW w:w="843" w:type="dxa"/>
                  <w:gridSpan w:val="2"/>
                  <w:vAlign w:val="top"/>
                </w:tcPr>
                <w:p w14:paraId="44AFD61B">
                  <w:pPr>
                    <w:spacing w:before="98"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135</w:t>
                  </w:r>
                </w:p>
              </w:tc>
              <w:tc>
                <w:tcPr>
                  <w:tcW w:w="676" w:type="dxa"/>
                  <w:gridSpan w:val="2"/>
                  <w:vAlign w:val="top"/>
                </w:tcPr>
                <w:p w14:paraId="3DB60053">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25</w:t>
                  </w:r>
                </w:p>
              </w:tc>
              <w:tc>
                <w:tcPr>
                  <w:tcW w:w="876" w:type="dxa"/>
                  <w:gridSpan w:val="2"/>
                  <w:vAlign w:val="top"/>
                </w:tcPr>
                <w:p w14:paraId="7146A988">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5.58</w:t>
                  </w:r>
                </w:p>
              </w:tc>
              <w:tc>
                <w:tcPr>
                  <w:tcW w:w="692" w:type="dxa"/>
                  <w:gridSpan w:val="2"/>
                  <w:tcBorders>
                    <w:right w:val="single" w:color="000000" w:sz="10" w:space="0"/>
                  </w:tcBorders>
                  <w:vAlign w:val="top"/>
                </w:tcPr>
                <w:p w14:paraId="1D252E14">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0.82</w:t>
                  </w:r>
                </w:p>
              </w:tc>
            </w:tr>
            <w:tr w14:paraId="3057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50" w:hRule="atLeast"/>
              </w:trPr>
              <w:tc>
                <w:tcPr>
                  <w:tcW w:w="760" w:type="dxa"/>
                  <w:gridSpan w:val="2"/>
                  <w:vMerge w:val="continue"/>
                  <w:tcBorders>
                    <w:top w:val="nil"/>
                    <w:left w:val="single" w:color="000000" w:sz="10" w:space="0"/>
                    <w:bottom w:val="nil"/>
                  </w:tcBorders>
                  <w:vAlign w:val="top"/>
                </w:tcPr>
                <w:p w14:paraId="757DA8F7">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0CF3ACB">
                  <w:pPr>
                    <w:spacing w:before="6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gridSpan w:val="2"/>
                  <w:vAlign w:val="top"/>
                </w:tcPr>
                <w:p w14:paraId="142E543C">
                  <w:pPr>
                    <w:spacing w:before="105"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91" w:type="dxa"/>
                  <w:gridSpan w:val="2"/>
                  <w:vAlign w:val="top"/>
                </w:tcPr>
                <w:p w14:paraId="5806FF02">
                  <w:pPr>
                    <w:spacing w:before="10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17.71</w:t>
                  </w:r>
                </w:p>
              </w:tc>
              <w:tc>
                <w:tcPr>
                  <w:tcW w:w="927" w:type="dxa"/>
                  <w:gridSpan w:val="2"/>
                  <w:vAlign w:val="top"/>
                </w:tcPr>
                <w:p w14:paraId="06BB461E">
                  <w:pPr>
                    <w:spacing w:before="102"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26.8</w:t>
                  </w:r>
                </w:p>
              </w:tc>
              <w:tc>
                <w:tcPr>
                  <w:tcW w:w="843" w:type="dxa"/>
                  <w:gridSpan w:val="2"/>
                  <w:vAlign w:val="top"/>
                </w:tcPr>
                <w:p w14:paraId="2F6AA80B">
                  <w:pPr>
                    <w:spacing w:before="10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133</w:t>
                  </w:r>
                </w:p>
              </w:tc>
              <w:tc>
                <w:tcPr>
                  <w:tcW w:w="676" w:type="dxa"/>
                  <w:gridSpan w:val="2"/>
                  <w:vAlign w:val="top"/>
                </w:tcPr>
                <w:p w14:paraId="137A637D">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23</w:t>
                  </w:r>
                </w:p>
              </w:tc>
              <w:tc>
                <w:tcPr>
                  <w:tcW w:w="876" w:type="dxa"/>
                  <w:gridSpan w:val="2"/>
                  <w:vAlign w:val="top"/>
                </w:tcPr>
                <w:p w14:paraId="1F3823AC">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5.34</w:t>
                  </w:r>
                </w:p>
              </w:tc>
              <w:tc>
                <w:tcPr>
                  <w:tcW w:w="692" w:type="dxa"/>
                  <w:gridSpan w:val="2"/>
                  <w:tcBorders>
                    <w:right w:val="single" w:color="000000" w:sz="10" w:space="0"/>
                  </w:tcBorders>
                  <w:vAlign w:val="top"/>
                </w:tcPr>
                <w:p w14:paraId="62319373">
                  <w:pPr>
                    <w:spacing w:before="10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0.81</w:t>
                  </w:r>
                </w:p>
              </w:tc>
            </w:tr>
            <w:tr w14:paraId="7EA9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9" w:hRule="atLeast"/>
              </w:trPr>
              <w:tc>
                <w:tcPr>
                  <w:tcW w:w="760" w:type="dxa"/>
                  <w:gridSpan w:val="2"/>
                  <w:vMerge w:val="continue"/>
                  <w:tcBorders>
                    <w:top w:val="nil"/>
                    <w:left w:val="single" w:color="000000" w:sz="10" w:space="0"/>
                    <w:bottom w:val="nil"/>
                  </w:tcBorders>
                  <w:vAlign w:val="top"/>
                </w:tcPr>
                <w:p w14:paraId="283549DF">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C1E3D9A">
                  <w:pPr>
                    <w:spacing w:before="6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gridSpan w:val="2"/>
                  <w:vAlign w:val="top"/>
                </w:tcPr>
                <w:p w14:paraId="1BB58823">
                  <w:pPr>
                    <w:spacing w:before="104"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6902517C">
                  <w:pPr>
                    <w:spacing w:before="104"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18.47</w:t>
                  </w:r>
                </w:p>
              </w:tc>
              <w:tc>
                <w:tcPr>
                  <w:tcW w:w="927" w:type="dxa"/>
                  <w:gridSpan w:val="2"/>
                  <w:vAlign w:val="top"/>
                </w:tcPr>
                <w:p w14:paraId="3566418B">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31.6</w:t>
                  </w:r>
                </w:p>
              </w:tc>
              <w:tc>
                <w:tcPr>
                  <w:tcW w:w="843" w:type="dxa"/>
                  <w:gridSpan w:val="2"/>
                  <w:vAlign w:val="top"/>
                </w:tcPr>
                <w:p w14:paraId="6412DC96">
                  <w:pPr>
                    <w:spacing w:before="104"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128</w:t>
                  </w:r>
                </w:p>
              </w:tc>
              <w:tc>
                <w:tcPr>
                  <w:tcW w:w="676" w:type="dxa"/>
                  <w:gridSpan w:val="2"/>
                  <w:vAlign w:val="top"/>
                </w:tcPr>
                <w:p w14:paraId="46B5C67C">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76" w:type="dxa"/>
                  <w:gridSpan w:val="2"/>
                  <w:vAlign w:val="top"/>
                </w:tcPr>
                <w:p w14:paraId="0ADFB5FD">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5.31</w:t>
                  </w:r>
                </w:p>
              </w:tc>
              <w:tc>
                <w:tcPr>
                  <w:tcW w:w="692" w:type="dxa"/>
                  <w:gridSpan w:val="2"/>
                  <w:tcBorders>
                    <w:right w:val="single" w:color="000000" w:sz="10" w:space="0"/>
                  </w:tcBorders>
                  <w:vAlign w:val="top"/>
                </w:tcPr>
                <w:p w14:paraId="50F27552">
                  <w:pPr>
                    <w:spacing w:before="10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0.83</w:t>
                  </w:r>
                </w:p>
              </w:tc>
            </w:tr>
            <w:tr w14:paraId="083B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52" w:hRule="atLeast"/>
              </w:trPr>
              <w:tc>
                <w:tcPr>
                  <w:tcW w:w="760" w:type="dxa"/>
                  <w:gridSpan w:val="2"/>
                  <w:vMerge w:val="continue"/>
                  <w:tcBorders>
                    <w:top w:val="nil"/>
                    <w:left w:val="single" w:color="000000" w:sz="10" w:space="0"/>
                    <w:bottom w:val="single" w:color="000000" w:sz="10" w:space="0"/>
                  </w:tcBorders>
                  <w:vAlign w:val="top"/>
                </w:tcPr>
                <w:p w14:paraId="1BB0A114">
                  <w:pPr>
                    <w:spacing w:line="240" w:lineRule="auto"/>
                    <w:ind w:left="256" w:leftChars="0" w:hanging="256" w:hangingChars="122"/>
                    <w:jc w:val="center"/>
                    <w:rPr>
                      <w:rFonts w:ascii="Arial"/>
                      <w:color w:val="auto"/>
                      <w:sz w:val="21"/>
                      <w:szCs w:val="21"/>
                      <w:highlight w:val="none"/>
                    </w:rPr>
                  </w:pPr>
                </w:p>
              </w:tc>
              <w:tc>
                <w:tcPr>
                  <w:tcW w:w="1626" w:type="dxa"/>
                  <w:gridSpan w:val="2"/>
                  <w:tcBorders>
                    <w:bottom w:val="single" w:color="000000" w:sz="10" w:space="0"/>
                  </w:tcBorders>
                  <w:vAlign w:val="top"/>
                </w:tcPr>
                <w:p w14:paraId="0462BDB2">
                  <w:pPr>
                    <w:spacing w:before="71"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gridSpan w:val="2"/>
                  <w:tcBorders>
                    <w:bottom w:val="single" w:color="000000" w:sz="10" w:space="0"/>
                  </w:tcBorders>
                  <w:vAlign w:val="top"/>
                </w:tcPr>
                <w:p w14:paraId="3F89BEC8">
                  <w:pPr>
                    <w:spacing w:before="10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w:t>
                  </w:r>
                </w:p>
              </w:tc>
              <w:tc>
                <w:tcPr>
                  <w:tcW w:w="991" w:type="dxa"/>
                  <w:gridSpan w:val="2"/>
                  <w:tcBorders>
                    <w:bottom w:val="single" w:color="000000" w:sz="10" w:space="0"/>
                  </w:tcBorders>
                  <w:vAlign w:val="top"/>
                </w:tcPr>
                <w:p w14:paraId="38D06A25">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20.07</w:t>
                  </w:r>
                </w:p>
              </w:tc>
              <w:tc>
                <w:tcPr>
                  <w:tcW w:w="927" w:type="dxa"/>
                  <w:gridSpan w:val="2"/>
                  <w:tcBorders>
                    <w:bottom w:val="single" w:color="000000" w:sz="10" w:space="0"/>
                  </w:tcBorders>
                  <w:vAlign w:val="top"/>
                </w:tcPr>
                <w:p w14:paraId="74CCEE6C">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26.3</w:t>
                  </w:r>
                </w:p>
              </w:tc>
              <w:tc>
                <w:tcPr>
                  <w:tcW w:w="843" w:type="dxa"/>
                  <w:gridSpan w:val="2"/>
                  <w:tcBorders>
                    <w:bottom w:val="single" w:color="000000" w:sz="10" w:space="0"/>
                  </w:tcBorders>
                  <w:vAlign w:val="top"/>
                </w:tcPr>
                <w:p w14:paraId="14D8B6ED">
                  <w:pPr>
                    <w:spacing w:before="107"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136</w:t>
                  </w:r>
                </w:p>
              </w:tc>
              <w:tc>
                <w:tcPr>
                  <w:tcW w:w="676" w:type="dxa"/>
                  <w:gridSpan w:val="2"/>
                  <w:tcBorders>
                    <w:bottom w:val="single" w:color="000000" w:sz="10" w:space="0"/>
                  </w:tcBorders>
                  <w:vAlign w:val="top"/>
                </w:tcPr>
                <w:p w14:paraId="7F4CE6AD">
                  <w:pPr>
                    <w:spacing w:before="10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20</w:t>
                  </w:r>
                </w:p>
              </w:tc>
              <w:tc>
                <w:tcPr>
                  <w:tcW w:w="876" w:type="dxa"/>
                  <w:gridSpan w:val="2"/>
                  <w:tcBorders>
                    <w:bottom w:val="single" w:color="000000" w:sz="10" w:space="0"/>
                  </w:tcBorders>
                  <w:vAlign w:val="top"/>
                </w:tcPr>
                <w:p w14:paraId="7491619A">
                  <w:pPr>
                    <w:spacing w:before="10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4.96</w:t>
                  </w:r>
                </w:p>
              </w:tc>
              <w:tc>
                <w:tcPr>
                  <w:tcW w:w="692" w:type="dxa"/>
                  <w:gridSpan w:val="2"/>
                  <w:tcBorders>
                    <w:bottom w:val="single" w:color="000000" w:sz="10" w:space="0"/>
                    <w:right w:val="single" w:color="000000" w:sz="10" w:space="0"/>
                  </w:tcBorders>
                  <w:vAlign w:val="top"/>
                </w:tcPr>
                <w:p w14:paraId="2EBFFF96">
                  <w:pPr>
                    <w:spacing w:before="10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0.84</w:t>
                  </w:r>
                </w:p>
              </w:tc>
            </w:tr>
            <w:tr w14:paraId="52CB5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0" w:hRule="atLeast"/>
              </w:trPr>
              <w:tc>
                <w:tcPr>
                  <w:tcW w:w="2386" w:type="dxa"/>
                  <w:gridSpan w:val="4"/>
                  <w:vMerge w:val="restart"/>
                  <w:tcBorders>
                    <w:top w:val="single" w:color="000000" w:sz="10" w:space="0"/>
                    <w:left w:val="single" w:color="000000" w:sz="10" w:space="0"/>
                    <w:bottom w:val="nil"/>
                  </w:tcBorders>
                  <w:vAlign w:val="top"/>
                </w:tcPr>
                <w:p w14:paraId="6F405848">
                  <w:pPr>
                    <w:spacing w:before="290" w:line="240" w:lineRule="auto"/>
                    <w:ind w:left="262" w:leftChars="0" w:hanging="262" w:hangingChars="122"/>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水质</w:t>
                  </w:r>
                </w:p>
              </w:tc>
              <w:tc>
                <w:tcPr>
                  <w:tcW w:w="5652" w:type="dxa"/>
                  <w:gridSpan w:val="14"/>
                  <w:tcBorders>
                    <w:top w:val="single" w:color="000000" w:sz="10" w:space="0"/>
                    <w:right w:val="single" w:color="000000" w:sz="10" w:space="0"/>
                  </w:tcBorders>
                  <w:vAlign w:val="top"/>
                </w:tcPr>
                <w:p w14:paraId="25012640">
                  <w:pPr>
                    <w:spacing w:before="129" w:line="240" w:lineRule="auto"/>
                    <w:ind w:left="272" w:leftChars="0" w:hanging="272" w:hangingChars="122"/>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监测结果（出水均值）</w:t>
                  </w:r>
                </w:p>
              </w:tc>
            </w:tr>
            <w:tr w14:paraId="4EDFD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7" w:hRule="atLeast"/>
              </w:trPr>
              <w:tc>
                <w:tcPr>
                  <w:tcW w:w="2386" w:type="dxa"/>
                  <w:gridSpan w:val="4"/>
                  <w:vMerge w:val="continue"/>
                  <w:tcBorders>
                    <w:top w:val="nil"/>
                    <w:left w:val="single" w:color="000000" w:sz="10" w:space="0"/>
                  </w:tcBorders>
                  <w:vAlign w:val="top"/>
                </w:tcPr>
                <w:p w14:paraId="7E991760">
                  <w:pPr>
                    <w:spacing w:line="240" w:lineRule="auto"/>
                    <w:ind w:left="256" w:leftChars="0" w:hanging="256" w:hangingChars="122"/>
                    <w:jc w:val="center"/>
                    <w:rPr>
                      <w:rFonts w:ascii="Arial"/>
                      <w:color w:val="auto"/>
                      <w:sz w:val="21"/>
                      <w:szCs w:val="21"/>
                      <w:highlight w:val="none"/>
                    </w:rPr>
                  </w:pPr>
                </w:p>
              </w:tc>
              <w:tc>
                <w:tcPr>
                  <w:tcW w:w="647" w:type="dxa"/>
                  <w:gridSpan w:val="2"/>
                  <w:vAlign w:val="top"/>
                </w:tcPr>
                <w:p w14:paraId="257DF3EB">
                  <w:pPr>
                    <w:spacing w:before="92" w:line="240" w:lineRule="auto"/>
                    <w:ind w:left="264" w:leftChars="0" w:hanging="26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3"/>
                      <w:sz w:val="21"/>
                      <w:szCs w:val="21"/>
                      <w:highlight w:val="none"/>
                    </w:rPr>
                    <w:t>pH</w:t>
                  </w:r>
                </w:p>
              </w:tc>
              <w:tc>
                <w:tcPr>
                  <w:tcW w:w="991" w:type="dxa"/>
                  <w:gridSpan w:val="2"/>
                  <w:vAlign w:val="top"/>
                </w:tcPr>
                <w:p w14:paraId="6AA9179F">
                  <w:pPr>
                    <w:spacing w:before="9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z w:val="21"/>
                      <w:szCs w:val="21"/>
                      <w:highlight w:val="none"/>
                    </w:rPr>
                    <w:t>NH</w:t>
                  </w:r>
                  <w:r>
                    <w:rPr>
                      <w:rFonts w:ascii="Times New Roman" w:hAnsi="Times New Roman" w:eastAsia="Times New Roman" w:cs="Times New Roman"/>
                      <w:b/>
                      <w:bCs/>
                      <w:color w:val="auto"/>
                      <w:spacing w:val="7"/>
                      <w:sz w:val="21"/>
                      <w:szCs w:val="21"/>
                      <w:highlight w:val="none"/>
                    </w:rPr>
                    <w:t>3-N</w:t>
                  </w:r>
                </w:p>
              </w:tc>
              <w:tc>
                <w:tcPr>
                  <w:tcW w:w="927" w:type="dxa"/>
                  <w:gridSpan w:val="2"/>
                  <w:vAlign w:val="top"/>
                </w:tcPr>
                <w:p w14:paraId="279766DF">
                  <w:pPr>
                    <w:spacing w:before="90" w:line="240" w:lineRule="auto"/>
                    <w:ind w:left="269" w:leftChars="0" w:hanging="269"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5"/>
                      <w:sz w:val="21"/>
                      <w:szCs w:val="21"/>
                      <w:highlight w:val="none"/>
                    </w:rPr>
                    <w:t>BOD</w:t>
                  </w:r>
                  <w:r>
                    <w:rPr>
                      <w:rFonts w:ascii="Times New Roman" w:hAnsi="Times New Roman" w:eastAsia="Times New Roman" w:cs="Times New Roman"/>
                      <w:b/>
                      <w:bCs/>
                      <w:color w:val="auto"/>
                      <w:spacing w:val="5"/>
                      <w:position w:val="-1"/>
                      <w:sz w:val="21"/>
                      <w:szCs w:val="21"/>
                      <w:highlight w:val="none"/>
                    </w:rPr>
                    <w:t>5</w:t>
                  </w:r>
                </w:p>
              </w:tc>
              <w:tc>
                <w:tcPr>
                  <w:tcW w:w="843" w:type="dxa"/>
                  <w:gridSpan w:val="2"/>
                  <w:vAlign w:val="top"/>
                </w:tcPr>
                <w:p w14:paraId="79E933F8">
                  <w:pPr>
                    <w:spacing w:before="90" w:line="240" w:lineRule="auto"/>
                    <w:ind w:left="266" w:leftChars="0" w:hanging="26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4"/>
                      <w:sz w:val="21"/>
                      <w:szCs w:val="21"/>
                      <w:highlight w:val="none"/>
                    </w:rPr>
                    <w:t>COD</w:t>
                  </w:r>
                </w:p>
              </w:tc>
              <w:tc>
                <w:tcPr>
                  <w:tcW w:w="676" w:type="dxa"/>
                  <w:gridSpan w:val="2"/>
                  <w:vAlign w:val="top"/>
                </w:tcPr>
                <w:p w14:paraId="035E2EFD">
                  <w:pPr>
                    <w:spacing w:before="90" w:line="240" w:lineRule="auto"/>
                    <w:ind w:left="254" w:leftChars="0" w:hanging="254"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b/>
                      <w:bCs/>
                      <w:color w:val="auto"/>
                      <w:spacing w:val="-1"/>
                      <w:sz w:val="21"/>
                      <w:szCs w:val="21"/>
                      <w:highlight w:val="none"/>
                    </w:rPr>
                    <w:t>SS</w:t>
                  </w:r>
                </w:p>
              </w:tc>
              <w:tc>
                <w:tcPr>
                  <w:tcW w:w="876" w:type="dxa"/>
                  <w:gridSpan w:val="2"/>
                  <w:vAlign w:val="top"/>
                </w:tcPr>
                <w:p w14:paraId="381BB5B9">
                  <w:pPr>
                    <w:spacing w:before="51" w:line="240" w:lineRule="auto"/>
                    <w:ind w:left="269" w:leftChars="0" w:hanging="269" w:hangingChars="122"/>
                    <w:jc w:val="center"/>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石油类</w:t>
                  </w:r>
                </w:p>
              </w:tc>
              <w:tc>
                <w:tcPr>
                  <w:tcW w:w="692" w:type="dxa"/>
                  <w:gridSpan w:val="2"/>
                  <w:tcBorders>
                    <w:right w:val="single" w:color="000000" w:sz="10" w:space="0"/>
                  </w:tcBorders>
                  <w:vAlign w:val="top"/>
                </w:tcPr>
                <w:p w14:paraId="13CBE025">
                  <w:pPr>
                    <w:spacing w:before="32" w:line="240" w:lineRule="auto"/>
                    <w:ind w:left="260" w:leftChars="0" w:hanging="260" w:hangingChars="122"/>
                    <w:jc w:val="center"/>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总磷</w:t>
                  </w:r>
                </w:p>
              </w:tc>
            </w:tr>
            <w:tr w14:paraId="2C48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4" w:hRule="atLeast"/>
              </w:trPr>
              <w:tc>
                <w:tcPr>
                  <w:tcW w:w="760" w:type="dxa"/>
                  <w:gridSpan w:val="2"/>
                  <w:vMerge w:val="restart"/>
                  <w:tcBorders>
                    <w:left w:val="single" w:color="000000" w:sz="10" w:space="0"/>
                    <w:bottom w:val="nil"/>
                  </w:tcBorders>
                  <w:vAlign w:val="top"/>
                </w:tcPr>
                <w:p w14:paraId="3A25E3A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4BD5E333">
                  <w:pPr>
                    <w:spacing w:before="5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gridSpan w:val="2"/>
                  <w:vAlign w:val="top"/>
                </w:tcPr>
                <w:p w14:paraId="61881703">
                  <w:pPr>
                    <w:spacing w:before="9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4B0E5A3B">
                  <w:pPr>
                    <w:spacing w:before="90"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17.22</w:t>
                  </w:r>
                </w:p>
              </w:tc>
              <w:tc>
                <w:tcPr>
                  <w:tcW w:w="927" w:type="dxa"/>
                  <w:gridSpan w:val="2"/>
                  <w:vAlign w:val="top"/>
                </w:tcPr>
                <w:p w14:paraId="65CE4080">
                  <w:pPr>
                    <w:spacing w:before="9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27.5</w:t>
                  </w:r>
                </w:p>
              </w:tc>
              <w:tc>
                <w:tcPr>
                  <w:tcW w:w="843" w:type="dxa"/>
                  <w:gridSpan w:val="2"/>
                  <w:vAlign w:val="top"/>
                </w:tcPr>
                <w:p w14:paraId="147F2F0B">
                  <w:pPr>
                    <w:spacing w:before="90"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137</w:t>
                  </w:r>
                </w:p>
              </w:tc>
              <w:tc>
                <w:tcPr>
                  <w:tcW w:w="676" w:type="dxa"/>
                  <w:gridSpan w:val="2"/>
                  <w:vAlign w:val="top"/>
                </w:tcPr>
                <w:p w14:paraId="78719D25">
                  <w:pPr>
                    <w:spacing w:before="9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25</w:t>
                  </w:r>
                </w:p>
              </w:tc>
              <w:tc>
                <w:tcPr>
                  <w:tcW w:w="876" w:type="dxa"/>
                  <w:gridSpan w:val="2"/>
                  <w:vAlign w:val="top"/>
                </w:tcPr>
                <w:p w14:paraId="6EC91FAE">
                  <w:pPr>
                    <w:spacing w:before="9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4.84</w:t>
                  </w:r>
                </w:p>
              </w:tc>
              <w:tc>
                <w:tcPr>
                  <w:tcW w:w="692" w:type="dxa"/>
                  <w:gridSpan w:val="2"/>
                  <w:tcBorders>
                    <w:right w:val="single" w:color="000000" w:sz="10" w:space="0"/>
                  </w:tcBorders>
                  <w:vAlign w:val="top"/>
                </w:tcPr>
                <w:p w14:paraId="69CB5FEC">
                  <w:pPr>
                    <w:spacing w:before="9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r>
            <w:tr w14:paraId="5B4DF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0" w:hRule="atLeast"/>
              </w:trPr>
              <w:tc>
                <w:tcPr>
                  <w:tcW w:w="760" w:type="dxa"/>
                  <w:gridSpan w:val="2"/>
                  <w:vMerge w:val="continue"/>
                  <w:tcBorders>
                    <w:top w:val="nil"/>
                    <w:left w:val="single" w:color="000000" w:sz="10" w:space="0"/>
                    <w:bottom w:val="nil"/>
                  </w:tcBorders>
                  <w:vAlign w:val="top"/>
                </w:tcPr>
                <w:p w14:paraId="254930E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99EC1C5">
                  <w:pPr>
                    <w:spacing w:before="5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gridSpan w:val="2"/>
                  <w:vAlign w:val="top"/>
                </w:tcPr>
                <w:p w14:paraId="6C213731">
                  <w:pPr>
                    <w:spacing w:before="95"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w:t>
                  </w:r>
                </w:p>
              </w:tc>
              <w:tc>
                <w:tcPr>
                  <w:tcW w:w="991" w:type="dxa"/>
                  <w:gridSpan w:val="2"/>
                  <w:vAlign w:val="top"/>
                </w:tcPr>
                <w:p w14:paraId="13FB82FF">
                  <w:pPr>
                    <w:spacing w:before="9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16.18</w:t>
                  </w:r>
                </w:p>
              </w:tc>
              <w:tc>
                <w:tcPr>
                  <w:tcW w:w="927" w:type="dxa"/>
                  <w:gridSpan w:val="2"/>
                  <w:vAlign w:val="top"/>
                </w:tcPr>
                <w:p w14:paraId="19A88416">
                  <w:pPr>
                    <w:spacing w:before="92"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28.3</w:t>
                  </w:r>
                </w:p>
              </w:tc>
              <w:tc>
                <w:tcPr>
                  <w:tcW w:w="843" w:type="dxa"/>
                  <w:gridSpan w:val="2"/>
                  <w:vAlign w:val="top"/>
                </w:tcPr>
                <w:p w14:paraId="5656DEB5">
                  <w:pPr>
                    <w:spacing w:before="9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130</w:t>
                  </w:r>
                </w:p>
              </w:tc>
              <w:tc>
                <w:tcPr>
                  <w:tcW w:w="676" w:type="dxa"/>
                  <w:gridSpan w:val="2"/>
                  <w:vAlign w:val="top"/>
                </w:tcPr>
                <w:p w14:paraId="5F4B006E">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22</w:t>
                  </w:r>
                </w:p>
              </w:tc>
              <w:tc>
                <w:tcPr>
                  <w:tcW w:w="876" w:type="dxa"/>
                  <w:gridSpan w:val="2"/>
                  <w:vAlign w:val="top"/>
                </w:tcPr>
                <w:p w14:paraId="50210A1F">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5.54</w:t>
                  </w:r>
                </w:p>
              </w:tc>
              <w:tc>
                <w:tcPr>
                  <w:tcW w:w="692" w:type="dxa"/>
                  <w:gridSpan w:val="2"/>
                  <w:tcBorders>
                    <w:right w:val="single" w:color="000000" w:sz="10" w:space="0"/>
                  </w:tcBorders>
                  <w:vAlign w:val="top"/>
                </w:tcPr>
                <w:p w14:paraId="254B7449">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0.82</w:t>
                  </w:r>
                </w:p>
              </w:tc>
            </w:tr>
            <w:tr w14:paraId="4C6B5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37" w:hRule="atLeast"/>
              </w:trPr>
              <w:tc>
                <w:tcPr>
                  <w:tcW w:w="760" w:type="dxa"/>
                  <w:gridSpan w:val="2"/>
                  <w:vMerge w:val="continue"/>
                  <w:tcBorders>
                    <w:top w:val="nil"/>
                    <w:left w:val="single" w:color="000000" w:sz="10" w:space="0"/>
                  </w:tcBorders>
                  <w:vAlign w:val="top"/>
                </w:tcPr>
                <w:p w14:paraId="49222AB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476836F1">
                  <w:pPr>
                    <w:spacing w:before="56"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gridSpan w:val="2"/>
                  <w:vAlign w:val="top"/>
                </w:tcPr>
                <w:p w14:paraId="026FE783">
                  <w:pPr>
                    <w:spacing w:before="92"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7.4</w:t>
                  </w:r>
                </w:p>
              </w:tc>
              <w:tc>
                <w:tcPr>
                  <w:tcW w:w="991" w:type="dxa"/>
                  <w:gridSpan w:val="2"/>
                  <w:vAlign w:val="top"/>
                </w:tcPr>
                <w:p w14:paraId="73B1FFD1">
                  <w:pPr>
                    <w:spacing w:before="92" w:line="240" w:lineRule="auto"/>
                    <w:ind w:left="253" w:leftChars="0" w:hanging="25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16.67</w:t>
                  </w:r>
                </w:p>
              </w:tc>
              <w:tc>
                <w:tcPr>
                  <w:tcW w:w="927" w:type="dxa"/>
                  <w:gridSpan w:val="2"/>
                  <w:vAlign w:val="top"/>
                </w:tcPr>
                <w:p w14:paraId="0D633893">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31.5</w:t>
                  </w:r>
                </w:p>
              </w:tc>
              <w:tc>
                <w:tcPr>
                  <w:tcW w:w="843" w:type="dxa"/>
                  <w:gridSpan w:val="2"/>
                  <w:vAlign w:val="top"/>
                </w:tcPr>
                <w:p w14:paraId="46C5175C">
                  <w:pPr>
                    <w:spacing w:before="92" w:line="240" w:lineRule="auto"/>
                    <w:ind w:left="248" w:leftChars="0" w:hanging="24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133</w:t>
                  </w:r>
                </w:p>
              </w:tc>
              <w:tc>
                <w:tcPr>
                  <w:tcW w:w="676" w:type="dxa"/>
                  <w:gridSpan w:val="2"/>
                  <w:vAlign w:val="top"/>
                </w:tcPr>
                <w:p w14:paraId="07138C5C">
                  <w:pPr>
                    <w:spacing w:before="93"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21</w:t>
                  </w:r>
                </w:p>
              </w:tc>
              <w:tc>
                <w:tcPr>
                  <w:tcW w:w="876" w:type="dxa"/>
                  <w:gridSpan w:val="2"/>
                  <w:vAlign w:val="top"/>
                </w:tcPr>
                <w:p w14:paraId="54837E2E">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5.23</w:t>
                  </w:r>
                </w:p>
              </w:tc>
              <w:tc>
                <w:tcPr>
                  <w:tcW w:w="692" w:type="dxa"/>
                  <w:gridSpan w:val="2"/>
                  <w:tcBorders>
                    <w:right w:val="single" w:color="000000" w:sz="10" w:space="0"/>
                  </w:tcBorders>
                  <w:vAlign w:val="top"/>
                </w:tcPr>
                <w:p w14:paraId="6A7954B4">
                  <w:pPr>
                    <w:spacing w:before="92"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0.85</w:t>
                  </w:r>
                </w:p>
              </w:tc>
            </w:tr>
            <w:tr w14:paraId="4F3B1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1" w:hRule="atLeast"/>
              </w:trPr>
              <w:tc>
                <w:tcPr>
                  <w:tcW w:w="760" w:type="dxa"/>
                  <w:gridSpan w:val="2"/>
                  <w:vMerge w:val="restart"/>
                  <w:tcBorders>
                    <w:left w:val="single" w:color="000000" w:sz="10" w:space="0"/>
                    <w:bottom w:val="nil"/>
                  </w:tcBorders>
                  <w:vAlign w:val="top"/>
                </w:tcPr>
                <w:p w14:paraId="2C7F7C7A">
                  <w:pPr>
                    <w:spacing w:line="240" w:lineRule="auto"/>
                    <w:ind w:left="256" w:leftChars="0" w:hanging="256" w:hangingChars="122"/>
                    <w:jc w:val="center"/>
                    <w:rPr>
                      <w:rFonts w:ascii="Arial"/>
                      <w:color w:val="auto"/>
                      <w:sz w:val="21"/>
                      <w:szCs w:val="21"/>
                      <w:highlight w:val="none"/>
                    </w:rPr>
                  </w:pPr>
                </w:p>
                <w:p w14:paraId="4AE8DA26">
                  <w:pPr>
                    <w:spacing w:line="240" w:lineRule="auto"/>
                    <w:ind w:left="256" w:leftChars="0" w:hanging="256" w:hangingChars="122"/>
                    <w:jc w:val="center"/>
                    <w:rPr>
                      <w:rFonts w:ascii="Arial"/>
                      <w:color w:val="auto"/>
                      <w:sz w:val="21"/>
                      <w:szCs w:val="21"/>
                      <w:highlight w:val="none"/>
                    </w:rPr>
                  </w:pPr>
                </w:p>
                <w:p w14:paraId="50EBF43E">
                  <w:pPr>
                    <w:spacing w:line="240" w:lineRule="auto"/>
                    <w:ind w:left="256" w:leftChars="0" w:hanging="256" w:hangingChars="122"/>
                    <w:jc w:val="center"/>
                    <w:rPr>
                      <w:rFonts w:ascii="Arial"/>
                      <w:color w:val="auto"/>
                      <w:sz w:val="21"/>
                      <w:szCs w:val="21"/>
                      <w:highlight w:val="none"/>
                    </w:rPr>
                  </w:pPr>
                </w:p>
                <w:p w14:paraId="5E544B91">
                  <w:pPr>
                    <w:spacing w:before="57" w:line="240" w:lineRule="auto"/>
                    <w:ind w:left="265" w:leftChars="0" w:right="250" w:hanging="265"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W4</w:t>
                  </w:r>
                  <w:r>
                    <w:rPr>
                      <w:rFonts w:ascii="宋体" w:hAnsi="宋体" w:eastAsia="宋体" w:cs="宋体"/>
                      <w:color w:val="auto"/>
                      <w:spacing w:val="3"/>
                      <w:sz w:val="21"/>
                      <w:szCs w:val="21"/>
                      <w:highlight w:val="none"/>
                    </w:rPr>
                    <w:t>（出</w:t>
                  </w:r>
                  <w:r>
                    <w:rPr>
                      <w:rFonts w:ascii="宋体" w:hAnsi="宋体" w:eastAsia="宋体" w:cs="宋体"/>
                      <w:color w:val="auto"/>
                      <w:spacing w:val="-1"/>
                      <w:sz w:val="21"/>
                      <w:szCs w:val="21"/>
                      <w:highlight w:val="none"/>
                    </w:rPr>
                    <w:t>水）</w:t>
                  </w:r>
                </w:p>
              </w:tc>
              <w:tc>
                <w:tcPr>
                  <w:tcW w:w="1626" w:type="dxa"/>
                  <w:gridSpan w:val="2"/>
                  <w:vAlign w:val="top"/>
                </w:tcPr>
                <w:p w14:paraId="48D0F530">
                  <w:pPr>
                    <w:spacing w:before="57"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日第一次</w:t>
                  </w:r>
                </w:p>
              </w:tc>
              <w:tc>
                <w:tcPr>
                  <w:tcW w:w="647" w:type="dxa"/>
                  <w:gridSpan w:val="2"/>
                  <w:vAlign w:val="top"/>
                </w:tcPr>
                <w:p w14:paraId="2ACFFBD7">
                  <w:pPr>
                    <w:spacing w:before="93"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1" w:type="dxa"/>
                  <w:gridSpan w:val="2"/>
                  <w:vAlign w:val="top"/>
                </w:tcPr>
                <w:p w14:paraId="0BA22BD2">
                  <w:pPr>
                    <w:spacing w:before="93"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4.45</w:t>
                  </w:r>
                </w:p>
              </w:tc>
              <w:tc>
                <w:tcPr>
                  <w:tcW w:w="927" w:type="dxa"/>
                  <w:gridSpan w:val="2"/>
                  <w:vAlign w:val="top"/>
                </w:tcPr>
                <w:p w14:paraId="73A83D70">
                  <w:pPr>
                    <w:spacing w:before="93" w:line="240" w:lineRule="auto"/>
                    <w:ind w:left="241" w:leftChars="0" w:hanging="24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w:t>
                  </w:r>
                </w:p>
              </w:tc>
              <w:tc>
                <w:tcPr>
                  <w:tcW w:w="843" w:type="dxa"/>
                  <w:gridSpan w:val="2"/>
                  <w:vAlign w:val="top"/>
                </w:tcPr>
                <w:p w14:paraId="03621F84">
                  <w:pPr>
                    <w:spacing w:before="9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70D6D4D8">
                  <w:pPr>
                    <w:spacing w:before="96"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6" w:type="dxa"/>
                  <w:gridSpan w:val="2"/>
                  <w:vAlign w:val="top"/>
                </w:tcPr>
                <w:p w14:paraId="4502BA6E">
                  <w:pPr>
                    <w:spacing w:before="93"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0.53</w:t>
                  </w:r>
                </w:p>
              </w:tc>
              <w:tc>
                <w:tcPr>
                  <w:tcW w:w="692" w:type="dxa"/>
                  <w:gridSpan w:val="2"/>
                  <w:tcBorders>
                    <w:right w:val="single" w:color="000000" w:sz="10" w:space="0"/>
                  </w:tcBorders>
                  <w:vAlign w:val="top"/>
                </w:tcPr>
                <w:p w14:paraId="2A997099">
                  <w:pPr>
                    <w:spacing w:before="93"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3E8A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2" w:hRule="atLeast"/>
              </w:trPr>
              <w:tc>
                <w:tcPr>
                  <w:tcW w:w="760" w:type="dxa"/>
                  <w:gridSpan w:val="2"/>
                  <w:vMerge w:val="continue"/>
                  <w:tcBorders>
                    <w:top w:val="nil"/>
                    <w:left w:val="single" w:color="000000" w:sz="10" w:space="0"/>
                    <w:bottom w:val="nil"/>
                  </w:tcBorders>
                  <w:vAlign w:val="top"/>
                </w:tcPr>
                <w:p w14:paraId="6D422573">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64A542E3">
                  <w:pPr>
                    <w:spacing w:before="57"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日第二次</w:t>
                  </w:r>
                </w:p>
              </w:tc>
              <w:tc>
                <w:tcPr>
                  <w:tcW w:w="647" w:type="dxa"/>
                  <w:gridSpan w:val="2"/>
                  <w:vAlign w:val="top"/>
                </w:tcPr>
                <w:p w14:paraId="4871E304">
                  <w:pPr>
                    <w:spacing w:before="9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3DA502DD">
                  <w:pPr>
                    <w:spacing w:before="94"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4.04</w:t>
                  </w:r>
                </w:p>
              </w:tc>
              <w:tc>
                <w:tcPr>
                  <w:tcW w:w="927" w:type="dxa"/>
                  <w:gridSpan w:val="2"/>
                  <w:vAlign w:val="top"/>
                </w:tcPr>
                <w:p w14:paraId="14004E7D">
                  <w:pPr>
                    <w:spacing w:before="94"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w:t>
                  </w:r>
                </w:p>
              </w:tc>
              <w:tc>
                <w:tcPr>
                  <w:tcW w:w="843" w:type="dxa"/>
                  <w:gridSpan w:val="2"/>
                  <w:vAlign w:val="top"/>
                </w:tcPr>
                <w:p w14:paraId="068E5FB5">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676" w:type="dxa"/>
                  <w:gridSpan w:val="2"/>
                  <w:vAlign w:val="top"/>
                </w:tcPr>
                <w:p w14:paraId="7739F7B0">
                  <w:pPr>
                    <w:spacing w:before="94"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310885EE">
                  <w:pPr>
                    <w:spacing w:before="9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0.59</w:t>
                  </w:r>
                </w:p>
              </w:tc>
              <w:tc>
                <w:tcPr>
                  <w:tcW w:w="692" w:type="dxa"/>
                  <w:gridSpan w:val="2"/>
                  <w:tcBorders>
                    <w:right w:val="single" w:color="000000" w:sz="10" w:space="0"/>
                  </w:tcBorders>
                  <w:vAlign w:val="top"/>
                </w:tcPr>
                <w:p w14:paraId="1F71D35E">
                  <w:pPr>
                    <w:spacing w:before="94"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r>
            <w:tr w14:paraId="6CDB1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2" w:hRule="atLeast"/>
              </w:trPr>
              <w:tc>
                <w:tcPr>
                  <w:tcW w:w="760" w:type="dxa"/>
                  <w:gridSpan w:val="2"/>
                  <w:vMerge w:val="continue"/>
                  <w:tcBorders>
                    <w:top w:val="nil"/>
                    <w:left w:val="single" w:color="000000" w:sz="10" w:space="0"/>
                    <w:bottom w:val="nil"/>
                  </w:tcBorders>
                  <w:vAlign w:val="top"/>
                </w:tcPr>
                <w:p w14:paraId="434EA635">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6EA5DC22">
                  <w:pPr>
                    <w:spacing w:before="5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日第三次</w:t>
                  </w:r>
                </w:p>
              </w:tc>
              <w:tc>
                <w:tcPr>
                  <w:tcW w:w="647" w:type="dxa"/>
                  <w:gridSpan w:val="2"/>
                  <w:vAlign w:val="top"/>
                </w:tcPr>
                <w:p w14:paraId="59A2392C">
                  <w:pPr>
                    <w:spacing w:before="9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1" w:type="dxa"/>
                  <w:gridSpan w:val="2"/>
                  <w:vAlign w:val="top"/>
                </w:tcPr>
                <w:p w14:paraId="3094D577">
                  <w:pPr>
                    <w:spacing w:before="9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4.21</w:t>
                  </w:r>
                </w:p>
              </w:tc>
              <w:tc>
                <w:tcPr>
                  <w:tcW w:w="927" w:type="dxa"/>
                  <w:gridSpan w:val="2"/>
                  <w:vAlign w:val="top"/>
                </w:tcPr>
                <w:p w14:paraId="3E800A27">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5CB92E8C">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4FF5A207">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1DA22584">
                  <w:pPr>
                    <w:spacing w:before="9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0.66</w:t>
                  </w:r>
                </w:p>
              </w:tc>
              <w:tc>
                <w:tcPr>
                  <w:tcW w:w="692" w:type="dxa"/>
                  <w:gridSpan w:val="2"/>
                  <w:tcBorders>
                    <w:right w:val="single" w:color="000000" w:sz="10" w:space="0"/>
                  </w:tcBorders>
                  <w:vAlign w:val="top"/>
                </w:tcPr>
                <w:p w14:paraId="55DA4618">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0.12</w:t>
                  </w:r>
                </w:p>
              </w:tc>
            </w:tr>
            <w:tr w14:paraId="09D6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5" w:hRule="atLeast"/>
              </w:trPr>
              <w:tc>
                <w:tcPr>
                  <w:tcW w:w="760" w:type="dxa"/>
                  <w:gridSpan w:val="2"/>
                  <w:vMerge w:val="continue"/>
                  <w:tcBorders>
                    <w:top w:val="nil"/>
                    <w:left w:val="single" w:color="000000" w:sz="10" w:space="0"/>
                    <w:bottom w:val="nil"/>
                  </w:tcBorders>
                  <w:vAlign w:val="top"/>
                </w:tcPr>
                <w:p w14:paraId="2AC32FB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088E7439">
                  <w:pPr>
                    <w:spacing w:before="58"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日第四次</w:t>
                  </w:r>
                </w:p>
              </w:tc>
              <w:tc>
                <w:tcPr>
                  <w:tcW w:w="647" w:type="dxa"/>
                  <w:gridSpan w:val="2"/>
                  <w:vAlign w:val="top"/>
                </w:tcPr>
                <w:p w14:paraId="158CA980">
                  <w:pPr>
                    <w:spacing w:before="10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185160FD">
                  <w:pPr>
                    <w:spacing w:before="9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4.39</w:t>
                  </w:r>
                </w:p>
              </w:tc>
              <w:tc>
                <w:tcPr>
                  <w:tcW w:w="927" w:type="dxa"/>
                  <w:gridSpan w:val="2"/>
                  <w:vAlign w:val="top"/>
                </w:tcPr>
                <w:p w14:paraId="67865152">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22F01A92">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0E4BF98C">
                  <w:pPr>
                    <w:spacing w:before="97"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876" w:type="dxa"/>
                  <w:gridSpan w:val="2"/>
                  <w:vAlign w:val="top"/>
                </w:tcPr>
                <w:p w14:paraId="1F724562">
                  <w:pPr>
                    <w:spacing w:before="97"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0.74</w:t>
                  </w:r>
                </w:p>
              </w:tc>
              <w:tc>
                <w:tcPr>
                  <w:tcW w:w="692" w:type="dxa"/>
                  <w:gridSpan w:val="2"/>
                  <w:tcBorders>
                    <w:right w:val="single" w:color="000000" w:sz="10" w:space="0"/>
                  </w:tcBorders>
                  <w:vAlign w:val="top"/>
                </w:tcPr>
                <w:p w14:paraId="09153827">
                  <w:pPr>
                    <w:spacing w:before="97"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270E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6" w:hRule="atLeast"/>
              </w:trPr>
              <w:tc>
                <w:tcPr>
                  <w:tcW w:w="760" w:type="dxa"/>
                  <w:gridSpan w:val="2"/>
                  <w:vMerge w:val="continue"/>
                  <w:tcBorders>
                    <w:top w:val="nil"/>
                    <w:left w:val="single" w:color="000000" w:sz="10" w:space="0"/>
                    <w:bottom w:val="nil"/>
                  </w:tcBorders>
                  <w:vAlign w:val="top"/>
                </w:tcPr>
                <w:p w14:paraId="2F94A03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2CAAC9E5">
                  <w:pPr>
                    <w:spacing w:before="62"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日第一次</w:t>
                  </w:r>
                </w:p>
              </w:tc>
              <w:tc>
                <w:tcPr>
                  <w:tcW w:w="647" w:type="dxa"/>
                  <w:gridSpan w:val="2"/>
                  <w:vAlign w:val="top"/>
                </w:tcPr>
                <w:p w14:paraId="010304EA">
                  <w:pPr>
                    <w:spacing w:before="98"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7.6</w:t>
                  </w:r>
                </w:p>
              </w:tc>
              <w:tc>
                <w:tcPr>
                  <w:tcW w:w="991" w:type="dxa"/>
                  <w:gridSpan w:val="2"/>
                  <w:vAlign w:val="top"/>
                </w:tcPr>
                <w:p w14:paraId="2961D5DF">
                  <w:pPr>
                    <w:spacing w:before="98"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4.29</w:t>
                  </w:r>
                </w:p>
              </w:tc>
              <w:tc>
                <w:tcPr>
                  <w:tcW w:w="927" w:type="dxa"/>
                  <w:gridSpan w:val="2"/>
                  <w:vAlign w:val="top"/>
                </w:tcPr>
                <w:p w14:paraId="462C4760">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2810B31C">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676" w:type="dxa"/>
                  <w:gridSpan w:val="2"/>
                  <w:vAlign w:val="top"/>
                </w:tcPr>
                <w:p w14:paraId="37A4F7A9">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6" w:type="dxa"/>
                  <w:gridSpan w:val="2"/>
                  <w:vAlign w:val="top"/>
                </w:tcPr>
                <w:p w14:paraId="7EC72795">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0.72</w:t>
                  </w:r>
                </w:p>
              </w:tc>
              <w:tc>
                <w:tcPr>
                  <w:tcW w:w="692" w:type="dxa"/>
                  <w:gridSpan w:val="2"/>
                  <w:tcBorders>
                    <w:right w:val="single" w:color="000000" w:sz="10" w:space="0"/>
                  </w:tcBorders>
                  <w:vAlign w:val="top"/>
                </w:tcPr>
                <w:p w14:paraId="734C09B5">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0.13</w:t>
                  </w:r>
                </w:p>
              </w:tc>
            </w:tr>
            <w:tr w14:paraId="3A00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6" w:hRule="atLeast"/>
              </w:trPr>
              <w:tc>
                <w:tcPr>
                  <w:tcW w:w="760" w:type="dxa"/>
                  <w:gridSpan w:val="2"/>
                  <w:vMerge w:val="continue"/>
                  <w:tcBorders>
                    <w:top w:val="nil"/>
                    <w:left w:val="single" w:color="000000" w:sz="10" w:space="0"/>
                    <w:bottom w:val="nil"/>
                  </w:tcBorders>
                  <w:vAlign w:val="top"/>
                </w:tcPr>
                <w:p w14:paraId="42BA5804">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7345B66">
                  <w:pPr>
                    <w:spacing w:before="63"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日第二次</w:t>
                  </w:r>
                </w:p>
              </w:tc>
              <w:tc>
                <w:tcPr>
                  <w:tcW w:w="647" w:type="dxa"/>
                  <w:gridSpan w:val="2"/>
                  <w:vAlign w:val="top"/>
                </w:tcPr>
                <w:p w14:paraId="06E9C128">
                  <w:pPr>
                    <w:spacing w:before="101"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44DBA8FE">
                  <w:pPr>
                    <w:spacing w:before="98"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4.22</w:t>
                  </w:r>
                </w:p>
              </w:tc>
              <w:tc>
                <w:tcPr>
                  <w:tcW w:w="927" w:type="dxa"/>
                  <w:gridSpan w:val="2"/>
                  <w:vAlign w:val="top"/>
                </w:tcPr>
                <w:p w14:paraId="5C83FD00">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w:t>
                  </w:r>
                </w:p>
              </w:tc>
              <w:tc>
                <w:tcPr>
                  <w:tcW w:w="843" w:type="dxa"/>
                  <w:gridSpan w:val="2"/>
                  <w:vAlign w:val="top"/>
                </w:tcPr>
                <w:p w14:paraId="4144BA58">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676" w:type="dxa"/>
                  <w:gridSpan w:val="2"/>
                  <w:vAlign w:val="top"/>
                </w:tcPr>
                <w:p w14:paraId="478266B8">
                  <w:pPr>
                    <w:spacing w:before="101"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876" w:type="dxa"/>
                  <w:gridSpan w:val="2"/>
                  <w:vAlign w:val="top"/>
                </w:tcPr>
                <w:p w14:paraId="7EF22DB4">
                  <w:pPr>
                    <w:spacing w:before="98"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0.70</w:t>
                  </w:r>
                </w:p>
              </w:tc>
              <w:tc>
                <w:tcPr>
                  <w:tcW w:w="692" w:type="dxa"/>
                  <w:gridSpan w:val="2"/>
                  <w:tcBorders>
                    <w:right w:val="single" w:color="000000" w:sz="10" w:space="0"/>
                  </w:tcBorders>
                  <w:vAlign w:val="top"/>
                </w:tcPr>
                <w:p w14:paraId="3025E45A">
                  <w:pPr>
                    <w:spacing w:before="98"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6620D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4" w:hRule="atLeast"/>
              </w:trPr>
              <w:tc>
                <w:tcPr>
                  <w:tcW w:w="760" w:type="dxa"/>
                  <w:gridSpan w:val="2"/>
                  <w:vMerge w:val="continue"/>
                  <w:tcBorders>
                    <w:top w:val="nil"/>
                    <w:left w:val="single" w:color="000000" w:sz="10" w:space="0"/>
                    <w:bottom w:val="nil"/>
                  </w:tcBorders>
                  <w:vAlign w:val="top"/>
                </w:tcPr>
                <w:p w14:paraId="68D69BAC">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7527165E">
                  <w:pPr>
                    <w:spacing w:before="63"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日第三次</w:t>
                  </w:r>
                </w:p>
              </w:tc>
              <w:tc>
                <w:tcPr>
                  <w:tcW w:w="647" w:type="dxa"/>
                  <w:gridSpan w:val="2"/>
                  <w:vAlign w:val="top"/>
                </w:tcPr>
                <w:p w14:paraId="646F87A6">
                  <w:pPr>
                    <w:spacing w:before="99"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7.8</w:t>
                  </w:r>
                </w:p>
              </w:tc>
              <w:tc>
                <w:tcPr>
                  <w:tcW w:w="991" w:type="dxa"/>
                  <w:gridSpan w:val="2"/>
                  <w:vAlign w:val="top"/>
                </w:tcPr>
                <w:p w14:paraId="7F7829D0">
                  <w:pPr>
                    <w:spacing w:before="99"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4.57</w:t>
                  </w:r>
                </w:p>
              </w:tc>
              <w:tc>
                <w:tcPr>
                  <w:tcW w:w="927" w:type="dxa"/>
                  <w:gridSpan w:val="2"/>
                  <w:vAlign w:val="top"/>
                </w:tcPr>
                <w:p w14:paraId="5B1A80B8">
                  <w:pPr>
                    <w:spacing w:before="99" w:line="240" w:lineRule="auto"/>
                    <w:ind w:left="241" w:leftChars="0" w:hanging="24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w:t>
                  </w:r>
                </w:p>
              </w:tc>
              <w:tc>
                <w:tcPr>
                  <w:tcW w:w="843" w:type="dxa"/>
                  <w:gridSpan w:val="2"/>
                  <w:vAlign w:val="top"/>
                </w:tcPr>
                <w:p w14:paraId="27D67AE3">
                  <w:pPr>
                    <w:spacing w:before="99"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5108A705">
                  <w:pPr>
                    <w:spacing w:before="99"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876" w:type="dxa"/>
                  <w:gridSpan w:val="2"/>
                  <w:vAlign w:val="top"/>
                </w:tcPr>
                <w:p w14:paraId="6605494E">
                  <w:pPr>
                    <w:spacing w:before="99"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0.69</w:t>
                  </w:r>
                </w:p>
              </w:tc>
              <w:tc>
                <w:tcPr>
                  <w:tcW w:w="692" w:type="dxa"/>
                  <w:gridSpan w:val="2"/>
                  <w:tcBorders>
                    <w:right w:val="single" w:color="000000" w:sz="10" w:space="0"/>
                  </w:tcBorders>
                  <w:vAlign w:val="top"/>
                </w:tcPr>
                <w:p w14:paraId="7F618E8C">
                  <w:pPr>
                    <w:spacing w:before="99"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0.16</w:t>
                  </w:r>
                </w:p>
              </w:tc>
            </w:tr>
            <w:tr w14:paraId="330CE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348" w:hRule="atLeast"/>
              </w:trPr>
              <w:tc>
                <w:tcPr>
                  <w:tcW w:w="760" w:type="dxa"/>
                  <w:gridSpan w:val="2"/>
                  <w:vMerge w:val="continue"/>
                  <w:tcBorders>
                    <w:top w:val="nil"/>
                    <w:left w:val="single" w:color="000000" w:sz="10" w:space="0"/>
                  </w:tcBorders>
                  <w:vAlign w:val="top"/>
                </w:tcPr>
                <w:p w14:paraId="71C05AC1">
                  <w:pPr>
                    <w:spacing w:line="240" w:lineRule="auto"/>
                    <w:ind w:left="256" w:leftChars="0" w:hanging="256" w:hangingChars="122"/>
                    <w:jc w:val="center"/>
                    <w:rPr>
                      <w:rFonts w:ascii="Arial"/>
                      <w:color w:val="auto"/>
                      <w:sz w:val="21"/>
                      <w:szCs w:val="21"/>
                      <w:highlight w:val="none"/>
                    </w:rPr>
                  </w:pPr>
                </w:p>
              </w:tc>
              <w:tc>
                <w:tcPr>
                  <w:tcW w:w="1626" w:type="dxa"/>
                  <w:gridSpan w:val="2"/>
                  <w:vAlign w:val="top"/>
                </w:tcPr>
                <w:p w14:paraId="5EAEDE2C">
                  <w:pPr>
                    <w:spacing w:before="64"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9</w:t>
                  </w:r>
                  <w:r>
                    <w:rPr>
                      <w:rFonts w:ascii="宋体" w:hAnsi="宋体" w:eastAsia="宋体" w:cs="宋体"/>
                      <w:color w:val="auto"/>
                      <w:spacing w:val="7"/>
                      <w:sz w:val="21"/>
                      <w:szCs w:val="21"/>
                      <w:highlight w:val="none"/>
                    </w:rPr>
                    <w:t>月</w:t>
                  </w:r>
                  <w:r>
                    <w:rPr>
                      <w:rFonts w:ascii="Times New Roman" w:hAnsi="Times New Roman" w:eastAsia="Times New Roman" w:cs="Times New Roman"/>
                      <w:color w:val="auto"/>
                      <w:spacing w:val="7"/>
                      <w:sz w:val="21"/>
                      <w:szCs w:val="21"/>
                      <w:highlight w:val="none"/>
                    </w:rPr>
                    <w:t>6</w:t>
                  </w:r>
                  <w:r>
                    <w:rPr>
                      <w:rFonts w:ascii="宋体" w:hAnsi="宋体" w:eastAsia="宋体" w:cs="宋体"/>
                      <w:color w:val="auto"/>
                      <w:spacing w:val="7"/>
                      <w:sz w:val="21"/>
                      <w:szCs w:val="21"/>
                      <w:highlight w:val="none"/>
                    </w:rPr>
                    <w:t>日第四次</w:t>
                  </w:r>
                </w:p>
              </w:tc>
              <w:tc>
                <w:tcPr>
                  <w:tcW w:w="647" w:type="dxa"/>
                  <w:gridSpan w:val="2"/>
                  <w:vAlign w:val="top"/>
                </w:tcPr>
                <w:p w14:paraId="0E4CB1AC">
                  <w:pPr>
                    <w:spacing w:before="103"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7.7</w:t>
                  </w:r>
                </w:p>
              </w:tc>
              <w:tc>
                <w:tcPr>
                  <w:tcW w:w="991" w:type="dxa"/>
                  <w:gridSpan w:val="2"/>
                  <w:vAlign w:val="top"/>
                </w:tcPr>
                <w:p w14:paraId="1805A05A">
                  <w:pPr>
                    <w:spacing w:before="100"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4.03</w:t>
                  </w:r>
                </w:p>
              </w:tc>
              <w:tc>
                <w:tcPr>
                  <w:tcW w:w="927" w:type="dxa"/>
                  <w:gridSpan w:val="2"/>
                  <w:vAlign w:val="top"/>
                </w:tcPr>
                <w:p w14:paraId="382C609D">
                  <w:pPr>
                    <w:spacing w:before="100"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58D2A0D1">
                  <w:pPr>
                    <w:spacing w:before="100"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676" w:type="dxa"/>
                  <w:gridSpan w:val="2"/>
                  <w:vAlign w:val="top"/>
                </w:tcPr>
                <w:p w14:paraId="004F36FB">
                  <w:pPr>
                    <w:spacing w:before="103"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876" w:type="dxa"/>
                  <w:gridSpan w:val="2"/>
                  <w:vAlign w:val="top"/>
                </w:tcPr>
                <w:p w14:paraId="63998E9B">
                  <w:pPr>
                    <w:spacing w:before="10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0.71</w:t>
                  </w:r>
                </w:p>
              </w:tc>
              <w:tc>
                <w:tcPr>
                  <w:tcW w:w="692" w:type="dxa"/>
                  <w:gridSpan w:val="2"/>
                  <w:tcBorders>
                    <w:right w:val="single" w:color="000000" w:sz="10" w:space="0"/>
                  </w:tcBorders>
                  <w:vAlign w:val="top"/>
                </w:tcPr>
                <w:p w14:paraId="37383936">
                  <w:pPr>
                    <w:spacing w:before="100" w:line="240" w:lineRule="auto"/>
                    <w:ind w:left="246" w:leftChars="0" w:hanging="24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0.14</w:t>
                  </w:r>
                </w:p>
              </w:tc>
            </w:tr>
            <w:tr w14:paraId="0329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415" w:hRule="atLeast"/>
              </w:trPr>
              <w:tc>
                <w:tcPr>
                  <w:tcW w:w="2386" w:type="dxa"/>
                  <w:gridSpan w:val="4"/>
                  <w:tcBorders>
                    <w:left w:val="single" w:color="000000" w:sz="10" w:space="0"/>
                  </w:tcBorders>
                  <w:vAlign w:val="top"/>
                </w:tcPr>
                <w:p w14:paraId="11932F2A">
                  <w:pPr>
                    <w:spacing w:before="45" w:line="240" w:lineRule="auto"/>
                    <w:ind w:left="275" w:leftChars="0" w:right="25" w:hanging="275" w:hangingChars="122"/>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《城市污水再生利用</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城市杂</w:t>
                  </w:r>
                  <w:r>
                    <w:rPr>
                      <w:rFonts w:ascii="宋体" w:hAnsi="宋体" w:eastAsia="宋体" w:cs="宋体"/>
                      <w:color w:val="auto"/>
                      <w:spacing w:val="-5"/>
                      <w:sz w:val="21"/>
                      <w:szCs w:val="21"/>
                      <w:highlight w:val="none"/>
                    </w:rPr>
                    <w:t>用水水质》（</w:t>
                  </w:r>
                  <w:r>
                    <w:rPr>
                      <w:rFonts w:ascii="Times New Roman" w:hAnsi="Times New Roman" w:eastAsia="Times New Roman" w:cs="Times New Roman"/>
                      <w:color w:val="auto"/>
                      <w:spacing w:val="-5"/>
                      <w:sz w:val="21"/>
                      <w:szCs w:val="21"/>
                      <w:highlight w:val="none"/>
                    </w:rPr>
                    <w:t>GB/T18920-2020</w:t>
                  </w:r>
                  <w:r>
                    <w:rPr>
                      <w:rFonts w:ascii="宋体" w:hAnsi="宋体" w:eastAsia="宋体" w:cs="宋体"/>
                      <w:color w:val="auto"/>
                      <w:spacing w:val="-5"/>
                      <w:sz w:val="21"/>
                      <w:szCs w:val="21"/>
                      <w:highlight w:val="none"/>
                    </w:rPr>
                    <w:t>）</w:t>
                  </w:r>
                </w:p>
                <w:p w14:paraId="06F98BCD">
                  <w:pPr>
                    <w:spacing w:before="24" w:line="240" w:lineRule="auto"/>
                    <w:ind w:left="270" w:leftChars="0" w:right="65"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城市绿化、道路清扫、消防、建筑施工</w:t>
                  </w:r>
                </w:p>
              </w:tc>
              <w:tc>
                <w:tcPr>
                  <w:tcW w:w="647" w:type="dxa"/>
                  <w:gridSpan w:val="2"/>
                  <w:vAlign w:val="top"/>
                </w:tcPr>
                <w:p w14:paraId="1C96F6E4">
                  <w:pPr>
                    <w:spacing w:line="240" w:lineRule="auto"/>
                    <w:ind w:left="256" w:leftChars="0" w:hanging="256" w:hangingChars="122"/>
                    <w:jc w:val="center"/>
                    <w:rPr>
                      <w:rFonts w:ascii="Arial"/>
                      <w:color w:val="auto"/>
                      <w:sz w:val="21"/>
                      <w:szCs w:val="21"/>
                      <w:highlight w:val="none"/>
                    </w:rPr>
                  </w:pPr>
                </w:p>
                <w:p w14:paraId="1A18E319">
                  <w:pPr>
                    <w:spacing w:before="57"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6~9</w:t>
                  </w:r>
                </w:p>
              </w:tc>
              <w:tc>
                <w:tcPr>
                  <w:tcW w:w="991" w:type="dxa"/>
                  <w:gridSpan w:val="2"/>
                  <w:vAlign w:val="top"/>
                </w:tcPr>
                <w:p w14:paraId="7DED809B">
                  <w:pPr>
                    <w:spacing w:line="240" w:lineRule="auto"/>
                    <w:ind w:left="256" w:leftChars="0" w:hanging="256" w:hangingChars="122"/>
                    <w:jc w:val="center"/>
                    <w:rPr>
                      <w:rFonts w:ascii="Arial"/>
                      <w:color w:val="auto"/>
                      <w:sz w:val="21"/>
                      <w:szCs w:val="21"/>
                      <w:highlight w:val="none"/>
                    </w:rPr>
                  </w:pPr>
                </w:p>
                <w:p w14:paraId="30287AAD">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≤8</w:t>
                  </w:r>
                </w:p>
              </w:tc>
              <w:tc>
                <w:tcPr>
                  <w:tcW w:w="927" w:type="dxa"/>
                  <w:gridSpan w:val="2"/>
                  <w:vAlign w:val="top"/>
                </w:tcPr>
                <w:p w14:paraId="18BDDE8A">
                  <w:pPr>
                    <w:spacing w:line="240" w:lineRule="auto"/>
                    <w:ind w:left="256" w:leftChars="0" w:hanging="256" w:hangingChars="122"/>
                    <w:jc w:val="center"/>
                    <w:rPr>
                      <w:rFonts w:ascii="Arial"/>
                      <w:color w:val="auto"/>
                      <w:sz w:val="21"/>
                      <w:szCs w:val="21"/>
                      <w:highlight w:val="none"/>
                    </w:rPr>
                  </w:pPr>
                </w:p>
                <w:p w14:paraId="31B91791">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4DE9DA00">
                  <w:pPr>
                    <w:spacing w:line="240" w:lineRule="auto"/>
                    <w:ind w:left="256" w:leftChars="0" w:hanging="256" w:hangingChars="122"/>
                    <w:jc w:val="center"/>
                    <w:rPr>
                      <w:rFonts w:ascii="Arial"/>
                      <w:color w:val="auto"/>
                      <w:sz w:val="21"/>
                      <w:szCs w:val="21"/>
                      <w:highlight w:val="none"/>
                    </w:rPr>
                  </w:pPr>
                </w:p>
                <w:p w14:paraId="77E7F7FA">
                  <w:pPr>
                    <w:spacing w:line="240" w:lineRule="auto"/>
                    <w:ind w:left="256" w:leftChars="0" w:hanging="256" w:hangingChars="122"/>
                    <w:jc w:val="center"/>
                    <w:rPr>
                      <w:rFonts w:ascii="Arial"/>
                      <w:color w:val="auto"/>
                      <w:sz w:val="21"/>
                      <w:szCs w:val="21"/>
                      <w:highlight w:val="none"/>
                    </w:rPr>
                  </w:pPr>
                </w:p>
                <w:p w14:paraId="2F537591">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6" w:type="dxa"/>
                  <w:gridSpan w:val="2"/>
                  <w:vAlign w:val="top"/>
                </w:tcPr>
                <w:p w14:paraId="07F4D070">
                  <w:pPr>
                    <w:spacing w:line="240" w:lineRule="auto"/>
                    <w:ind w:left="256" w:leftChars="0" w:hanging="256" w:hangingChars="122"/>
                    <w:jc w:val="center"/>
                    <w:rPr>
                      <w:rFonts w:ascii="Arial"/>
                      <w:color w:val="auto"/>
                      <w:sz w:val="21"/>
                      <w:szCs w:val="21"/>
                      <w:highlight w:val="none"/>
                    </w:rPr>
                  </w:pPr>
                </w:p>
                <w:p w14:paraId="1C75821A">
                  <w:pPr>
                    <w:spacing w:line="240" w:lineRule="auto"/>
                    <w:ind w:left="256" w:leftChars="0" w:hanging="256" w:hangingChars="122"/>
                    <w:jc w:val="center"/>
                    <w:rPr>
                      <w:rFonts w:ascii="Arial"/>
                      <w:color w:val="auto"/>
                      <w:sz w:val="21"/>
                      <w:szCs w:val="21"/>
                      <w:highlight w:val="none"/>
                    </w:rPr>
                  </w:pPr>
                </w:p>
                <w:p w14:paraId="5F90BE21">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6CB11748">
                  <w:pPr>
                    <w:spacing w:line="240" w:lineRule="auto"/>
                    <w:ind w:left="256" w:leftChars="0" w:hanging="256" w:hangingChars="122"/>
                    <w:jc w:val="center"/>
                    <w:rPr>
                      <w:rFonts w:ascii="Arial"/>
                      <w:color w:val="auto"/>
                      <w:sz w:val="21"/>
                      <w:szCs w:val="21"/>
                      <w:highlight w:val="none"/>
                    </w:rPr>
                  </w:pPr>
                </w:p>
                <w:p w14:paraId="73DBD616">
                  <w:pPr>
                    <w:spacing w:line="240" w:lineRule="auto"/>
                    <w:ind w:left="256" w:leftChars="0" w:hanging="256" w:hangingChars="122"/>
                    <w:jc w:val="center"/>
                    <w:rPr>
                      <w:rFonts w:ascii="Arial"/>
                      <w:color w:val="auto"/>
                      <w:sz w:val="21"/>
                      <w:szCs w:val="21"/>
                      <w:highlight w:val="none"/>
                    </w:rPr>
                  </w:pPr>
                </w:p>
                <w:p w14:paraId="27C9A64F">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2" w:type="dxa"/>
                  <w:gridSpan w:val="2"/>
                  <w:tcBorders>
                    <w:right w:val="single" w:color="000000" w:sz="10" w:space="0"/>
                  </w:tcBorders>
                  <w:vAlign w:val="top"/>
                </w:tcPr>
                <w:p w14:paraId="3A94F4F8">
                  <w:pPr>
                    <w:spacing w:line="240" w:lineRule="auto"/>
                    <w:ind w:left="256" w:leftChars="0" w:hanging="256" w:hangingChars="122"/>
                    <w:jc w:val="center"/>
                    <w:rPr>
                      <w:rFonts w:ascii="Arial"/>
                      <w:color w:val="auto"/>
                      <w:sz w:val="21"/>
                      <w:szCs w:val="21"/>
                      <w:highlight w:val="none"/>
                    </w:rPr>
                  </w:pPr>
                </w:p>
                <w:p w14:paraId="283A945F">
                  <w:pPr>
                    <w:spacing w:line="240" w:lineRule="auto"/>
                    <w:ind w:left="256" w:leftChars="0" w:hanging="256" w:hangingChars="122"/>
                    <w:jc w:val="center"/>
                    <w:rPr>
                      <w:rFonts w:ascii="Arial"/>
                      <w:color w:val="auto"/>
                      <w:sz w:val="21"/>
                      <w:szCs w:val="21"/>
                      <w:highlight w:val="none"/>
                    </w:rPr>
                  </w:pPr>
                </w:p>
                <w:p w14:paraId="2790AFDE">
                  <w:pPr>
                    <w:spacing w:before="5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47ABF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4" w:hRule="atLeast"/>
              </w:trPr>
              <w:tc>
                <w:tcPr>
                  <w:tcW w:w="2386" w:type="dxa"/>
                  <w:gridSpan w:val="4"/>
                  <w:tcBorders>
                    <w:left w:val="single" w:color="000000" w:sz="10" w:space="0"/>
                  </w:tcBorders>
                  <w:vAlign w:val="top"/>
                </w:tcPr>
                <w:p w14:paraId="0016848F">
                  <w:pPr>
                    <w:spacing w:before="68" w:line="240" w:lineRule="auto"/>
                    <w:ind w:left="270" w:leftChars="0"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gridSpan w:val="2"/>
                  <w:vAlign w:val="top"/>
                </w:tcPr>
                <w:p w14:paraId="5B46B58A">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1" w:type="dxa"/>
                  <w:gridSpan w:val="2"/>
                  <w:vAlign w:val="top"/>
                </w:tcPr>
                <w:p w14:paraId="38898425">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gridSpan w:val="2"/>
                  <w:vAlign w:val="top"/>
                </w:tcPr>
                <w:p w14:paraId="59753482">
                  <w:pPr>
                    <w:spacing w:before="68"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3" w:type="dxa"/>
                  <w:gridSpan w:val="2"/>
                  <w:vAlign w:val="top"/>
                </w:tcPr>
                <w:p w14:paraId="4D3CC318">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76" w:type="dxa"/>
                  <w:gridSpan w:val="2"/>
                  <w:vAlign w:val="top"/>
                </w:tcPr>
                <w:p w14:paraId="6719269C">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0C5C6617">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692" w:type="dxa"/>
                  <w:gridSpan w:val="2"/>
                  <w:tcBorders>
                    <w:right w:val="single" w:color="000000" w:sz="10" w:space="0"/>
                  </w:tcBorders>
                  <w:vAlign w:val="top"/>
                </w:tcPr>
                <w:p w14:paraId="7CFE8601">
                  <w:pPr>
                    <w:spacing w:before="196"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r>
            <w:tr w14:paraId="05B9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153" w:hRule="atLeast"/>
              </w:trPr>
              <w:tc>
                <w:tcPr>
                  <w:tcW w:w="2386" w:type="dxa"/>
                  <w:gridSpan w:val="4"/>
                  <w:tcBorders>
                    <w:left w:val="single" w:color="000000" w:sz="10" w:space="0"/>
                  </w:tcBorders>
                  <w:vAlign w:val="top"/>
                </w:tcPr>
                <w:p w14:paraId="7A06DE0D">
                  <w:pPr>
                    <w:spacing w:before="50" w:line="240" w:lineRule="auto"/>
                    <w:ind w:left="275" w:leftChars="0" w:right="124" w:hanging="275" w:hangingChars="122"/>
                    <w:jc w:val="center"/>
                    <w:rPr>
                      <w:rFonts w:ascii="Times New Roman" w:hAnsi="Times New Roman" w:eastAsia="Times New Roman" w:cs="Times New Roman"/>
                      <w:color w:val="auto"/>
                      <w:sz w:val="21"/>
                      <w:szCs w:val="21"/>
                      <w:highlight w:val="none"/>
                    </w:rPr>
                  </w:pPr>
                  <w:r>
                    <w:rPr>
                      <w:rFonts w:ascii="宋体" w:hAnsi="宋体" w:eastAsia="宋体" w:cs="宋体"/>
                      <w:color w:val="auto"/>
                      <w:spacing w:val="8"/>
                      <w:sz w:val="21"/>
                      <w:szCs w:val="21"/>
                      <w:highlight w:val="none"/>
                    </w:rPr>
                    <w:t>《城市污水再生利用工业用</w:t>
                  </w:r>
                  <w:r>
                    <w:rPr>
                      <w:rFonts w:ascii="宋体" w:hAnsi="宋体" w:eastAsia="宋体" w:cs="宋体"/>
                      <w:color w:val="auto"/>
                      <w:spacing w:val="5"/>
                      <w:sz w:val="21"/>
                      <w:szCs w:val="21"/>
                      <w:highlight w:val="none"/>
                    </w:rPr>
                    <w:t>水水质标准》（</w:t>
                  </w:r>
                  <w:r>
                    <w:rPr>
                      <w:rFonts w:ascii="Times New Roman" w:hAnsi="Times New Roman" w:eastAsia="Times New Roman" w:cs="Times New Roman"/>
                      <w:color w:val="auto"/>
                      <w:sz w:val="21"/>
                      <w:szCs w:val="21"/>
                      <w:highlight w:val="none"/>
                    </w:rPr>
                    <w:t>GB</w:t>
                  </w:r>
                  <w:r>
                    <w:rPr>
                      <w:rFonts w:ascii="Times New Roman" w:hAnsi="Times New Roman" w:eastAsia="Times New Roman" w:cs="Times New Roman"/>
                      <w:color w:val="auto"/>
                      <w:spacing w:val="5"/>
                      <w:sz w:val="21"/>
                      <w:szCs w:val="21"/>
                      <w:highlight w:val="none"/>
                    </w:rPr>
                    <w:t>/T19923-</w:t>
                  </w:r>
                </w:p>
                <w:p w14:paraId="4C81E758">
                  <w:pPr>
                    <w:spacing w:before="24" w:line="240" w:lineRule="auto"/>
                    <w:ind w:left="273" w:leftChars="0" w:hanging="273" w:hangingChars="122"/>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2024</w:t>
                  </w:r>
                  <w:r>
                    <w:rPr>
                      <w:rFonts w:ascii="宋体" w:hAnsi="宋体" w:eastAsia="宋体" w:cs="宋体"/>
                      <w:color w:val="auto"/>
                      <w:spacing w:val="7"/>
                      <w:sz w:val="21"/>
                      <w:szCs w:val="21"/>
                      <w:highlight w:val="none"/>
                    </w:rPr>
                    <w:t>）洗涤用水</w:t>
                  </w:r>
                </w:p>
              </w:tc>
              <w:tc>
                <w:tcPr>
                  <w:tcW w:w="647" w:type="dxa"/>
                  <w:gridSpan w:val="2"/>
                  <w:vAlign w:val="top"/>
                </w:tcPr>
                <w:p w14:paraId="1343456C">
                  <w:pPr>
                    <w:spacing w:line="240" w:lineRule="auto"/>
                    <w:ind w:left="256" w:leftChars="0" w:hanging="256" w:hangingChars="122"/>
                    <w:jc w:val="center"/>
                    <w:rPr>
                      <w:rFonts w:ascii="Arial"/>
                      <w:color w:val="auto"/>
                      <w:sz w:val="21"/>
                      <w:szCs w:val="21"/>
                      <w:highlight w:val="none"/>
                    </w:rPr>
                  </w:pPr>
                </w:p>
                <w:p w14:paraId="3E245329">
                  <w:pPr>
                    <w:spacing w:before="58"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6-9</w:t>
                  </w:r>
                </w:p>
              </w:tc>
              <w:tc>
                <w:tcPr>
                  <w:tcW w:w="991" w:type="dxa"/>
                  <w:gridSpan w:val="2"/>
                  <w:vAlign w:val="top"/>
                </w:tcPr>
                <w:p w14:paraId="43958F5B">
                  <w:pPr>
                    <w:spacing w:line="240" w:lineRule="auto"/>
                    <w:ind w:left="256" w:leftChars="0" w:hanging="256" w:hangingChars="122"/>
                    <w:jc w:val="center"/>
                    <w:rPr>
                      <w:rFonts w:ascii="Arial"/>
                      <w:color w:val="auto"/>
                      <w:sz w:val="21"/>
                      <w:szCs w:val="21"/>
                      <w:highlight w:val="none"/>
                    </w:rPr>
                  </w:pPr>
                </w:p>
                <w:p w14:paraId="7B8B44F8">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w:t>
                  </w:r>
                </w:p>
              </w:tc>
              <w:tc>
                <w:tcPr>
                  <w:tcW w:w="927" w:type="dxa"/>
                  <w:gridSpan w:val="2"/>
                  <w:vAlign w:val="top"/>
                </w:tcPr>
                <w:p w14:paraId="464C7CD7">
                  <w:pPr>
                    <w:spacing w:line="240" w:lineRule="auto"/>
                    <w:ind w:left="256" w:leftChars="0" w:hanging="256" w:hangingChars="122"/>
                    <w:jc w:val="center"/>
                    <w:rPr>
                      <w:rFonts w:ascii="Arial"/>
                      <w:color w:val="auto"/>
                      <w:sz w:val="21"/>
                      <w:szCs w:val="21"/>
                      <w:highlight w:val="none"/>
                    </w:rPr>
                  </w:pPr>
                </w:p>
                <w:p w14:paraId="4A77A683">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w:t>
                  </w:r>
                </w:p>
              </w:tc>
              <w:tc>
                <w:tcPr>
                  <w:tcW w:w="843" w:type="dxa"/>
                  <w:gridSpan w:val="2"/>
                  <w:vAlign w:val="top"/>
                </w:tcPr>
                <w:p w14:paraId="67D0F5D8">
                  <w:pPr>
                    <w:spacing w:line="240" w:lineRule="auto"/>
                    <w:ind w:left="256" w:leftChars="0" w:hanging="256" w:hangingChars="122"/>
                    <w:jc w:val="center"/>
                    <w:rPr>
                      <w:rFonts w:ascii="Arial"/>
                      <w:color w:val="auto"/>
                      <w:sz w:val="21"/>
                      <w:szCs w:val="21"/>
                      <w:highlight w:val="none"/>
                    </w:rPr>
                  </w:pPr>
                </w:p>
                <w:p w14:paraId="6B313985">
                  <w:pPr>
                    <w:spacing w:before="57" w:line="240" w:lineRule="auto"/>
                    <w:ind w:left="265" w:leftChars="0" w:hanging="26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≤50</w:t>
                  </w:r>
                </w:p>
              </w:tc>
              <w:tc>
                <w:tcPr>
                  <w:tcW w:w="676" w:type="dxa"/>
                  <w:gridSpan w:val="2"/>
                  <w:vAlign w:val="top"/>
                </w:tcPr>
                <w:p w14:paraId="20EEC177">
                  <w:pPr>
                    <w:tabs>
                      <w:tab w:val="left" w:pos="515"/>
                    </w:tabs>
                    <w:spacing w:before="256" w:line="240" w:lineRule="auto"/>
                    <w:ind w:left="256" w:leftChars="0" w:hanging="256" w:hangingChars="122"/>
                    <w:jc w:val="center"/>
                    <w:rPr>
                      <w:rFonts w:ascii="Arial"/>
                      <w:color w:val="auto"/>
                      <w:sz w:val="21"/>
                      <w:szCs w:val="21"/>
                      <w:highlight w:val="none"/>
                    </w:rPr>
                  </w:pPr>
                </w:p>
              </w:tc>
              <w:tc>
                <w:tcPr>
                  <w:tcW w:w="876" w:type="dxa"/>
                  <w:gridSpan w:val="2"/>
                  <w:vAlign w:val="top"/>
                </w:tcPr>
                <w:p w14:paraId="6C9D0930">
                  <w:pPr>
                    <w:spacing w:line="240" w:lineRule="auto"/>
                    <w:ind w:left="256" w:leftChars="0" w:hanging="256" w:hangingChars="122"/>
                    <w:jc w:val="center"/>
                    <w:rPr>
                      <w:rFonts w:ascii="Arial"/>
                      <w:color w:val="auto"/>
                      <w:sz w:val="21"/>
                      <w:szCs w:val="21"/>
                      <w:highlight w:val="none"/>
                    </w:rPr>
                  </w:pPr>
                </w:p>
                <w:p w14:paraId="53DB34BC">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w:t>
                  </w:r>
                </w:p>
              </w:tc>
              <w:tc>
                <w:tcPr>
                  <w:tcW w:w="692" w:type="dxa"/>
                  <w:gridSpan w:val="2"/>
                  <w:tcBorders>
                    <w:right w:val="single" w:color="000000" w:sz="10" w:space="0"/>
                  </w:tcBorders>
                  <w:vAlign w:val="top"/>
                </w:tcPr>
                <w:p w14:paraId="1A96CD9E">
                  <w:pPr>
                    <w:spacing w:line="240" w:lineRule="auto"/>
                    <w:ind w:left="256" w:leftChars="0" w:hanging="256" w:hangingChars="122"/>
                    <w:jc w:val="center"/>
                    <w:rPr>
                      <w:rFonts w:ascii="Arial"/>
                      <w:color w:val="auto"/>
                      <w:sz w:val="21"/>
                      <w:szCs w:val="21"/>
                      <w:highlight w:val="none"/>
                    </w:rPr>
                  </w:pPr>
                </w:p>
                <w:p w14:paraId="593931CD">
                  <w:pPr>
                    <w:spacing w:before="57" w:line="240" w:lineRule="auto"/>
                    <w:ind w:left="263" w:leftChars="0" w:hanging="263"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≤0.5</w:t>
                  </w:r>
                </w:p>
              </w:tc>
            </w:tr>
            <w:tr w14:paraId="6E78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6" w:hRule="atLeast"/>
              </w:trPr>
              <w:tc>
                <w:tcPr>
                  <w:tcW w:w="2386" w:type="dxa"/>
                  <w:gridSpan w:val="4"/>
                  <w:tcBorders>
                    <w:left w:val="single" w:color="000000" w:sz="10" w:space="0"/>
                  </w:tcBorders>
                  <w:vAlign w:val="top"/>
                </w:tcPr>
                <w:p w14:paraId="0991D549">
                  <w:pPr>
                    <w:spacing w:before="74" w:line="240" w:lineRule="auto"/>
                    <w:ind w:left="270" w:leftChars="0" w:hanging="270" w:hangingChars="122"/>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出水水质达标分析</w:t>
                  </w:r>
                </w:p>
              </w:tc>
              <w:tc>
                <w:tcPr>
                  <w:tcW w:w="647" w:type="dxa"/>
                  <w:gridSpan w:val="2"/>
                  <w:vAlign w:val="top"/>
                </w:tcPr>
                <w:p w14:paraId="1B2FA43D">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91" w:type="dxa"/>
                  <w:gridSpan w:val="2"/>
                  <w:vAlign w:val="top"/>
                </w:tcPr>
                <w:p w14:paraId="6317CA48">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927" w:type="dxa"/>
                  <w:gridSpan w:val="2"/>
                  <w:vAlign w:val="top"/>
                </w:tcPr>
                <w:p w14:paraId="64B350E7">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843" w:type="dxa"/>
                  <w:gridSpan w:val="2"/>
                  <w:vAlign w:val="top"/>
                </w:tcPr>
                <w:p w14:paraId="5AB12558">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76" w:type="dxa"/>
                  <w:gridSpan w:val="2"/>
                  <w:vAlign w:val="top"/>
                </w:tcPr>
                <w:p w14:paraId="4A999DA0">
                  <w:pPr>
                    <w:spacing w:before="198" w:line="240" w:lineRule="auto"/>
                    <w:ind w:left="285" w:leftChars="0" w:hanging="285"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position w:val="-2"/>
                      <w:sz w:val="21"/>
                      <w:szCs w:val="21"/>
                      <w:highlight w:val="none"/>
                    </w:rPr>
                    <w:t>—</w:t>
                  </w:r>
                </w:p>
              </w:tc>
              <w:tc>
                <w:tcPr>
                  <w:tcW w:w="876" w:type="dxa"/>
                  <w:gridSpan w:val="2"/>
                  <w:vAlign w:val="top"/>
                </w:tcPr>
                <w:p w14:paraId="2813E6FC">
                  <w:pPr>
                    <w:spacing w:before="7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692" w:type="dxa"/>
                  <w:gridSpan w:val="2"/>
                  <w:tcBorders>
                    <w:right w:val="single" w:color="000000" w:sz="10" w:space="0"/>
                  </w:tcBorders>
                  <w:vAlign w:val="top"/>
                </w:tcPr>
                <w:p w14:paraId="5B130224">
                  <w:pPr>
                    <w:spacing w:before="54" w:line="240" w:lineRule="auto"/>
                    <w:ind w:left="268" w:leftChars="0" w:hanging="268" w:hangingChars="122"/>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CEE5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04" w:hRule="atLeast"/>
              </w:trPr>
              <w:tc>
                <w:tcPr>
                  <w:tcW w:w="2386" w:type="dxa"/>
                  <w:gridSpan w:val="4"/>
                  <w:tcBorders>
                    <w:left w:val="single" w:color="000000" w:sz="10" w:space="0"/>
                    <w:bottom w:val="single" w:color="000000" w:sz="10" w:space="0"/>
                  </w:tcBorders>
                  <w:vAlign w:val="top"/>
                </w:tcPr>
                <w:p w14:paraId="6D5ABB2F">
                  <w:pPr>
                    <w:spacing w:before="73" w:line="240" w:lineRule="auto"/>
                    <w:ind w:left="275" w:leftChars="0" w:hanging="275" w:hangingChars="122"/>
                    <w:jc w:val="center"/>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污水处理效率（平均值</w:t>
                  </w:r>
                  <w:r>
                    <w:rPr>
                      <w:rFonts w:ascii="Times New Roman" w:hAnsi="Times New Roman" w:eastAsia="Times New Roman" w:cs="Times New Roman"/>
                      <w:color w:val="auto"/>
                      <w:spacing w:val="8"/>
                      <w:sz w:val="21"/>
                      <w:szCs w:val="21"/>
                      <w:highlight w:val="none"/>
                    </w:rPr>
                    <w:t>%</w:t>
                  </w:r>
                  <w:r>
                    <w:rPr>
                      <w:rFonts w:ascii="宋体" w:hAnsi="宋体" w:eastAsia="宋体" w:cs="宋体"/>
                      <w:color w:val="auto"/>
                      <w:spacing w:val="8"/>
                      <w:sz w:val="21"/>
                      <w:szCs w:val="21"/>
                      <w:highlight w:val="none"/>
                    </w:rPr>
                    <w:t>）</w:t>
                  </w:r>
                </w:p>
              </w:tc>
              <w:tc>
                <w:tcPr>
                  <w:tcW w:w="647" w:type="dxa"/>
                  <w:gridSpan w:val="2"/>
                  <w:tcBorders>
                    <w:bottom w:val="single" w:color="000000" w:sz="10" w:space="0"/>
                  </w:tcBorders>
                  <w:vAlign w:val="top"/>
                </w:tcPr>
                <w:p w14:paraId="5F7ECC70">
                  <w:pPr>
                    <w:spacing w:before="106"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w:t>
                  </w:r>
                </w:p>
              </w:tc>
              <w:tc>
                <w:tcPr>
                  <w:tcW w:w="991" w:type="dxa"/>
                  <w:gridSpan w:val="2"/>
                  <w:tcBorders>
                    <w:bottom w:val="single" w:color="000000" w:sz="10" w:space="0"/>
                  </w:tcBorders>
                  <w:vAlign w:val="top"/>
                </w:tcPr>
                <w:p w14:paraId="5F7FD181">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75.1</w:t>
                  </w:r>
                </w:p>
              </w:tc>
              <w:tc>
                <w:tcPr>
                  <w:tcW w:w="927" w:type="dxa"/>
                  <w:gridSpan w:val="2"/>
                  <w:tcBorders>
                    <w:bottom w:val="single" w:color="000000" w:sz="10" w:space="0"/>
                  </w:tcBorders>
                  <w:vAlign w:val="top"/>
                </w:tcPr>
                <w:p w14:paraId="0DE14D24">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96.1</w:t>
                  </w:r>
                </w:p>
              </w:tc>
              <w:tc>
                <w:tcPr>
                  <w:tcW w:w="843" w:type="dxa"/>
                  <w:gridSpan w:val="2"/>
                  <w:tcBorders>
                    <w:bottom w:val="single" w:color="000000" w:sz="10" w:space="0"/>
                  </w:tcBorders>
                  <w:vAlign w:val="top"/>
                </w:tcPr>
                <w:p w14:paraId="380FCFE9">
                  <w:pPr>
                    <w:spacing w:before="11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95.6</w:t>
                  </w:r>
                </w:p>
              </w:tc>
              <w:tc>
                <w:tcPr>
                  <w:tcW w:w="676" w:type="dxa"/>
                  <w:gridSpan w:val="2"/>
                  <w:tcBorders>
                    <w:bottom w:val="single" w:color="000000" w:sz="10" w:space="0"/>
                  </w:tcBorders>
                  <w:vAlign w:val="top"/>
                </w:tcPr>
                <w:p w14:paraId="0AE8E8D1">
                  <w:pPr>
                    <w:spacing w:before="110" w:line="240" w:lineRule="auto"/>
                    <w:ind w:left="261" w:leftChars="0" w:hanging="261"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60.5</w:t>
                  </w:r>
                </w:p>
              </w:tc>
              <w:tc>
                <w:tcPr>
                  <w:tcW w:w="876" w:type="dxa"/>
                  <w:gridSpan w:val="2"/>
                  <w:tcBorders>
                    <w:bottom w:val="single" w:color="000000" w:sz="10" w:space="0"/>
                  </w:tcBorders>
                  <w:vAlign w:val="top"/>
                </w:tcPr>
                <w:p w14:paraId="6C241C5A">
                  <w:pPr>
                    <w:spacing w:before="110" w:line="240" w:lineRule="auto"/>
                    <w:ind w:left="258" w:leftChars="0" w:hanging="258"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81.6</w:t>
                  </w:r>
                </w:p>
              </w:tc>
              <w:tc>
                <w:tcPr>
                  <w:tcW w:w="692" w:type="dxa"/>
                  <w:gridSpan w:val="2"/>
                  <w:tcBorders>
                    <w:bottom w:val="single" w:color="000000" w:sz="10" w:space="0"/>
                    <w:right w:val="single" w:color="000000" w:sz="10" w:space="0"/>
                  </w:tcBorders>
                  <w:vAlign w:val="top"/>
                </w:tcPr>
                <w:p w14:paraId="496DC53E">
                  <w:pPr>
                    <w:spacing w:before="110" w:line="240" w:lineRule="auto"/>
                    <w:ind w:left="256" w:leftChars="0" w:hanging="256" w:hangingChars="122"/>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82.1</w:t>
                  </w:r>
                </w:p>
              </w:tc>
            </w:tr>
          </w:tbl>
          <w:p w14:paraId="05B1D2A2">
            <w:pPr>
              <w:keepNext w:val="0"/>
              <w:keepLines w:val="0"/>
              <w:suppressLineNumbers w:val="0"/>
              <w:bidi w:val="0"/>
              <w:spacing w:before="0" w:beforeAutospacing="0" w:after="0" w:afterAutospacing="0" w:line="360" w:lineRule="auto"/>
              <w:ind w:left="0" w:right="0" w:firstLine="488" w:firstLineChars="200"/>
              <w:rPr>
                <w:rFonts w:hint="default" w:ascii="Times New Roman" w:hAnsi="Times New Roman" w:cs="Times New Roman"/>
                <w:b/>
                <w:bCs/>
                <w:color w:val="auto"/>
                <w:sz w:val="24"/>
                <w:szCs w:val="24"/>
                <w:highlight w:val="none"/>
                <w:lang w:eastAsia="zh-CN"/>
              </w:rPr>
            </w:pPr>
            <w:r>
              <w:rPr>
                <w:rFonts w:hint="default"/>
                <w:color w:val="auto"/>
                <w:spacing w:val="2"/>
                <w:sz w:val="24"/>
                <w:szCs w:val="24"/>
                <w:highlight w:val="none"/>
              </w:rPr>
              <w:t>监测结果表明，</w:t>
            </w:r>
            <w:r>
              <w:rPr>
                <w:rFonts w:hint="default" w:ascii="Times New Roman" w:hAnsi="Times New Roman" w:eastAsia="Times New Roman" w:cs="Times New Roman"/>
                <w:color w:val="auto"/>
                <w:spacing w:val="2"/>
                <w:sz w:val="24"/>
                <w:szCs w:val="24"/>
                <w:highlight w:val="none"/>
              </w:rPr>
              <w:t>2#</w:t>
            </w:r>
            <w:r>
              <w:rPr>
                <w:rFonts w:hint="default"/>
                <w:color w:val="auto"/>
                <w:spacing w:val="2"/>
                <w:sz w:val="24"/>
                <w:szCs w:val="24"/>
                <w:highlight w:val="none"/>
              </w:rPr>
              <w:t>泊位含油污水处理站和</w:t>
            </w:r>
            <w:r>
              <w:rPr>
                <w:rFonts w:hint="default" w:ascii="Times New Roman" w:hAnsi="Times New Roman" w:eastAsia="Times New Roman" w:cs="Times New Roman"/>
                <w:color w:val="auto"/>
                <w:spacing w:val="2"/>
                <w:sz w:val="24"/>
                <w:szCs w:val="24"/>
                <w:highlight w:val="none"/>
              </w:rPr>
              <w:t>5#</w:t>
            </w:r>
            <w:r>
              <w:rPr>
                <w:rFonts w:hint="default"/>
                <w:color w:val="auto"/>
                <w:spacing w:val="2"/>
                <w:sz w:val="24"/>
                <w:szCs w:val="24"/>
                <w:highlight w:val="none"/>
              </w:rPr>
              <w:t>泊位含油污水处理站运行良好，污水处理</w:t>
            </w:r>
            <w:r>
              <w:rPr>
                <w:rFonts w:hint="default"/>
                <w:color w:val="auto"/>
                <w:spacing w:val="-5"/>
                <w:sz w:val="24"/>
                <w:szCs w:val="24"/>
                <w:highlight w:val="none"/>
              </w:rPr>
              <w:t>效率较高，出水水质能满足《城市污水再生利用</w:t>
            </w:r>
            <w:r>
              <w:rPr>
                <w:rFonts w:hint="default" w:ascii="Times New Roman" w:hAnsi="Times New Roman" w:eastAsia="Times New Roman" w:cs="Times New Roman"/>
                <w:color w:val="auto"/>
                <w:spacing w:val="-5"/>
                <w:sz w:val="24"/>
                <w:szCs w:val="24"/>
                <w:highlight w:val="none"/>
              </w:rPr>
              <w:t>-</w:t>
            </w:r>
            <w:r>
              <w:rPr>
                <w:rFonts w:hint="default"/>
                <w:color w:val="auto"/>
                <w:spacing w:val="-5"/>
                <w:sz w:val="24"/>
                <w:szCs w:val="24"/>
                <w:highlight w:val="none"/>
              </w:rPr>
              <w:t>城市杂用水水质》</w:t>
            </w:r>
            <w:r>
              <w:rPr>
                <w:rFonts w:hint="default"/>
                <w:color w:val="auto"/>
                <w:spacing w:val="-6"/>
                <w:sz w:val="24"/>
                <w:szCs w:val="24"/>
                <w:highlight w:val="none"/>
              </w:rPr>
              <w:t>（</w:t>
            </w:r>
            <w:r>
              <w:rPr>
                <w:rFonts w:hint="default" w:ascii="Times New Roman" w:hAnsi="Times New Roman" w:eastAsia="Times New Roman" w:cs="Times New Roman"/>
                <w:color w:val="auto"/>
                <w:spacing w:val="-6"/>
                <w:sz w:val="24"/>
                <w:szCs w:val="24"/>
                <w:highlight w:val="none"/>
              </w:rPr>
              <w:t>GB/T18920-2020</w:t>
            </w:r>
            <w:r>
              <w:rPr>
                <w:rFonts w:hint="default"/>
                <w:color w:val="auto"/>
                <w:spacing w:val="-6"/>
                <w:sz w:val="24"/>
                <w:szCs w:val="24"/>
                <w:highlight w:val="none"/>
              </w:rPr>
              <w:t>）“城</w:t>
            </w:r>
            <w:r>
              <w:rPr>
                <w:rFonts w:hint="default"/>
                <w:color w:val="auto"/>
                <w:spacing w:val="-5"/>
                <w:sz w:val="24"/>
                <w:szCs w:val="24"/>
                <w:highlight w:val="none"/>
              </w:rPr>
              <w:t>市绿化、道路清扫、消防、建筑施工”用水标准和《城市污水再生利用工业用水水质标准》</w:t>
            </w:r>
            <w:r>
              <w:rPr>
                <w:rFonts w:hint="default"/>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GB/T19923-2024</w:t>
            </w:r>
            <w:r>
              <w:rPr>
                <w:rFonts w:hint="default"/>
                <w:color w:val="auto"/>
                <w:spacing w:val="-1"/>
                <w:sz w:val="24"/>
                <w:szCs w:val="24"/>
                <w:highlight w:val="none"/>
              </w:rPr>
              <w:t>）“洗涤用水”用水标准，出水可回用于</w:t>
            </w:r>
            <w:r>
              <w:rPr>
                <w:rFonts w:hint="default"/>
                <w:color w:val="auto"/>
                <w:spacing w:val="-2"/>
                <w:sz w:val="24"/>
                <w:szCs w:val="24"/>
                <w:highlight w:val="none"/>
              </w:rPr>
              <w:t>机械冲洗用水、厂区绿化和道</w:t>
            </w:r>
            <w:r>
              <w:rPr>
                <w:rFonts w:hint="default"/>
                <w:color w:val="auto"/>
                <w:spacing w:val="-3"/>
                <w:sz w:val="24"/>
                <w:szCs w:val="24"/>
                <w:highlight w:val="none"/>
              </w:rPr>
              <w:t>路清扫。</w:t>
            </w:r>
          </w:p>
          <w:p w14:paraId="2D501798">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噪声</w:t>
            </w:r>
          </w:p>
          <w:p w14:paraId="5C25B298">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firstLine="480" w:firstLineChars="200"/>
              <w:textAlignment w:val="baseline"/>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caps w:val="0"/>
                <w:color w:val="auto"/>
                <w:sz w:val="24"/>
                <w:szCs w:val="24"/>
                <w:highlight w:val="none"/>
              </w:rPr>
              <w:t>噪声源主要为岸边集装箱装卸桥、集装箱牵引车等装卸机械、船舶噪声。船舶噪声源主要分布在港区水域，作业机械噪声源主要集中在码头区和堆场区。</w:t>
            </w:r>
            <w:r>
              <w:rPr>
                <w:rFonts w:hint="default" w:ascii="Times New Roman" w:hAnsi="Times New Roman" w:eastAsia="宋体" w:cs="Times New Roman"/>
                <w:snapToGrid/>
                <w:color w:val="auto"/>
                <w:kern w:val="2"/>
                <w:sz w:val="24"/>
                <w:szCs w:val="24"/>
                <w:highlight w:val="none"/>
                <w:u w:val="none"/>
                <w:lang w:val="en-US" w:eastAsia="zh-CN" w:bidi="ar-SA"/>
              </w:rPr>
              <w:t>东北面（1~2#泊位后方）厂界仅受本项目噪声影响，厂界噪声达标，且本项目仅新增位于半封闭拆装箱场内的7台电动机械设备和位于含油污水处理站内的泵类设备，新增噪声量很小。因此分析本项目西北面和东南面厂界噪声超标原因可能是受相邻码头噪声与本码头噪声的双重影响。本项目西北面和东南面均为码头，无声环境保护目标，厂界噪声超标对声环境影响不大。</w:t>
            </w:r>
            <w:r>
              <w:rPr>
                <w:rFonts w:hint="eastAsia" w:ascii="Times New Roman" w:hAnsi="Times New Roman" w:cs="Times New Roman"/>
                <w:snapToGrid/>
                <w:color w:val="auto"/>
                <w:kern w:val="2"/>
                <w:sz w:val="24"/>
                <w:szCs w:val="24"/>
                <w:highlight w:val="none"/>
                <w:u w:val="none"/>
                <w:lang w:val="en-US" w:eastAsia="zh-CN" w:bidi="ar-SA"/>
              </w:rPr>
              <w:t>监测结果见下表。</w:t>
            </w:r>
          </w:p>
          <w:p w14:paraId="488735E7">
            <w:pPr>
              <w:pStyle w:val="19"/>
              <w:keepNext w:val="0"/>
              <w:keepLines w:val="0"/>
              <w:suppressLineNumbers w:val="0"/>
              <w:spacing w:before="35" w:beforeAutospacing="0" w:afterAutospacing="0" w:line="219" w:lineRule="auto"/>
              <w:ind w:left="0" w:leftChars="0" w:firstLine="0" w:firstLineChars="0"/>
              <w:jc w:val="center"/>
              <w:rPr>
                <w:rFonts w:hint="default"/>
                <w:color w:val="auto"/>
                <w:sz w:val="24"/>
                <w:szCs w:val="24"/>
                <w:highlight w:val="none"/>
              </w:rPr>
            </w:pPr>
            <w:r>
              <w:rPr>
                <w:rFonts w:hint="default"/>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Times New Roman" w:cs="Times New Roman"/>
                <w:b/>
                <w:bCs/>
                <w:color w:val="auto"/>
                <w:spacing w:val="-1"/>
                <w:sz w:val="24"/>
                <w:szCs w:val="24"/>
                <w:highlight w:val="none"/>
              </w:rPr>
              <w:t>-</w:t>
            </w:r>
            <w:r>
              <w:rPr>
                <w:rFonts w:hint="eastAsia" w:ascii="Times New Roman" w:hAnsi="Times New Roman" w:eastAsia="宋体" w:cs="Times New Roman"/>
                <w:b/>
                <w:bCs/>
                <w:color w:val="auto"/>
                <w:spacing w:val="-1"/>
                <w:sz w:val="24"/>
                <w:szCs w:val="24"/>
                <w:highlight w:val="none"/>
                <w:lang w:val="en-US" w:eastAsia="zh-CN"/>
              </w:rPr>
              <w:t>2</w:t>
            </w:r>
            <w:r>
              <w:rPr>
                <w:rFonts w:hint="eastAsia" w:cs="Times New Roman"/>
                <w:b/>
                <w:bCs/>
                <w:color w:val="auto"/>
                <w:spacing w:val="-1"/>
                <w:sz w:val="24"/>
                <w:szCs w:val="24"/>
                <w:highlight w:val="none"/>
                <w:lang w:val="en-US" w:eastAsia="zh-CN"/>
              </w:rPr>
              <w:t xml:space="preserve">3 </w:t>
            </w:r>
            <w:r>
              <w:rPr>
                <w:rFonts w:hint="default"/>
                <w:b/>
                <w:bCs/>
                <w:color w:val="auto"/>
                <w:spacing w:val="-1"/>
                <w:sz w:val="24"/>
                <w:szCs w:val="24"/>
                <w:highlight w:val="none"/>
              </w:rPr>
              <w:t>本项目厂界噪声监测结果分析</w:t>
            </w:r>
            <w:r>
              <w:rPr>
                <w:rFonts w:hint="default"/>
                <w:b/>
                <w:bCs/>
                <w:color w:val="auto"/>
                <w:spacing w:val="-2"/>
                <w:sz w:val="24"/>
                <w:szCs w:val="24"/>
                <w:highlight w:val="none"/>
              </w:rPr>
              <w:t>单位：</w:t>
            </w:r>
            <w:r>
              <w:rPr>
                <w:rFonts w:hint="default" w:ascii="Times New Roman" w:hAnsi="Times New Roman" w:eastAsia="Times New Roman" w:cs="Times New Roman"/>
                <w:b/>
                <w:bCs/>
                <w:color w:val="auto"/>
                <w:spacing w:val="-2"/>
                <w:sz w:val="24"/>
                <w:szCs w:val="24"/>
                <w:highlight w:val="none"/>
              </w:rPr>
              <w:t>dB</w:t>
            </w:r>
            <w:r>
              <w:rPr>
                <w:rFonts w:hint="default"/>
                <w:b/>
                <w:bCs/>
                <w:color w:val="auto"/>
                <w:spacing w:val="-2"/>
                <w:sz w:val="24"/>
                <w:szCs w:val="24"/>
                <w:highlight w:val="none"/>
              </w:rPr>
              <w:t>（</w:t>
            </w:r>
            <w:r>
              <w:rPr>
                <w:rFonts w:hint="default" w:ascii="Times New Roman" w:hAnsi="Times New Roman" w:eastAsia="Times New Roman" w:cs="Times New Roman"/>
                <w:b/>
                <w:bCs/>
                <w:color w:val="auto"/>
                <w:spacing w:val="-2"/>
                <w:sz w:val="24"/>
                <w:szCs w:val="24"/>
                <w:highlight w:val="none"/>
              </w:rPr>
              <w:t>A</w:t>
            </w:r>
            <w:r>
              <w:rPr>
                <w:rFonts w:hint="default"/>
                <w:b/>
                <w:bCs/>
                <w:color w:val="auto"/>
                <w:spacing w:val="-2"/>
                <w:sz w:val="24"/>
                <w:szCs w:val="24"/>
                <w:highlight w:val="none"/>
              </w:rPr>
              <w:t>）</w:t>
            </w:r>
          </w:p>
          <w:tbl>
            <w:tblPr>
              <w:tblStyle w:val="142"/>
              <w:tblW w:w="8058"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9"/>
              <w:gridCol w:w="1301"/>
              <w:gridCol w:w="673"/>
              <w:gridCol w:w="683"/>
              <w:gridCol w:w="650"/>
              <w:gridCol w:w="719"/>
              <w:gridCol w:w="621"/>
              <w:gridCol w:w="565"/>
              <w:gridCol w:w="582"/>
              <w:gridCol w:w="595"/>
            </w:tblGrid>
            <w:tr w14:paraId="6599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970" w:type="dxa"/>
                  <w:gridSpan w:val="2"/>
                  <w:vMerge w:val="restart"/>
                  <w:tcBorders>
                    <w:top w:val="single" w:color="000000" w:sz="10" w:space="0"/>
                    <w:left w:val="single" w:color="000000" w:sz="10" w:space="0"/>
                    <w:bottom w:val="nil"/>
                  </w:tcBorders>
                  <w:vAlign w:val="top"/>
                </w:tcPr>
                <w:p w14:paraId="5E86E66B">
                  <w:pPr>
                    <w:spacing w:before="174" w:line="22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监测点名称</w:t>
                  </w:r>
                </w:p>
              </w:tc>
              <w:tc>
                <w:tcPr>
                  <w:tcW w:w="2725" w:type="dxa"/>
                  <w:gridSpan w:val="4"/>
                  <w:tcBorders>
                    <w:top w:val="single" w:color="000000" w:sz="10" w:space="0"/>
                  </w:tcBorders>
                  <w:vAlign w:val="top"/>
                </w:tcPr>
                <w:p w14:paraId="107A0CDE">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监测结果</w:t>
                  </w:r>
                </w:p>
              </w:tc>
              <w:tc>
                <w:tcPr>
                  <w:tcW w:w="1186" w:type="dxa"/>
                  <w:gridSpan w:val="2"/>
                  <w:tcBorders>
                    <w:top w:val="single" w:color="000000" w:sz="10" w:space="0"/>
                  </w:tcBorders>
                  <w:vAlign w:val="top"/>
                </w:tcPr>
                <w:p w14:paraId="50CD7E31">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验收标准</w:t>
                  </w:r>
                </w:p>
              </w:tc>
              <w:tc>
                <w:tcPr>
                  <w:tcW w:w="1177" w:type="dxa"/>
                  <w:gridSpan w:val="2"/>
                  <w:tcBorders>
                    <w:top w:val="single" w:color="000000" w:sz="10" w:space="0"/>
                    <w:right w:val="single" w:color="000000" w:sz="10" w:space="0"/>
                  </w:tcBorders>
                  <w:vAlign w:val="top"/>
                </w:tcPr>
                <w:p w14:paraId="6F9DE670">
                  <w:pPr>
                    <w:spacing w:before="35" w:line="216"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超标情况</w:t>
                  </w:r>
                </w:p>
              </w:tc>
            </w:tr>
            <w:tr w14:paraId="43FC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970" w:type="dxa"/>
                  <w:gridSpan w:val="2"/>
                  <w:vMerge w:val="continue"/>
                  <w:tcBorders>
                    <w:top w:val="nil"/>
                    <w:left w:val="single" w:color="000000" w:sz="10" w:space="0"/>
                  </w:tcBorders>
                  <w:vAlign w:val="top"/>
                </w:tcPr>
                <w:p w14:paraId="1183BE89">
                  <w:pPr>
                    <w:ind w:left="0" w:leftChars="0" w:firstLine="0" w:firstLineChars="0"/>
                    <w:jc w:val="center"/>
                    <w:rPr>
                      <w:rFonts w:ascii="Arial"/>
                      <w:color w:val="auto"/>
                      <w:sz w:val="21"/>
                      <w:szCs w:val="21"/>
                      <w:highlight w:val="none"/>
                    </w:rPr>
                  </w:pPr>
                </w:p>
              </w:tc>
              <w:tc>
                <w:tcPr>
                  <w:tcW w:w="673" w:type="dxa"/>
                  <w:vAlign w:val="top"/>
                </w:tcPr>
                <w:p w14:paraId="319376F9">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2"/>
                      <w:sz w:val="21"/>
                      <w:szCs w:val="21"/>
                      <w:highlight w:val="none"/>
                    </w:rPr>
                    <w:t>昼间</w:t>
                  </w:r>
                  <w:r>
                    <w:rPr>
                      <w:rFonts w:ascii="Times New Roman" w:hAnsi="Times New Roman" w:eastAsia="Times New Roman" w:cs="Times New Roman"/>
                      <w:b/>
                      <w:bCs/>
                      <w:color w:val="auto"/>
                      <w:spacing w:val="2"/>
                      <w:sz w:val="21"/>
                      <w:szCs w:val="21"/>
                      <w:highlight w:val="none"/>
                    </w:rPr>
                    <w:t>1</w:t>
                  </w:r>
                </w:p>
              </w:tc>
              <w:tc>
                <w:tcPr>
                  <w:tcW w:w="683" w:type="dxa"/>
                  <w:vAlign w:val="top"/>
                </w:tcPr>
                <w:p w14:paraId="32A3F1BD">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2"/>
                      <w:sz w:val="21"/>
                      <w:szCs w:val="21"/>
                      <w:highlight w:val="none"/>
                    </w:rPr>
                    <w:t>昼间</w:t>
                  </w:r>
                  <w:r>
                    <w:rPr>
                      <w:rFonts w:ascii="Times New Roman" w:hAnsi="Times New Roman" w:eastAsia="Times New Roman" w:cs="Times New Roman"/>
                      <w:b/>
                      <w:bCs/>
                      <w:color w:val="auto"/>
                      <w:spacing w:val="2"/>
                      <w:sz w:val="21"/>
                      <w:szCs w:val="21"/>
                      <w:highlight w:val="none"/>
                    </w:rPr>
                    <w:t>2</w:t>
                  </w:r>
                </w:p>
              </w:tc>
              <w:tc>
                <w:tcPr>
                  <w:tcW w:w="650" w:type="dxa"/>
                  <w:vAlign w:val="top"/>
                </w:tcPr>
                <w:p w14:paraId="3A67E960">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z w:val="21"/>
                      <w:szCs w:val="21"/>
                      <w:highlight w:val="none"/>
                    </w:rPr>
                    <w:t>夜间</w:t>
                  </w:r>
                  <w:r>
                    <w:rPr>
                      <w:rFonts w:ascii="Times New Roman" w:hAnsi="Times New Roman" w:eastAsia="Times New Roman" w:cs="Times New Roman"/>
                      <w:b/>
                      <w:bCs/>
                      <w:color w:val="auto"/>
                      <w:sz w:val="21"/>
                      <w:szCs w:val="21"/>
                      <w:highlight w:val="none"/>
                    </w:rPr>
                    <w:t>1</w:t>
                  </w:r>
                </w:p>
              </w:tc>
              <w:tc>
                <w:tcPr>
                  <w:tcW w:w="719" w:type="dxa"/>
                  <w:vAlign w:val="top"/>
                </w:tcPr>
                <w:p w14:paraId="17DA81A7">
                  <w:pPr>
                    <w:spacing w:before="34" w:line="213" w:lineRule="auto"/>
                    <w:ind w:left="0" w:leftChars="0" w:firstLine="0" w:firstLineChars="0"/>
                    <w:jc w:val="center"/>
                    <w:rPr>
                      <w:rFonts w:ascii="Times New Roman" w:hAnsi="Times New Roman" w:eastAsia="Times New Roman" w:cs="Times New Roman"/>
                      <w:color w:val="auto"/>
                      <w:sz w:val="21"/>
                      <w:szCs w:val="21"/>
                      <w:highlight w:val="none"/>
                    </w:rPr>
                  </w:pPr>
                  <w:r>
                    <w:rPr>
                      <w:rFonts w:ascii="宋体" w:hAnsi="宋体" w:eastAsia="宋体" w:cs="宋体"/>
                      <w:b/>
                      <w:bCs/>
                      <w:color w:val="auto"/>
                      <w:spacing w:val="1"/>
                      <w:sz w:val="21"/>
                      <w:szCs w:val="21"/>
                      <w:highlight w:val="none"/>
                    </w:rPr>
                    <w:t>夜间</w:t>
                  </w:r>
                  <w:r>
                    <w:rPr>
                      <w:rFonts w:ascii="Times New Roman" w:hAnsi="Times New Roman" w:eastAsia="Times New Roman" w:cs="Times New Roman"/>
                      <w:b/>
                      <w:bCs/>
                      <w:color w:val="auto"/>
                      <w:spacing w:val="1"/>
                      <w:sz w:val="21"/>
                      <w:szCs w:val="21"/>
                      <w:highlight w:val="none"/>
                    </w:rPr>
                    <w:t>2</w:t>
                  </w:r>
                </w:p>
              </w:tc>
              <w:tc>
                <w:tcPr>
                  <w:tcW w:w="621" w:type="dxa"/>
                  <w:vAlign w:val="top"/>
                </w:tcPr>
                <w:p w14:paraId="2ED8A19F">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昼间</w:t>
                  </w:r>
                </w:p>
              </w:tc>
              <w:tc>
                <w:tcPr>
                  <w:tcW w:w="565" w:type="dxa"/>
                  <w:vAlign w:val="top"/>
                </w:tcPr>
                <w:p w14:paraId="28296B41">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夜间</w:t>
                  </w:r>
                </w:p>
              </w:tc>
              <w:tc>
                <w:tcPr>
                  <w:tcW w:w="582" w:type="dxa"/>
                  <w:vAlign w:val="top"/>
                </w:tcPr>
                <w:p w14:paraId="5BB6DB47">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昼间</w:t>
                  </w:r>
                </w:p>
              </w:tc>
              <w:tc>
                <w:tcPr>
                  <w:tcW w:w="595" w:type="dxa"/>
                  <w:tcBorders>
                    <w:right w:val="single" w:color="000000" w:sz="10" w:space="0"/>
                  </w:tcBorders>
                  <w:vAlign w:val="top"/>
                </w:tcPr>
                <w:p w14:paraId="63435412">
                  <w:pPr>
                    <w:spacing w:before="34" w:line="213"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夜间</w:t>
                  </w:r>
                </w:p>
              </w:tc>
            </w:tr>
            <w:tr w14:paraId="40CF6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2DADCF36">
                  <w:pPr>
                    <w:spacing w:before="67" w:line="239" w:lineRule="auto"/>
                    <w:ind w:left="0" w:leftChars="0" w:right="111"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N1</w:t>
                  </w:r>
                  <w:r>
                    <w:rPr>
                      <w:rFonts w:ascii="宋体" w:hAnsi="宋体" w:eastAsia="宋体" w:cs="宋体"/>
                      <w:color w:val="auto"/>
                      <w:spacing w:val="6"/>
                      <w:sz w:val="21"/>
                      <w:szCs w:val="21"/>
                      <w:highlight w:val="none"/>
                    </w:rPr>
                    <w:t>东北面厂界（</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4"/>
                      <w:sz w:val="21"/>
                      <w:szCs w:val="21"/>
                      <w:highlight w:val="none"/>
                    </w:rPr>
                    <w:t>泊位后方）</w:t>
                  </w:r>
                </w:p>
              </w:tc>
              <w:tc>
                <w:tcPr>
                  <w:tcW w:w="1301" w:type="dxa"/>
                  <w:vAlign w:val="center"/>
                </w:tcPr>
                <w:p w14:paraId="7BE33B7A">
                  <w:pPr>
                    <w:spacing w:before="47" w:line="224"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6B176739">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63.3</w:t>
                  </w:r>
                </w:p>
              </w:tc>
              <w:tc>
                <w:tcPr>
                  <w:tcW w:w="683" w:type="dxa"/>
                  <w:vAlign w:val="center"/>
                </w:tcPr>
                <w:p w14:paraId="4CB1FAF6">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64.0</w:t>
                  </w:r>
                </w:p>
              </w:tc>
              <w:tc>
                <w:tcPr>
                  <w:tcW w:w="650" w:type="dxa"/>
                  <w:vAlign w:val="center"/>
                </w:tcPr>
                <w:p w14:paraId="360CCD20">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53.9</w:t>
                  </w:r>
                </w:p>
              </w:tc>
              <w:tc>
                <w:tcPr>
                  <w:tcW w:w="719" w:type="dxa"/>
                  <w:vAlign w:val="center"/>
                </w:tcPr>
                <w:p w14:paraId="7B6479D8">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53.1</w:t>
                  </w:r>
                </w:p>
              </w:tc>
              <w:tc>
                <w:tcPr>
                  <w:tcW w:w="621" w:type="dxa"/>
                  <w:vAlign w:val="center"/>
                </w:tcPr>
                <w:p w14:paraId="61576D5A">
                  <w:pPr>
                    <w:spacing w:before="85"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5A8EB5EB">
                  <w:pPr>
                    <w:spacing w:before="88"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79DFAF78">
                  <w:pPr>
                    <w:spacing w:before="47" w:line="22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03ED5D55">
                  <w:pPr>
                    <w:spacing w:before="47" w:line="22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6466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continue"/>
                  <w:tcBorders>
                    <w:top w:val="nil"/>
                    <w:left w:val="single" w:color="000000" w:sz="10" w:space="0"/>
                  </w:tcBorders>
                  <w:vAlign w:val="center"/>
                </w:tcPr>
                <w:p w14:paraId="4F980DB1">
                  <w:pPr>
                    <w:ind w:left="0" w:leftChars="0" w:firstLine="0" w:firstLineChars="0"/>
                    <w:jc w:val="center"/>
                    <w:rPr>
                      <w:rFonts w:ascii="Arial"/>
                      <w:color w:val="auto"/>
                      <w:sz w:val="21"/>
                      <w:szCs w:val="21"/>
                      <w:highlight w:val="none"/>
                    </w:rPr>
                  </w:pPr>
                </w:p>
              </w:tc>
              <w:tc>
                <w:tcPr>
                  <w:tcW w:w="1301" w:type="dxa"/>
                  <w:vAlign w:val="center"/>
                </w:tcPr>
                <w:p w14:paraId="59538495">
                  <w:pPr>
                    <w:spacing w:before="51" w:line="221"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0EAE4665">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63.8</w:t>
                  </w:r>
                </w:p>
              </w:tc>
              <w:tc>
                <w:tcPr>
                  <w:tcW w:w="683" w:type="dxa"/>
                  <w:vAlign w:val="center"/>
                </w:tcPr>
                <w:p w14:paraId="33D0F511">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64.4</w:t>
                  </w:r>
                </w:p>
              </w:tc>
              <w:tc>
                <w:tcPr>
                  <w:tcW w:w="650" w:type="dxa"/>
                  <w:vAlign w:val="center"/>
                </w:tcPr>
                <w:p w14:paraId="4505B35E">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54.3</w:t>
                  </w:r>
                </w:p>
              </w:tc>
              <w:tc>
                <w:tcPr>
                  <w:tcW w:w="719" w:type="dxa"/>
                  <w:vAlign w:val="center"/>
                </w:tcPr>
                <w:p w14:paraId="01736C5B">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53.3</w:t>
                  </w:r>
                </w:p>
              </w:tc>
              <w:tc>
                <w:tcPr>
                  <w:tcW w:w="621" w:type="dxa"/>
                  <w:vAlign w:val="center"/>
                </w:tcPr>
                <w:p w14:paraId="3741F29E">
                  <w:pPr>
                    <w:spacing w:before="87"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0EF11D56">
                  <w:pPr>
                    <w:spacing w:before="90"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2D3C4063">
                  <w:pPr>
                    <w:spacing w:before="51" w:line="221"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3B833BF4">
                  <w:pPr>
                    <w:spacing w:before="51" w:line="221"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7D61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207AF330">
                  <w:pPr>
                    <w:spacing w:before="73" w:line="239" w:lineRule="auto"/>
                    <w:ind w:left="0" w:leftChars="0" w:right="111"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N2</w:t>
                  </w:r>
                  <w:r>
                    <w:rPr>
                      <w:rFonts w:ascii="宋体" w:hAnsi="宋体" w:eastAsia="宋体" w:cs="宋体"/>
                      <w:color w:val="auto"/>
                      <w:spacing w:val="6"/>
                      <w:sz w:val="21"/>
                      <w:szCs w:val="21"/>
                      <w:highlight w:val="none"/>
                    </w:rPr>
                    <w:t>东北面厂界（</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4"/>
                      <w:sz w:val="21"/>
                      <w:szCs w:val="21"/>
                      <w:highlight w:val="none"/>
                    </w:rPr>
                    <w:t>泊位后方）</w:t>
                  </w:r>
                </w:p>
              </w:tc>
              <w:tc>
                <w:tcPr>
                  <w:tcW w:w="1301" w:type="dxa"/>
                  <w:vAlign w:val="center"/>
                </w:tcPr>
                <w:p w14:paraId="4B86F83F">
                  <w:pPr>
                    <w:spacing w:before="52" w:line="220"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52031B3A">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65.1</w:t>
                  </w:r>
                </w:p>
              </w:tc>
              <w:tc>
                <w:tcPr>
                  <w:tcW w:w="683" w:type="dxa"/>
                  <w:vAlign w:val="center"/>
                </w:tcPr>
                <w:p w14:paraId="29601979">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66.0</w:t>
                  </w:r>
                </w:p>
              </w:tc>
              <w:tc>
                <w:tcPr>
                  <w:tcW w:w="650" w:type="dxa"/>
                  <w:vAlign w:val="center"/>
                </w:tcPr>
                <w:p w14:paraId="21F8E0D8">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54.4</w:t>
                  </w:r>
                </w:p>
              </w:tc>
              <w:tc>
                <w:tcPr>
                  <w:tcW w:w="719" w:type="dxa"/>
                  <w:vAlign w:val="center"/>
                </w:tcPr>
                <w:p w14:paraId="4DEFCD68">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53.7</w:t>
                  </w:r>
                </w:p>
              </w:tc>
              <w:tc>
                <w:tcPr>
                  <w:tcW w:w="621" w:type="dxa"/>
                  <w:vAlign w:val="center"/>
                </w:tcPr>
                <w:p w14:paraId="3142986B">
                  <w:pPr>
                    <w:spacing w:before="91"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565" w:type="dxa"/>
                  <w:vAlign w:val="center"/>
                </w:tcPr>
                <w:p w14:paraId="5737F8AC">
                  <w:pPr>
                    <w:spacing w:before="94"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8FA172C">
                  <w:pPr>
                    <w:spacing w:before="52" w:line="220"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746AA772">
                  <w:pPr>
                    <w:spacing w:before="52" w:line="220"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2220E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669" w:type="dxa"/>
                  <w:vMerge w:val="continue"/>
                  <w:tcBorders>
                    <w:top w:val="nil"/>
                    <w:left w:val="single" w:color="000000" w:sz="10" w:space="0"/>
                  </w:tcBorders>
                  <w:vAlign w:val="center"/>
                </w:tcPr>
                <w:p w14:paraId="0F27964C">
                  <w:pPr>
                    <w:ind w:left="0" w:leftChars="0" w:firstLine="0" w:firstLineChars="0"/>
                    <w:jc w:val="center"/>
                    <w:rPr>
                      <w:rFonts w:ascii="Arial"/>
                      <w:color w:val="auto"/>
                      <w:sz w:val="21"/>
                      <w:szCs w:val="21"/>
                      <w:highlight w:val="none"/>
                    </w:rPr>
                  </w:pPr>
                </w:p>
              </w:tc>
              <w:tc>
                <w:tcPr>
                  <w:tcW w:w="1301" w:type="dxa"/>
                  <w:vAlign w:val="center"/>
                </w:tcPr>
                <w:p w14:paraId="22856246">
                  <w:pPr>
                    <w:spacing w:before="53" w:line="219"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0701D0EF">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65.8</w:t>
                  </w:r>
                </w:p>
              </w:tc>
              <w:tc>
                <w:tcPr>
                  <w:tcW w:w="683" w:type="dxa"/>
                  <w:vAlign w:val="center"/>
                </w:tcPr>
                <w:p w14:paraId="5CB08EA5">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66.5</w:t>
                  </w:r>
                </w:p>
              </w:tc>
              <w:tc>
                <w:tcPr>
                  <w:tcW w:w="650" w:type="dxa"/>
                  <w:vAlign w:val="center"/>
                </w:tcPr>
                <w:p w14:paraId="48C45614">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54.7</w:t>
                  </w:r>
                </w:p>
              </w:tc>
              <w:tc>
                <w:tcPr>
                  <w:tcW w:w="719" w:type="dxa"/>
                  <w:vAlign w:val="center"/>
                </w:tcPr>
                <w:p w14:paraId="274B1D9A">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54.1</w:t>
                  </w:r>
                </w:p>
              </w:tc>
              <w:tc>
                <w:tcPr>
                  <w:tcW w:w="621" w:type="dxa"/>
                  <w:vAlign w:val="center"/>
                </w:tcPr>
                <w:p w14:paraId="567B4750">
                  <w:pPr>
                    <w:spacing w:before="9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70</w:t>
                  </w:r>
                </w:p>
              </w:tc>
              <w:tc>
                <w:tcPr>
                  <w:tcW w:w="565" w:type="dxa"/>
                  <w:vAlign w:val="center"/>
                </w:tcPr>
                <w:p w14:paraId="3985849E">
                  <w:pPr>
                    <w:spacing w:before="95"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C76A24D">
                  <w:pPr>
                    <w:spacing w:before="53" w:line="21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467A9941">
                  <w:pPr>
                    <w:spacing w:before="53" w:line="21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r>
            <w:tr w14:paraId="139B0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restart"/>
                  <w:tcBorders>
                    <w:left w:val="single" w:color="000000" w:sz="10" w:space="0"/>
                    <w:bottom w:val="nil"/>
                  </w:tcBorders>
                  <w:vAlign w:val="center"/>
                </w:tcPr>
                <w:p w14:paraId="67901744">
                  <w:pPr>
                    <w:spacing w:before="211" w:line="228" w:lineRule="auto"/>
                    <w:ind w:left="0" w:leftChars="0"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N3</w:t>
                  </w:r>
                  <w:r>
                    <w:rPr>
                      <w:rFonts w:ascii="宋体" w:hAnsi="宋体" w:eastAsia="宋体" w:cs="宋体"/>
                      <w:color w:val="auto"/>
                      <w:spacing w:val="6"/>
                      <w:sz w:val="21"/>
                      <w:szCs w:val="21"/>
                      <w:highlight w:val="none"/>
                    </w:rPr>
                    <w:t>东南面厂界</w:t>
                  </w:r>
                </w:p>
              </w:tc>
              <w:tc>
                <w:tcPr>
                  <w:tcW w:w="1301" w:type="dxa"/>
                  <w:vAlign w:val="center"/>
                </w:tcPr>
                <w:p w14:paraId="1AFBE9D2">
                  <w:pPr>
                    <w:spacing w:before="58" w:line="214"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11CCE4DE">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63.9</w:t>
                  </w:r>
                </w:p>
              </w:tc>
              <w:tc>
                <w:tcPr>
                  <w:tcW w:w="683" w:type="dxa"/>
                  <w:vAlign w:val="center"/>
                </w:tcPr>
                <w:p w14:paraId="1C394CA3">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64.5</w:t>
                  </w:r>
                </w:p>
              </w:tc>
              <w:tc>
                <w:tcPr>
                  <w:tcW w:w="650" w:type="dxa"/>
                  <w:vAlign w:val="center"/>
                </w:tcPr>
                <w:p w14:paraId="1D2BEE07">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61.4</w:t>
                  </w:r>
                </w:p>
              </w:tc>
              <w:tc>
                <w:tcPr>
                  <w:tcW w:w="719" w:type="dxa"/>
                  <w:vAlign w:val="center"/>
                </w:tcPr>
                <w:p w14:paraId="2B859C79">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60.8</w:t>
                  </w:r>
                </w:p>
              </w:tc>
              <w:tc>
                <w:tcPr>
                  <w:tcW w:w="621" w:type="dxa"/>
                  <w:vAlign w:val="center"/>
                </w:tcPr>
                <w:p w14:paraId="6EFA155B">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496247B3">
                  <w:pPr>
                    <w:spacing w:before="96"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73A81257">
                  <w:pPr>
                    <w:spacing w:before="58" w:line="214"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30FC9823">
                  <w:pPr>
                    <w:spacing w:before="93"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r>
            <w:tr w14:paraId="6F75C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69" w:type="dxa"/>
                  <w:vMerge w:val="continue"/>
                  <w:tcBorders>
                    <w:top w:val="nil"/>
                    <w:left w:val="single" w:color="000000" w:sz="10" w:space="0"/>
                  </w:tcBorders>
                  <w:vAlign w:val="center"/>
                </w:tcPr>
                <w:p w14:paraId="03C1B27E">
                  <w:pPr>
                    <w:ind w:left="0" w:leftChars="0" w:firstLine="0" w:firstLineChars="0"/>
                    <w:jc w:val="center"/>
                    <w:rPr>
                      <w:rFonts w:ascii="Arial"/>
                      <w:color w:val="auto"/>
                      <w:sz w:val="21"/>
                      <w:szCs w:val="21"/>
                      <w:highlight w:val="none"/>
                    </w:rPr>
                  </w:pPr>
                </w:p>
              </w:tc>
              <w:tc>
                <w:tcPr>
                  <w:tcW w:w="1301" w:type="dxa"/>
                  <w:vAlign w:val="center"/>
                </w:tcPr>
                <w:p w14:paraId="309A401C">
                  <w:pPr>
                    <w:spacing w:before="60" w:line="212"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vAlign w:val="center"/>
                </w:tcPr>
                <w:p w14:paraId="4A875A49">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64.0</w:t>
                  </w:r>
                </w:p>
              </w:tc>
              <w:tc>
                <w:tcPr>
                  <w:tcW w:w="683" w:type="dxa"/>
                  <w:vAlign w:val="center"/>
                </w:tcPr>
                <w:p w14:paraId="744D80F9">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63.0</w:t>
                  </w:r>
                </w:p>
              </w:tc>
              <w:tc>
                <w:tcPr>
                  <w:tcW w:w="650" w:type="dxa"/>
                  <w:vAlign w:val="center"/>
                </w:tcPr>
                <w:p w14:paraId="63877400">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61.5</w:t>
                  </w:r>
                </w:p>
              </w:tc>
              <w:tc>
                <w:tcPr>
                  <w:tcW w:w="719" w:type="dxa"/>
                  <w:vAlign w:val="center"/>
                </w:tcPr>
                <w:p w14:paraId="0084E9EF">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60.6</w:t>
                  </w:r>
                </w:p>
              </w:tc>
              <w:tc>
                <w:tcPr>
                  <w:tcW w:w="621" w:type="dxa"/>
                  <w:vAlign w:val="center"/>
                </w:tcPr>
                <w:p w14:paraId="4CA0A4E3">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0F448BA9">
                  <w:pPr>
                    <w:spacing w:before="101"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13EFA009">
                  <w:pPr>
                    <w:spacing w:before="60" w:line="212"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达标</w:t>
                  </w:r>
                </w:p>
              </w:tc>
              <w:tc>
                <w:tcPr>
                  <w:tcW w:w="595" w:type="dxa"/>
                  <w:tcBorders>
                    <w:right w:val="single" w:color="000000" w:sz="10" w:space="0"/>
                  </w:tcBorders>
                  <w:vAlign w:val="center"/>
                </w:tcPr>
                <w:p w14:paraId="5FB0C53C">
                  <w:pPr>
                    <w:spacing w:before="98"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+6.5</w:t>
                  </w:r>
                </w:p>
              </w:tc>
            </w:tr>
            <w:tr w14:paraId="185FF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669" w:type="dxa"/>
                  <w:vMerge w:val="restart"/>
                  <w:tcBorders>
                    <w:left w:val="single" w:color="000000" w:sz="10" w:space="0"/>
                    <w:bottom w:val="nil"/>
                  </w:tcBorders>
                  <w:vAlign w:val="center"/>
                </w:tcPr>
                <w:p w14:paraId="32D9D687">
                  <w:pPr>
                    <w:spacing w:before="218" w:line="228" w:lineRule="auto"/>
                    <w:ind w:left="0" w:leftChars="0" w:firstLine="0" w:firstLineChars="0"/>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N4</w:t>
                  </w:r>
                  <w:r>
                    <w:rPr>
                      <w:rFonts w:ascii="宋体" w:hAnsi="宋体" w:eastAsia="宋体" w:cs="宋体"/>
                      <w:color w:val="auto"/>
                      <w:spacing w:val="7"/>
                      <w:sz w:val="21"/>
                      <w:szCs w:val="21"/>
                      <w:highlight w:val="none"/>
                    </w:rPr>
                    <w:t>西北面厂界</w:t>
                  </w:r>
                </w:p>
              </w:tc>
              <w:tc>
                <w:tcPr>
                  <w:tcW w:w="1301" w:type="dxa"/>
                  <w:vAlign w:val="center"/>
                </w:tcPr>
                <w:p w14:paraId="549A505C">
                  <w:pPr>
                    <w:spacing w:before="64" w:line="211"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月</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日</w:t>
                  </w:r>
                </w:p>
              </w:tc>
              <w:tc>
                <w:tcPr>
                  <w:tcW w:w="673" w:type="dxa"/>
                  <w:vAlign w:val="center"/>
                </w:tcPr>
                <w:p w14:paraId="51761B08">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66.2</w:t>
                  </w:r>
                </w:p>
              </w:tc>
              <w:tc>
                <w:tcPr>
                  <w:tcW w:w="683" w:type="dxa"/>
                  <w:vAlign w:val="center"/>
                </w:tcPr>
                <w:p w14:paraId="601C4D3C">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67.0</w:t>
                  </w:r>
                </w:p>
              </w:tc>
              <w:tc>
                <w:tcPr>
                  <w:tcW w:w="650" w:type="dxa"/>
                  <w:vAlign w:val="center"/>
                </w:tcPr>
                <w:p w14:paraId="5E63029A">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60.5</w:t>
                  </w:r>
                </w:p>
              </w:tc>
              <w:tc>
                <w:tcPr>
                  <w:tcW w:w="719" w:type="dxa"/>
                  <w:vAlign w:val="center"/>
                </w:tcPr>
                <w:p w14:paraId="57A1B749">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60.9</w:t>
                  </w:r>
                </w:p>
              </w:tc>
              <w:tc>
                <w:tcPr>
                  <w:tcW w:w="621" w:type="dxa"/>
                  <w:vAlign w:val="center"/>
                </w:tcPr>
                <w:p w14:paraId="352E5DCB">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vAlign w:val="center"/>
                </w:tcPr>
                <w:p w14:paraId="1A16D6D3">
                  <w:pPr>
                    <w:spacing w:before="103"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vAlign w:val="center"/>
                </w:tcPr>
                <w:p w14:paraId="3ADF8C21">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+2.0</w:t>
                  </w:r>
                </w:p>
              </w:tc>
              <w:tc>
                <w:tcPr>
                  <w:tcW w:w="595" w:type="dxa"/>
                  <w:tcBorders>
                    <w:right w:val="single" w:color="000000" w:sz="10" w:space="0"/>
                  </w:tcBorders>
                  <w:vAlign w:val="center"/>
                </w:tcPr>
                <w:p w14:paraId="1648712C">
                  <w:pPr>
                    <w:spacing w:before="100"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+5.9</w:t>
                  </w:r>
                </w:p>
              </w:tc>
            </w:tr>
            <w:tr w14:paraId="4B920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669" w:type="dxa"/>
                  <w:vMerge w:val="continue"/>
                  <w:tcBorders>
                    <w:top w:val="nil"/>
                    <w:left w:val="single" w:color="000000" w:sz="10" w:space="0"/>
                    <w:bottom w:val="single" w:color="000000" w:sz="10" w:space="0"/>
                  </w:tcBorders>
                  <w:vAlign w:val="top"/>
                </w:tcPr>
                <w:p w14:paraId="54964533">
                  <w:pPr>
                    <w:ind w:left="0" w:leftChars="0" w:firstLine="0" w:firstLineChars="0"/>
                    <w:jc w:val="center"/>
                    <w:rPr>
                      <w:rFonts w:ascii="Arial"/>
                      <w:color w:val="auto"/>
                      <w:sz w:val="21"/>
                      <w:szCs w:val="21"/>
                      <w:highlight w:val="none"/>
                    </w:rPr>
                  </w:pPr>
                </w:p>
              </w:tc>
              <w:tc>
                <w:tcPr>
                  <w:tcW w:w="1301" w:type="dxa"/>
                  <w:tcBorders>
                    <w:bottom w:val="single" w:color="000000" w:sz="10" w:space="0"/>
                  </w:tcBorders>
                  <w:vAlign w:val="center"/>
                </w:tcPr>
                <w:p w14:paraId="0B12F545">
                  <w:pPr>
                    <w:spacing w:before="65" w:line="228" w:lineRule="auto"/>
                    <w:ind w:left="0" w:leftChars="0" w:firstLine="0" w:firstLineChars="0"/>
                    <w:jc w:val="center"/>
                    <w:rPr>
                      <w:rFonts w:ascii="宋体" w:hAnsi="宋体" w:eastAsia="宋体" w:cs="宋体"/>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2024年</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月</w:t>
                  </w:r>
                  <w:r>
                    <w:rPr>
                      <w:rFonts w:ascii="Times New Roman" w:hAnsi="Times New Roman" w:eastAsia="Times New Roman" w:cs="Times New Roman"/>
                      <w:color w:val="auto"/>
                      <w:spacing w:val="-6"/>
                      <w:sz w:val="21"/>
                      <w:szCs w:val="21"/>
                      <w:highlight w:val="none"/>
                    </w:rPr>
                    <w:t>8</w:t>
                  </w:r>
                  <w:r>
                    <w:rPr>
                      <w:rFonts w:ascii="宋体" w:hAnsi="宋体" w:eastAsia="宋体" w:cs="宋体"/>
                      <w:color w:val="auto"/>
                      <w:spacing w:val="-6"/>
                      <w:sz w:val="21"/>
                      <w:szCs w:val="21"/>
                      <w:highlight w:val="none"/>
                    </w:rPr>
                    <w:t>日</w:t>
                  </w:r>
                </w:p>
              </w:tc>
              <w:tc>
                <w:tcPr>
                  <w:tcW w:w="673" w:type="dxa"/>
                  <w:tcBorders>
                    <w:bottom w:val="single" w:color="000000" w:sz="10" w:space="0"/>
                  </w:tcBorders>
                  <w:vAlign w:val="center"/>
                </w:tcPr>
                <w:p w14:paraId="105EAF84">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66.8</w:t>
                  </w:r>
                </w:p>
              </w:tc>
              <w:tc>
                <w:tcPr>
                  <w:tcW w:w="683" w:type="dxa"/>
                  <w:tcBorders>
                    <w:bottom w:val="single" w:color="000000" w:sz="10" w:space="0"/>
                  </w:tcBorders>
                  <w:vAlign w:val="center"/>
                </w:tcPr>
                <w:p w14:paraId="20178129">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67.3</w:t>
                  </w:r>
                </w:p>
              </w:tc>
              <w:tc>
                <w:tcPr>
                  <w:tcW w:w="650" w:type="dxa"/>
                  <w:tcBorders>
                    <w:bottom w:val="single" w:color="000000" w:sz="10" w:space="0"/>
                  </w:tcBorders>
                  <w:vAlign w:val="center"/>
                </w:tcPr>
                <w:p w14:paraId="786D15ED">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61.4</w:t>
                  </w:r>
                </w:p>
              </w:tc>
              <w:tc>
                <w:tcPr>
                  <w:tcW w:w="719" w:type="dxa"/>
                  <w:tcBorders>
                    <w:bottom w:val="single" w:color="000000" w:sz="10" w:space="0"/>
                  </w:tcBorders>
                  <w:vAlign w:val="center"/>
                </w:tcPr>
                <w:p w14:paraId="42A87725">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61.0</w:t>
                  </w:r>
                </w:p>
              </w:tc>
              <w:tc>
                <w:tcPr>
                  <w:tcW w:w="621" w:type="dxa"/>
                  <w:tcBorders>
                    <w:bottom w:val="single" w:color="000000" w:sz="10" w:space="0"/>
                  </w:tcBorders>
                  <w:vAlign w:val="center"/>
                </w:tcPr>
                <w:p w14:paraId="08D34680">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65</w:t>
                  </w:r>
                </w:p>
              </w:tc>
              <w:tc>
                <w:tcPr>
                  <w:tcW w:w="565" w:type="dxa"/>
                  <w:tcBorders>
                    <w:bottom w:val="single" w:color="000000" w:sz="10" w:space="0"/>
                  </w:tcBorders>
                  <w:vAlign w:val="center"/>
                </w:tcPr>
                <w:p w14:paraId="356B2683">
                  <w:pPr>
                    <w:spacing w:before="105" w:line="192"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55</w:t>
                  </w:r>
                </w:p>
              </w:tc>
              <w:tc>
                <w:tcPr>
                  <w:tcW w:w="582" w:type="dxa"/>
                  <w:tcBorders>
                    <w:bottom w:val="single" w:color="000000" w:sz="10" w:space="0"/>
                  </w:tcBorders>
                  <w:vAlign w:val="center"/>
                </w:tcPr>
                <w:p w14:paraId="51380254">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+2.3</w:t>
                  </w:r>
                </w:p>
              </w:tc>
              <w:tc>
                <w:tcPr>
                  <w:tcW w:w="595" w:type="dxa"/>
                  <w:tcBorders>
                    <w:bottom w:val="single" w:color="000000" w:sz="10" w:space="0"/>
                    <w:right w:val="single" w:color="000000" w:sz="10" w:space="0"/>
                  </w:tcBorders>
                  <w:vAlign w:val="center"/>
                </w:tcPr>
                <w:p w14:paraId="1CF9CCF9">
                  <w:pPr>
                    <w:spacing w:before="102" w:line="195"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r>
          </w:tbl>
          <w:p w14:paraId="5C1ECF07">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）固体废物</w:t>
            </w:r>
          </w:p>
          <w:p w14:paraId="5821134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码头固体废物主要包括船舶生活垃圾、码头生活垃圾，机修产生的废矿物油</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废锂基脂油</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含油抹布</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废油桶</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废油管</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废滤芯</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废油漆桶</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废铅蓄电池</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废灯管</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废电路板</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废墨盒</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废油漆渣</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废活性炭过滤棉和污水处理站产生的少量</w:t>
            </w:r>
            <w:r>
              <w:rPr>
                <w:rFonts w:hint="default" w:ascii="Times New Roman" w:hAnsi="Times New Roman" w:eastAsia="宋体" w:cs="Times New Roman"/>
                <w:caps w:val="0"/>
                <w:color w:val="auto"/>
                <w:sz w:val="24"/>
                <w:szCs w:val="24"/>
                <w:highlight w:val="none"/>
                <w:lang w:val="en-US" w:eastAsia="zh-CN"/>
              </w:rPr>
              <w:t>含油</w:t>
            </w:r>
            <w:r>
              <w:rPr>
                <w:rFonts w:hint="default" w:ascii="Times New Roman" w:hAnsi="Times New Roman" w:eastAsia="宋体" w:cs="Times New Roman"/>
                <w:caps w:val="0"/>
                <w:color w:val="auto"/>
                <w:sz w:val="24"/>
                <w:szCs w:val="24"/>
                <w:highlight w:val="none"/>
              </w:rPr>
              <w:t>油泥等危险废物。</w:t>
            </w:r>
          </w:p>
          <w:p w14:paraId="29B2ED9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根据现有码头相关验收资料，码头目前生活垃圾产生量约50kg/d</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lang w:val="en-US" w:eastAsia="zh-CN"/>
              </w:rPr>
              <w:t>18.25</w:t>
            </w:r>
            <w:r>
              <w:rPr>
                <w:rFonts w:hint="default" w:ascii="Times New Roman" w:hAnsi="Times New Roman" w:eastAsia="宋体" w:cs="Times New Roman"/>
                <w:caps w:val="0"/>
                <w:color w:val="auto"/>
                <w:sz w:val="24"/>
                <w:szCs w:val="24"/>
                <w:highlight w:val="none"/>
              </w:rPr>
              <w:t>t/a</w:t>
            </w:r>
            <w:r>
              <w:rPr>
                <w:rFonts w:hint="default"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，经垃圾桶收集后由当地环卫定期清运。船舶垃圾由项目运营单位委托有资质的外单位直接清运，不在港区存放。</w:t>
            </w:r>
          </w:p>
          <w:p w14:paraId="15177E3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u w:val="none"/>
              </w:rPr>
              <w:t>根据码头现有危废物暂存库使用情况，</w:t>
            </w:r>
            <w:r>
              <w:rPr>
                <w:rFonts w:hint="default" w:ascii="Times New Roman" w:hAnsi="Times New Roman" w:eastAsia="宋体" w:cs="Times New Roman"/>
                <w:caps w:val="0"/>
                <w:color w:val="auto"/>
                <w:sz w:val="24"/>
                <w:szCs w:val="24"/>
                <w:highlight w:val="none"/>
                <w:u w:val="none"/>
                <w:lang w:val="en-US" w:eastAsia="zh-CN"/>
              </w:rPr>
              <w:t>项目危险废物最大贮存量为16.2621t，最大贮存量满足“自贸钦港审批环〔2022〕3号”要求；</w:t>
            </w:r>
            <w:r>
              <w:rPr>
                <w:rFonts w:hint="default" w:ascii="Times New Roman" w:hAnsi="Times New Roman" w:eastAsia="宋体" w:cs="Times New Roman"/>
                <w:caps w:val="0"/>
                <w:color w:val="auto"/>
                <w:sz w:val="24"/>
                <w:szCs w:val="24"/>
                <w:highlight w:val="none"/>
                <w:u w:val="none"/>
              </w:rPr>
              <w:t>项目危险废物产生量约</w:t>
            </w:r>
            <w:r>
              <w:rPr>
                <w:rFonts w:hint="default" w:ascii="Times New Roman" w:hAnsi="Times New Roman" w:eastAsia="宋体" w:cs="Times New Roman"/>
                <w:caps w:val="0"/>
                <w:color w:val="auto"/>
                <w:sz w:val="24"/>
                <w:szCs w:val="24"/>
                <w:highlight w:val="none"/>
                <w:u w:val="none"/>
                <w:lang w:val="en-US" w:eastAsia="zh-CN"/>
              </w:rPr>
              <w:t>62.0225</w:t>
            </w:r>
            <w:r>
              <w:rPr>
                <w:rFonts w:hint="default" w:ascii="Times New Roman" w:hAnsi="Times New Roman" w:eastAsia="宋体" w:cs="Times New Roman"/>
                <w:caps w:val="0"/>
                <w:color w:val="auto"/>
                <w:sz w:val="24"/>
                <w:szCs w:val="24"/>
                <w:highlight w:val="none"/>
                <w:u w:val="none"/>
              </w:rPr>
              <w:t>t/a，</w:t>
            </w:r>
            <w:r>
              <w:rPr>
                <w:rFonts w:hint="default" w:ascii="Times New Roman" w:hAnsi="Times New Roman" w:cs="Times New Roman"/>
                <w:caps w:val="0"/>
                <w:color w:val="auto"/>
                <w:sz w:val="24"/>
                <w:szCs w:val="24"/>
                <w:highlight w:val="none"/>
                <w:u w:val="none"/>
                <w:lang w:eastAsia="zh-CN"/>
              </w:rPr>
              <w:t>委托有资质单位定期收运处置。</w:t>
            </w:r>
            <w:r>
              <w:rPr>
                <w:rFonts w:hint="default" w:ascii="Times New Roman" w:hAnsi="Times New Roman" w:eastAsia="宋体" w:cs="Times New Roman"/>
                <w:caps w:val="0"/>
                <w:color w:val="auto"/>
                <w:sz w:val="24"/>
                <w:szCs w:val="24"/>
                <w:highlight w:val="none"/>
                <w:u w:val="none"/>
              </w:rPr>
              <w:t>详见表2.1-</w:t>
            </w:r>
            <w:r>
              <w:rPr>
                <w:rFonts w:hint="eastAsia" w:cs="Times New Roman"/>
                <w:caps w:val="0"/>
                <w:color w:val="auto"/>
                <w:sz w:val="24"/>
                <w:szCs w:val="24"/>
                <w:highlight w:val="none"/>
                <w:u w:val="none"/>
                <w:lang w:val="en-US" w:eastAsia="zh-CN"/>
              </w:rPr>
              <w:t>24</w:t>
            </w:r>
            <w:r>
              <w:rPr>
                <w:rFonts w:hint="default" w:ascii="Times New Roman" w:hAnsi="Times New Roman" w:eastAsia="宋体" w:cs="Times New Roman"/>
                <w:caps w:val="0"/>
                <w:color w:val="auto"/>
                <w:sz w:val="24"/>
                <w:szCs w:val="24"/>
                <w:highlight w:val="none"/>
              </w:rPr>
              <w:t>。</w:t>
            </w:r>
          </w:p>
          <w:p w14:paraId="5B2CCF67">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lang w:val="en-US" w:eastAsia="zh-CN"/>
              </w:rPr>
              <w:t>表2-</w:t>
            </w:r>
            <w:r>
              <w:rPr>
                <w:rFonts w:hint="eastAsia" w:cs="Times New Roman"/>
                <w:b/>
                <w:bCs/>
                <w:caps w:val="0"/>
                <w:color w:val="auto"/>
                <w:sz w:val="24"/>
                <w:szCs w:val="24"/>
                <w:highlight w:val="none"/>
                <w:lang w:val="en-US" w:eastAsia="zh-CN"/>
              </w:rPr>
              <w:t>24</w:t>
            </w:r>
            <w:r>
              <w:rPr>
                <w:rFonts w:hint="default" w:ascii="Times New Roman" w:hAnsi="Times New Roman" w:eastAsia="宋体" w:cs="Times New Roman"/>
                <w:b/>
                <w:bCs/>
                <w:caps w:val="0"/>
                <w:color w:val="auto"/>
                <w:sz w:val="24"/>
                <w:szCs w:val="24"/>
                <w:highlight w:val="none"/>
              </w:rPr>
              <w:t>现有码头危险废物产生情况一览表</w:t>
            </w:r>
          </w:p>
          <w:tbl>
            <w:tblPr>
              <w:tblStyle w:val="4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
              <w:gridCol w:w="987"/>
              <w:gridCol w:w="987"/>
              <w:gridCol w:w="959"/>
              <w:gridCol w:w="839"/>
              <w:gridCol w:w="2149"/>
              <w:gridCol w:w="706"/>
              <w:gridCol w:w="705"/>
            </w:tblGrid>
            <w:tr w14:paraId="27A55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tblHeader/>
                <w:jc w:val="center"/>
              </w:trPr>
              <w:tc>
                <w:tcPr>
                  <w:tcW w:w="704" w:type="dxa"/>
                  <w:tcBorders>
                    <w:tl2br w:val="nil"/>
                    <w:tr2bl w:val="nil"/>
                  </w:tcBorders>
                  <w:noWrap w:val="0"/>
                  <w:tcMar>
                    <w:left w:w="0" w:type="dxa"/>
                    <w:right w:w="0" w:type="dxa"/>
                  </w:tcMar>
                  <w:vAlign w:val="center"/>
                </w:tcPr>
                <w:p w14:paraId="2F185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名称</w:t>
                  </w:r>
                </w:p>
              </w:tc>
              <w:tc>
                <w:tcPr>
                  <w:tcW w:w="1974" w:type="dxa"/>
                  <w:gridSpan w:val="2"/>
                  <w:tcBorders>
                    <w:tl2br w:val="nil"/>
                    <w:tr2bl w:val="nil"/>
                  </w:tcBorders>
                  <w:noWrap w:val="0"/>
                  <w:tcMar>
                    <w:left w:w="0" w:type="dxa"/>
                    <w:right w:w="0" w:type="dxa"/>
                  </w:tcMar>
                  <w:vAlign w:val="center"/>
                </w:tcPr>
                <w:p w14:paraId="69D7F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危废代码</w:t>
                  </w:r>
                </w:p>
              </w:tc>
              <w:tc>
                <w:tcPr>
                  <w:tcW w:w="959" w:type="dxa"/>
                  <w:tcBorders>
                    <w:tl2br w:val="nil"/>
                    <w:tr2bl w:val="nil"/>
                  </w:tcBorders>
                  <w:noWrap w:val="0"/>
                  <w:tcMar>
                    <w:left w:w="0" w:type="dxa"/>
                    <w:right w:w="0" w:type="dxa"/>
                  </w:tcMar>
                  <w:vAlign w:val="center"/>
                </w:tcPr>
                <w:p w14:paraId="40210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lang w:val="en-US" w:eastAsia="zh-CN"/>
                    </w:rPr>
                    <w:t>产生</w:t>
                  </w:r>
                  <w:r>
                    <w:rPr>
                      <w:rFonts w:hint="default" w:ascii="Times New Roman" w:hAnsi="Times New Roman" w:eastAsia="宋体" w:cs="Times New Roman"/>
                      <w:b/>
                      <w:bCs/>
                      <w:caps w:val="0"/>
                      <w:color w:val="auto"/>
                      <w:kern w:val="0"/>
                      <w:sz w:val="21"/>
                      <w:szCs w:val="21"/>
                      <w:highlight w:val="none"/>
                    </w:rPr>
                    <w:t>量（t/a）</w:t>
                  </w:r>
                </w:p>
              </w:tc>
              <w:tc>
                <w:tcPr>
                  <w:tcW w:w="839" w:type="dxa"/>
                  <w:tcBorders>
                    <w:tl2br w:val="nil"/>
                    <w:tr2bl w:val="nil"/>
                  </w:tcBorders>
                  <w:noWrap w:val="0"/>
                  <w:tcMar>
                    <w:left w:w="0" w:type="dxa"/>
                    <w:right w:w="0" w:type="dxa"/>
                  </w:tcMar>
                  <w:vAlign w:val="center"/>
                </w:tcPr>
                <w:p w14:paraId="0657D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最大贮存量（t/次）</w:t>
                  </w:r>
                </w:p>
              </w:tc>
              <w:tc>
                <w:tcPr>
                  <w:tcW w:w="2149" w:type="dxa"/>
                  <w:tcBorders>
                    <w:tl2br w:val="nil"/>
                    <w:tr2bl w:val="nil"/>
                  </w:tcBorders>
                  <w:noWrap w:val="0"/>
                  <w:tcMar>
                    <w:left w:w="0" w:type="dxa"/>
                    <w:right w:w="0" w:type="dxa"/>
                  </w:tcMar>
                  <w:vAlign w:val="center"/>
                </w:tcPr>
                <w:p w14:paraId="7587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储存位置及方式</w:t>
                  </w:r>
                </w:p>
              </w:tc>
              <w:tc>
                <w:tcPr>
                  <w:tcW w:w="706" w:type="dxa"/>
                  <w:tcBorders>
                    <w:tl2br w:val="nil"/>
                    <w:tr2bl w:val="nil"/>
                  </w:tcBorders>
                  <w:noWrap w:val="0"/>
                  <w:tcMar>
                    <w:left w:w="0" w:type="dxa"/>
                    <w:right w:w="0" w:type="dxa"/>
                  </w:tcMar>
                  <w:vAlign w:val="center"/>
                </w:tcPr>
                <w:p w14:paraId="7924C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储存周期</w:t>
                  </w:r>
                </w:p>
              </w:tc>
              <w:tc>
                <w:tcPr>
                  <w:tcW w:w="705" w:type="dxa"/>
                  <w:tcBorders>
                    <w:tl2br w:val="nil"/>
                    <w:tr2bl w:val="nil"/>
                  </w:tcBorders>
                  <w:noWrap w:val="0"/>
                  <w:tcMar>
                    <w:left w:w="0" w:type="dxa"/>
                    <w:right w:w="0" w:type="dxa"/>
                  </w:tcMar>
                  <w:vAlign w:val="center"/>
                </w:tcPr>
                <w:p w14:paraId="78125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rPr>
                  </w:pPr>
                  <w:r>
                    <w:rPr>
                      <w:rFonts w:hint="default" w:ascii="Times New Roman" w:hAnsi="Times New Roman" w:eastAsia="宋体" w:cs="Times New Roman"/>
                      <w:b/>
                      <w:bCs/>
                      <w:caps w:val="0"/>
                      <w:color w:val="auto"/>
                      <w:kern w:val="0"/>
                      <w:sz w:val="21"/>
                      <w:szCs w:val="21"/>
                      <w:highlight w:val="none"/>
                    </w:rPr>
                    <w:t>处理方式</w:t>
                  </w:r>
                </w:p>
              </w:tc>
            </w:tr>
            <w:tr w14:paraId="6A108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6953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废矿物油</w:t>
                  </w:r>
                </w:p>
              </w:tc>
              <w:tc>
                <w:tcPr>
                  <w:tcW w:w="987" w:type="dxa"/>
                  <w:tcBorders>
                    <w:tl2br w:val="nil"/>
                    <w:tr2bl w:val="nil"/>
                  </w:tcBorders>
                  <w:noWrap w:val="0"/>
                  <w:tcMar>
                    <w:left w:w="0" w:type="dxa"/>
                    <w:right w:w="0" w:type="dxa"/>
                  </w:tcMar>
                  <w:vAlign w:val="center"/>
                </w:tcPr>
                <w:p w14:paraId="0F854F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37808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900-214-08</w:t>
                  </w:r>
                </w:p>
              </w:tc>
              <w:tc>
                <w:tcPr>
                  <w:tcW w:w="959" w:type="dxa"/>
                  <w:tcBorders>
                    <w:tl2br w:val="nil"/>
                    <w:tr2bl w:val="nil"/>
                  </w:tcBorders>
                  <w:noWrap w:val="0"/>
                  <w:tcMar>
                    <w:left w:w="0" w:type="dxa"/>
                    <w:right w:w="0" w:type="dxa"/>
                  </w:tcMar>
                  <w:vAlign w:val="center"/>
                </w:tcPr>
                <w:p w14:paraId="0D9DB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27.0364</w:t>
                  </w:r>
                </w:p>
              </w:tc>
              <w:tc>
                <w:tcPr>
                  <w:tcW w:w="839" w:type="dxa"/>
                  <w:tcBorders>
                    <w:tl2br w:val="nil"/>
                    <w:tr2bl w:val="nil"/>
                  </w:tcBorders>
                  <w:noWrap w:val="0"/>
                  <w:tcMar>
                    <w:left w:w="0" w:type="dxa"/>
                    <w:right w:w="0" w:type="dxa"/>
                  </w:tcMar>
                  <w:vAlign w:val="center"/>
                </w:tcPr>
                <w:p w14:paraId="0A38F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8.682</w:t>
                  </w:r>
                </w:p>
              </w:tc>
              <w:tc>
                <w:tcPr>
                  <w:tcW w:w="2149" w:type="dxa"/>
                  <w:tcBorders>
                    <w:tl2br w:val="nil"/>
                    <w:tr2bl w:val="nil"/>
                  </w:tcBorders>
                  <w:noWrap w:val="0"/>
                  <w:tcMar>
                    <w:left w:w="0" w:type="dxa"/>
                    <w:right w:w="0" w:type="dxa"/>
                  </w:tcMar>
                  <w:vAlign w:val="center"/>
                </w:tcPr>
                <w:p w14:paraId="384AA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3B048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2个月</w:t>
                  </w:r>
                </w:p>
              </w:tc>
              <w:tc>
                <w:tcPr>
                  <w:tcW w:w="705" w:type="dxa"/>
                  <w:vMerge w:val="restart"/>
                  <w:tcBorders>
                    <w:tl2br w:val="nil"/>
                    <w:tr2bl w:val="nil"/>
                  </w:tcBorders>
                  <w:noWrap w:val="0"/>
                  <w:tcMar>
                    <w:left w:w="0" w:type="dxa"/>
                    <w:right w:w="0" w:type="dxa"/>
                  </w:tcMar>
                  <w:vAlign w:val="center"/>
                </w:tcPr>
                <w:p w14:paraId="093E9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委托有资质单位处置</w:t>
                  </w:r>
                </w:p>
              </w:tc>
            </w:tr>
            <w:tr w14:paraId="3C0E8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9E65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废锂基脂油</w:t>
                  </w:r>
                </w:p>
              </w:tc>
              <w:tc>
                <w:tcPr>
                  <w:tcW w:w="987" w:type="dxa"/>
                  <w:tcBorders>
                    <w:tl2br w:val="nil"/>
                    <w:tr2bl w:val="nil"/>
                  </w:tcBorders>
                  <w:noWrap w:val="0"/>
                  <w:tcMar>
                    <w:left w:w="0" w:type="dxa"/>
                    <w:right w:w="0" w:type="dxa"/>
                  </w:tcMar>
                  <w:vAlign w:val="center"/>
                </w:tcPr>
                <w:p w14:paraId="53512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4CB7A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900-249-08</w:t>
                  </w:r>
                </w:p>
              </w:tc>
              <w:tc>
                <w:tcPr>
                  <w:tcW w:w="959" w:type="dxa"/>
                  <w:tcBorders>
                    <w:tl2br w:val="nil"/>
                    <w:tr2bl w:val="nil"/>
                  </w:tcBorders>
                  <w:noWrap w:val="0"/>
                  <w:tcMar>
                    <w:left w:w="0" w:type="dxa"/>
                    <w:right w:w="0" w:type="dxa"/>
                  </w:tcMar>
                  <w:vAlign w:val="center"/>
                </w:tcPr>
                <w:p w14:paraId="44D6E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7.4395</w:t>
                  </w:r>
                </w:p>
              </w:tc>
              <w:tc>
                <w:tcPr>
                  <w:tcW w:w="839" w:type="dxa"/>
                  <w:tcBorders>
                    <w:tl2br w:val="nil"/>
                    <w:tr2bl w:val="nil"/>
                  </w:tcBorders>
                  <w:noWrap w:val="0"/>
                  <w:tcMar>
                    <w:left w:w="0" w:type="dxa"/>
                    <w:right w:w="0" w:type="dxa"/>
                  </w:tcMar>
                  <w:vAlign w:val="center"/>
                </w:tcPr>
                <w:p w14:paraId="5FE39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1.4186</w:t>
                  </w:r>
                </w:p>
              </w:tc>
              <w:tc>
                <w:tcPr>
                  <w:tcW w:w="2149" w:type="dxa"/>
                  <w:tcBorders>
                    <w:tl2br w:val="nil"/>
                    <w:tr2bl w:val="nil"/>
                  </w:tcBorders>
                  <w:noWrap w:val="0"/>
                  <w:tcMar>
                    <w:left w:w="0" w:type="dxa"/>
                    <w:right w:w="0" w:type="dxa"/>
                  </w:tcMar>
                  <w:vAlign w:val="center"/>
                </w:tcPr>
                <w:p w14:paraId="5348C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613487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0B6BA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4DF7B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261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含油废布</w:t>
                  </w:r>
                </w:p>
              </w:tc>
              <w:tc>
                <w:tcPr>
                  <w:tcW w:w="987" w:type="dxa"/>
                  <w:tcBorders>
                    <w:tl2br w:val="nil"/>
                    <w:tr2bl w:val="nil"/>
                  </w:tcBorders>
                  <w:noWrap w:val="0"/>
                  <w:tcMar>
                    <w:left w:w="0" w:type="dxa"/>
                    <w:right w:w="0" w:type="dxa"/>
                  </w:tcMar>
                  <w:vAlign w:val="center"/>
                </w:tcPr>
                <w:p w14:paraId="421F9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BF4C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66D717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10.5493</w:t>
                  </w:r>
                </w:p>
              </w:tc>
              <w:tc>
                <w:tcPr>
                  <w:tcW w:w="839" w:type="dxa"/>
                  <w:tcBorders>
                    <w:tl2br w:val="nil"/>
                    <w:tr2bl w:val="nil"/>
                  </w:tcBorders>
                  <w:noWrap w:val="0"/>
                  <w:tcMar>
                    <w:left w:w="0" w:type="dxa"/>
                    <w:right w:w="0" w:type="dxa"/>
                  </w:tcMar>
                  <w:vAlign w:val="center"/>
                </w:tcPr>
                <w:p w14:paraId="5528D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2.0349</w:t>
                  </w:r>
                </w:p>
              </w:tc>
              <w:tc>
                <w:tcPr>
                  <w:tcW w:w="2149" w:type="dxa"/>
                  <w:tcBorders>
                    <w:tl2br w:val="nil"/>
                    <w:tr2bl w:val="nil"/>
                  </w:tcBorders>
                  <w:noWrap w:val="0"/>
                  <w:tcMar>
                    <w:left w:w="0" w:type="dxa"/>
                    <w:right w:w="0" w:type="dxa"/>
                  </w:tcMar>
                  <w:vAlign w:val="center"/>
                </w:tcPr>
                <w:p w14:paraId="38DEA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68277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5D931F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48A7C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9" w:hRule="atLeast"/>
                <w:jc w:val="center"/>
              </w:trPr>
              <w:tc>
                <w:tcPr>
                  <w:tcW w:w="704" w:type="dxa"/>
                  <w:tcBorders>
                    <w:tl2br w:val="nil"/>
                    <w:tr2bl w:val="nil"/>
                  </w:tcBorders>
                  <w:noWrap w:val="0"/>
                  <w:tcMar>
                    <w:left w:w="0" w:type="dxa"/>
                    <w:right w:w="0" w:type="dxa"/>
                  </w:tcMar>
                  <w:vAlign w:val="center"/>
                </w:tcPr>
                <w:p w14:paraId="2402CE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废油桶</w:t>
                  </w:r>
                </w:p>
              </w:tc>
              <w:tc>
                <w:tcPr>
                  <w:tcW w:w="987" w:type="dxa"/>
                  <w:tcBorders>
                    <w:tl2br w:val="nil"/>
                    <w:tr2bl w:val="nil"/>
                  </w:tcBorders>
                  <w:noWrap w:val="0"/>
                  <w:tcMar>
                    <w:left w:w="0" w:type="dxa"/>
                    <w:right w:w="0" w:type="dxa"/>
                  </w:tcMar>
                  <w:vAlign w:val="center"/>
                </w:tcPr>
                <w:p w14:paraId="4DCFF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3FD0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2E41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3.3233</w:t>
                  </w:r>
                </w:p>
              </w:tc>
              <w:tc>
                <w:tcPr>
                  <w:tcW w:w="839" w:type="dxa"/>
                  <w:tcBorders>
                    <w:tl2br w:val="nil"/>
                    <w:tr2bl w:val="nil"/>
                  </w:tcBorders>
                  <w:noWrap w:val="0"/>
                  <w:tcMar>
                    <w:left w:w="0" w:type="dxa"/>
                    <w:right w:w="0" w:type="dxa"/>
                  </w:tcMar>
                  <w:vAlign w:val="center"/>
                </w:tcPr>
                <w:p w14:paraId="4855F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0.4316</w:t>
                  </w:r>
                </w:p>
              </w:tc>
              <w:tc>
                <w:tcPr>
                  <w:tcW w:w="2149" w:type="dxa"/>
                  <w:tcBorders>
                    <w:tl2br w:val="nil"/>
                    <w:tr2bl w:val="nil"/>
                  </w:tcBorders>
                  <w:noWrap w:val="0"/>
                  <w:tcMar>
                    <w:left w:w="0" w:type="dxa"/>
                    <w:right w:w="0" w:type="dxa"/>
                  </w:tcMar>
                  <w:vAlign w:val="center"/>
                </w:tcPr>
                <w:p w14:paraId="0D9D8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桶装</w:t>
                  </w:r>
                </w:p>
              </w:tc>
              <w:tc>
                <w:tcPr>
                  <w:tcW w:w="706" w:type="dxa"/>
                  <w:tcBorders>
                    <w:tl2br w:val="nil"/>
                    <w:tr2bl w:val="nil"/>
                  </w:tcBorders>
                  <w:noWrap w:val="0"/>
                  <w:tcMar>
                    <w:left w:w="0" w:type="dxa"/>
                    <w:right w:w="0" w:type="dxa"/>
                  </w:tcMar>
                  <w:vAlign w:val="center"/>
                </w:tcPr>
                <w:p w14:paraId="08177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1个月</w:t>
                  </w:r>
                </w:p>
              </w:tc>
              <w:tc>
                <w:tcPr>
                  <w:tcW w:w="705" w:type="dxa"/>
                  <w:vMerge w:val="continue"/>
                  <w:tcBorders>
                    <w:tl2br w:val="nil"/>
                    <w:tr2bl w:val="nil"/>
                  </w:tcBorders>
                  <w:noWrap w:val="0"/>
                  <w:tcMar>
                    <w:left w:w="0" w:type="dxa"/>
                    <w:right w:w="0" w:type="dxa"/>
                  </w:tcMar>
                  <w:vAlign w:val="center"/>
                </w:tcPr>
                <w:p w14:paraId="35279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7F0E5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3C43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废油管</w:t>
                  </w:r>
                </w:p>
              </w:tc>
              <w:tc>
                <w:tcPr>
                  <w:tcW w:w="987" w:type="dxa"/>
                  <w:tcBorders>
                    <w:tl2br w:val="nil"/>
                    <w:tr2bl w:val="nil"/>
                  </w:tcBorders>
                  <w:noWrap w:val="0"/>
                  <w:tcMar>
                    <w:left w:w="0" w:type="dxa"/>
                    <w:right w:w="0" w:type="dxa"/>
                  </w:tcMar>
                  <w:vAlign w:val="center"/>
                </w:tcPr>
                <w:p w14:paraId="477DE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C927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7E302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1.1586</w:t>
                  </w:r>
                </w:p>
              </w:tc>
              <w:tc>
                <w:tcPr>
                  <w:tcW w:w="839" w:type="dxa"/>
                  <w:tcBorders>
                    <w:tl2br w:val="nil"/>
                    <w:tr2bl w:val="nil"/>
                  </w:tcBorders>
                  <w:noWrap w:val="0"/>
                  <w:tcMar>
                    <w:left w:w="0" w:type="dxa"/>
                    <w:right w:w="0" w:type="dxa"/>
                  </w:tcMar>
                  <w:vAlign w:val="center"/>
                </w:tcPr>
                <w:p w14:paraId="5E721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0.376</w:t>
                  </w:r>
                </w:p>
              </w:tc>
              <w:tc>
                <w:tcPr>
                  <w:tcW w:w="2149" w:type="dxa"/>
                  <w:tcBorders>
                    <w:tl2br w:val="nil"/>
                    <w:tr2bl w:val="nil"/>
                  </w:tcBorders>
                  <w:noWrap w:val="0"/>
                  <w:tcMar>
                    <w:left w:w="0" w:type="dxa"/>
                    <w:right w:w="0" w:type="dxa"/>
                  </w:tcMar>
                  <w:vAlign w:val="center"/>
                </w:tcPr>
                <w:p w14:paraId="2EEA1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53018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221FC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36493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2B963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废滤芯</w:t>
                  </w:r>
                </w:p>
              </w:tc>
              <w:tc>
                <w:tcPr>
                  <w:tcW w:w="987" w:type="dxa"/>
                  <w:tcBorders>
                    <w:tl2br w:val="nil"/>
                    <w:tr2bl w:val="nil"/>
                  </w:tcBorders>
                  <w:noWrap w:val="0"/>
                  <w:tcMar>
                    <w:left w:w="0" w:type="dxa"/>
                    <w:right w:w="0" w:type="dxa"/>
                  </w:tcMar>
                  <w:vAlign w:val="center"/>
                </w:tcPr>
                <w:p w14:paraId="064D7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7F1A0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320F9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0.9658</w:t>
                  </w:r>
                </w:p>
              </w:tc>
              <w:tc>
                <w:tcPr>
                  <w:tcW w:w="839" w:type="dxa"/>
                  <w:tcBorders>
                    <w:tl2br w:val="nil"/>
                    <w:tr2bl w:val="nil"/>
                  </w:tcBorders>
                  <w:noWrap w:val="0"/>
                  <w:tcMar>
                    <w:left w:w="0" w:type="dxa"/>
                    <w:right w:w="0" w:type="dxa"/>
                  </w:tcMar>
                  <w:vAlign w:val="center"/>
                </w:tcPr>
                <w:p w14:paraId="79E64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0.257</w:t>
                  </w:r>
                </w:p>
              </w:tc>
              <w:tc>
                <w:tcPr>
                  <w:tcW w:w="2149" w:type="dxa"/>
                  <w:tcBorders>
                    <w:tl2br w:val="nil"/>
                    <w:tr2bl w:val="nil"/>
                  </w:tcBorders>
                  <w:noWrap w:val="0"/>
                  <w:tcMar>
                    <w:left w:w="0" w:type="dxa"/>
                    <w:right w:w="0" w:type="dxa"/>
                  </w:tcMar>
                  <w:vAlign w:val="center"/>
                </w:tcPr>
                <w:p w14:paraId="1D9A1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w:t>
                  </w:r>
                  <w:r>
                    <w:rPr>
                      <w:rFonts w:hint="default" w:ascii="Times New Roman" w:hAnsi="Times New Roman" w:eastAsia="宋体" w:cs="Times New Roman"/>
                      <w:caps w:val="0"/>
                      <w:color w:val="auto"/>
                      <w:kern w:val="0"/>
                      <w:sz w:val="21"/>
                      <w:szCs w:val="21"/>
                      <w:highlight w:val="none"/>
                    </w:rPr>
                    <w:t>吨袋装</w:t>
                  </w:r>
                </w:p>
              </w:tc>
              <w:tc>
                <w:tcPr>
                  <w:tcW w:w="706" w:type="dxa"/>
                  <w:tcBorders>
                    <w:tl2br w:val="nil"/>
                    <w:tr2bl w:val="nil"/>
                  </w:tcBorders>
                  <w:noWrap w:val="0"/>
                  <w:tcMar>
                    <w:left w:w="0" w:type="dxa"/>
                    <w:right w:w="0" w:type="dxa"/>
                  </w:tcMar>
                  <w:vAlign w:val="center"/>
                </w:tcPr>
                <w:p w14:paraId="6C3B9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68090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626F4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0B57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废油漆桶</w:t>
                  </w:r>
                </w:p>
              </w:tc>
              <w:tc>
                <w:tcPr>
                  <w:tcW w:w="987" w:type="dxa"/>
                  <w:tcBorders>
                    <w:tl2br w:val="nil"/>
                    <w:tr2bl w:val="nil"/>
                  </w:tcBorders>
                  <w:noWrap w:val="0"/>
                  <w:tcMar>
                    <w:left w:w="0" w:type="dxa"/>
                    <w:right w:w="0" w:type="dxa"/>
                  </w:tcMar>
                  <w:vAlign w:val="center"/>
                </w:tcPr>
                <w:p w14:paraId="50FE0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06037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2873E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0.5869</w:t>
                  </w:r>
                </w:p>
              </w:tc>
              <w:tc>
                <w:tcPr>
                  <w:tcW w:w="839" w:type="dxa"/>
                  <w:tcBorders>
                    <w:tl2br w:val="nil"/>
                    <w:tr2bl w:val="nil"/>
                  </w:tcBorders>
                  <w:noWrap w:val="0"/>
                  <w:tcMar>
                    <w:left w:w="0" w:type="dxa"/>
                    <w:right w:w="0" w:type="dxa"/>
                  </w:tcMar>
                  <w:vAlign w:val="center"/>
                </w:tcPr>
                <w:p w14:paraId="2C495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0.3293</w:t>
                  </w:r>
                </w:p>
              </w:tc>
              <w:tc>
                <w:tcPr>
                  <w:tcW w:w="2149" w:type="dxa"/>
                  <w:tcBorders>
                    <w:tl2br w:val="nil"/>
                    <w:tr2bl w:val="nil"/>
                  </w:tcBorders>
                  <w:noWrap w:val="0"/>
                  <w:tcMar>
                    <w:left w:w="0" w:type="dxa"/>
                    <w:right w:w="0" w:type="dxa"/>
                  </w:tcMar>
                  <w:vAlign w:val="center"/>
                </w:tcPr>
                <w:p w14:paraId="0A794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4646F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57D27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6EE60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1D215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废铅蓄电池</w:t>
                  </w:r>
                </w:p>
              </w:tc>
              <w:tc>
                <w:tcPr>
                  <w:tcW w:w="987" w:type="dxa"/>
                  <w:tcBorders>
                    <w:tl2br w:val="nil"/>
                    <w:tr2bl w:val="nil"/>
                  </w:tcBorders>
                  <w:noWrap w:val="0"/>
                  <w:tcMar>
                    <w:left w:w="0" w:type="dxa"/>
                    <w:right w:w="0" w:type="dxa"/>
                  </w:tcMar>
                  <w:vAlign w:val="center"/>
                </w:tcPr>
                <w:p w14:paraId="32E5E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HW31</w:t>
                  </w:r>
                </w:p>
              </w:tc>
              <w:tc>
                <w:tcPr>
                  <w:tcW w:w="987" w:type="dxa"/>
                  <w:tcBorders>
                    <w:tl2br w:val="nil"/>
                    <w:tr2bl w:val="nil"/>
                  </w:tcBorders>
                  <w:noWrap w:val="0"/>
                  <w:tcMar>
                    <w:left w:w="0" w:type="dxa"/>
                    <w:right w:w="0" w:type="dxa"/>
                  </w:tcMar>
                  <w:vAlign w:val="center"/>
                </w:tcPr>
                <w:p w14:paraId="16740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900-052-31</w:t>
                  </w:r>
                </w:p>
              </w:tc>
              <w:tc>
                <w:tcPr>
                  <w:tcW w:w="959" w:type="dxa"/>
                  <w:tcBorders>
                    <w:tl2br w:val="nil"/>
                    <w:tr2bl w:val="nil"/>
                  </w:tcBorders>
                  <w:noWrap w:val="0"/>
                  <w:tcMar>
                    <w:left w:w="0" w:type="dxa"/>
                    <w:right w:w="0" w:type="dxa"/>
                  </w:tcMar>
                  <w:vAlign w:val="center"/>
                </w:tcPr>
                <w:p w14:paraId="7BF29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1.6104</w:t>
                  </w:r>
                </w:p>
              </w:tc>
              <w:tc>
                <w:tcPr>
                  <w:tcW w:w="839" w:type="dxa"/>
                  <w:tcBorders>
                    <w:tl2br w:val="nil"/>
                    <w:tr2bl w:val="nil"/>
                  </w:tcBorders>
                  <w:noWrap w:val="0"/>
                  <w:tcMar>
                    <w:left w:w="0" w:type="dxa"/>
                    <w:right w:w="0" w:type="dxa"/>
                  </w:tcMar>
                  <w:vAlign w:val="center"/>
                </w:tcPr>
                <w:p w14:paraId="22D90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0.5544</w:t>
                  </w:r>
                </w:p>
              </w:tc>
              <w:tc>
                <w:tcPr>
                  <w:tcW w:w="2149" w:type="dxa"/>
                  <w:tcBorders>
                    <w:tl2br w:val="nil"/>
                    <w:tr2bl w:val="nil"/>
                  </w:tcBorders>
                  <w:noWrap w:val="0"/>
                  <w:tcMar>
                    <w:left w:w="0" w:type="dxa"/>
                    <w:right w:w="0" w:type="dxa"/>
                  </w:tcMar>
                  <w:vAlign w:val="center"/>
                </w:tcPr>
                <w:p w14:paraId="72E2D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，破损的废铅蓄电池存放于密闭容器内</w:t>
                  </w:r>
                </w:p>
              </w:tc>
              <w:tc>
                <w:tcPr>
                  <w:tcW w:w="706" w:type="dxa"/>
                  <w:tcBorders>
                    <w:tl2br w:val="nil"/>
                    <w:tr2bl w:val="nil"/>
                  </w:tcBorders>
                  <w:noWrap w:val="0"/>
                  <w:tcMar>
                    <w:left w:w="0" w:type="dxa"/>
                    <w:right w:w="0" w:type="dxa"/>
                  </w:tcMar>
                  <w:vAlign w:val="center"/>
                </w:tcPr>
                <w:p w14:paraId="2A06D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4个月</w:t>
                  </w:r>
                </w:p>
              </w:tc>
              <w:tc>
                <w:tcPr>
                  <w:tcW w:w="705" w:type="dxa"/>
                  <w:vMerge w:val="continue"/>
                  <w:tcBorders>
                    <w:tl2br w:val="nil"/>
                    <w:tr2bl w:val="nil"/>
                  </w:tcBorders>
                  <w:noWrap w:val="0"/>
                  <w:tcMar>
                    <w:left w:w="0" w:type="dxa"/>
                    <w:right w:w="0" w:type="dxa"/>
                  </w:tcMar>
                  <w:vAlign w:val="center"/>
                </w:tcPr>
                <w:p w14:paraId="775C9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2481E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906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废灯管</w:t>
                  </w:r>
                </w:p>
              </w:tc>
              <w:tc>
                <w:tcPr>
                  <w:tcW w:w="987" w:type="dxa"/>
                  <w:tcBorders>
                    <w:tl2br w:val="nil"/>
                    <w:tr2bl w:val="nil"/>
                  </w:tcBorders>
                  <w:noWrap w:val="0"/>
                  <w:tcMar>
                    <w:left w:w="0" w:type="dxa"/>
                    <w:right w:w="0" w:type="dxa"/>
                  </w:tcMar>
                  <w:vAlign w:val="center"/>
                </w:tcPr>
                <w:p w14:paraId="0ED47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HW29</w:t>
                  </w:r>
                </w:p>
              </w:tc>
              <w:tc>
                <w:tcPr>
                  <w:tcW w:w="987" w:type="dxa"/>
                  <w:tcBorders>
                    <w:tl2br w:val="nil"/>
                    <w:tr2bl w:val="nil"/>
                  </w:tcBorders>
                  <w:noWrap w:val="0"/>
                  <w:tcMar>
                    <w:left w:w="0" w:type="dxa"/>
                    <w:right w:w="0" w:type="dxa"/>
                  </w:tcMar>
                  <w:vAlign w:val="center"/>
                </w:tcPr>
                <w:p w14:paraId="2E934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900-023-29</w:t>
                  </w:r>
                </w:p>
              </w:tc>
              <w:tc>
                <w:tcPr>
                  <w:tcW w:w="959" w:type="dxa"/>
                  <w:tcBorders>
                    <w:tl2br w:val="nil"/>
                    <w:tr2bl w:val="nil"/>
                  </w:tcBorders>
                  <w:noWrap w:val="0"/>
                  <w:tcMar>
                    <w:left w:w="0" w:type="dxa"/>
                    <w:right w:w="0" w:type="dxa"/>
                  </w:tcMar>
                  <w:vAlign w:val="center"/>
                </w:tcPr>
                <w:p w14:paraId="7153F2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0.558</w:t>
                  </w:r>
                </w:p>
              </w:tc>
              <w:tc>
                <w:tcPr>
                  <w:tcW w:w="839" w:type="dxa"/>
                  <w:tcBorders>
                    <w:tl2br w:val="nil"/>
                    <w:tr2bl w:val="nil"/>
                  </w:tcBorders>
                  <w:noWrap w:val="0"/>
                  <w:tcMar>
                    <w:left w:w="0" w:type="dxa"/>
                    <w:right w:w="0" w:type="dxa"/>
                  </w:tcMar>
                  <w:vAlign w:val="center"/>
                </w:tcPr>
                <w:p w14:paraId="67396B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w:t>
                  </w:r>
                </w:p>
              </w:tc>
              <w:tc>
                <w:tcPr>
                  <w:tcW w:w="2149" w:type="dxa"/>
                  <w:tcBorders>
                    <w:tl2br w:val="nil"/>
                    <w:tr2bl w:val="nil"/>
                  </w:tcBorders>
                  <w:noWrap w:val="0"/>
                  <w:tcMar>
                    <w:left w:w="0" w:type="dxa"/>
                    <w:right w:w="0" w:type="dxa"/>
                  </w:tcMar>
                  <w:vAlign w:val="center"/>
                </w:tcPr>
                <w:p w14:paraId="32B8E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0B13B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2941E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10964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09A9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废墨盒</w:t>
                  </w:r>
                </w:p>
              </w:tc>
              <w:tc>
                <w:tcPr>
                  <w:tcW w:w="987" w:type="dxa"/>
                  <w:tcBorders>
                    <w:tl2br w:val="nil"/>
                    <w:tr2bl w:val="nil"/>
                  </w:tcBorders>
                  <w:noWrap w:val="0"/>
                  <w:tcMar>
                    <w:left w:w="0" w:type="dxa"/>
                    <w:right w:w="0" w:type="dxa"/>
                  </w:tcMar>
                  <w:vAlign w:val="center"/>
                </w:tcPr>
                <w:p w14:paraId="505B3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2294E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47888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0.1062</w:t>
                  </w:r>
                </w:p>
              </w:tc>
              <w:tc>
                <w:tcPr>
                  <w:tcW w:w="839" w:type="dxa"/>
                  <w:tcBorders>
                    <w:tl2br w:val="nil"/>
                    <w:tr2bl w:val="nil"/>
                  </w:tcBorders>
                  <w:noWrap w:val="0"/>
                  <w:tcMar>
                    <w:left w:w="0" w:type="dxa"/>
                    <w:right w:w="0" w:type="dxa"/>
                  </w:tcMar>
                  <w:vAlign w:val="center"/>
                </w:tcPr>
                <w:p w14:paraId="18CF7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0.0579</w:t>
                  </w:r>
                </w:p>
              </w:tc>
              <w:tc>
                <w:tcPr>
                  <w:tcW w:w="2149" w:type="dxa"/>
                  <w:tcBorders>
                    <w:tl2br w:val="nil"/>
                    <w:tr2bl w:val="nil"/>
                  </w:tcBorders>
                  <w:noWrap w:val="0"/>
                  <w:tcMar>
                    <w:left w:w="0" w:type="dxa"/>
                    <w:right w:w="0" w:type="dxa"/>
                  </w:tcMar>
                  <w:vAlign w:val="center"/>
                </w:tcPr>
                <w:p w14:paraId="4640B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，桶装</w:t>
                  </w:r>
                </w:p>
              </w:tc>
              <w:tc>
                <w:tcPr>
                  <w:tcW w:w="706" w:type="dxa"/>
                  <w:tcBorders>
                    <w:tl2br w:val="nil"/>
                    <w:tr2bl w:val="nil"/>
                  </w:tcBorders>
                  <w:noWrap w:val="0"/>
                  <w:tcMar>
                    <w:left w:w="0" w:type="dxa"/>
                    <w:right w:w="0" w:type="dxa"/>
                  </w:tcMar>
                  <w:vAlign w:val="center"/>
                </w:tcPr>
                <w:p w14:paraId="7BCA0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6个月</w:t>
                  </w:r>
                </w:p>
              </w:tc>
              <w:tc>
                <w:tcPr>
                  <w:tcW w:w="705" w:type="dxa"/>
                  <w:vMerge w:val="continue"/>
                  <w:tcBorders>
                    <w:tl2br w:val="nil"/>
                    <w:tr2bl w:val="nil"/>
                  </w:tcBorders>
                  <w:noWrap w:val="0"/>
                  <w:tcMar>
                    <w:left w:w="0" w:type="dxa"/>
                    <w:right w:w="0" w:type="dxa"/>
                  </w:tcMar>
                  <w:vAlign w:val="center"/>
                </w:tcPr>
                <w:p w14:paraId="44ED7C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D538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5ED27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废油漆渣</w:t>
                  </w:r>
                </w:p>
              </w:tc>
              <w:tc>
                <w:tcPr>
                  <w:tcW w:w="987" w:type="dxa"/>
                  <w:tcBorders>
                    <w:tl2br w:val="nil"/>
                    <w:tr2bl w:val="nil"/>
                  </w:tcBorders>
                  <w:noWrap w:val="0"/>
                  <w:tcMar>
                    <w:left w:w="0" w:type="dxa"/>
                    <w:right w:w="0" w:type="dxa"/>
                  </w:tcMar>
                  <w:vAlign w:val="center"/>
                </w:tcPr>
                <w:p w14:paraId="0A313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HW12</w:t>
                  </w:r>
                </w:p>
              </w:tc>
              <w:tc>
                <w:tcPr>
                  <w:tcW w:w="987" w:type="dxa"/>
                  <w:tcBorders>
                    <w:tl2br w:val="nil"/>
                    <w:tr2bl w:val="nil"/>
                  </w:tcBorders>
                  <w:noWrap w:val="0"/>
                  <w:tcMar>
                    <w:left w:w="0" w:type="dxa"/>
                    <w:right w:w="0" w:type="dxa"/>
                  </w:tcMar>
                  <w:vAlign w:val="center"/>
                </w:tcPr>
                <w:p w14:paraId="676A2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900-252-12</w:t>
                  </w:r>
                </w:p>
              </w:tc>
              <w:tc>
                <w:tcPr>
                  <w:tcW w:w="959" w:type="dxa"/>
                  <w:tcBorders>
                    <w:tl2br w:val="nil"/>
                    <w:tr2bl w:val="nil"/>
                  </w:tcBorders>
                  <w:noWrap w:val="0"/>
                  <w:tcMar>
                    <w:left w:w="0" w:type="dxa"/>
                    <w:right w:w="0" w:type="dxa"/>
                  </w:tcMar>
                  <w:vAlign w:val="center"/>
                </w:tcPr>
                <w:p w14:paraId="72016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w:t>
                  </w:r>
                </w:p>
              </w:tc>
              <w:tc>
                <w:tcPr>
                  <w:tcW w:w="839" w:type="dxa"/>
                  <w:tcBorders>
                    <w:tl2br w:val="nil"/>
                    <w:tr2bl w:val="nil"/>
                  </w:tcBorders>
                  <w:noWrap w:val="0"/>
                  <w:tcMar>
                    <w:left w:w="0" w:type="dxa"/>
                    <w:right w:w="0" w:type="dxa"/>
                  </w:tcMar>
                  <w:vAlign w:val="center"/>
                </w:tcPr>
                <w:p w14:paraId="7EC55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0.5</w:t>
                  </w:r>
                </w:p>
              </w:tc>
              <w:tc>
                <w:tcPr>
                  <w:tcW w:w="2149" w:type="dxa"/>
                  <w:tcBorders>
                    <w:tl2br w:val="nil"/>
                    <w:tr2bl w:val="nil"/>
                  </w:tcBorders>
                  <w:noWrap w:val="0"/>
                  <w:tcMar>
                    <w:left w:w="0" w:type="dxa"/>
                    <w:right w:w="0" w:type="dxa"/>
                  </w:tcMar>
                  <w:vAlign w:val="center"/>
                </w:tcPr>
                <w:p w14:paraId="57034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73BD1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318F9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5FA9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280D9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废电路板</w:t>
                  </w:r>
                </w:p>
              </w:tc>
              <w:tc>
                <w:tcPr>
                  <w:tcW w:w="987" w:type="dxa"/>
                  <w:tcBorders>
                    <w:tl2br w:val="nil"/>
                    <w:tr2bl w:val="nil"/>
                  </w:tcBorders>
                  <w:noWrap w:val="0"/>
                  <w:tcMar>
                    <w:left w:w="0" w:type="dxa"/>
                    <w:right w:w="0" w:type="dxa"/>
                  </w:tcMar>
                  <w:vAlign w:val="center"/>
                </w:tcPr>
                <w:p w14:paraId="3E2C0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50F19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900-045-49</w:t>
                  </w:r>
                </w:p>
              </w:tc>
              <w:tc>
                <w:tcPr>
                  <w:tcW w:w="959" w:type="dxa"/>
                  <w:tcBorders>
                    <w:tl2br w:val="nil"/>
                    <w:tr2bl w:val="nil"/>
                  </w:tcBorders>
                  <w:noWrap w:val="0"/>
                  <w:tcMar>
                    <w:left w:w="0" w:type="dxa"/>
                    <w:right w:w="0" w:type="dxa"/>
                  </w:tcMar>
                  <w:vAlign w:val="center"/>
                </w:tcPr>
                <w:p w14:paraId="78625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w:t>
                  </w:r>
                </w:p>
              </w:tc>
              <w:tc>
                <w:tcPr>
                  <w:tcW w:w="839" w:type="dxa"/>
                  <w:tcBorders>
                    <w:tl2br w:val="nil"/>
                    <w:tr2bl w:val="nil"/>
                  </w:tcBorders>
                  <w:noWrap w:val="0"/>
                  <w:tcMar>
                    <w:left w:w="0" w:type="dxa"/>
                    <w:right w:w="0" w:type="dxa"/>
                  </w:tcMar>
                  <w:vAlign w:val="center"/>
                </w:tcPr>
                <w:p w14:paraId="455D5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0.1</w:t>
                  </w:r>
                </w:p>
              </w:tc>
              <w:tc>
                <w:tcPr>
                  <w:tcW w:w="2149" w:type="dxa"/>
                  <w:tcBorders>
                    <w:tl2br w:val="nil"/>
                    <w:tr2bl w:val="nil"/>
                  </w:tcBorders>
                  <w:noWrap w:val="0"/>
                  <w:tcMar>
                    <w:left w:w="0" w:type="dxa"/>
                    <w:right w:w="0" w:type="dxa"/>
                  </w:tcMar>
                  <w:vAlign w:val="center"/>
                </w:tcPr>
                <w:p w14:paraId="46426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6C482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741A7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591C9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3E98D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含油污泥</w:t>
                  </w:r>
                </w:p>
              </w:tc>
              <w:tc>
                <w:tcPr>
                  <w:tcW w:w="987" w:type="dxa"/>
                  <w:tcBorders>
                    <w:tl2br w:val="nil"/>
                    <w:tr2bl w:val="nil"/>
                  </w:tcBorders>
                  <w:noWrap w:val="0"/>
                  <w:tcMar>
                    <w:left w:w="0" w:type="dxa"/>
                    <w:right w:w="0" w:type="dxa"/>
                  </w:tcMar>
                  <w:vAlign w:val="center"/>
                </w:tcPr>
                <w:p w14:paraId="33823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HW08</w:t>
                  </w:r>
                </w:p>
              </w:tc>
              <w:tc>
                <w:tcPr>
                  <w:tcW w:w="987" w:type="dxa"/>
                  <w:tcBorders>
                    <w:tl2br w:val="nil"/>
                    <w:tr2bl w:val="nil"/>
                  </w:tcBorders>
                  <w:noWrap w:val="0"/>
                  <w:tcMar>
                    <w:left w:w="0" w:type="dxa"/>
                    <w:right w:w="0" w:type="dxa"/>
                  </w:tcMar>
                  <w:vAlign w:val="center"/>
                </w:tcPr>
                <w:p w14:paraId="7F56C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900-210-08</w:t>
                  </w:r>
                </w:p>
              </w:tc>
              <w:tc>
                <w:tcPr>
                  <w:tcW w:w="959" w:type="dxa"/>
                  <w:tcBorders>
                    <w:tl2br w:val="nil"/>
                    <w:tr2bl w:val="nil"/>
                  </w:tcBorders>
                  <w:noWrap w:val="0"/>
                  <w:tcMar>
                    <w:left w:w="0" w:type="dxa"/>
                    <w:right w:w="0" w:type="dxa"/>
                  </w:tcMar>
                  <w:vAlign w:val="center"/>
                </w:tcPr>
                <w:p w14:paraId="2E19F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7.5874</w:t>
                  </w:r>
                </w:p>
              </w:tc>
              <w:tc>
                <w:tcPr>
                  <w:tcW w:w="839" w:type="dxa"/>
                  <w:tcBorders>
                    <w:tl2br w:val="nil"/>
                    <w:tr2bl w:val="nil"/>
                  </w:tcBorders>
                  <w:noWrap w:val="0"/>
                  <w:tcMar>
                    <w:left w:w="0" w:type="dxa"/>
                    <w:right w:w="0" w:type="dxa"/>
                  </w:tcMar>
                  <w:vAlign w:val="center"/>
                </w:tcPr>
                <w:p w14:paraId="5CBED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1.5197</w:t>
                  </w:r>
                </w:p>
              </w:tc>
              <w:tc>
                <w:tcPr>
                  <w:tcW w:w="2149" w:type="dxa"/>
                  <w:tcBorders>
                    <w:tl2br w:val="nil"/>
                    <w:tr2bl w:val="nil"/>
                  </w:tcBorders>
                  <w:noWrap w:val="0"/>
                  <w:tcMar>
                    <w:left w:w="0" w:type="dxa"/>
                    <w:right w:w="0" w:type="dxa"/>
                  </w:tcMar>
                  <w:vAlign w:val="center"/>
                </w:tcPr>
                <w:p w14:paraId="7D4F2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50E9E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5C42C2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32873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2FA3C1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废活性炭过滤棉</w:t>
                  </w:r>
                </w:p>
              </w:tc>
              <w:tc>
                <w:tcPr>
                  <w:tcW w:w="987" w:type="dxa"/>
                  <w:tcBorders>
                    <w:tl2br w:val="nil"/>
                    <w:tr2bl w:val="nil"/>
                  </w:tcBorders>
                  <w:noWrap w:val="0"/>
                  <w:tcMar>
                    <w:left w:w="0" w:type="dxa"/>
                    <w:right w:w="0" w:type="dxa"/>
                  </w:tcMar>
                  <w:vAlign w:val="center"/>
                </w:tcPr>
                <w:p w14:paraId="1A66E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HW49</w:t>
                  </w:r>
                </w:p>
              </w:tc>
              <w:tc>
                <w:tcPr>
                  <w:tcW w:w="987" w:type="dxa"/>
                  <w:tcBorders>
                    <w:tl2br w:val="nil"/>
                    <w:tr2bl w:val="nil"/>
                  </w:tcBorders>
                  <w:noWrap w:val="0"/>
                  <w:tcMar>
                    <w:left w:w="0" w:type="dxa"/>
                    <w:right w:w="0" w:type="dxa"/>
                  </w:tcMar>
                  <w:vAlign w:val="center"/>
                </w:tcPr>
                <w:p w14:paraId="13C8F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900-041-49</w:t>
                  </w:r>
                </w:p>
              </w:tc>
              <w:tc>
                <w:tcPr>
                  <w:tcW w:w="959" w:type="dxa"/>
                  <w:tcBorders>
                    <w:tl2br w:val="nil"/>
                    <w:tr2bl w:val="nil"/>
                  </w:tcBorders>
                  <w:noWrap w:val="0"/>
                  <w:tcMar>
                    <w:left w:w="0" w:type="dxa"/>
                    <w:right w:w="0" w:type="dxa"/>
                  </w:tcMar>
                  <w:vAlign w:val="center"/>
                </w:tcPr>
                <w:p w14:paraId="3EAE2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0.0007</w:t>
                  </w:r>
                </w:p>
              </w:tc>
              <w:tc>
                <w:tcPr>
                  <w:tcW w:w="839" w:type="dxa"/>
                  <w:tcBorders>
                    <w:tl2br w:val="nil"/>
                    <w:tr2bl w:val="nil"/>
                  </w:tcBorders>
                  <w:noWrap w:val="0"/>
                  <w:tcMar>
                    <w:left w:w="0" w:type="dxa"/>
                    <w:right w:w="0" w:type="dxa"/>
                  </w:tcMar>
                  <w:vAlign w:val="center"/>
                </w:tcPr>
                <w:p w14:paraId="06875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0.0007</w:t>
                  </w:r>
                </w:p>
              </w:tc>
              <w:tc>
                <w:tcPr>
                  <w:tcW w:w="2149" w:type="dxa"/>
                  <w:tcBorders>
                    <w:tl2br w:val="nil"/>
                    <w:tr2bl w:val="nil"/>
                  </w:tcBorders>
                  <w:noWrap w:val="0"/>
                  <w:tcMar>
                    <w:left w:w="0" w:type="dxa"/>
                    <w:right w:w="0" w:type="dxa"/>
                  </w:tcMar>
                  <w:vAlign w:val="center"/>
                </w:tcPr>
                <w:p w14:paraId="1E8C6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lang w:val="en-US" w:eastAsia="zh-CN"/>
                    </w:rPr>
                  </w:pPr>
                  <w:r>
                    <w:rPr>
                      <w:rFonts w:hint="default" w:ascii="Times New Roman" w:hAnsi="Times New Roman" w:eastAsia="宋体" w:cs="Times New Roman"/>
                      <w:caps w:val="0"/>
                      <w:color w:val="auto"/>
                      <w:kern w:val="0"/>
                      <w:sz w:val="21"/>
                      <w:szCs w:val="21"/>
                      <w:highlight w:val="none"/>
                      <w:lang w:val="en-US" w:eastAsia="zh-CN"/>
                    </w:rPr>
                    <w:t>危废暂存</w:t>
                  </w:r>
                  <w:r>
                    <w:rPr>
                      <w:rFonts w:hint="default" w:ascii="Times New Roman" w:hAnsi="Times New Roman" w:cs="Times New Roman"/>
                      <w:caps w:val="0"/>
                      <w:color w:val="auto"/>
                      <w:kern w:val="0"/>
                      <w:sz w:val="21"/>
                      <w:szCs w:val="21"/>
                      <w:highlight w:val="none"/>
                      <w:lang w:val="en-US" w:eastAsia="zh-CN"/>
                    </w:rPr>
                    <w:t>库</w:t>
                  </w:r>
                  <w:r>
                    <w:rPr>
                      <w:rFonts w:hint="default" w:ascii="Times New Roman" w:hAnsi="Times New Roman" w:eastAsia="宋体" w:cs="Times New Roman"/>
                      <w:caps w:val="0"/>
                      <w:color w:val="auto"/>
                      <w:kern w:val="0"/>
                      <w:sz w:val="21"/>
                      <w:szCs w:val="21"/>
                      <w:highlight w:val="none"/>
                      <w:lang w:val="en-US" w:eastAsia="zh-CN"/>
                    </w:rPr>
                    <w:t>，袋装</w:t>
                  </w:r>
                </w:p>
              </w:tc>
              <w:tc>
                <w:tcPr>
                  <w:tcW w:w="706" w:type="dxa"/>
                  <w:tcBorders>
                    <w:tl2br w:val="nil"/>
                    <w:tr2bl w:val="nil"/>
                  </w:tcBorders>
                  <w:noWrap w:val="0"/>
                  <w:tcMar>
                    <w:left w:w="0" w:type="dxa"/>
                    <w:right w:w="0" w:type="dxa"/>
                  </w:tcMar>
                  <w:vAlign w:val="center"/>
                </w:tcPr>
                <w:p w14:paraId="28AA0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caps w:val="0"/>
                      <w:color w:val="auto"/>
                      <w:kern w:val="0"/>
                      <w:sz w:val="21"/>
                      <w:szCs w:val="21"/>
                      <w:highlight w:val="none"/>
                    </w:rPr>
                    <w:t>3个月</w:t>
                  </w:r>
                </w:p>
              </w:tc>
              <w:tc>
                <w:tcPr>
                  <w:tcW w:w="705" w:type="dxa"/>
                  <w:vMerge w:val="continue"/>
                  <w:tcBorders>
                    <w:tl2br w:val="nil"/>
                    <w:tr2bl w:val="nil"/>
                  </w:tcBorders>
                  <w:noWrap w:val="0"/>
                  <w:tcMar>
                    <w:left w:w="0" w:type="dxa"/>
                    <w:right w:w="0" w:type="dxa"/>
                  </w:tcMar>
                  <w:vAlign w:val="center"/>
                </w:tcPr>
                <w:p w14:paraId="6A2D5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rPr>
                  </w:pPr>
                </w:p>
              </w:tc>
            </w:tr>
            <w:tr w14:paraId="0CACB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704" w:type="dxa"/>
                  <w:tcBorders>
                    <w:tl2br w:val="nil"/>
                    <w:tr2bl w:val="nil"/>
                  </w:tcBorders>
                  <w:noWrap w:val="0"/>
                  <w:tcMar>
                    <w:left w:w="0" w:type="dxa"/>
                    <w:right w:w="0" w:type="dxa"/>
                  </w:tcMar>
                  <w:vAlign w:val="center"/>
                </w:tcPr>
                <w:p w14:paraId="3F796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合计</w:t>
                  </w:r>
                </w:p>
              </w:tc>
              <w:tc>
                <w:tcPr>
                  <w:tcW w:w="987" w:type="dxa"/>
                  <w:tcBorders>
                    <w:tl2br w:val="nil"/>
                    <w:tr2bl w:val="nil"/>
                  </w:tcBorders>
                  <w:noWrap w:val="0"/>
                  <w:tcMar>
                    <w:left w:w="0" w:type="dxa"/>
                    <w:right w:w="0" w:type="dxa"/>
                  </w:tcMar>
                  <w:vAlign w:val="center"/>
                </w:tcPr>
                <w:p w14:paraId="3D933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987" w:type="dxa"/>
                  <w:tcBorders>
                    <w:tl2br w:val="nil"/>
                    <w:tr2bl w:val="nil"/>
                  </w:tcBorders>
                  <w:noWrap w:val="0"/>
                  <w:tcMar>
                    <w:left w:w="0" w:type="dxa"/>
                    <w:right w:w="0" w:type="dxa"/>
                  </w:tcMar>
                  <w:vAlign w:val="center"/>
                </w:tcPr>
                <w:p w14:paraId="5B5F9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959" w:type="dxa"/>
                  <w:tcBorders>
                    <w:tl2br w:val="nil"/>
                    <w:tr2bl w:val="nil"/>
                  </w:tcBorders>
                  <w:noWrap w:val="0"/>
                  <w:tcMar>
                    <w:left w:w="0" w:type="dxa"/>
                    <w:right w:w="0" w:type="dxa"/>
                  </w:tcMar>
                  <w:vAlign w:val="center"/>
                </w:tcPr>
                <w:p w14:paraId="08493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62.0225</w:t>
                  </w:r>
                </w:p>
              </w:tc>
              <w:tc>
                <w:tcPr>
                  <w:tcW w:w="839" w:type="dxa"/>
                  <w:tcBorders>
                    <w:tl2br w:val="nil"/>
                    <w:tr2bl w:val="nil"/>
                  </w:tcBorders>
                  <w:noWrap w:val="0"/>
                  <w:tcMar>
                    <w:left w:w="0" w:type="dxa"/>
                    <w:right w:w="0" w:type="dxa"/>
                  </w:tcMar>
                  <w:vAlign w:val="center"/>
                </w:tcPr>
                <w:p w14:paraId="322D6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16.2621</w:t>
                  </w:r>
                </w:p>
              </w:tc>
              <w:tc>
                <w:tcPr>
                  <w:tcW w:w="2149" w:type="dxa"/>
                  <w:tcBorders>
                    <w:tl2br w:val="nil"/>
                    <w:tr2bl w:val="nil"/>
                  </w:tcBorders>
                  <w:noWrap w:val="0"/>
                  <w:tcMar>
                    <w:left w:w="0" w:type="dxa"/>
                    <w:right w:w="0" w:type="dxa"/>
                  </w:tcMar>
                  <w:vAlign w:val="center"/>
                </w:tcPr>
                <w:p w14:paraId="776A5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706" w:type="dxa"/>
                  <w:tcBorders>
                    <w:tl2br w:val="nil"/>
                    <w:tr2bl w:val="nil"/>
                  </w:tcBorders>
                  <w:noWrap w:val="0"/>
                  <w:tcMar>
                    <w:left w:w="0" w:type="dxa"/>
                    <w:right w:w="0" w:type="dxa"/>
                  </w:tcMar>
                  <w:vAlign w:val="center"/>
                </w:tcPr>
                <w:p w14:paraId="67A5F7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c>
                <w:tcPr>
                  <w:tcW w:w="705" w:type="dxa"/>
                  <w:tcBorders>
                    <w:tl2br w:val="nil"/>
                    <w:tr2bl w:val="nil"/>
                  </w:tcBorders>
                  <w:noWrap w:val="0"/>
                  <w:tcMar>
                    <w:left w:w="0" w:type="dxa"/>
                    <w:right w:w="0" w:type="dxa"/>
                  </w:tcMar>
                  <w:vAlign w:val="center"/>
                </w:tcPr>
                <w:p w14:paraId="04F2F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lang w:val="en-US" w:eastAsia="zh-CN"/>
                    </w:rPr>
                  </w:pPr>
                  <w:r>
                    <w:rPr>
                      <w:rFonts w:hint="default" w:ascii="Times New Roman" w:hAnsi="Times New Roman" w:eastAsia="宋体" w:cs="Times New Roman"/>
                      <w:caps w:val="0"/>
                      <w:color w:val="auto"/>
                      <w:kern w:val="0"/>
                      <w:sz w:val="21"/>
                      <w:szCs w:val="21"/>
                      <w:highlight w:val="none"/>
                      <w:u w:val="none"/>
                      <w:lang w:val="en-US" w:eastAsia="zh-CN"/>
                    </w:rPr>
                    <w:t>/</w:t>
                  </w:r>
                </w:p>
              </w:tc>
            </w:tr>
          </w:tbl>
          <w:p w14:paraId="2C96F1CB">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地下水环境影响调查结论</w:t>
            </w:r>
          </w:p>
          <w:p w14:paraId="2B09B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本项目验收调查范围内无地下水饮用水源地、取水井等地下水环境保护目标</w:t>
            </w:r>
            <w:r>
              <w:rPr>
                <w:rFonts w:hint="eastAsia" w:ascii="Times New Roman" w:hAnsi="Times New Roman" w:eastAsia="宋体" w:cs="Times New Roman"/>
                <w:snapToGrid/>
                <w:color w:val="auto"/>
                <w:kern w:val="2"/>
                <w:sz w:val="24"/>
                <w:szCs w:val="24"/>
                <w:highlight w:val="none"/>
                <w:u w:val="none"/>
                <w:lang w:val="en-US" w:eastAsia="zh-CN"/>
              </w:rPr>
              <w:t>。</w:t>
            </w:r>
            <w:r>
              <w:rPr>
                <w:rFonts w:hint="default" w:ascii="Times New Roman" w:hAnsi="Times New Roman" w:eastAsia="宋体" w:cs="Times New Roman"/>
                <w:snapToGrid/>
                <w:color w:val="auto"/>
                <w:kern w:val="2"/>
                <w:sz w:val="24"/>
                <w:szCs w:val="24"/>
                <w:highlight w:val="none"/>
                <w:u w:val="none"/>
                <w:lang w:val="en-US" w:eastAsia="zh-CN"/>
              </w:rPr>
              <w:t>本项目的普货拆装箱场、含油污水处理站、危险货物集装箱堆场、危废站</w:t>
            </w:r>
            <w:r>
              <w:rPr>
                <w:rFonts w:hint="default"/>
                <w:color w:val="auto"/>
                <w:spacing w:val="2"/>
                <w:sz w:val="24"/>
                <w:szCs w:val="24"/>
                <w:highlight w:val="none"/>
              </w:rPr>
              <w:t>存库均采取</w:t>
            </w:r>
            <w:r>
              <w:rPr>
                <w:rFonts w:hint="default"/>
                <w:color w:val="auto"/>
                <w:spacing w:val="-2"/>
                <w:sz w:val="24"/>
                <w:szCs w:val="24"/>
                <w:highlight w:val="none"/>
              </w:rPr>
              <w:t>了防渗措施，防渗措施达到等效黏土防渗层</w:t>
            </w:r>
            <w:r>
              <w:rPr>
                <w:rFonts w:hint="default" w:ascii="Times New Roman" w:hAnsi="Times New Roman" w:eastAsia="Times New Roman" w:cs="Times New Roman"/>
                <w:color w:val="auto"/>
                <w:spacing w:val="-2"/>
                <w:sz w:val="24"/>
                <w:szCs w:val="24"/>
                <w:highlight w:val="none"/>
              </w:rPr>
              <w:t>Mb≥1.5m</w:t>
            </w:r>
            <w:r>
              <w:rPr>
                <w:rFonts w:hint="default"/>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K≤1×10</w:t>
            </w:r>
            <w:r>
              <w:rPr>
                <w:rFonts w:hint="default" w:ascii="Times New Roman" w:hAnsi="Times New Roman" w:eastAsia="Times New Roman" w:cs="Times New Roman"/>
                <w:color w:val="auto"/>
                <w:spacing w:val="-2"/>
                <w:position w:val="8"/>
                <w:sz w:val="15"/>
                <w:szCs w:val="15"/>
                <w:highlight w:val="none"/>
              </w:rPr>
              <w:t>-7</w:t>
            </w:r>
            <w:r>
              <w:rPr>
                <w:rFonts w:hint="default" w:ascii="Times New Roman" w:hAnsi="Times New Roman" w:eastAsia="Times New Roman" w:cs="Times New Roman"/>
                <w:color w:val="auto"/>
                <w:spacing w:val="-2"/>
                <w:sz w:val="24"/>
                <w:szCs w:val="24"/>
                <w:highlight w:val="none"/>
              </w:rPr>
              <w:t>cm/s</w:t>
            </w:r>
            <w:r>
              <w:rPr>
                <w:rFonts w:hint="default" w:ascii="Times New Roman" w:hAnsi="Times New Roman" w:eastAsia="宋体" w:cs="Times New Roman"/>
                <w:snapToGrid/>
                <w:color w:val="auto"/>
                <w:kern w:val="2"/>
                <w:sz w:val="24"/>
                <w:szCs w:val="24"/>
                <w:highlight w:val="none"/>
                <w:u w:val="none"/>
                <w:lang w:val="en-US" w:eastAsia="zh-CN" w:bidi="ar-SA"/>
              </w:rPr>
              <w:t>的要求。</w:t>
            </w:r>
            <w:r>
              <w:rPr>
                <w:rFonts w:hint="default" w:ascii="Times New Roman" w:hAnsi="Times New Roman" w:eastAsia="宋体" w:cs="Times New Roman"/>
                <w:snapToGrid/>
                <w:color w:val="auto"/>
                <w:kern w:val="2"/>
                <w:sz w:val="24"/>
                <w:szCs w:val="24"/>
                <w:highlight w:val="none"/>
                <w:u w:val="none"/>
                <w:lang w:val="en-US" w:eastAsia="zh-CN"/>
              </w:rPr>
              <w:t>营运期码头生产废水处理达标后回用，生活污水接入大榄坪污水处理厂处理达标外排；危险品堆场已设置应急池和独立排水系统，可将偶尔泄漏的物料或冲洗水收集至集污池后单独处理，堆场及相关设施已按要求做好防渗处理，一般情况下，港区污水能够</w:t>
            </w:r>
            <w:r>
              <w:rPr>
                <w:rFonts w:hint="eastAsia" w:cs="Times New Roman"/>
                <w:snapToGrid/>
                <w:color w:val="auto"/>
                <w:kern w:val="2"/>
                <w:sz w:val="24"/>
                <w:szCs w:val="24"/>
                <w:highlight w:val="none"/>
                <w:u w:val="none"/>
                <w:lang w:val="en-US" w:eastAsia="zh-CN"/>
              </w:rPr>
              <w:t>得到有效的</w:t>
            </w:r>
            <w:r>
              <w:rPr>
                <w:rFonts w:hint="default" w:ascii="Times New Roman" w:hAnsi="Times New Roman" w:eastAsia="宋体" w:cs="Times New Roman"/>
                <w:snapToGrid/>
                <w:color w:val="auto"/>
                <w:kern w:val="2"/>
                <w:sz w:val="24"/>
                <w:szCs w:val="24"/>
                <w:highlight w:val="none"/>
                <w:u w:val="none"/>
                <w:lang w:val="en-US" w:eastAsia="zh-CN"/>
              </w:rPr>
              <w:t>收集处理，不会渗漏对地下水造成污染。</w:t>
            </w:r>
          </w:p>
          <w:p w14:paraId="2A786C50">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eastAsia="zh-CN"/>
              </w:rPr>
              <w:t>环境风险防范设施及应急措施结论</w:t>
            </w:r>
          </w:p>
          <w:p w14:paraId="74CFD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1~6#泊位运营至今未发生突发环境污染事件。</w:t>
            </w:r>
          </w:p>
          <w:p w14:paraId="1EAE0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原有工程已按国家和自治区有关规定采取了一系列的环境风险防范设施/措施，包括：（1）港区对集装箱作业、堆存（包括危险货物集装箱堆场）设置有监控系统，对现场作业情况进行实时监控；（2）本项目新增危险品采取直装直取方式，不在危险货物集装箱堆场堆存；（3）原有危险货物集装箱堆场设置了独立应急处理场地、应急处置池和集污池、独立环形排水沟、雨污水控制阀门；（4）码头前沿作业区每个泊位放置有移动应急收集池，5#泊位后方设有地埋式事故应急池；（5）建设单位编制有运营期突发环境事件应急预案，并配备环境应急物资。</w:t>
            </w:r>
          </w:p>
          <w:p w14:paraId="25FBF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lang w:val="en-US" w:eastAsia="zh-CN"/>
              </w:rPr>
            </w:pPr>
            <w:r>
              <w:rPr>
                <w:rFonts w:hint="default" w:ascii="Times New Roman" w:hAnsi="Times New Roman" w:eastAsia="宋体" w:cs="Times New Roman"/>
                <w:snapToGrid/>
                <w:color w:val="auto"/>
                <w:kern w:val="2"/>
                <w:sz w:val="24"/>
                <w:szCs w:val="24"/>
                <w:highlight w:val="none"/>
                <w:u w:val="none"/>
                <w:lang w:val="en-US" w:eastAsia="zh-CN"/>
              </w:rPr>
              <w:t>本项目新增危险货种后，建设单位按照环评报告要求在原有工程已有的环境应急物资基础上增加了防护服（手套、靴子、连体工作服、安全帽）、自给式呼吸器、喷雾水枪、惰性材料、雾状水幕装置等应急物资（未明确数量），满足应急处置要求。建设单位按照国家和自治区有关规定要求，对码头原有突发环境事件应急预案进行整合修订，并将本项目新增危险货种作业纳入应急预案管理体系，编制完成《广西北部湾国际集装箱码头有限公司突发环境事件应急预案》，组建了应急队伍。</w:t>
            </w:r>
          </w:p>
          <w:p w14:paraId="6F0F77C8">
            <w:pPr>
              <w:keepNext w:val="0"/>
              <w:keepLines w:val="0"/>
              <w:suppressLineNumbers w:val="0"/>
              <w:bidi w:val="0"/>
              <w:spacing w:before="0" w:beforeAutospacing="0" w:after="0" w:afterAutospacing="0" w:line="360" w:lineRule="auto"/>
              <w:ind w:left="0" w:right="0" w:firstLine="482" w:firstLineChars="200"/>
              <w:rPr>
                <w:rFonts w:hint="eastAsia"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eastAsia="zh-CN"/>
              </w:rPr>
              <w:t>）环境保护措施变动核查</w:t>
            </w:r>
          </w:p>
          <w:p w14:paraId="750EED95">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92" w:firstLineChars="200"/>
              <w:textAlignment w:val="auto"/>
              <w:rPr>
                <w:rFonts w:hint="default"/>
                <w:color w:val="auto"/>
                <w:sz w:val="24"/>
                <w:szCs w:val="24"/>
                <w:highlight w:val="none"/>
              </w:rPr>
            </w:pPr>
            <w:r>
              <w:rPr>
                <w:rFonts w:hint="default"/>
                <w:color w:val="auto"/>
                <w:spacing w:val="3"/>
                <w:sz w:val="24"/>
                <w:szCs w:val="24"/>
                <w:highlight w:val="none"/>
              </w:rPr>
              <w:t>本项目运营期，码头不接收处理船舶生活污水、船</w:t>
            </w:r>
            <w:r>
              <w:rPr>
                <w:rFonts w:hint="default"/>
                <w:color w:val="auto"/>
                <w:spacing w:val="2"/>
                <w:sz w:val="24"/>
                <w:szCs w:val="24"/>
                <w:highlight w:val="none"/>
              </w:rPr>
              <w:t>舶压载水、船舶舱底</w:t>
            </w:r>
            <w:r>
              <w:rPr>
                <w:rFonts w:hint="default"/>
                <w:color w:val="auto"/>
                <w:spacing w:val="-3"/>
                <w:sz w:val="24"/>
                <w:szCs w:val="24"/>
                <w:highlight w:val="none"/>
              </w:rPr>
              <w:t>油污水、船舶生活垃圾，由建设单位委托有资质单位进行接收、转运、处置；</w:t>
            </w:r>
            <w:r>
              <w:rPr>
                <w:rFonts w:hint="default"/>
                <w:color w:val="auto"/>
                <w:spacing w:val="2"/>
                <w:sz w:val="24"/>
                <w:szCs w:val="24"/>
                <w:highlight w:val="none"/>
              </w:rPr>
              <w:t>生活污水进入现有港区生活化粪池预处理后，排入大榄坪污水处理厂；含油</w:t>
            </w:r>
            <w:r>
              <w:rPr>
                <w:rFonts w:hint="default"/>
                <w:color w:val="auto"/>
                <w:spacing w:val="3"/>
                <w:sz w:val="24"/>
                <w:szCs w:val="24"/>
                <w:highlight w:val="none"/>
              </w:rPr>
              <w:t>污水经含油污水处理站处理后回用于机械冲洗用水、厂区绿化和道路清扫，</w:t>
            </w:r>
            <w:r>
              <w:rPr>
                <w:rFonts w:hint="default"/>
                <w:color w:val="auto"/>
                <w:spacing w:val="2"/>
                <w:sz w:val="24"/>
                <w:szCs w:val="24"/>
                <w:highlight w:val="none"/>
              </w:rPr>
              <w:t>不外排；机械设备日常养护和维修产生的废润滑油及含油抹布，以及污水处理站产生的含油污泥均使用专用容器收集后依托现有危险废物暂存间，再交</w:t>
            </w:r>
            <w:r>
              <w:rPr>
                <w:rFonts w:hint="default"/>
                <w:color w:val="auto"/>
                <w:sz w:val="24"/>
                <w:szCs w:val="24"/>
                <w:highlight w:val="none"/>
              </w:rPr>
              <w:t>由有资质的单位处置；港区生活垃圾经分类</w:t>
            </w:r>
            <w:r>
              <w:rPr>
                <w:rFonts w:hint="default"/>
                <w:color w:val="auto"/>
                <w:spacing w:val="-1"/>
                <w:sz w:val="24"/>
                <w:szCs w:val="24"/>
                <w:highlight w:val="none"/>
              </w:rPr>
              <w:t>收集后由环卫部门定期清运。</w:t>
            </w:r>
          </w:p>
          <w:p w14:paraId="6CEE9E87">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76" w:firstLineChars="200"/>
              <w:textAlignment w:val="auto"/>
              <w:rPr>
                <w:rFonts w:hint="default"/>
                <w:color w:val="auto"/>
                <w:sz w:val="24"/>
                <w:szCs w:val="24"/>
                <w:highlight w:val="none"/>
              </w:rPr>
            </w:pPr>
            <w:r>
              <w:rPr>
                <w:rFonts w:hint="default"/>
                <w:color w:val="auto"/>
                <w:spacing w:val="-1"/>
                <w:sz w:val="24"/>
                <w:szCs w:val="24"/>
                <w:highlight w:val="none"/>
              </w:rPr>
              <w:t>本项目环境保护措施与环评报告要求一致，较环评无变化。</w:t>
            </w:r>
          </w:p>
          <w:p w14:paraId="16204C1C">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4"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color w:val="auto"/>
                <w:spacing w:val="1"/>
                <w:sz w:val="24"/>
                <w:szCs w:val="24"/>
                <w:highlight w:val="none"/>
              </w:rPr>
              <w:t>总体来看，建设单位落实了项目环评要求的污</w:t>
            </w:r>
            <w:r>
              <w:rPr>
                <w:rFonts w:hint="default"/>
                <w:color w:val="auto"/>
                <w:sz w:val="24"/>
                <w:szCs w:val="24"/>
                <w:highlight w:val="none"/>
              </w:rPr>
              <w:t>染防治和生态保护措施，</w:t>
            </w:r>
            <w:r>
              <w:rPr>
                <w:rFonts w:hint="default"/>
                <w:color w:val="auto"/>
                <w:spacing w:val="-1"/>
                <w:sz w:val="24"/>
                <w:szCs w:val="24"/>
                <w:highlight w:val="none"/>
              </w:rPr>
              <w:t>现有的环境保护措施满足项目运营污染防治需要。</w:t>
            </w:r>
            <w:r>
              <w:rPr>
                <w:rFonts w:hint="default"/>
                <w:color w:val="auto"/>
                <w:spacing w:val="-5"/>
                <w:sz w:val="24"/>
                <w:szCs w:val="24"/>
                <w:highlight w:val="none"/>
              </w:rPr>
              <w:t>经核查，本项目不存在重大变动</w:t>
            </w:r>
            <w:r>
              <w:rPr>
                <w:rFonts w:hint="eastAsia"/>
                <w:color w:val="auto"/>
                <w:spacing w:val="-5"/>
                <w:sz w:val="24"/>
                <w:szCs w:val="24"/>
                <w:highlight w:val="none"/>
                <w:lang w:eastAsia="zh-CN"/>
              </w:rPr>
              <w:t>。</w:t>
            </w:r>
          </w:p>
          <w:p w14:paraId="477A3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8</w:t>
            </w:r>
            <w:r>
              <w:rPr>
                <w:rFonts w:hint="eastAsia" w:ascii="Times New Roman" w:hAnsi="Times New Roman" w:cs="Times New Roman"/>
                <w:b/>
                <w:bCs/>
                <w:color w:val="auto"/>
                <w:sz w:val="24"/>
                <w:szCs w:val="24"/>
                <w:highlight w:val="none"/>
                <w:lang w:eastAsia="zh-CN"/>
              </w:rPr>
              <w:t>）排污许可执行情况</w:t>
            </w:r>
          </w:p>
          <w:p w14:paraId="7E493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4"/>
                <w:highlight w:val="none"/>
              </w:rPr>
            </w:pPr>
            <w:r>
              <w:rPr>
                <w:rFonts w:hint="eastAsia"/>
                <w:color w:val="auto"/>
                <w:sz w:val="24"/>
                <w:szCs w:val="24"/>
                <w:highlight w:val="none"/>
              </w:rPr>
              <w:t>20</w:t>
            </w:r>
            <w:r>
              <w:rPr>
                <w:rFonts w:hint="eastAsia"/>
                <w:color w:val="auto"/>
                <w:sz w:val="24"/>
                <w:szCs w:val="24"/>
                <w:highlight w:val="none"/>
                <w:lang w:val="en-US" w:eastAsia="zh-CN"/>
              </w:rPr>
              <w:t>23</w:t>
            </w:r>
            <w:r>
              <w:rPr>
                <w:rFonts w:hint="eastAsia"/>
                <w:color w:val="auto"/>
                <w:sz w:val="24"/>
                <w:szCs w:val="24"/>
                <w:highlight w:val="none"/>
              </w:rPr>
              <w:t xml:space="preserve">年 </w:t>
            </w:r>
            <w:r>
              <w:rPr>
                <w:rFonts w:hint="eastAsia"/>
                <w:color w:val="auto"/>
                <w:sz w:val="24"/>
                <w:szCs w:val="24"/>
                <w:highlight w:val="none"/>
                <w:lang w:val="en-US" w:eastAsia="zh-CN"/>
              </w:rPr>
              <w:t>7</w:t>
            </w:r>
            <w:r>
              <w:rPr>
                <w:rFonts w:hint="eastAsia"/>
                <w:color w:val="auto"/>
                <w:sz w:val="24"/>
                <w:szCs w:val="24"/>
                <w:highlight w:val="none"/>
              </w:rPr>
              <w:t>月</w:t>
            </w:r>
            <w:r>
              <w:rPr>
                <w:rFonts w:hint="eastAsia"/>
                <w:color w:val="auto"/>
                <w:sz w:val="24"/>
                <w:szCs w:val="24"/>
                <w:highlight w:val="none"/>
                <w:lang w:val="en-US" w:eastAsia="zh-CN"/>
              </w:rPr>
              <w:t>28日</w:t>
            </w:r>
            <w:r>
              <w:rPr>
                <w:rFonts w:hint="eastAsia"/>
                <w:color w:val="auto"/>
                <w:sz w:val="24"/>
                <w:szCs w:val="24"/>
                <w:highlight w:val="none"/>
              </w:rPr>
              <w:t>，</w:t>
            </w:r>
            <w:r>
              <w:rPr>
                <w:rFonts w:hint="default" w:ascii="Times New Roman" w:hAnsi="Times New Roman" w:cs="Times New Roman"/>
                <w:color w:val="auto"/>
                <w:sz w:val="24"/>
                <w:highlight w:val="none"/>
                <w:u w:val="none"/>
                <w:lang w:eastAsia="zh-CN"/>
              </w:rPr>
              <w:t>广西北部湾国际集装箱码头有限公司</w:t>
            </w:r>
            <w:r>
              <w:rPr>
                <w:rFonts w:hint="eastAsia"/>
                <w:color w:val="auto"/>
                <w:sz w:val="24"/>
                <w:szCs w:val="24"/>
                <w:highlight w:val="none"/>
              </w:rPr>
              <w:t>进行了排污许可申请(</w:t>
            </w:r>
            <w:r>
              <w:rPr>
                <w:rFonts w:hint="eastAsia"/>
                <w:color w:val="auto"/>
                <w:sz w:val="24"/>
                <w:szCs w:val="24"/>
                <w:highlight w:val="none"/>
                <w:lang w:val="en-US" w:eastAsia="zh-CN"/>
              </w:rPr>
              <w:t>变更</w:t>
            </w:r>
            <w:r>
              <w:rPr>
                <w:rFonts w:hint="eastAsia"/>
                <w:color w:val="auto"/>
                <w:sz w:val="24"/>
                <w:szCs w:val="24"/>
                <w:highlight w:val="none"/>
              </w:rPr>
              <w:t>)，并按照相关程序及公示规定后获得了“货运港口”排污许可</w:t>
            </w:r>
            <w:r>
              <w:rPr>
                <w:rFonts w:hint="eastAsia"/>
                <w:color w:val="auto"/>
                <w:sz w:val="24"/>
                <w:szCs w:val="24"/>
                <w:highlight w:val="none"/>
                <w:lang w:val="en-US" w:eastAsia="zh-CN"/>
              </w:rPr>
              <w:t>登记</w:t>
            </w:r>
            <w:r>
              <w:rPr>
                <w:rFonts w:hint="eastAsia"/>
                <w:color w:val="auto"/>
                <w:sz w:val="24"/>
                <w:szCs w:val="24"/>
                <w:highlight w:val="none"/>
              </w:rPr>
              <w:t>，排污许可</w:t>
            </w:r>
            <w:r>
              <w:rPr>
                <w:rFonts w:hint="eastAsia"/>
                <w:color w:val="auto"/>
                <w:sz w:val="24"/>
                <w:szCs w:val="24"/>
                <w:highlight w:val="none"/>
                <w:lang w:val="en-US" w:eastAsia="zh-CN"/>
              </w:rPr>
              <w:t>登记</w:t>
            </w:r>
            <w:r>
              <w:rPr>
                <w:rFonts w:hint="eastAsia"/>
                <w:color w:val="auto"/>
                <w:sz w:val="24"/>
                <w:szCs w:val="24"/>
                <w:highlight w:val="none"/>
              </w:rPr>
              <w:t>编号为</w:t>
            </w:r>
            <w:r>
              <w:rPr>
                <w:rFonts w:hint="eastAsia"/>
                <w:color w:val="auto"/>
                <w:sz w:val="24"/>
                <w:szCs w:val="24"/>
                <w:highlight w:val="none"/>
                <w:lang w:eastAsia="zh-CN"/>
              </w:rPr>
              <w:t>：</w:t>
            </w:r>
            <w:r>
              <w:rPr>
                <w:rFonts w:hint="default" w:ascii="Times New Roman" w:hAnsi="Times New Roman" w:cs="Times New Roman"/>
                <w:color w:val="auto"/>
                <w:sz w:val="24"/>
                <w:highlight w:val="none"/>
                <w:u w:val="none"/>
                <w:lang w:eastAsia="zh-CN"/>
              </w:rPr>
              <w:t>91450000MA5K90Y698001X</w:t>
            </w:r>
            <w:r>
              <w:rPr>
                <w:rFonts w:hint="eastAsia"/>
                <w:color w:val="auto"/>
                <w:sz w:val="24"/>
                <w:szCs w:val="24"/>
                <w:highlight w:val="none"/>
              </w:rPr>
              <w:t>。许可证主要对</w:t>
            </w:r>
            <w:r>
              <w:rPr>
                <w:rFonts w:hint="default" w:ascii="Times New Roman" w:hAnsi="Times New Roman" w:cs="Times New Roman"/>
                <w:color w:val="auto"/>
                <w:sz w:val="24"/>
                <w:highlight w:val="none"/>
                <w:u w:val="none"/>
                <w:lang w:eastAsia="zh-CN"/>
              </w:rPr>
              <w:t>广西北部湾国际集装箱码头有限公司</w:t>
            </w:r>
            <w:r>
              <w:rPr>
                <w:rFonts w:hint="eastAsia"/>
                <w:color w:val="auto"/>
                <w:sz w:val="24"/>
                <w:szCs w:val="24"/>
                <w:highlight w:val="none"/>
              </w:rPr>
              <w:t>内集装箱码头1#、2#、3#、4#、5#、6#泊位</w:t>
            </w:r>
            <w:r>
              <w:rPr>
                <w:rFonts w:hint="eastAsia"/>
                <w:color w:val="auto"/>
                <w:sz w:val="24"/>
                <w:szCs w:val="24"/>
                <w:highlight w:val="none"/>
                <w:lang w:val="en-US" w:eastAsia="zh-CN"/>
              </w:rPr>
              <w:t>吞吐量为</w:t>
            </w:r>
            <w:r>
              <w:rPr>
                <w:rFonts w:hint="default" w:ascii="Times New Roman" w:hAnsi="Times New Roman" w:eastAsia="宋体" w:cs="Times New Roman"/>
                <w:caps w:val="0"/>
                <w:color w:val="auto"/>
                <w:kern w:val="2"/>
                <w:sz w:val="24"/>
                <w:szCs w:val="22"/>
                <w:highlight w:val="none"/>
                <w:u w:val="none"/>
                <w:lang w:val="en-US" w:eastAsia="zh-CN" w:bidi="ar-SA"/>
              </w:rPr>
              <w:t>320万TEU/a</w:t>
            </w:r>
            <w:r>
              <w:rPr>
                <w:rFonts w:hint="eastAsia"/>
                <w:color w:val="auto"/>
                <w:sz w:val="24"/>
                <w:szCs w:val="24"/>
                <w:highlight w:val="none"/>
                <w:lang w:val="en-US" w:eastAsia="zh-CN"/>
              </w:rPr>
              <w:t>进行排污许可登记</w:t>
            </w:r>
            <w:r>
              <w:rPr>
                <w:rFonts w:hint="eastAsia"/>
                <w:color w:val="auto"/>
                <w:sz w:val="24"/>
                <w:szCs w:val="24"/>
                <w:highlight w:val="none"/>
              </w:rPr>
              <w:t>，并对厂区内各个设施、环保措施、各类污染物排放标准、排放参数、自行监测计划、环境管理台账等内容进行了登记录入。在改扩建或发生变更</w:t>
            </w:r>
            <w:r>
              <w:rPr>
                <w:rFonts w:hint="eastAsia"/>
                <w:color w:val="auto"/>
                <w:sz w:val="24"/>
                <w:szCs w:val="24"/>
                <w:highlight w:val="none"/>
                <w:lang w:eastAsia="zh-CN"/>
              </w:rPr>
              <w:t>时均</w:t>
            </w:r>
            <w:r>
              <w:rPr>
                <w:rFonts w:hint="eastAsia"/>
                <w:color w:val="auto"/>
                <w:sz w:val="24"/>
                <w:szCs w:val="24"/>
                <w:highlight w:val="none"/>
              </w:rPr>
              <w:t>依法进行重新申请或重新变更排污许可证。</w:t>
            </w:r>
          </w:p>
          <w:p w14:paraId="57E07F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z w:val="24"/>
                <w:szCs w:val="24"/>
                <w:highlight w:val="none"/>
                <w:lang w:val="en-US" w:eastAsia="zh-CN"/>
              </w:rPr>
            </w:pPr>
          </w:p>
        </w:tc>
      </w:tr>
    </w:tbl>
    <w:p w14:paraId="25B47CBB">
      <w:pPr>
        <w:pStyle w:val="41"/>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F9DD229">
      <w:pPr>
        <w:pStyle w:val="41"/>
        <w:jc w:val="center"/>
        <w:outlineLvl w:val="0"/>
        <w:rPr>
          <w:rFonts w:hint="default" w:ascii="Times New Roman" w:hAnsi="Times New Roman" w:eastAsia="黑体" w:cs="Times New Roman"/>
          <w:snapToGrid w:val="0"/>
          <w:color w:val="auto"/>
          <w:sz w:val="30"/>
          <w:szCs w:val="30"/>
          <w:highlight w:val="none"/>
        </w:rPr>
      </w:pPr>
      <w:bookmarkStart w:id="7" w:name="_Toc6865"/>
      <w:r>
        <w:rPr>
          <w:rFonts w:hint="default" w:ascii="Times New Roman" w:hAnsi="Times New Roman" w:eastAsia="黑体" w:cs="Times New Roman"/>
          <w:snapToGrid w:val="0"/>
          <w:color w:val="auto"/>
          <w:sz w:val="30"/>
          <w:szCs w:val="30"/>
          <w:highlight w:val="none"/>
        </w:rPr>
        <w:t>三、区域环境质量现状、环境保护目标及评价标准</w:t>
      </w:r>
      <w:bookmarkEnd w:id="7"/>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3E381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456" w:type="dxa"/>
            <w:noWrap w:val="0"/>
            <w:vAlign w:val="center"/>
          </w:tcPr>
          <w:p w14:paraId="14B60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区域</w:t>
            </w:r>
          </w:p>
          <w:p w14:paraId="38462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4E175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质量</w:t>
            </w:r>
          </w:p>
          <w:p w14:paraId="592E96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现状</w:t>
            </w:r>
          </w:p>
        </w:tc>
        <w:tc>
          <w:tcPr>
            <w:tcW w:w="8604" w:type="dxa"/>
            <w:noWrap w:val="0"/>
            <w:vAlign w:val="center"/>
          </w:tcPr>
          <w:p w14:paraId="7EF7C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1、环境空气质量现状</w:t>
            </w:r>
          </w:p>
          <w:p w14:paraId="18556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项目位于钦州港大榄坪南作业区后方陆域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u w:val="none"/>
              </w:rPr>
              <w:t>所在区域环境空气属于二类功能区，环境空气执行《环境空气质量标准》（GB3095-2012）二级标准。</w:t>
            </w:r>
          </w:p>
          <w:p w14:paraId="49FAD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lang w:eastAsia="zh-CN"/>
              </w:rPr>
              <w:t>（1）空气质量达标区判定</w:t>
            </w:r>
          </w:p>
          <w:p w14:paraId="60BC1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根据</w:t>
            </w:r>
            <w:r>
              <w:rPr>
                <w:rFonts w:hint="default" w:ascii="Times New Roman" w:hAnsi="Times New Roman" w:eastAsia="宋体" w:cs="Times New Roman"/>
                <w:color w:val="auto"/>
                <w:sz w:val="24"/>
                <w:szCs w:val="24"/>
                <w:highlight w:val="none"/>
                <w:u w:val="none"/>
              </w:rPr>
              <w:t>《自治区生态环境厅关于通报2023年设区市及各县（市、区）环境空气质量的函》（桂环函〔202</w:t>
            </w:r>
            <w:r>
              <w:rPr>
                <w:rFonts w:hint="default" w:ascii="Times New Roman" w:hAnsi="Times New Roman"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58</w:t>
            </w:r>
            <w:r>
              <w:rPr>
                <w:rFonts w:hint="default" w:ascii="Times New Roman" w:hAnsi="Times New Roman" w:eastAsia="宋体" w:cs="Times New Roman"/>
                <w:color w:val="auto"/>
                <w:sz w:val="24"/>
                <w:szCs w:val="24"/>
                <w:highlight w:val="none"/>
                <w:u w:val="none"/>
              </w:rPr>
              <w:t>号）</w:t>
            </w:r>
            <w:r>
              <w:rPr>
                <w:rFonts w:hint="default" w:ascii="Times New Roman" w:hAnsi="Times New Roman" w:cs="Times New Roman"/>
                <w:color w:val="auto"/>
                <w:sz w:val="24"/>
                <w:szCs w:val="24"/>
                <w:highlight w:val="none"/>
                <w:u w:val="none"/>
                <w:lang w:eastAsia="zh-CN"/>
              </w:rPr>
              <w:t>，202</w:t>
            </w:r>
            <w:r>
              <w:rPr>
                <w:rFonts w:hint="default" w:ascii="Times New Roman" w:hAnsi="Times New Roman" w:cs="Times New Roman"/>
                <w:color w:val="auto"/>
                <w:sz w:val="24"/>
                <w:szCs w:val="24"/>
                <w:highlight w:val="none"/>
                <w:u w:val="none"/>
                <w:lang w:val="en-US" w:eastAsia="zh-CN"/>
              </w:rPr>
              <w:t>3年</w:t>
            </w:r>
            <w:r>
              <w:rPr>
                <w:rFonts w:hint="default" w:ascii="Times New Roman" w:hAnsi="Times New Roman" w:cs="Times New Roman"/>
                <w:color w:val="auto"/>
                <w:sz w:val="24"/>
                <w:szCs w:val="24"/>
                <w:highlight w:val="none"/>
                <w:u w:val="none"/>
                <w:lang w:eastAsia="zh-CN"/>
              </w:rPr>
              <w:t>钦州市环境空气质量现状见表3-1。</w:t>
            </w:r>
          </w:p>
          <w:p w14:paraId="372012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4"/>
                <w:szCs w:val="24"/>
                <w:highlight w:val="none"/>
                <w:u w:val="none"/>
              </w:rPr>
            </w:pPr>
            <w:r>
              <w:rPr>
                <w:rFonts w:hint="default" w:ascii="Times New Roman" w:hAnsi="Times New Roman" w:cs="Times New Roman"/>
                <w:b/>
                <w:color w:val="auto"/>
                <w:sz w:val="24"/>
                <w:szCs w:val="24"/>
                <w:highlight w:val="none"/>
                <w:u w:val="none"/>
              </w:rPr>
              <w:t>表3-1</w:t>
            </w:r>
            <w:r>
              <w:rPr>
                <w:rFonts w:hint="default" w:ascii="Times New Roman" w:hAnsi="Times New Roman" w:cs="Times New Roman"/>
                <w:b/>
                <w:color w:val="auto"/>
                <w:sz w:val="24"/>
                <w:szCs w:val="24"/>
                <w:highlight w:val="none"/>
                <w:u w:val="none"/>
                <w:lang w:eastAsia="zh-CN"/>
              </w:rPr>
              <w:t>钦州市</w:t>
            </w:r>
            <w:r>
              <w:rPr>
                <w:rFonts w:hint="default" w:ascii="Times New Roman" w:hAnsi="Times New Roman" w:cs="Times New Roman"/>
                <w:b/>
                <w:color w:val="auto"/>
                <w:sz w:val="24"/>
                <w:szCs w:val="24"/>
                <w:highlight w:val="none"/>
                <w:u w:val="none"/>
                <w:lang w:val="en-US" w:eastAsia="zh-CN"/>
              </w:rPr>
              <w:t>2023年环境空气质量现状评价表</w:t>
            </w:r>
          </w:p>
          <w:tbl>
            <w:tblPr>
              <w:tblStyle w:val="46"/>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412"/>
              <w:gridCol w:w="1290"/>
              <w:gridCol w:w="1261"/>
              <w:gridCol w:w="1165"/>
              <w:gridCol w:w="1254"/>
            </w:tblGrid>
            <w:tr w14:paraId="1CD7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0141B1E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污染物</w:t>
                  </w:r>
                </w:p>
              </w:tc>
              <w:tc>
                <w:tcPr>
                  <w:tcW w:w="2412" w:type="dxa"/>
                  <w:tcBorders>
                    <w:tl2br w:val="nil"/>
                    <w:tr2bl w:val="nil"/>
                  </w:tcBorders>
                  <w:noWrap w:val="0"/>
                  <w:vAlign w:val="center"/>
                </w:tcPr>
                <w:p w14:paraId="5F9672D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年评价指标</w:t>
                  </w:r>
                </w:p>
              </w:tc>
              <w:tc>
                <w:tcPr>
                  <w:tcW w:w="1290" w:type="dxa"/>
                  <w:tcBorders>
                    <w:tl2br w:val="nil"/>
                    <w:tr2bl w:val="nil"/>
                  </w:tcBorders>
                  <w:noWrap w:val="0"/>
                  <w:vAlign w:val="center"/>
                </w:tcPr>
                <w:p w14:paraId="4E9BF87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现状浓度（μg/m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1261" w:type="dxa"/>
                  <w:tcBorders>
                    <w:tl2br w:val="nil"/>
                    <w:tr2bl w:val="nil"/>
                  </w:tcBorders>
                  <w:noWrap w:val="0"/>
                  <w:vAlign w:val="center"/>
                </w:tcPr>
                <w:p w14:paraId="476BE34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标准值（μg/m</w:t>
                  </w:r>
                  <w:r>
                    <w:rPr>
                      <w:rFonts w:hint="default" w:ascii="Times New Roman" w:hAnsi="Times New Roman" w:cs="Times New Roman"/>
                      <w:b/>
                      <w:bCs/>
                      <w:color w:val="auto"/>
                      <w:szCs w:val="21"/>
                      <w:highlight w:val="none"/>
                      <w:u w:val="none"/>
                      <w:vertAlign w:val="superscript"/>
                    </w:rPr>
                    <w:t>3</w:t>
                  </w:r>
                  <w:r>
                    <w:rPr>
                      <w:rFonts w:hint="default" w:ascii="Times New Roman" w:hAnsi="Times New Roman" w:cs="Times New Roman"/>
                      <w:b/>
                      <w:bCs/>
                      <w:color w:val="auto"/>
                      <w:szCs w:val="21"/>
                      <w:highlight w:val="none"/>
                      <w:u w:val="none"/>
                    </w:rPr>
                    <w:t>）</w:t>
                  </w:r>
                </w:p>
              </w:tc>
              <w:tc>
                <w:tcPr>
                  <w:tcW w:w="1165" w:type="dxa"/>
                  <w:tcBorders>
                    <w:tl2br w:val="nil"/>
                    <w:tr2bl w:val="nil"/>
                  </w:tcBorders>
                  <w:noWrap w:val="0"/>
                  <w:vAlign w:val="center"/>
                </w:tcPr>
                <w:p w14:paraId="2A7BDE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占标率%</w:t>
                  </w:r>
                </w:p>
              </w:tc>
              <w:tc>
                <w:tcPr>
                  <w:tcW w:w="1254" w:type="dxa"/>
                  <w:tcBorders>
                    <w:tl2br w:val="nil"/>
                    <w:tr2bl w:val="nil"/>
                  </w:tcBorders>
                  <w:noWrap w:val="0"/>
                  <w:vAlign w:val="center"/>
                </w:tcPr>
                <w:p w14:paraId="1C9519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达标情况</w:t>
                  </w:r>
                </w:p>
              </w:tc>
            </w:tr>
            <w:tr w14:paraId="0E68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5D2B71C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SO</w:t>
                  </w:r>
                  <w:r>
                    <w:rPr>
                      <w:rFonts w:hint="default" w:ascii="Times New Roman" w:hAnsi="Times New Roman" w:cs="Times New Roman"/>
                      <w:color w:val="auto"/>
                      <w:szCs w:val="21"/>
                      <w:highlight w:val="none"/>
                      <w:u w:val="none"/>
                      <w:vertAlign w:val="subscript"/>
                    </w:rPr>
                    <w:t>2</w:t>
                  </w:r>
                </w:p>
              </w:tc>
              <w:tc>
                <w:tcPr>
                  <w:tcW w:w="2412" w:type="dxa"/>
                  <w:tcBorders>
                    <w:tl2br w:val="nil"/>
                    <w:tr2bl w:val="nil"/>
                  </w:tcBorders>
                  <w:noWrap w:val="0"/>
                  <w:vAlign w:val="center"/>
                </w:tcPr>
                <w:p w14:paraId="57B79F7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27F4850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8</w:t>
                  </w:r>
                </w:p>
              </w:tc>
              <w:tc>
                <w:tcPr>
                  <w:tcW w:w="1261" w:type="dxa"/>
                  <w:tcBorders>
                    <w:tl2br w:val="nil"/>
                    <w:tr2bl w:val="nil"/>
                  </w:tcBorders>
                  <w:noWrap w:val="0"/>
                  <w:vAlign w:val="center"/>
                </w:tcPr>
                <w:p w14:paraId="753F2D5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60</w:t>
                  </w:r>
                </w:p>
              </w:tc>
              <w:tc>
                <w:tcPr>
                  <w:tcW w:w="1165" w:type="dxa"/>
                  <w:tcBorders>
                    <w:tl2br w:val="nil"/>
                    <w:tr2bl w:val="nil"/>
                  </w:tcBorders>
                  <w:noWrap w:val="0"/>
                  <w:vAlign w:val="center"/>
                </w:tcPr>
                <w:p w14:paraId="65CB0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13.33</w:t>
                  </w:r>
                </w:p>
              </w:tc>
              <w:tc>
                <w:tcPr>
                  <w:tcW w:w="1254" w:type="dxa"/>
                  <w:tcBorders>
                    <w:tl2br w:val="nil"/>
                    <w:tr2bl w:val="nil"/>
                  </w:tcBorders>
                  <w:noWrap w:val="0"/>
                  <w:vAlign w:val="top"/>
                </w:tcPr>
                <w:p w14:paraId="59F5B76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73F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DBEF8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NO</w:t>
                  </w:r>
                  <w:r>
                    <w:rPr>
                      <w:rFonts w:hint="default" w:ascii="Times New Roman" w:hAnsi="Times New Roman" w:cs="Times New Roman"/>
                      <w:color w:val="auto"/>
                      <w:szCs w:val="21"/>
                      <w:highlight w:val="none"/>
                      <w:u w:val="none"/>
                      <w:vertAlign w:val="subscript"/>
                    </w:rPr>
                    <w:t>2</w:t>
                  </w:r>
                </w:p>
              </w:tc>
              <w:tc>
                <w:tcPr>
                  <w:tcW w:w="2412" w:type="dxa"/>
                  <w:tcBorders>
                    <w:tl2br w:val="nil"/>
                    <w:tr2bl w:val="nil"/>
                  </w:tcBorders>
                  <w:noWrap w:val="0"/>
                  <w:vAlign w:val="center"/>
                </w:tcPr>
                <w:p w14:paraId="47703EA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0FD8E36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19</w:t>
                  </w:r>
                </w:p>
              </w:tc>
              <w:tc>
                <w:tcPr>
                  <w:tcW w:w="1261" w:type="dxa"/>
                  <w:tcBorders>
                    <w:tl2br w:val="nil"/>
                    <w:tr2bl w:val="nil"/>
                  </w:tcBorders>
                  <w:noWrap w:val="0"/>
                  <w:vAlign w:val="center"/>
                </w:tcPr>
                <w:p w14:paraId="27FC1CA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40</w:t>
                  </w:r>
                </w:p>
              </w:tc>
              <w:tc>
                <w:tcPr>
                  <w:tcW w:w="1165" w:type="dxa"/>
                  <w:tcBorders>
                    <w:tl2br w:val="nil"/>
                    <w:tr2bl w:val="nil"/>
                  </w:tcBorders>
                  <w:noWrap w:val="0"/>
                  <w:vAlign w:val="center"/>
                </w:tcPr>
                <w:p w14:paraId="3268A8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47.50</w:t>
                  </w:r>
                </w:p>
              </w:tc>
              <w:tc>
                <w:tcPr>
                  <w:tcW w:w="1254" w:type="dxa"/>
                  <w:tcBorders>
                    <w:tl2br w:val="nil"/>
                    <w:tr2bl w:val="nil"/>
                  </w:tcBorders>
                  <w:noWrap w:val="0"/>
                  <w:vAlign w:val="top"/>
                </w:tcPr>
                <w:p w14:paraId="16BEE38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5B22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6AE6B5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PM</w:t>
                  </w:r>
                  <w:r>
                    <w:rPr>
                      <w:rFonts w:hint="default" w:ascii="Times New Roman" w:hAnsi="Times New Roman" w:cs="Times New Roman"/>
                      <w:color w:val="auto"/>
                      <w:szCs w:val="21"/>
                      <w:highlight w:val="none"/>
                      <w:u w:val="none"/>
                      <w:vertAlign w:val="subscript"/>
                    </w:rPr>
                    <w:t>10</w:t>
                  </w:r>
                </w:p>
              </w:tc>
              <w:tc>
                <w:tcPr>
                  <w:tcW w:w="2412" w:type="dxa"/>
                  <w:tcBorders>
                    <w:tl2br w:val="nil"/>
                    <w:tr2bl w:val="nil"/>
                  </w:tcBorders>
                  <w:noWrap w:val="0"/>
                  <w:vAlign w:val="center"/>
                </w:tcPr>
                <w:p w14:paraId="474D456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27E24C3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44</w:t>
                  </w:r>
                </w:p>
              </w:tc>
              <w:tc>
                <w:tcPr>
                  <w:tcW w:w="1261" w:type="dxa"/>
                  <w:tcBorders>
                    <w:tl2br w:val="nil"/>
                    <w:tr2bl w:val="nil"/>
                  </w:tcBorders>
                  <w:noWrap w:val="0"/>
                  <w:vAlign w:val="center"/>
                </w:tcPr>
                <w:p w14:paraId="7FCA21D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70</w:t>
                  </w:r>
                </w:p>
              </w:tc>
              <w:tc>
                <w:tcPr>
                  <w:tcW w:w="1165" w:type="dxa"/>
                  <w:tcBorders>
                    <w:tl2br w:val="nil"/>
                    <w:tr2bl w:val="nil"/>
                  </w:tcBorders>
                  <w:noWrap w:val="0"/>
                  <w:vAlign w:val="center"/>
                </w:tcPr>
                <w:p w14:paraId="19A1D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62.86</w:t>
                  </w:r>
                </w:p>
              </w:tc>
              <w:tc>
                <w:tcPr>
                  <w:tcW w:w="1254" w:type="dxa"/>
                  <w:tcBorders>
                    <w:tl2br w:val="nil"/>
                    <w:tr2bl w:val="nil"/>
                  </w:tcBorders>
                  <w:noWrap w:val="0"/>
                  <w:vAlign w:val="top"/>
                </w:tcPr>
                <w:p w14:paraId="59F020C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BA7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4B2B391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PM</w:t>
                  </w:r>
                  <w:r>
                    <w:rPr>
                      <w:rFonts w:hint="default" w:ascii="Times New Roman" w:hAnsi="Times New Roman" w:cs="Times New Roman"/>
                      <w:color w:val="auto"/>
                      <w:szCs w:val="21"/>
                      <w:highlight w:val="none"/>
                      <w:u w:val="none"/>
                      <w:vertAlign w:val="subscript"/>
                    </w:rPr>
                    <w:t>2.5</w:t>
                  </w:r>
                </w:p>
              </w:tc>
              <w:tc>
                <w:tcPr>
                  <w:tcW w:w="2412" w:type="dxa"/>
                  <w:tcBorders>
                    <w:tl2br w:val="nil"/>
                    <w:tr2bl w:val="nil"/>
                  </w:tcBorders>
                  <w:noWrap w:val="0"/>
                  <w:vAlign w:val="center"/>
                </w:tcPr>
                <w:p w14:paraId="5C7282A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年平均质量浓度</w:t>
                  </w:r>
                </w:p>
              </w:tc>
              <w:tc>
                <w:tcPr>
                  <w:tcW w:w="1290" w:type="dxa"/>
                  <w:tcBorders>
                    <w:tl2br w:val="nil"/>
                    <w:tr2bl w:val="nil"/>
                  </w:tcBorders>
                  <w:noWrap w:val="0"/>
                  <w:vAlign w:val="center"/>
                </w:tcPr>
                <w:p w14:paraId="738CB59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24.3</w:t>
                  </w:r>
                </w:p>
              </w:tc>
              <w:tc>
                <w:tcPr>
                  <w:tcW w:w="1261" w:type="dxa"/>
                  <w:tcBorders>
                    <w:tl2br w:val="nil"/>
                    <w:tr2bl w:val="nil"/>
                  </w:tcBorders>
                  <w:noWrap w:val="0"/>
                  <w:vAlign w:val="center"/>
                </w:tcPr>
                <w:p w14:paraId="424008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35</w:t>
                  </w:r>
                </w:p>
              </w:tc>
              <w:tc>
                <w:tcPr>
                  <w:tcW w:w="1165" w:type="dxa"/>
                  <w:tcBorders>
                    <w:tl2br w:val="nil"/>
                    <w:tr2bl w:val="nil"/>
                  </w:tcBorders>
                  <w:noWrap w:val="0"/>
                  <w:vAlign w:val="center"/>
                </w:tcPr>
                <w:p w14:paraId="5F894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69.43</w:t>
                  </w:r>
                </w:p>
              </w:tc>
              <w:tc>
                <w:tcPr>
                  <w:tcW w:w="1254" w:type="dxa"/>
                  <w:tcBorders>
                    <w:tl2br w:val="nil"/>
                    <w:tr2bl w:val="nil"/>
                  </w:tcBorders>
                  <w:noWrap w:val="0"/>
                  <w:vAlign w:val="top"/>
                </w:tcPr>
                <w:p w14:paraId="4D6AA2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5F36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F3038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CO</w:t>
                  </w:r>
                </w:p>
              </w:tc>
              <w:tc>
                <w:tcPr>
                  <w:tcW w:w="2412" w:type="dxa"/>
                  <w:tcBorders>
                    <w:tl2br w:val="nil"/>
                    <w:tr2bl w:val="nil"/>
                  </w:tcBorders>
                  <w:noWrap w:val="0"/>
                  <w:vAlign w:val="center"/>
                </w:tcPr>
                <w:p w14:paraId="13B6D13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24小时平均浓度日</w:t>
                  </w:r>
                </w:p>
              </w:tc>
              <w:tc>
                <w:tcPr>
                  <w:tcW w:w="1290" w:type="dxa"/>
                  <w:tcBorders>
                    <w:tl2br w:val="nil"/>
                    <w:tr2bl w:val="nil"/>
                  </w:tcBorders>
                  <w:noWrap w:val="0"/>
                  <w:vAlign w:val="center"/>
                </w:tcPr>
                <w:p w14:paraId="5407548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1.1</w:t>
                  </w:r>
                  <w:r>
                    <w:rPr>
                      <w:rFonts w:hint="default" w:ascii="Times New Roman" w:hAnsi="Times New Roman" w:cs="Times New Roman"/>
                      <w:color w:val="auto"/>
                      <w:szCs w:val="21"/>
                      <w:highlight w:val="none"/>
                      <w:u w:val="none"/>
                    </w:rPr>
                    <w:t>mg/m</w:t>
                  </w:r>
                  <w:r>
                    <w:rPr>
                      <w:rFonts w:hint="default" w:ascii="Times New Roman" w:hAnsi="Times New Roman" w:cs="Times New Roman"/>
                      <w:color w:val="auto"/>
                      <w:szCs w:val="21"/>
                      <w:highlight w:val="none"/>
                      <w:u w:val="none"/>
                      <w:vertAlign w:val="superscript"/>
                    </w:rPr>
                    <w:t>3</w:t>
                  </w:r>
                </w:p>
              </w:tc>
              <w:tc>
                <w:tcPr>
                  <w:tcW w:w="1261" w:type="dxa"/>
                  <w:tcBorders>
                    <w:tl2br w:val="nil"/>
                    <w:tr2bl w:val="nil"/>
                  </w:tcBorders>
                  <w:noWrap w:val="0"/>
                  <w:vAlign w:val="center"/>
                </w:tcPr>
                <w:p w14:paraId="167185A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4mg/m</w:t>
                  </w:r>
                  <w:r>
                    <w:rPr>
                      <w:rFonts w:hint="default" w:ascii="Times New Roman" w:hAnsi="Times New Roman" w:cs="Times New Roman"/>
                      <w:color w:val="auto"/>
                      <w:szCs w:val="21"/>
                      <w:highlight w:val="none"/>
                      <w:u w:val="none"/>
                      <w:vertAlign w:val="superscript"/>
                    </w:rPr>
                    <w:t>3</w:t>
                  </w:r>
                </w:p>
              </w:tc>
              <w:tc>
                <w:tcPr>
                  <w:tcW w:w="1165" w:type="dxa"/>
                  <w:tcBorders>
                    <w:tl2br w:val="nil"/>
                    <w:tr2bl w:val="nil"/>
                  </w:tcBorders>
                  <w:noWrap w:val="0"/>
                  <w:vAlign w:val="center"/>
                </w:tcPr>
                <w:p w14:paraId="47CEC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27.50</w:t>
                  </w:r>
                </w:p>
              </w:tc>
              <w:tc>
                <w:tcPr>
                  <w:tcW w:w="1254" w:type="dxa"/>
                  <w:tcBorders>
                    <w:tl2br w:val="nil"/>
                    <w:tr2bl w:val="nil"/>
                  </w:tcBorders>
                  <w:noWrap w:val="0"/>
                  <w:vAlign w:val="top"/>
                </w:tcPr>
                <w:p w14:paraId="3F95FAB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50A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74DF398F">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O</w:t>
                  </w:r>
                  <w:r>
                    <w:rPr>
                      <w:rFonts w:hint="default" w:ascii="Times New Roman" w:hAnsi="Times New Roman" w:cs="Times New Roman"/>
                      <w:color w:val="auto"/>
                      <w:szCs w:val="21"/>
                      <w:highlight w:val="none"/>
                      <w:u w:val="none"/>
                      <w:vertAlign w:val="subscript"/>
                    </w:rPr>
                    <w:t>3</w:t>
                  </w:r>
                </w:p>
              </w:tc>
              <w:tc>
                <w:tcPr>
                  <w:tcW w:w="2412" w:type="dxa"/>
                  <w:tcBorders>
                    <w:tl2br w:val="nil"/>
                    <w:tr2bl w:val="nil"/>
                  </w:tcBorders>
                  <w:noWrap w:val="0"/>
                  <w:vAlign w:val="center"/>
                </w:tcPr>
                <w:p w14:paraId="507AEE2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日最大8小时平均浓度</w:t>
                  </w:r>
                </w:p>
              </w:tc>
              <w:tc>
                <w:tcPr>
                  <w:tcW w:w="1290" w:type="dxa"/>
                  <w:tcBorders>
                    <w:tl2br w:val="nil"/>
                    <w:tr2bl w:val="nil"/>
                  </w:tcBorders>
                  <w:noWrap w:val="0"/>
                  <w:vAlign w:val="center"/>
                </w:tcPr>
                <w:p w14:paraId="233AE15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118</w:t>
                  </w:r>
                </w:p>
              </w:tc>
              <w:tc>
                <w:tcPr>
                  <w:tcW w:w="1261" w:type="dxa"/>
                  <w:tcBorders>
                    <w:tl2br w:val="nil"/>
                    <w:tr2bl w:val="nil"/>
                  </w:tcBorders>
                  <w:noWrap w:val="0"/>
                  <w:vAlign w:val="center"/>
                </w:tcPr>
                <w:p w14:paraId="6060300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160</w:t>
                  </w:r>
                </w:p>
              </w:tc>
              <w:tc>
                <w:tcPr>
                  <w:tcW w:w="1165" w:type="dxa"/>
                  <w:tcBorders>
                    <w:tl2br w:val="nil"/>
                    <w:tr2bl w:val="nil"/>
                  </w:tcBorders>
                  <w:noWrap w:val="0"/>
                  <w:vAlign w:val="center"/>
                </w:tcPr>
                <w:p w14:paraId="25DA1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73.75</w:t>
                  </w:r>
                </w:p>
              </w:tc>
              <w:tc>
                <w:tcPr>
                  <w:tcW w:w="1254" w:type="dxa"/>
                  <w:tcBorders>
                    <w:tl2br w:val="nil"/>
                    <w:tr2bl w:val="nil"/>
                  </w:tcBorders>
                  <w:noWrap w:val="0"/>
                  <w:vAlign w:val="center"/>
                </w:tcPr>
                <w:p w14:paraId="72704F82">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bl>
          <w:p w14:paraId="23F9E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由表3</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eastAsia="zh-CN"/>
              </w:rPr>
              <w:t>1所示，所在区域环境空气SO</w:t>
            </w:r>
            <w:r>
              <w:rPr>
                <w:rFonts w:hint="default" w:ascii="Times New Roman" w:hAnsi="Times New Roman" w:cs="Times New Roman"/>
                <w:color w:val="auto"/>
                <w:sz w:val="24"/>
                <w:szCs w:val="24"/>
                <w:highlight w:val="none"/>
                <w:u w:val="none"/>
                <w:vertAlign w:val="subscript"/>
                <w:lang w:eastAsia="zh-CN"/>
              </w:rPr>
              <w:t>2</w:t>
            </w:r>
            <w:r>
              <w:rPr>
                <w:rFonts w:hint="default" w:ascii="Times New Roman" w:hAnsi="Times New Roman" w:cs="Times New Roman"/>
                <w:color w:val="auto"/>
                <w:sz w:val="24"/>
                <w:szCs w:val="24"/>
                <w:highlight w:val="none"/>
                <w:u w:val="none"/>
                <w:lang w:eastAsia="zh-CN"/>
              </w:rPr>
              <w:t>、NO</w:t>
            </w:r>
            <w:r>
              <w:rPr>
                <w:rFonts w:hint="default" w:ascii="Times New Roman" w:hAnsi="Times New Roman" w:cs="Times New Roman"/>
                <w:color w:val="auto"/>
                <w:sz w:val="24"/>
                <w:szCs w:val="24"/>
                <w:highlight w:val="none"/>
                <w:u w:val="none"/>
                <w:vertAlign w:val="subscript"/>
                <w:lang w:eastAsia="zh-CN"/>
              </w:rPr>
              <w:t>2</w:t>
            </w:r>
            <w:r>
              <w:rPr>
                <w:rFonts w:hint="default" w:ascii="Times New Roman" w:hAnsi="Times New Roman" w:cs="Times New Roman"/>
                <w:color w:val="auto"/>
                <w:sz w:val="24"/>
                <w:szCs w:val="24"/>
                <w:highlight w:val="none"/>
                <w:u w:val="none"/>
                <w:lang w:eastAsia="zh-CN"/>
              </w:rPr>
              <w:t>、PM</w:t>
            </w:r>
            <w:r>
              <w:rPr>
                <w:rFonts w:hint="default" w:ascii="Times New Roman" w:hAnsi="Times New Roman" w:cs="Times New Roman"/>
                <w:color w:val="auto"/>
                <w:sz w:val="24"/>
                <w:szCs w:val="24"/>
                <w:highlight w:val="none"/>
                <w:u w:val="none"/>
                <w:vertAlign w:val="subscript"/>
                <w:lang w:eastAsia="zh-CN"/>
              </w:rPr>
              <w:t>10</w:t>
            </w:r>
            <w:r>
              <w:rPr>
                <w:rFonts w:hint="default" w:ascii="Times New Roman" w:hAnsi="Times New Roman" w:cs="Times New Roman"/>
                <w:color w:val="auto"/>
                <w:sz w:val="24"/>
                <w:szCs w:val="24"/>
                <w:highlight w:val="none"/>
                <w:u w:val="none"/>
                <w:lang w:eastAsia="zh-CN"/>
              </w:rPr>
              <w:t>、PM</w:t>
            </w:r>
            <w:r>
              <w:rPr>
                <w:rFonts w:hint="default" w:ascii="Times New Roman" w:hAnsi="Times New Roman" w:cs="Times New Roman"/>
                <w:color w:val="auto"/>
                <w:sz w:val="24"/>
                <w:szCs w:val="24"/>
                <w:highlight w:val="none"/>
                <w:u w:val="none"/>
                <w:vertAlign w:val="subscript"/>
                <w:lang w:eastAsia="zh-CN"/>
              </w:rPr>
              <w:t>2.5</w:t>
            </w:r>
            <w:r>
              <w:rPr>
                <w:rFonts w:hint="default" w:ascii="Times New Roman" w:hAnsi="Times New Roman" w:cs="Times New Roman"/>
                <w:color w:val="auto"/>
                <w:sz w:val="24"/>
                <w:szCs w:val="24"/>
                <w:highlight w:val="none"/>
                <w:u w:val="none"/>
                <w:lang w:eastAsia="zh-CN"/>
              </w:rPr>
              <w:t>、CO、O</w:t>
            </w:r>
            <w:r>
              <w:rPr>
                <w:rFonts w:hint="default" w:ascii="Times New Roman" w:hAnsi="Times New Roman" w:cs="Times New Roman"/>
                <w:color w:val="auto"/>
                <w:sz w:val="24"/>
                <w:szCs w:val="24"/>
                <w:highlight w:val="none"/>
                <w:u w:val="none"/>
                <w:vertAlign w:val="subscript"/>
                <w:lang w:eastAsia="zh-CN"/>
              </w:rPr>
              <w:t>3</w:t>
            </w:r>
            <w:r>
              <w:rPr>
                <w:rFonts w:hint="default" w:ascii="Times New Roman" w:hAnsi="Times New Roman" w:cs="Times New Roman"/>
                <w:color w:val="auto"/>
                <w:sz w:val="24"/>
                <w:szCs w:val="24"/>
                <w:highlight w:val="none"/>
                <w:u w:val="none"/>
                <w:lang w:eastAsia="zh-CN"/>
              </w:rPr>
              <w:t>均达到《环境空气质量标准》（GB3095-2012）二级标准的要求，故项目所在区域属于环境空气质量达标区。</w:t>
            </w:r>
          </w:p>
          <w:p w14:paraId="42FEB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其他污染物环境质量现状评价</w:t>
            </w:r>
          </w:p>
          <w:p w14:paraId="270407A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本项目其他污染物为非甲烷总烃、</w:t>
            </w:r>
            <w:r>
              <w:rPr>
                <w:rFonts w:hint="default" w:ascii="Times New Roman" w:hAnsi="Times New Roman" w:cs="Times New Roman"/>
                <w:color w:val="auto"/>
                <w:sz w:val="24"/>
                <w:highlight w:val="none"/>
                <w:u w:val="none"/>
                <w:lang w:val="en-US" w:eastAsia="zh-CN"/>
              </w:rPr>
              <w:t>TSP、二甲苯</w:t>
            </w:r>
            <w:r>
              <w:rPr>
                <w:rFonts w:hint="eastAsia" w:cs="Times New Roman"/>
                <w:color w:val="auto"/>
                <w:sz w:val="24"/>
                <w:highlight w:val="none"/>
                <w:u w:val="none"/>
                <w:lang w:val="en-US" w:eastAsia="zh-CN"/>
              </w:rPr>
              <w:t>、甲苯</w:t>
            </w:r>
            <w:r>
              <w:rPr>
                <w:rFonts w:hint="default" w:ascii="Times New Roman" w:hAnsi="Times New Roman" w:eastAsia="宋体" w:cs="Times New Roman"/>
                <w:color w:val="auto"/>
                <w:sz w:val="24"/>
                <w:highlight w:val="none"/>
                <w:u w:val="none"/>
                <w:lang w:val="en-US" w:eastAsia="zh-CN"/>
              </w:rPr>
              <w:t>。本项目引用“</w:t>
            </w:r>
            <w:r>
              <w:rPr>
                <w:rFonts w:hint="default" w:ascii="Times New Roman" w:hAnsi="Times New Roman" w:cs="Times New Roman"/>
                <w:color w:val="auto"/>
                <w:sz w:val="24"/>
                <w:highlight w:val="none"/>
              </w:rPr>
              <w:t>远景钦州智能风机叶片制造基地二期项目</w:t>
            </w:r>
            <w:r>
              <w:rPr>
                <w:rFonts w:hint="default" w:ascii="Times New Roman" w:hAnsi="Times New Roman" w:eastAsia="宋体" w:cs="Times New Roman"/>
                <w:color w:val="auto"/>
                <w:sz w:val="24"/>
                <w:highlight w:val="none"/>
                <w:u w:val="none"/>
                <w:lang w:val="en-US" w:eastAsia="zh-CN"/>
              </w:rPr>
              <w:t>”环境影响评价期间监测数据，引用监测点位为远景能源公司厂址</w:t>
            </w:r>
            <w:r>
              <w:rPr>
                <w:rFonts w:hint="eastAsia"/>
                <w:color w:val="auto"/>
                <w:spacing w:val="-1"/>
                <w:w w:val="105"/>
                <w:sz w:val="24"/>
                <w:highlight w:val="none"/>
              </w:rPr>
              <w:t>南侧</w:t>
            </w:r>
            <w:r>
              <w:rPr>
                <w:rFonts w:hint="default" w:ascii="Times New Roman" w:hAnsi="Times New Roman" w:eastAsia="宋体" w:cs="Times New Roman"/>
                <w:color w:val="auto"/>
                <w:sz w:val="24"/>
                <w:highlight w:val="none"/>
                <w:u w:val="none"/>
                <w:lang w:val="en-US" w:eastAsia="zh-CN"/>
              </w:rPr>
              <w:t>，距离本项目约</w:t>
            </w:r>
            <w:r>
              <w:rPr>
                <w:rFonts w:hint="eastAsia" w:cs="Times New Roman"/>
                <w:color w:val="auto"/>
                <w:sz w:val="24"/>
                <w:highlight w:val="none"/>
                <w:u w:val="none"/>
                <w:lang w:val="en-US" w:eastAsia="zh-CN"/>
              </w:rPr>
              <w:t>3879</w:t>
            </w:r>
            <w:r>
              <w:rPr>
                <w:rFonts w:hint="default" w:ascii="Times New Roman" w:hAnsi="Times New Roman" w:eastAsia="宋体" w:cs="Times New Roman"/>
                <w:color w:val="auto"/>
                <w:sz w:val="24"/>
                <w:highlight w:val="none"/>
                <w:u w:val="none"/>
                <w:lang w:val="en-US" w:eastAsia="zh-CN"/>
              </w:rPr>
              <w:t>m，监测时间为监测时间202</w:t>
            </w:r>
            <w:r>
              <w:rPr>
                <w:rFonts w:hint="default" w:ascii="Times New Roman" w:hAnsi="Times New Roman"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年</w:t>
            </w:r>
            <w:r>
              <w:rPr>
                <w:rFonts w:hint="default" w:ascii="Times New Roman" w:hAnsi="Times New Roman" w:cs="Times New Roman"/>
                <w:color w:val="auto"/>
                <w:sz w:val="24"/>
                <w:highlight w:val="none"/>
                <w:u w:val="none"/>
                <w:lang w:val="en-US" w:eastAsia="zh-CN"/>
              </w:rPr>
              <w:t>8</w:t>
            </w:r>
            <w:r>
              <w:rPr>
                <w:rFonts w:hint="default" w:ascii="Times New Roman" w:hAnsi="Times New Roman" w:eastAsia="宋体" w:cs="Times New Roman"/>
                <w:color w:val="auto"/>
                <w:sz w:val="24"/>
                <w:highlight w:val="none"/>
                <w:u w:val="none"/>
                <w:lang w:val="en-US" w:eastAsia="zh-CN"/>
              </w:rPr>
              <w:t>月</w:t>
            </w:r>
            <w:r>
              <w:rPr>
                <w:rFonts w:hint="default" w:ascii="Times New Roman" w:hAnsi="Times New Roman"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lang w:val="en-US" w:eastAsia="zh-CN"/>
              </w:rPr>
              <w:t>日至</w:t>
            </w:r>
            <w:r>
              <w:rPr>
                <w:rFonts w:hint="default" w:ascii="Times New Roman" w:hAnsi="Times New Roman" w:cs="Times New Roman"/>
                <w:color w:val="auto"/>
                <w:sz w:val="24"/>
                <w:highlight w:val="none"/>
                <w:u w:val="none"/>
                <w:lang w:val="en-US" w:eastAsia="zh-CN"/>
              </w:rPr>
              <w:t>9</w:t>
            </w:r>
            <w:r>
              <w:rPr>
                <w:rFonts w:hint="default" w:ascii="Times New Roman" w:hAnsi="Times New Roman" w:eastAsia="宋体" w:cs="Times New Roman"/>
                <w:color w:val="auto"/>
                <w:sz w:val="24"/>
                <w:highlight w:val="none"/>
                <w:u w:val="none"/>
                <w:lang w:val="en-US" w:eastAsia="zh-CN"/>
              </w:rPr>
              <w:t>月</w:t>
            </w:r>
            <w:r>
              <w:rPr>
                <w:rFonts w:hint="default" w:ascii="Times New Roman" w:hAnsi="Times New Roman" w:cs="Times New Roman"/>
                <w:color w:val="auto"/>
                <w:sz w:val="24"/>
                <w:highlight w:val="none"/>
                <w:u w:val="none"/>
                <w:lang w:val="en-US" w:eastAsia="zh-CN"/>
              </w:rPr>
              <w:t>1</w:t>
            </w:r>
            <w:r>
              <w:rPr>
                <w:rFonts w:hint="default" w:ascii="Times New Roman" w:hAnsi="Times New Roman" w:eastAsia="宋体" w:cs="Times New Roman"/>
                <w:color w:val="auto"/>
                <w:sz w:val="24"/>
                <w:highlight w:val="none"/>
                <w:u w:val="none"/>
                <w:lang w:val="en-US" w:eastAsia="zh-CN"/>
              </w:rPr>
              <w:t>日，监测周期为连续</w:t>
            </w:r>
            <w:r>
              <w:rPr>
                <w:rFonts w:hint="default" w:ascii="Times New Roman" w:hAnsi="Times New Roman"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天，符合《建设项目环境影响报告表编制</w:t>
            </w:r>
            <w:r>
              <w:rPr>
                <w:rFonts w:hint="default" w:ascii="Times New Roman" w:hAnsi="Times New Roman" w:cs="Times New Roman"/>
                <w:color w:val="auto"/>
                <w:sz w:val="24"/>
                <w:highlight w:val="none"/>
                <w:u w:val="none"/>
                <w:lang w:val="en-US" w:eastAsia="zh-CN"/>
              </w:rPr>
              <w:t>技术</w:t>
            </w:r>
            <w:r>
              <w:rPr>
                <w:rFonts w:hint="default" w:ascii="Times New Roman" w:hAnsi="Times New Roman" w:eastAsia="宋体" w:cs="Times New Roman"/>
                <w:color w:val="auto"/>
                <w:sz w:val="24"/>
                <w:highlight w:val="none"/>
                <w:u w:val="none"/>
                <w:lang w:val="en-US" w:eastAsia="zh-CN"/>
              </w:rPr>
              <w:t>指南</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污染影响类</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》中引用的空间及时效性要求。具体监测方法、监测数据等详见附件</w:t>
            </w:r>
            <w:r>
              <w:rPr>
                <w:rFonts w:hint="eastAsia" w:cs="Times New Roman"/>
                <w:color w:val="auto"/>
                <w:sz w:val="24"/>
                <w:highlight w:val="none"/>
                <w:u w:val="none"/>
                <w:lang w:val="en-US" w:eastAsia="zh-CN"/>
              </w:rPr>
              <w:t>7</w:t>
            </w:r>
            <w:r>
              <w:rPr>
                <w:rFonts w:hint="default" w:ascii="Times New Roman" w:hAnsi="Times New Roman" w:eastAsia="宋体" w:cs="Times New Roman"/>
                <w:color w:val="auto"/>
                <w:sz w:val="24"/>
                <w:highlight w:val="none"/>
                <w:u w:val="none"/>
                <w:lang w:val="en-US" w:eastAsia="zh-CN"/>
              </w:rPr>
              <w:t>。</w:t>
            </w:r>
          </w:p>
          <w:p w14:paraId="07A5E8C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 w:val="0"/>
                <w:bCs w:val="0"/>
                <w:color w:val="auto"/>
                <w:highlight w:val="none"/>
                <w:u w:val="none"/>
                <w:lang w:val="en-US" w:eastAsia="zh-CN"/>
              </w:rPr>
            </w:pPr>
            <w:r>
              <w:rPr>
                <w:rFonts w:hint="default" w:ascii="Times New Roman" w:hAnsi="Times New Roman" w:eastAsia="宋体" w:cs="Times New Roman"/>
                <w:color w:val="auto"/>
                <w:sz w:val="24"/>
                <w:highlight w:val="none"/>
                <w:u w:val="none"/>
                <w:lang w:val="en-US" w:eastAsia="zh-CN"/>
              </w:rPr>
              <w:t>上述监测及评价结果见表</w:t>
            </w:r>
            <w:r>
              <w:rPr>
                <w:rFonts w:hint="default" w:ascii="Times New Roman" w:hAnsi="Times New Roman" w:cs="Times New Roman"/>
                <w:color w:val="auto"/>
                <w:sz w:val="24"/>
                <w:highlight w:val="none"/>
                <w:u w:val="none"/>
                <w:lang w:val="en-US" w:eastAsia="zh-CN"/>
              </w:rPr>
              <w:t>3-2</w:t>
            </w:r>
            <w:r>
              <w:rPr>
                <w:rFonts w:hint="eastAsia"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w:t>
            </w:r>
          </w:p>
          <w:p w14:paraId="727EEC65">
            <w:pPr>
              <w:pStyle w:val="16"/>
              <w:adjustRightInd w:val="0"/>
              <w:snapToGrid w:val="0"/>
              <w:spacing w:before="120" w:beforeLines="50"/>
              <w:ind w:firstLine="0"/>
              <w:jc w:val="center"/>
              <w:rPr>
                <w:rFonts w:hint="eastAsia"/>
                <w:b/>
                <w:color w:val="auto"/>
                <w:sz w:val="24"/>
                <w:highlight w:val="none"/>
              </w:rPr>
            </w:pPr>
            <w:r>
              <w:rPr>
                <w:rFonts w:hint="eastAsia"/>
                <w:b/>
                <w:color w:val="auto"/>
                <w:sz w:val="24"/>
                <w:highlight w:val="none"/>
              </w:rPr>
              <w:t>表3-</w:t>
            </w:r>
            <w:r>
              <w:rPr>
                <w:rFonts w:hint="eastAsia"/>
                <w:b/>
                <w:color w:val="auto"/>
                <w:sz w:val="24"/>
                <w:highlight w:val="none"/>
                <w:lang w:val="en-US" w:eastAsia="zh-CN"/>
              </w:rPr>
              <w:t>2</w:t>
            </w:r>
            <w:r>
              <w:rPr>
                <w:rFonts w:hint="eastAsia"/>
                <w:b/>
                <w:color w:val="auto"/>
                <w:sz w:val="24"/>
                <w:highlight w:val="none"/>
              </w:rPr>
              <w:t>环境空气监测结果表</w:t>
            </w:r>
          </w:p>
          <w:tbl>
            <w:tblPr>
              <w:tblStyle w:val="46"/>
              <w:tblpPr w:leftFromText="180" w:rightFromText="180" w:vertAnchor="text" w:tblpXSpec="center" w:tblpY="1"/>
              <w:tblOverlap w:val="never"/>
              <w:tblW w:w="4696"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721"/>
              <w:gridCol w:w="1117"/>
              <w:gridCol w:w="1144"/>
              <w:gridCol w:w="1399"/>
              <w:gridCol w:w="955"/>
            </w:tblGrid>
            <w:tr w14:paraId="03AC7F3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071" w:type="pct"/>
                  <w:gridSpan w:val="2"/>
                  <w:vMerge w:val="restart"/>
                  <w:noWrap w:val="0"/>
                  <w:vAlign w:val="center"/>
                </w:tcPr>
                <w:p w14:paraId="31FAF4E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采样时间</w:t>
                  </w:r>
                </w:p>
              </w:tc>
              <w:tc>
                <w:tcPr>
                  <w:tcW w:w="2928" w:type="pct"/>
                  <w:gridSpan w:val="4"/>
                  <w:noWrap w:val="0"/>
                  <w:vAlign w:val="center"/>
                </w:tcPr>
                <w:p w14:paraId="7E64F65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检测结果</w:t>
                  </w:r>
                  <w:r>
                    <w:rPr>
                      <w:rFonts w:hint="default"/>
                      <w:color w:val="auto"/>
                      <w:szCs w:val="21"/>
                      <w:highlight w:val="none"/>
                    </w:rPr>
                    <w:t>（单位：mg/m</w:t>
                  </w:r>
                  <w:r>
                    <w:rPr>
                      <w:rFonts w:hint="default"/>
                      <w:color w:val="auto"/>
                      <w:szCs w:val="21"/>
                      <w:highlight w:val="none"/>
                      <w:vertAlign w:val="superscript"/>
                    </w:rPr>
                    <w:t>3</w:t>
                  </w:r>
                  <w:r>
                    <w:rPr>
                      <w:rFonts w:hint="default"/>
                      <w:color w:val="auto"/>
                      <w:szCs w:val="21"/>
                      <w:highlight w:val="none"/>
                    </w:rPr>
                    <w:t>）</w:t>
                  </w:r>
                </w:p>
              </w:tc>
            </w:tr>
            <w:tr w14:paraId="68F7CDA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2071" w:type="pct"/>
                  <w:gridSpan w:val="2"/>
                  <w:vMerge w:val="continue"/>
                  <w:noWrap w:val="0"/>
                  <w:vAlign w:val="center"/>
                </w:tcPr>
                <w:p w14:paraId="70AC356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708" w:type="pct"/>
                  <w:noWrap w:val="0"/>
                  <w:vAlign w:val="center"/>
                </w:tcPr>
                <w:p w14:paraId="2368113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甲苯</w:t>
                  </w:r>
                </w:p>
              </w:tc>
              <w:tc>
                <w:tcPr>
                  <w:tcW w:w="725" w:type="pct"/>
                  <w:noWrap w:val="0"/>
                  <w:vAlign w:val="center"/>
                </w:tcPr>
                <w:p w14:paraId="2B86369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二甲苯</w:t>
                  </w:r>
                </w:p>
              </w:tc>
              <w:tc>
                <w:tcPr>
                  <w:tcW w:w="887" w:type="pct"/>
                  <w:noWrap w:val="0"/>
                  <w:vAlign w:val="center"/>
                </w:tcPr>
                <w:p w14:paraId="12A3E57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非甲烷总烃</w:t>
                  </w:r>
                </w:p>
              </w:tc>
              <w:tc>
                <w:tcPr>
                  <w:tcW w:w="606" w:type="pct"/>
                  <w:noWrap w:val="0"/>
                  <w:vAlign w:val="center"/>
                </w:tcPr>
                <w:p w14:paraId="3A04276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TSP</w:t>
                  </w:r>
                </w:p>
              </w:tc>
            </w:tr>
            <w:tr w14:paraId="32514E1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071" w:type="pct"/>
                  <w:gridSpan w:val="2"/>
                  <w:vMerge w:val="continue"/>
                  <w:noWrap w:val="0"/>
                  <w:vAlign w:val="center"/>
                </w:tcPr>
                <w:p w14:paraId="3EA279D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708" w:type="pct"/>
                  <w:noWrap w:val="0"/>
                  <w:vAlign w:val="top"/>
                </w:tcPr>
                <w:p w14:paraId="1B684E08">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小时值</w:t>
                  </w:r>
                </w:p>
              </w:tc>
              <w:tc>
                <w:tcPr>
                  <w:tcW w:w="725" w:type="pct"/>
                  <w:noWrap w:val="0"/>
                  <w:vAlign w:val="top"/>
                </w:tcPr>
                <w:p w14:paraId="5C35006B">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小时值</w:t>
                  </w:r>
                </w:p>
              </w:tc>
              <w:tc>
                <w:tcPr>
                  <w:tcW w:w="887" w:type="pct"/>
                  <w:noWrap w:val="0"/>
                  <w:vAlign w:val="center"/>
                </w:tcPr>
                <w:p w14:paraId="0DC1906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小时值</w:t>
                  </w:r>
                </w:p>
              </w:tc>
              <w:tc>
                <w:tcPr>
                  <w:tcW w:w="606" w:type="pct"/>
                  <w:noWrap w:val="0"/>
                  <w:vAlign w:val="center"/>
                </w:tcPr>
                <w:p w14:paraId="256261B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日均值</w:t>
                  </w:r>
                </w:p>
              </w:tc>
            </w:tr>
            <w:tr w14:paraId="4911752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71ED2D8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2023.08.30</w:t>
                  </w:r>
                </w:p>
              </w:tc>
              <w:tc>
                <w:tcPr>
                  <w:tcW w:w="1092" w:type="pct"/>
                  <w:noWrap w:val="0"/>
                  <w:vAlign w:val="center"/>
                </w:tcPr>
                <w:p w14:paraId="0657FCB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5853F1F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55932EB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654490B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restart"/>
                  <w:noWrap w:val="0"/>
                  <w:vAlign w:val="center"/>
                </w:tcPr>
                <w:p w14:paraId="2CC8482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0.100</w:t>
                  </w:r>
                </w:p>
              </w:tc>
            </w:tr>
            <w:tr w14:paraId="48E03CD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14D800F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03022CB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4A5E1FA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9BF231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460B07D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0.28</w:t>
                  </w:r>
                </w:p>
              </w:tc>
              <w:tc>
                <w:tcPr>
                  <w:tcW w:w="606" w:type="pct"/>
                  <w:vMerge w:val="continue"/>
                  <w:noWrap w:val="0"/>
                  <w:vAlign w:val="center"/>
                </w:tcPr>
                <w:p w14:paraId="3C4B756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2F780C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5D46EB4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12502E0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4D431DF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17EA15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236472E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625451C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31F32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090A76A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2158498A">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221A420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0C0F197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2E588809">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1A0C393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7B9FDA5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14D42A7B">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2023.08.31</w:t>
                  </w:r>
                </w:p>
              </w:tc>
              <w:tc>
                <w:tcPr>
                  <w:tcW w:w="1092" w:type="pct"/>
                  <w:noWrap w:val="0"/>
                  <w:vAlign w:val="center"/>
                </w:tcPr>
                <w:p w14:paraId="26D21EA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5499E5E1">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115F91D">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117EB90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restart"/>
                  <w:noWrap w:val="0"/>
                  <w:vAlign w:val="center"/>
                </w:tcPr>
                <w:p w14:paraId="4178C2A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0.097</w:t>
                  </w:r>
                </w:p>
              </w:tc>
            </w:tr>
            <w:tr w14:paraId="2E10BD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21ABB38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6E51637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61DDD1E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D082E7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60540AE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0.32</w:t>
                  </w:r>
                </w:p>
              </w:tc>
              <w:tc>
                <w:tcPr>
                  <w:tcW w:w="606" w:type="pct"/>
                  <w:vMerge w:val="continue"/>
                  <w:noWrap w:val="0"/>
                  <w:vAlign w:val="center"/>
                </w:tcPr>
                <w:p w14:paraId="6964E6D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50CE978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02B9279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13C1C0B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24EAFC53">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20A314C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2E4491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0.27</w:t>
                  </w:r>
                </w:p>
              </w:tc>
              <w:tc>
                <w:tcPr>
                  <w:tcW w:w="606" w:type="pct"/>
                  <w:vMerge w:val="continue"/>
                  <w:noWrap w:val="0"/>
                  <w:vAlign w:val="center"/>
                </w:tcPr>
                <w:p w14:paraId="761AF63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5DE29C1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65D4E5A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5BAF4F4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47259D81">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CB30738">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1C7F2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0.30</w:t>
                  </w:r>
                </w:p>
              </w:tc>
              <w:tc>
                <w:tcPr>
                  <w:tcW w:w="606" w:type="pct"/>
                  <w:vMerge w:val="continue"/>
                  <w:noWrap w:val="0"/>
                  <w:vAlign w:val="center"/>
                </w:tcPr>
                <w:p w14:paraId="0EF741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646BD36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restart"/>
                  <w:noWrap w:val="0"/>
                  <w:vAlign w:val="center"/>
                </w:tcPr>
                <w:p w14:paraId="16446E7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szCs w:val="21"/>
                      <w:highlight w:val="none"/>
                    </w:rPr>
                    <w:t>2023.09.01</w:t>
                  </w:r>
                </w:p>
              </w:tc>
              <w:tc>
                <w:tcPr>
                  <w:tcW w:w="1092" w:type="pct"/>
                  <w:noWrap w:val="0"/>
                  <w:vAlign w:val="center"/>
                </w:tcPr>
                <w:p w14:paraId="7D791D4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02</w:t>
                  </w:r>
                  <w:r>
                    <w:rPr>
                      <w:rFonts w:hint="eastAsia"/>
                      <w:color w:val="auto"/>
                      <w:szCs w:val="21"/>
                      <w:highlight w:val="none"/>
                    </w:rPr>
                    <w:t>:</w:t>
                  </w:r>
                  <w:r>
                    <w:rPr>
                      <w:rFonts w:hint="default"/>
                      <w:color w:val="auto"/>
                      <w:szCs w:val="21"/>
                      <w:highlight w:val="none"/>
                    </w:rPr>
                    <w:t>00-03</w:t>
                  </w:r>
                  <w:r>
                    <w:rPr>
                      <w:rFonts w:hint="eastAsia"/>
                      <w:color w:val="auto"/>
                      <w:szCs w:val="21"/>
                      <w:highlight w:val="none"/>
                    </w:rPr>
                    <w:t>:</w:t>
                  </w:r>
                  <w:r>
                    <w:rPr>
                      <w:rFonts w:hint="default"/>
                      <w:color w:val="auto"/>
                      <w:szCs w:val="21"/>
                      <w:highlight w:val="none"/>
                    </w:rPr>
                    <w:t>00</w:t>
                  </w:r>
                </w:p>
              </w:tc>
              <w:tc>
                <w:tcPr>
                  <w:tcW w:w="708" w:type="pct"/>
                  <w:noWrap w:val="0"/>
                  <w:vAlign w:val="center"/>
                </w:tcPr>
                <w:p w14:paraId="0AE62BD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4F148F4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7EB9B836">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0.35</w:t>
                  </w:r>
                </w:p>
              </w:tc>
              <w:tc>
                <w:tcPr>
                  <w:tcW w:w="606" w:type="pct"/>
                  <w:vMerge w:val="restart"/>
                  <w:noWrap w:val="0"/>
                  <w:vAlign w:val="center"/>
                </w:tcPr>
                <w:p w14:paraId="31DD207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0.106</w:t>
                  </w:r>
                </w:p>
              </w:tc>
            </w:tr>
            <w:tr w14:paraId="6113566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7300D04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372ACCD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08</w:t>
                  </w:r>
                  <w:r>
                    <w:rPr>
                      <w:rFonts w:hint="eastAsia"/>
                      <w:color w:val="auto"/>
                      <w:szCs w:val="21"/>
                      <w:highlight w:val="none"/>
                    </w:rPr>
                    <w:t>:</w:t>
                  </w:r>
                  <w:r>
                    <w:rPr>
                      <w:rFonts w:hint="default"/>
                      <w:color w:val="auto"/>
                      <w:szCs w:val="21"/>
                      <w:highlight w:val="none"/>
                    </w:rPr>
                    <w:t>00-09:00</w:t>
                  </w:r>
                </w:p>
              </w:tc>
              <w:tc>
                <w:tcPr>
                  <w:tcW w:w="708" w:type="pct"/>
                  <w:noWrap w:val="0"/>
                  <w:vAlign w:val="center"/>
                </w:tcPr>
                <w:p w14:paraId="3D10877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6299FFA">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08FBBA4E">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0.41</w:t>
                  </w:r>
                </w:p>
              </w:tc>
              <w:tc>
                <w:tcPr>
                  <w:tcW w:w="606" w:type="pct"/>
                  <w:vMerge w:val="continue"/>
                  <w:noWrap w:val="0"/>
                  <w:vAlign w:val="center"/>
                </w:tcPr>
                <w:p w14:paraId="522D5FE2">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375D0D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979" w:type="pct"/>
                  <w:vMerge w:val="continue"/>
                  <w:noWrap w:val="0"/>
                  <w:vAlign w:val="center"/>
                </w:tcPr>
                <w:p w14:paraId="7806679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7351DF9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14</w:t>
                  </w:r>
                  <w:r>
                    <w:rPr>
                      <w:rFonts w:hint="eastAsia"/>
                      <w:color w:val="auto"/>
                      <w:szCs w:val="21"/>
                      <w:highlight w:val="none"/>
                    </w:rPr>
                    <w:t>:</w:t>
                  </w:r>
                  <w:r>
                    <w:rPr>
                      <w:rFonts w:hint="default"/>
                      <w:color w:val="auto"/>
                      <w:szCs w:val="21"/>
                      <w:highlight w:val="none"/>
                    </w:rPr>
                    <w:t>00-15:00</w:t>
                  </w:r>
                </w:p>
              </w:tc>
              <w:tc>
                <w:tcPr>
                  <w:tcW w:w="708" w:type="pct"/>
                  <w:noWrap w:val="0"/>
                  <w:vAlign w:val="center"/>
                </w:tcPr>
                <w:p w14:paraId="407CBA97">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53D218F5">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379975F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0.43</w:t>
                  </w:r>
                </w:p>
              </w:tc>
              <w:tc>
                <w:tcPr>
                  <w:tcW w:w="606" w:type="pct"/>
                  <w:vMerge w:val="continue"/>
                  <w:noWrap w:val="0"/>
                  <w:vAlign w:val="center"/>
                </w:tcPr>
                <w:p w14:paraId="615804E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r w14:paraId="7A7ACDB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979" w:type="pct"/>
                  <w:vMerge w:val="continue"/>
                  <w:noWrap w:val="0"/>
                  <w:vAlign w:val="center"/>
                </w:tcPr>
                <w:p w14:paraId="72B8186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p>
              </w:tc>
              <w:tc>
                <w:tcPr>
                  <w:tcW w:w="1092" w:type="pct"/>
                  <w:noWrap w:val="0"/>
                  <w:vAlign w:val="center"/>
                </w:tcPr>
                <w:p w14:paraId="3A977FC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default"/>
                      <w:color w:val="auto"/>
                      <w:szCs w:val="21"/>
                      <w:highlight w:val="none"/>
                    </w:rPr>
                    <w:t>20</w:t>
                  </w:r>
                  <w:r>
                    <w:rPr>
                      <w:rFonts w:hint="eastAsia"/>
                      <w:color w:val="auto"/>
                      <w:szCs w:val="21"/>
                      <w:highlight w:val="none"/>
                    </w:rPr>
                    <w:t>:</w:t>
                  </w:r>
                  <w:r>
                    <w:rPr>
                      <w:rFonts w:hint="default"/>
                      <w:color w:val="auto"/>
                      <w:szCs w:val="21"/>
                      <w:highlight w:val="none"/>
                    </w:rPr>
                    <w:t>00</w:t>
                  </w:r>
                  <w:r>
                    <w:rPr>
                      <w:rFonts w:hint="eastAsia"/>
                      <w:color w:val="auto"/>
                      <w:szCs w:val="21"/>
                      <w:highlight w:val="none"/>
                    </w:rPr>
                    <w:t>-21:00</w:t>
                  </w:r>
                </w:p>
              </w:tc>
              <w:tc>
                <w:tcPr>
                  <w:tcW w:w="708" w:type="pct"/>
                  <w:noWrap w:val="0"/>
                  <w:vAlign w:val="center"/>
                </w:tcPr>
                <w:p w14:paraId="263984B4">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725" w:type="pct"/>
                  <w:noWrap w:val="0"/>
                  <w:vAlign w:val="center"/>
                </w:tcPr>
                <w:p w14:paraId="73CD4DEF">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ND</w:t>
                  </w:r>
                </w:p>
              </w:tc>
              <w:tc>
                <w:tcPr>
                  <w:tcW w:w="887" w:type="pct"/>
                  <w:noWrap w:val="0"/>
                  <w:vAlign w:val="center"/>
                </w:tcPr>
                <w:p w14:paraId="54B88EEC">
                  <w:pPr>
                    <w:keepNext w:val="0"/>
                    <w:keepLines w:val="0"/>
                    <w:suppressLineNumbers w:val="0"/>
                    <w:adjustRightInd w:val="0"/>
                    <w:snapToGrid w:val="0"/>
                    <w:spacing w:before="0" w:beforeAutospacing="0" w:after="0" w:afterAutospacing="0"/>
                    <w:ind w:left="0" w:right="0"/>
                    <w:jc w:val="center"/>
                    <w:rPr>
                      <w:rFonts w:hint="default"/>
                      <w:color w:val="auto"/>
                      <w:highlight w:val="none"/>
                    </w:rPr>
                  </w:pPr>
                  <w:r>
                    <w:rPr>
                      <w:rFonts w:hint="eastAsia"/>
                      <w:color w:val="auto"/>
                      <w:highlight w:val="none"/>
                    </w:rPr>
                    <w:t>0.34</w:t>
                  </w:r>
                </w:p>
              </w:tc>
              <w:tc>
                <w:tcPr>
                  <w:tcW w:w="606" w:type="pct"/>
                  <w:vMerge w:val="continue"/>
                  <w:noWrap w:val="0"/>
                  <w:vAlign w:val="center"/>
                </w:tcPr>
                <w:p w14:paraId="1D5DC000">
                  <w:pPr>
                    <w:keepNext w:val="0"/>
                    <w:keepLines w:val="0"/>
                    <w:suppressLineNumbers w:val="0"/>
                    <w:adjustRightInd w:val="0"/>
                    <w:snapToGrid w:val="0"/>
                    <w:spacing w:before="0" w:beforeAutospacing="0" w:after="0" w:afterAutospacing="0"/>
                    <w:ind w:left="0" w:right="0"/>
                    <w:jc w:val="center"/>
                    <w:rPr>
                      <w:rFonts w:hint="default"/>
                      <w:color w:val="auto"/>
                      <w:highlight w:val="none"/>
                    </w:rPr>
                  </w:pPr>
                </w:p>
              </w:tc>
            </w:tr>
          </w:tbl>
          <w:p w14:paraId="1AA06150">
            <w:pPr>
              <w:keepNext w:val="0"/>
              <w:keepLines w:val="0"/>
              <w:suppressLineNumbers w:val="0"/>
              <w:topLinePunct/>
              <w:adjustRightInd w:val="0"/>
              <w:snapToGrid w:val="0"/>
              <w:spacing w:before="120" w:beforeLines="50" w:beforeAutospacing="0" w:after="0" w:afterAutospacing="0" w:line="360" w:lineRule="auto"/>
              <w:ind w:left="0" w:right="0"/>
              <w:contextualSpacing/>
              <w:rPr>
                <w:rFonts w:hint="default"/>
                <w:color w:val="auto"/>
                <w:szCs w:val="21"/>
                <w:highlight w:val="none"/>
              </w:rPr>
            </w:pPr>
            <w:r>
              <w:rPr>
                <w:rFonts w:hint="default"/>
                <w:color w:val="auto"/>
                <w:szCs w:val="21"/>
                <w:highlight w:val="none"/>
              </w:rPr>
              <w:t>注：</w:t>
            </w:r>
            <w:r>
              <w:rPr>
                <w:rFonts w:hint="eastAsia"/>
                <w:color w:val="auto"/>
                <w:szCs w:val="21"/>
                <w:highlight w:val="none"/>
              </w:rPr>
              <w:t>“</w:t>
            </w:r>
            <w:r>
              <w:rPr>
                <w:rFonts w:hint="default"/>
                <w:color w:val="auto"/>
                <w:szCs w:val="21"/>
                <w:highlight w:val="none"/>
              </w:rPr>
              <w:t>ND</w:t>
            </w:r>
            <w:r>
              <w:rPr>
                <w:rFonts w:hint="eastAsia"/>
                <w:color w:val="auto"/>
                <w:szCs w:val="21"/>
                <w:highlight w:val="none"/>
              </w:rPr>
              <w:t>”</w:t>
            </w:r>
            <w:r>
              <w:rPr>
                <w:rFonts w:hint="default"/>
                <w:color w:val="auto"/>
                <w:szCs w:val="21"/>
                <w:highlight w:val="none"/>
              </w:rPr>
              <w:t>表示检测结果低于方法检出限</w:t>
            </w:r>
          </w:p>
          <w:p w14:paraId="09B11798">
            <w:pPr>
              <w:pStyle w:val="16"/>
              <w:adjustRightInd w:val="0"/>
              <w:snapToGrid w:val="0"/>
              <w:spacing w:before="120" w:beforeLines="50"/>
              <w:ind w:firstLine="0"/>
              <w:jc w:val="center"/>
              <w:rPr>
                <w:rFonts w:hint="eastAsia"/>
                <w:b/>
                <w:color w:val="auto"/>
                <w:sz w:val="24"/>
                <w:highlight w:val="none"/>
              </w:rPr>
            </w:pPr>
            <w:r>
              <w:rPr>
                <w:rFonts w:hint="eastAsia"/>
                <w:b/>
                <w:color w:val="auto"/>
                <w:sz w:val="24"/>
                <w:highlight w:val="none"/>
              </w:rPr>
              <w:t>表3-</w:t>
            </w:r>
            <w:r>
              <w:rPr>
                <w:rFonts w:hint="eastAsia"/>
                <w:b/>
                <w:color w:val="auto"/>
                <w:sz w:val="24"/>
                <w:highlight w:val="none"/>
                <w:lang w:val="en-US" w:eastAsia="zh-CN"/>
              </w:rPr>
              <w:t>3</w:t>
            </w:r>
            <w:r>
              <w:rPr>
                <w:rFonts w:hint="eastAsia"/>
                <w:b/>
                <w:color w:val="auto"/>
                <w:sz w:val="24"/>
                <w:highlight w:val="none"/>
              </w:rPr>
              <w:t>空气环境监测结果统计表</w:t>
            </w:r>
          </w:p>
          <w:tbl>
            <w:tblPr>
              <w:tblStyle w:val="4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460"/>
              <w:gridCol w:w="653"/>
              <w:gridCol w:w="1097"/>
              <w:gridCol w:w="1522"/>
              <w:gridCol w:w="1201"/>
              <w:gridCol w:w="1331"/>
              <w:gridCol w:w="1119"/>
            </w:tblGrid>
            <w:tr w14:paraId="33DFC55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085C5D7A">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污染物</w:t>
                  </w:r>
                </w:p>
              </w:tc>
              <w:tc>
                <w:tcPr>
                  <w:tcW w:w="389" w:type="pct"/>
                  <w:noWrap w:val="0"/>
                  <w:vAlign w:val="center"/>
                </w:tcPr>
                <w:p w14:paraId="0D3E01EB">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平均</w:t>
                  </w:r>
                </w:p>
                <w:p w14:paraId="219C7AD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时间</w:t>
                  </w:r>
                </w:p>
              </w:tc>
              <w:tc>
                <w:tcPr>
                  <w:tcW w:w="654" w:type="pct"/>
                  <w:noWrap w:val="0"/>
                  <w:vAlign w:val="center"/>
                </w:tcPr>
                <w:p w14:paraId="125C31FC">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评价标准</w:t>
                  </w:r>
                </w:p>
                <w:p w14:paraId="1EA57A88">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（mg/m</w:t>
                  </w:r>
                  <w:r>
                    <w:rPr>
                      <w:rFonts w:hint="eastAsia"/>
                      <w:b/>
                      <w:bCs/>
                      <w:color w:val="auto"/>
                      <w:szCs w:val="21"/>
                      <w:highlight w:val="none"/>
                      <w:vertAlign w:val="superscript"/>
                    </w:rPr>
                    <w:t>3</w:t>
                  </w:r>
                  <w:r>
                    <w:rPr>
                      <w:rFonts w:hint="eastAsia"/>
                      <w:b/>
                      <w:bCs/>
                      <w:color w:val="auto"/>
                      <w:szCs w:val="21"/>
                      <w:highlight w:val="none"/>
                    </w:rPr>
                    <w:t>）</w:t>
                  </w:r>
                </w:p>
              </w:tc>
              <w:tc>
                <w:tcPr>
                  <w:tcW w:w="907" w:type="pct"/>
                  <w:noWrap w:val="0"/>
                  <w:vAlign w:val="center"/>
                </w:tcPr>
                <w:p w14:paraId="3DE8347D">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监测浓度范围</w:t>
                  </w:r>
                </w:p>
                <w:p w14:paraId="2C1EF1B3">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（mg/m</w:t>
                  </w:r>
                  <w:r>
                    <w:rPr>
                      <w:rFonts w:hint="eastAsia"/>
                      <w:b/>
                      <w:bCs/>
                      <w:color w:val="auto"/>
                      <w:szCs w:val="21"/>
                      <w:highlight w:val="none"/>
                      <w:vertAlign w:val="superscript"/>
                    </w:rPr>
                    <w:t>3</w:t>
                  </w:r>
                  <w:r>
                    <w:rPr>
                      <w:rFonts w:hint="eastAsia"/>
                      <w:b/>
                      <w:bCs/>
                      <w:color w:val="auto"/>
                      <w:szCs w:val="21"/>
                      <w:highlight w:val="none"/>
                    </w:rPr>
                    <w:t>）</w:t>
                  </w:r>
                </w:p>
              </w:tc>
              <w:tc>
                <w:tcPr>
                  <w:tcW w:w="716" w:type="pct"/>
                  <w:noWrap w:val="0"/>
                  <w:vAlign w:val="center"/>
                </w:tcPr>
                <w:p w14:paraId="5E583CDC">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最大浓度占标率%</w:t>
                  </w:r>
                </w:p>
              </w:tc>
              <w:tc>
                <w:tcPr>
                  <w:tcW w:w="793" w:type="pct"/>
                  <w:noWrap w:val="0"/>
                  <w:vAlign w:val="center"/>
                </w:tcPr>
                <w:p w14:paraId="32B7BC39">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超标率/%</w:t>
                  </w:r>
                </w:p>
              </w:tc>
              <w:tc>
                <w:tcPr>
                  <w:tcW w:w="667" w:type="pct"/>
                  <w:noWrap w:val="0"/>
                  <w:vAlign w:val="center"/>
                </w:tcPr>
                <w:p w14:paraId="573C922B">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达标情况</w:t>
                  </w:r>
                </w:p>
              </w:tc>
            </w:tr>
            <w:tr w14:paraId="29B736C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568EC4C9">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总悬浮颗粒物</w:t>
                  </w:r>
                </w:p>
              </w:tc>
              <w:tc>
                <w:tcPr>
                  <w:tcW w:w="389" w:type="pct"/>
                  <w:noWrap w:val="0"/>
                  <w:vAlign w:val="center"/>
                </w:tcPr>
                <w:p w14:paraId="09605191">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日均值</w:t>
                  </w:r>
                </w:p>
              </w:tc>
              <w:tc>
                <w:tcPr>
                  <w:tcW w:w="654" w:type="pct"/>
                  <w:noWrap w:val="0"/>
                  <w:vAlign w:val="center"/>
                </w:tcPr>
                <w:p w14:paraId="72B6C121">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w:t>
                  </w:r>
                </w:p>
              </w:tc>
              <w:tc>
                <w:tcPr>
                  <w:tcW w:w="907" w:type="pct"/>
                  <w:noWrap w:val="0"/>
                  <w:vAlign w:val="center"/>
                </w:tcPr>
                <w:p w14:paraId="57BF833F">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default"/>
                      <w:color w:val="auto"/>
                      <w:szCs w:val="21"/>
                      <w:highlight w:val="none"/>
                    </w:rPr>
                    <w:t>0.097～0.106</w:t>
                  </w:r>
                </w:p>
              </w:tc>
              <w:tc>
                <w:tcPr>
                  <w:tcW w:w="716" w:type="pct"/>
                  <w:noWrap w:val="0"/>
                  <w:vAlign w:val="center"/>
                </w:tcPr>
                <w:p w14:paraId="7BAAD7AF">
                  <w:pPr>
                    <w:keepNext w:val="0"/>
                    <w:keepLines w:val="0"/>
                    <w:suppressLineNumbers w:val="0"/>
                    <w:spacing w:before="0" w:beforeAutospacing="0" w:after="0" w:afterAutospacing="0"/>
                    <w:ind w:left="0" w:right="0"/>
                    <w:contextualSpacing/>
                    <w:jc w:val="center"/>
                    <w:textAlignment w:val="baseline"/>
                    <w:rPr>
                      <w:rFonts w:hint="default"/>
                      <w:b/>
                      <w:bCs/>
                      <w:color w:val="auto"/>
                      <w:szCs w:val="21"/>
                      <w:highlight w:val="none"/>
                    </w:rPr>
                  </w:pPr>
                  <w:r>
                    <w:rPr>
                      <w:rFonts w:hint="eastAsia"/>
                      <w:color w:val="auto"/>
                      <w:szCs w:val="21"/>
                      <w:highlight w:val="none"/>
                    </w:rPr>
                    <w:t>35.3</w:t>
                  </w:r>
                </w:p>
              </w:tc>
              <w:tc>
                <w:tcPr>
                  <w:tcW w:w="793" w:type="pct"/>
                  <w:noWrap w:val="0"/>
                  <w:vAlign w:val="center"/>
                </w:tcPr>
                <w:p w14:paraId="2ED17EEF">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522A52E5">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0AD318F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4A5D4C77">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甲苯</w:t>
                  </w:r>
                </w:p>
              </w:tc>
              <w:tc>
                <w:tcPr>
                  <w:tcW w:w="389" w:type="pct"/>
                  <w:noWrap w:val="0"/>
                  <w:vAlign w:val="center"/>
                </w:tcPr>
                <w:p w14:paraId="5D543E05">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1DF1BB28">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w:t>
                  </w:r>
                </w:p>
              </w:tc>
              <w:tc>
                <w:tcPr>
                  <w:tcW w:w="907" w:type="pct"/>
                  <w:noWrap w:val="0"/>
                  <w:vAlign w:val="center"/>
                </w:tcPr>
                <w:p w14:paraId="55129761">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0.00075</w:t>
                  </w:r>
                </w:p>
              </w:tc>
              <w:tc>
                <w:tcPr>
                  <w:tcW w:w="716" w:type="pct"/>
                  <w:noWrap w:val="0"/>
                  <w:vAlign w:val="center"/>
                </w:tcPr>
                <w:p w14:paraId="3094E3D0">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0.375</w:t>
                  </w:r>
                </w:p>
              </w:tc>
              <w:tc>
                <w:tcPr>
                  <w:tcW w:w="793" w:type="pct"/>
                  <w:noWrap w:val="0"/>
                  <w:vAlign w:val="center"/>
                </w:tcPr>
                <w:p w14:paraId="55FECBA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0EA04BB9">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274D125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4530AC34">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二甲苯</w:t>
                  </w:r>
                </w:p>
              </w:tc>
              <w:tc>
                <w:tcPr>
                  <w:tcW w:w="389" w:type="pct"/>
                  <w:noWrap w:val="0"/>
                  <w:vAlign w:val="center"/>
                </w:tcPr>
                <w:p w14:paraId="19489CA8">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31541DCA">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w:t>
                  </w:r>
                </w:p>
              </w:tc>
              <w:tc>
                <w:tcPr>
                  <w:tcW w:w="907" w:type="pct"/>
                  <w:noWrap w:val="0"/>
                  <w:vAlign w:val="center"/>
                </w:tcPr>
                <w:p w14:paraId="3605C356">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0.00075</w:t>
                  </w:r>
                </w:p>
              </w:tc>
              <w:tc>
                <w:tcPr>
                  <w:tcW w:w="716" w:type="pct"/>
                  <w:noWrap w:val="0"/>
                  <w:vAlign w:val="center"/>
                </w:tcPr>
                <w:p w14:paraId="0226E819">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0.375</w:t>
                  </w:r>
                </w:p>
              </w:tc>
              <w:tc>
                <w:tcPr>
                  <w:tcW w:w="793" w:type="pct"/>
                  <w:noWrap w:val="0"/>
                  <w:vAlign w:val="center"/>
                </w:tcPr>
                <w:p w14:paraId="71FC93B7">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2856E61A">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r w14:paraId="3B2C791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7" w:hRule="atLeast"/>
                <w:jc w:val="center"/>
              </w:trPr>
              <w:tc>
                <w:tcPr>
                  <w:tcW w:w="870" w:type="pct"/>
                  <w:noWrap w:val="0"/>
                  <w:vAlign w:val="center"/>
                </w:tcPr>
                <w:p w14:paraId="27AAD340">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非甲烷总烃</w:t>
                  </w:r>
                </w:p>
              </w:tc>
              <w:tc>
                <w:tcPr>
                  <w:tcW w:w="389" w:type="pct"/>
                  <w:noWrap w:val="0"/>
                  <w:vAlign w:val="center"/>
                </w:tcPr>
                <w:p w14:paraId="37365211">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rPr>
                  </w:pPr>
                  <w:r>
                    <w:rPr>
                      <w:rFonts w:hint="eastAsia"/>
                      <w:color w:val="auto"/>
                      <w:szCs w:val="21"/>
                      <w:highlight w:val="none"/>
                    </w:rPr>
                    <w:t>小时值</w:t>
                  </w:r>
                </w:p>
              </w:tc>
              <w:tc>
                <w:tcPr>
                  <w:tcW w:w="654" w:type="pct"/>
                  <w:noWrap w:val="0"/>
                  <w:vAlign w:val="center"/>
                </w:tcPr>
                <w:p w14:paraId="3F49EAF5">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2.0</w:t>
                  </w:r>
                </w:p>
              </w:tc>
              <w:tc>
                <w:tcPr>
                  <w:tcW w:w="907" w:type="pct"/>
                  <w:noWrap w:val="0"/>
                  <w:vAlign w:val="center"/>
                </w:tcPr>
                <w:p w14:paraId="3DDBEE9E">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rPr>
                  </w:pPr>
                  <w:r>
                    <w:rPr>
                      <w:rFonts w:hint="eastAsia"/>
                      <w:color w:val="auto"/>
                      <w:szCs w:val="21"/>
                      <w:highlight w:val="none"/>
                    </w:rPr>
                    <w:t>0.27</w:t>
                  </w:r>
                  <w:r>
                    <w:rPr>
                      <w:rFonts w:hint="default"/>
                      <w:color w:val="auto"/>
                      <w:szCs w:val="21"/>
                      <w:highlight w:val="none"/>
                    </w:rPr>
                    <w:t>～</w:t>
                  </w:r>
                  <w:r>
                    <w:rPr>
                      <w:rFonts w:hint="eastAsia"/>
                      <w:color w:val="auto"/>
                      <w:szCs w:val="21"/>
                      <w:highlight w:val="none"/>
                    </w:rPr>
                    <w:t>0.43</w:t>
                  </w:r>
                </w:p>
              </w:tc>
              <w:tc>
                <w:tcPr>
                  <w:tcW w:w="716" w:type="pct"/>
                  <w:noWrap w:val="0"/>
                  <w:vAlign w:val="center"/>
                </w:tcPr>
                <w:p w14:paraId="31CB0008">
                  <w:pPr>
                    <w:keepNext w:val="0"/>
                    <w:keepLines w:val="0"/>
                    <w:suppressLineNumbers w:val="0"/>
                    <w:spacing w:before="0" w:beforeAutospacing="0" w:after="0" w:afterAutospacing="0"/>
                    <w:ind w:left="0" w:right="0"/>
                    <w:contextualSpacing/>
                    <w:jc w:val="center"/>
                    <w:textAlignment w:val="baseline"/>
                    <w:rPr>
                      <w:rFonts w:hint="default"/>
                      <w:b/>
                      <w:bCs/>
                      <w:color w:val="auto"/>
                      <w:szCs w:val="21"/>
                      <w:highlight w:val="none"/>
                    </w:rPr>
                  </w:pPr>
                  <w:r>
                    <w:rPr>
                      <w:rFonts w:hint="eastAsia"/>
                      <w:color w:val="auto"/>
                      <w:szCs w:val="21"/>
                      <w:highlight w:val="none"/>
                    </w:rPr>
                    <w:t>21.5</w:t>
                  </w:r>
                </w:p>
              </w:tc>
              <w:tc>
                <w:tcPr>
                  <w:tcW w:w="793" w:type="pct"/>
                  <w:noWrap w:val="0"/>
                  <w:vAlign w:val="center"/>
                </w:tcPr>
                <w:p w14:paraId="3DE8E03E">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b/>
                      <w:bCs/>
                      <w:color w:val="auto"/>
                      <w:szCs w:val="21"/>
                      <w:highlight w:val="none"/>
                    </w:rPr>
                    <w:t>/</w:t>
                  </w:r>
                </w:p>
              </w:tc>
              <w:tc>
                <w:tcPr>
                  <w:tcW w:w="667" w:type="pct"/>
                  <w:noWrap w:val="0"/>
                  <w:vAlign w:val="center"/>
                </w:tcPr>
                <w:p w14:paraId="6029C956">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rPr>
                  </w:pPr>
                  <w:r>
                    <w:rPr>
                      <w:rFonts w:hint="eastAsia"/>
                      <w:color w:val="auto"/>
                      <w:szCs w:val="21"/>
                      <w:highlight w:val="none"/>
                    </w:rPr>
                    <w:t>达标</w:t>
                  </w:r>
                </w:p>
              </w:tc>
            </w:tr>
          </w:tbl>
          <w:p w14:paraId="5E222465">
            <w:pPr>
              <w:keepNext w:val="0"/>
              <w:keepLines w:val="0"/>
              <w:suppressLineNumbers w:val="0"/>
              <w:spacing w:before="0" w:beforeAutospacing="0" w:after="0" w:afterAutospacing="0" w:line="360" w:lineRule="auto"/>
              <w:ind w:left="0" w:right="0"/>
              <w:rPr>
                <w:rFonts w:hint="eastAsia"/>
                <w:b/>
                <w:bCs/>
                <w:color w:val="auto"/>
                <w:szCs w:val="21"/>
                <w:highlight w:val="none"/>
              </w:rPr>
            </w:pPr>
            <w:r>
              <w:rPr>
                <w:rFonts w:hint="eastAsia"/>
                <w:b/>
                <w:bCs/>
                <w:color w:val="auto"/>
                <w:szCs w:val="21"/>
                <w:highlight w:val="none"/>
              </w:rPr>
              <w:t>注：表3-3中“</w:t>
            </w:r>
            <w:r>
              <w:rPr>
                <w:rFonts w:hint="default"/>
                <w:b/>
                <w:bCs/>
                <w:color w:val="auto"/>
                <w:szCs w:val="21"/>
                <w:highlight w:val="none"/>
              </w:rPr>
              <w:t>ND</w:t>
            </w:r>
            <w:r>
              <w:rPr>
                <w:rFonts w:hint="eastAsia"/>
                <w:b/>
                <w:bCs/>
                <w:color w:val="auto"/>
                <w:szCs w:val="21"/>
                <w:highlight w:val="none"/>
              </w:rPr>
              <w:t>”</w:t>
            </w:r>
            <w:r>
              <w:rPr>
                <w:rFonts w:hint="default"/>
                <w:b/>
                <w:bCs/>
                <w:color w:val="auto"/>
                <w:szCs w:val="21"/>
                <w:highlight w:val="none"/>
              </w:rPr>
              <w:t>表示</w:t>
            </w:r>
            <w:r>
              <w:rPr>
                <w:rFonts w:hint="eastAsia"/>
                <w:b/>
                <w:bCs/>
                <w:color w:val="auto"/>
                <w:szCs w:val="21"/>
                <w:highlight w:val="none"/>
              </w:rPr>
              <w:t>甲苯、二甲苯检表示未检出，本次评价以检出限一半进行评价。</w:t>
            </w:r>
          </w:p>
          <w:p w14:paraId="280414CC">
            <w:pPr>
              <w:keepNext w:val="0"/>
              <w:keepLines w:val="0"/>
              <w:suppressLineNumbers w:val="0"/>
              <w:topLinePunct/>
              <w:adjustRightInd w:val="0"/>
              <w:snapToGrid w:val="0"/>
              <w:spacing w:before="120" w:beforeLines="5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从上表可以看出，评价区域内总悬浮颗粒物浓度满足《环境空气质量标准》（GB3095-2012）中的标准限值，甲苯、二甲苯浓度满足《环境影响评价技术导则大气环境》（HJ2.2-2018）附录D中标准限值，非甲烷总烃满足《大气污染物综合排放标准详解》中标准限值。</w:t>
            </w:r>
          </w:p>
          <w:p w14:paraId="40C1F2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2、</w:t>
            </w:r>
            <w:r>
              <w:rPr>
                <w:rFonts w:hint="default" w:ascii="Times New Roman" w:hAnsi="Times New Roman" w:eastAsia="宋体" w:cs="Times New Roman"/>
                <w:b/>
                <w:bCs/>
                <w:color w:val="auto"/>
                <w:sz w:val="24"/>
                <w:szCs w:val="24"/>
                <w:highlight w:val="none"/>
                <w:u w:val="none"/>
                <w:lang w:eastAsia="zh-CN"/>
              </w:rPr>
              <w:t>地表</w:t>
            </w:r>
            <w:r>
              <w:rPr>
                <w:rFonts w:hint="default" w:ascii="Times New Roman" w:hAnsi="Times New Roman" w:eastAsia="宋体" w:cs="Times New Roman"/>
                <w:b/>
                <w:bCs/>
                <w:color w:val="auto"/>
                <w:sz w:val="24"/>
                <w:szCs w:val="24"/>
                <w:highlight w:val="none"/>
                <w:u w:val="none"/>
              </w:rPr>
              <w:t>水环境质量状况</w:t>
            </w:r>
          </w:p>
          <w:p w14:paraId="3E9AD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根据《广西壮族自治区近岸海域环境功能区划调整方案》（桂环发〔2023〕9号），项目周边海域为钦州港果子山港口区（代码：GX055DⅣ）</w:t>
            </w:r>
            <w:r>
              <w:rPr>
                <w:rFonts w:hint="default" w:ascii="Times New Roman" w:hAnsi="Times New Roman" w:cs="Times New Roman"/>
                <w:color w:val="auto"/>
                <w:sz w:val="24"/>
                <w:highlight w:val="none"/>
                <w:u w:val="none"/>
                <w:lang w:val="en-US" w:eastAsia="zh-CN"/>
              </w:rPr>
              <w:t>（项目与</w:t>
            </w:r>
            <w:r>
              <w:rPr>
                <w:rFonts w:hint="default" w:ascii="Times New Roman" w:hAnsi="Times New Roman" w:eastAsia="宋体" w:cs="Times New Roman"/>
                <w:color w:val="auto"/>
                <w:sz w:val="24"/>
                <w:highlight w:val="none"/>
                <w:u w:val="none"/>
                <w:lang w:val="en-US" w:eastAsia="zh-CN"/>
              </w:rPr>
              <w:t>广西壮族自治区近岸海域环境功能区划调整方案图</w:t>
            </w:r>
            <w:r>
              <w:rPr>
                <w:rFonts w:hint="default" w:ascii="Times New Roman" w:hAnsi="Times New Roman" w:cs="Times New Roman"/>
                <w:color w:val="auto"/>
                <w:sz w:val="24"/>
                <w:highlight w:val="none"/>
                <w:u w:val="none"/>
                <w:lang w:val="en-US" w:eastAsia="zh-CN"/>
              </w:rPr>
              <w:t>的位置关系详见附图</w:t>
            </w:r>
            <w:r>
              <w:rPr>
                <w:rFonts w:hint="eastAsia" w:cs="Times New Roman"/>
                <w:color w:val="auto"/>
                <w:sz w:val="24"/>
                <w:highlight w:val="none"/>
                <w:u w:val="none"/>
                <w:lang w:val="en-US" w:eastAsia="zh-CN"/>
              </w:rPr>
              <w:t>9</w:t>
            </w:r>
            <w:r>
              <w:rPr>
                <w:rFonts w:hint="default" w:ascii="Times New Roman" w:hAnsi="Times New Roman"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，主导功能为港口和工业用海，水质保护目标为第四类。</w:t>
            </w:r>
          </w:p>
          <w:p w14:paraId="34461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根据《</w:t>
            </w:r>
            <w:r>
              <w:rPr>
                <w:rFonts w:hint="eastAsia" w:ascii="Times New Roman" w:hAnsi="Times New Roman" w:eastAsia="宋体" w:cs="Times New Roman"/>
                <w:color w:val="auto"/>
                <w:sz w:val="24"/>
                <w:highlight w:val="none"/>
                <w:u w:val="none"/>
                <w:lang w:val="en-US" w:eastAsia="zh-CN"/>
              </w:rPr>
              <w:t>2024年11月2024年11月广西近岸海域自动监测水质状况</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根据自动监测结果，11月广西近岸海域17个自动监测站中，水质优良（第一、二类水质）站位共14个，同比持平；第四类水质站位共3个，同比持平；无第三类和劣四类水质站位，同比持平；水质优良天数比例为78.63%，同比下降0.04个百分点。</w:t>
            </w:r>
          </w:p>
          <w:p w14:paraId="0756B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与上年同期相比，防城港市GX03站位（防城港西湾海域）水质由第二类上升为第一类，GX04站位（防城港东湾海域）水质由第四类上升为第二类；钦州市GX07站位（龙门海域）水质由第一类下降为第四类；北海市GX12站位（廉州湾冠头岭海域）水质由第一类下降为第二类，GX15站位（铁山港混合排污区海域）水质由第一类下降为第二类。</w:t>
            </w:r>
          </w:p>
          <w:p w14:paraId="1042C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highlight w:val="none"/>
                <w:u w:val="none"/>
                <w:lang w:val="en-US" w:eastAsia="zh-CN"/>
              </w:rPr>
              <w:t>与上月相比，防城港市GX04站位（防城港东湾海域）水质由第四类上升为第二类；钦州市GX06站位（茅尾海中部海域）水质由第三类下降为第四类。</w:t>
            </w:r>
          </w:p>
          <w:p w14:paraId="10C32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3、声环境质量状况</w:t>
            </w:r>
          </w:p>
          <w:p w14:paraId="394B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bookmarkStart w:id="8" w:name="_Toc327216118"/>
            <w:bookmarkStart w:id="9" w:name="_Toc372294727"/>
            <w:r>
              <w:rPr>
                <w:rFonts w:hint="default" w:ascii="Times New Roman" w:hAnsi="Times New Roman" w:cs="Times New Roman"/>
                <w:color w:val="auto"/>
                <w:kern w:val="0"/>
                <w:sz w:val="24"/>
                <w:szCs w:val="24"/>
                <w:highlight w:val="none"/>
                <w:u w:val="none"/>
                <w:lang w:val="en-US" w:eastAsia="zh-CN" w:bidi="ar"/>
              </w:rPr>
              <w:t>本</w:t>
            </w:r>
            <w:r>
              <w:rPr>
                <w:rFonts w:hint="default" w:ascii="Times New Roman" w:hAnsi="Times New Roman" w:eastAsia="宋体" w:cs="Times New Roman"/>
                <w:color w:val="auto"/>
                <w:kern w:val="0"/>
                <w:sz w:val="24"/>
                <w:szCs w:val="24"/>
                <w:highlight w:val="none"/>
                <w:u w:val="none"/>
                <w:lang w:val="en-US" w:eastAsia="zh-CN" w:bidi="ar"/>
              </w:rPr>
              <w:t>项目位于</w:t>
            </w:r>
            <w:r>
              <w:rPr>
                <w:rFonts w:hint="default" w:ascii="Times New Roman" w:hAnsi="Times New Roman" w:cs="Times New Roman"/>
                <w:color w:val="auto"/>
                <w:kern w:val="0"/>
                <w:sz w:val="24"/>
                <w:szCs w:val="24"/>
                <w:highlight w:val="none"/>
                <w:u w:val="none"/>
                <w:lang w:val="en-US" w:eastAsia="zh-CN" w:bidi="ar"/>
              </w:rPr>
              <w:t>钦州港大榄坪南作业区后方陆域</w:t>
            </w:r>
            <w:r>
              <w:rPr>
                <w:rFonts w:hint="default" w:ascii="Times New Roman" w:hAnsi="Times New Roman" w:cs="Times New Roman"/>
                <w:bCs/>
                <w:color w:val="auto"/>
                <w:sz w:val="24"/>
                <w:highlight w:val="none"/>
                <w:u w:val="none"/>
                <w:lang w:eastAsia="zh-CN"/>
              </w:rPr>
              <w:t>，</w:t>
            </w:r>
            <w:r>
              <w:rPr>
                <w:rFonts w:hint="default" w:ascii="Times New Roman" w:hAnsi="Times New Roman" w:cs="Times New Roman"/>
                <w:color w:val="auto"/>
                <w:sz w:val="24"/>
                <w:szCs w:val="32"/>
                <w:highlight w:val="none"/>
                <w:u w:val="none"/>
              </w:rPr>
              <w:t>属于</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类</w:t>
            </w:r>
            <w:r>
              <w:rPr>
                <w:rFonts w:hint="default" w:ascii="Times New Roman" w:hAnsi="Times New Roman" w:cs="Times New Roman"/>
                <w:color w:val="auto"/>
                <w:sz w:val="24"/>
                <w:szCs w:val="32"/>
                <w:highlight w:val="none"/>
                <w:u w:val="none"/>
                <w:lang w:eastAsia="zh-CN"/>
              </w:rPr>
              <w:t>声</w:t>
            </w:r>
            <w:r>
              <w:rPr>
                <w:rFonts w:hint="default" w:ascii="Times New Roman" w:hAnsi="Times New Roman" w:cs="Times New Roman"/>
                <w:color w:val="auto"/>
                <w:sz w:val="24"/>
                <w:szCs w:val="32"/>
                <w:highlight w:val="none"/>
                <w:u w:val="none"/>
              </w:rPr>
              <w:t>环境功能区，执行《声环境质量标准》（GB3096-2008）</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类标准</w:t>
            </w:r>
            <w:r>
              <w:rPr>
                <w:rFonts w:hint="default" w:ascii="Times New Roman" w:hAnsi="Times New Roman" w:cs="Times New Roman"/>
                <w:color w:val="auto"/>
                <w:sz w:val="24"/>
                <w:szCs w:val="32"/>
                <w:highlight w:val="none"/>
                <w:u w:val="none"/>
                <w:lang w:eastAsia="zh-CN"/>
              </w:rPr>
              <w:t>。</w:t>
            </w:r>
            <w:r>
              <w:rPr>
                <w:rFonts w:hint="default" w:ascii="Times New Roman" w:hAnsi="Times New Roman" w:cs="Times New Roman"/>
                <w:color w:val="auto"/>
                <w:kern w:val="0"/>
                <w:sz w:val="24"/>
                <w:highlight w:val="none"/>
                <w:lang w:eastAsia="zh-CN"/>
              </w:rPr>
              <w:t>根据《建设项目环境影响报告表编制技术指南》（污染影响类），项目厂界外周边</w:t>
            </w:r>
            <w:r>
              <w:rPr>
                <w:rFonts w:hint="default" w:ascii="Times New Roman" w:hAnsi="Times New Roman" w:cs="Times New Roman"/>
                <w:color w:val="auto"/>
                <w:kern w:val="0"/>
                <w:sz w:val="24"/>
                <w:highlight w:val="none"/>
                <w:lang w:val="en-US" w:eastAsia="zh-CN"/>
              </w:rPr>
              <w:t>50m范围内现状无声环境保护目标，故本项目不开展声环境现状监测。</w:t>
            </w:r>
          </w:p>
          <w:p w14:paraId="6A4CD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土壤环境质量现状</w:t>
            </w:r>
          </w:p>
          <w:p w14:paraId="25C6FBC6">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本项目为</w:t>
            </w:r>
            <w:r>
              <w:rPr>
                <w:rFonts w:hint="eastAsia" w:ascii="Times New Roman" w:hAnsi="Times New Roman" w:cs="Times New Roman"/>
                <w:color w:val="auto"/>
                <w:kern w:val="0"/>
                <w:sz w:val="24"/>
                <w:szCs w:val="24"/>
                <w:highlight w:val="none"/>
                <w:lang w:val="en-US" w:eastAsia="zh-CN"/>
              </w:rPr>
              <w:t>集装箱修理</w:t>
            </w:r>
            <w:r>
              <w:rPr>
                <w:rFonts w:hint="default" w:ascii="Times New Roman" w:hAnsi="Times New Roman" w:eastAsia="宋体" w:cs="Times New Roman"/>
                <w:color w:val="auto"/>
                <w:kern w:val="0"/>
                <w:sz w:val="24"/>
                <w:szCs w:val="24"/>
                <w:highlight w:val="none"/>
                <w:lang w:eastAsia="zh-CN"/>
              </w:rPr>
              <w:t>项目，</w:t>
            </w:r>
            <w:r>
              <w:rPr>
                <w:rFonts w:hint="eastAsia" w:ascii="宋体" w:hAnsi="宋体"/>
                <w:color w:val="auto"/>
                <w:sz w:val="24"/>
                <w:highlight w:val="none"/>
                <w:u w:val="none"/>
                <w:lang w:val="en-US" w:eastAsia="zh-CN"/>
              </w:rPr>
              <w:t>根据《建设项目环境影响报告表(制技术指南((染影响类)(试行)》:“原则上不开展环境质量现状调查。建设项目存在土壤、地下水环境污染途径的，应结合污染源、保护目标分布情况开展现状调查以留作背景值。”项目用地范围内地面进行硬化，且对危险废物贮存库等污染源采取重点防渗措施，因此不存在土壤、地下水污染途径，可不进行土壤、地下水环境质量现状监测。</w:t>
            </w:r>
          </w:p>
          <w:p w14:paraId="7BB459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、生态环境现状</w:t>
            </w:r>
          </w:p>
          <w:bookmarkEnd w:id="8"/>
          <w:bookmarkEnd w:id="9"/>
          <w:p w14:paraId="0AE968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sz w:val="24"/>
                <w:szCs w:val="24"/>
                <w:highlight w:val="none"/>
              </w:rPr>
              <w:t>项目评价区域内用地类型以码头、港口为主，区域受人类多年活动影响。根据对项目及周边</w:t>
            </w:r>
            <w:r>
              <w:rPr>
                <w:rFonts w:hint="default" w:ascii="Times New Roman" w:hAnsi="Times New Roman" w:cs="Times New Roman"/>
                <w:color w:val="auto"/>
                <w:sz w:val="24"/>
                <w:szCs w:val="24"/>
                <w:highlight w:val="none"/>
                <w:lang w:eastAsia="zh-CN"/>
              </w:rPr>
              <w:t>环境</w:t>
            </w:r>
            <w:r>
              <w:rPr>
                <w:rFonts w:hint="default" w:ascii="Times New Roman" w:hAnsi="Times New Roman" w:eastAsia="宋体" w:cs="Times New Roman"/>
                <w:color w:val="auto"/>
                <w:sz w:val="24"/>
                <w:szCs w:val="24"/>
                <w:highlight w:val="none"/>
              </w:rPr>
              <w:t>现状的调查，项目及其周边没有国家和地方重点保护的植物种类和珍稀物种，也未发现国家和地方重点保护的野生动物及珍稀野生动物。项目所在地无划定自然生态保护区和风景名胜区，不属于生态环境敏感区。</w:t>
            </w:r>
          </w:p>
        </w:tc>
      </w:tr>
      <w:tr w14:paraId="04401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456" w:type="dxa"/>
            <w:noWrap w:val="0"/>
            <w:vAlign w:val="center"/>
          </w:tcPr>
          <w:p w14:paraId="15F28D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02562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14:paraId="435AAB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目标</w:t>
            </w:r>
          </w:p>
        </w:tc>
        <w:tc>
          <w:tcPr>
            <w:tcW w:w="8604" w:type="dxa"/>
            <w:noWrap w:val="0"/>
            <w:vAlign w:val="center"/>
          </w:tcPr>
          <w:p w14:paraId="05591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本项目位于</w:t>
            </w:r>
            <w:r>
              <w:rPr>
                <w:rFonts w:hint="default" w:ascii="Times New Roman" w:hAnsi="Times New Roman" w:cs="Times New Roman"/>
                <w:color w:val="auto"/>
                <w:kern w:val="0"/>
                <w:sz w:val="24"/>
                <w:szCs w:val="24"/>
                <w:highlight w:val="none"/>
                <w:lang w:eastAsia="zh-CN"/>
              </w:rPr>
              <w:t>钦州港大榄坪南作业区后方陆域，根据《建设项目环境影响报告表编制技术指南》（污染影响类），项目50m范围内无声环境保护目标，厂界外500m范围内无地下水、集中式饮用水水源和热水、矿泉水、温泉等特殊地下水资源，厂界外500m范围内无自然保护区、风景名胜区、文化区和农村地区中人群较集中的区域，厂界外500米范围内无环境空气保护目标。</w:t>
            </w:r>
          </w:p>
        </w:tc>
      </w:tr>
      <w:tr w14:paraId="17804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56" w:type="dxa"/>
            <w:noWrap w:val="0"/>
            <w:tcMar>
              <w:left w:w="28" w:type="dxa"/>
              <w:right w:w="28" w:type="dxa"/>
            </w:tcMar>
            <w:vAlign w:val="center"/>
          </w:tcPr>
          <w:p w14:paraId="24C0A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5276C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5E789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133040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582E6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准</w:t>
            </w:r>
          </w:p>
        </w:tc>
        <w:tc>
          <w:tcPr>
            <w:tcW w:w="8604" w:type="dxa"/>
            <w:noWrap w:val="0"/>
            <w:vAlign w:val="center"/>
          </w:tcPr>
          <w:p w14:paraId="3196477C">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208"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大气污染物排放标准</w:t>
            </w:r>
          </w:p>
          <w:p w14:paraId="503C3B89">
            <w:pPr>
              <w:keepNext w:val="0"/>
              <w:keepLines w:val="0"/>
              <w:pageBreakBefore w:val="0"/>
              <w:widowControl w:val="0"/>
              <w:suppressLineNumbers w:val="0"/>
              <w:tabs>
                <w:tab w:val="left" w:pos="0"/>
              </w:tabs>
              <w:kinsoku/>
              <w:wordWrap/>
              <w:overflowPunct/>
              <w:topLinePunct/>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项目施工期（扬尘、汽车尾气）废气执行《大气污染物综合排放标准》（GB16297-1996）表2中无组织排放监控浓度限值</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szCs w:val="24"/>
                <w:highlight w:val="none"/>
                <w:u w:val="none"/>
              </w:rPr>
              <w:t>见下表</w:t>
            </w:r>
            <w:r>
              <w:rPr>
                <w:rFonts w:hint="default" w:ascii="Times New Roman" w:hAnsi="Times New Roman" w:cs="Times New Roman"/>
                <w:color w:val="auto"/>
                <w:sz w:val="24"/>
                <w:szCs w:val="24"/>
                <w:highlight w:val="none"/>
                <w:u w:val="none"/>
                <w:lang w:val="en-US" w:eastAsia="zh-CN"/>
              </w:rPr>
              <w:t>。</w:t>
            </w:r>
          </w:p>
          <w:p w14:paraId="2BBE8729">
            <w:pPr>
              <w:pStyle w:val="41"/>
              <w:keepNext w:val="0"/>
              <w:keepLines w:val="0"/>
              <w:suppressLineNumbers w:val="0"/>
              <w:adjustRightInd w:val="0"/>
              <w:snapToGrid w:val="0"/>
              <w:spacing w:before="0" w:beforeAutospacing="0" w:after="0" w:afterAutospacing="0"/>
              <w:ind w:left="0" w:right="0" w:firstLine="236" w:firstLineChars="98"/>
              <w:jc w:val="center"/>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rPr>
              <w:t>表</w:t>
            </w:r>
            <w:r>
              <w:rPr>
                <w:rFonts w:hint="default" w:ascii="Times New Roman" w:hAnsi="Times New Roman" w:cs="Times New Roman"/>
                <w:b/>
                <w:color w:val="auto"/>
                <w:sz w:val="24"/>
                <w:szCs w:val="24"/>
                <w:highlight w:val="none"/>
                <w:u w:val="none"/>
                <w:lang w:val="en-US" w:eastAsia="zh-CN"/>
              </w:rPr>
              <w:t>3-</w:t>
            </w:r>
            <w:r>
              <w:rPr>
                <w:rFonts w:hint="eastAsia" w:ascii="Times New Roman" w:hAnsi="Times New Roman" w:cs="Times New Roman"/>
                <w:b/>
                <w:color w:val="auto"/>
                <w:sz w:val="24"/>
                <w:szCs w:val="24"/>
                <w:highlight w:val="none"/>
                <w:u w:val="none"/>
                <w:lang w:val="en-US" w:eastAsia="zh-CN"/>
              </w:rPr>
              <w:t>4</w:t>
            </w:r>
            <w:r>
              <w:rPr>
                <w:rFonts w:hint="default" w:ascii="Times New Roman" w:hAnsi="Times New Roman" w:cs="Times New Roman"/>
                <w:b/>
                <w:color w:val="auto"/>
                <w:sz w:val="24"/>
                <w:szCs w:val="24"/>
                <w:highlight w:val="none"/>
                <w:u w:val="none"/>
              </w:rPr>
              <w:t>大气污染物综合排放标准（摘录）</w:t>
            </w:r>
          </w:p>
          <w:tbl>
            <w:tblPr>
              <w:tblStyle w:val="46"/>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3360"/>
              <w:gridCol w:w="2828"/>
            </w:tblGrid>
            <w:tr w14:paraId="2A49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50" w:type="pct"/>
                  <w:tcBorders>
                    <w:tl2br w:val="nil"/>
                    <w:tr2bl w:val="nil"/>
                  </w:tcBorders>
                  <w:noWrap w:val="0"/>
                  <w:vAlign w:val="center"/>
                </w:tcPr>
                <w:p w14:paraId="703D8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w:t>
                  </w:r>
                </w:p>
              </w:tc>
              <w:tc>
                <w:tcPr>
                  <w:tcW w:w="1981" w:type="pct"/>
                  <w:tcBorders>
                    <w:tl2br w:val="nil"/>
                    <w:tr2bl w:val="nil"/>
                  </w:tcBorders>
                  <w:noWrap w:val="0"/>
                  <w:vAlign w:val="center"/>
                </w:tcPr>
                <w:p w14:paraId="44E8D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无组织排放监控点浓度限值</w:t>
                  </w:r>
                </w:p>
              </w:tc>
              <w:tc>
                <w:tcPr>
                  <w:tcW w:w="1667" w:type="pct"/>
                  <w:tcBorders>
                    <w:tl2br w:val="nil"/>
                    <w:tr2bl w:val="nil"/>
                  </w:tcBorders>
                  <w:noWrap w:val="0"/>
                  <w:vAlign w:val="center"/>
                </w:tcPr>
                <w:p w14:paraId="2085E3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标准</w:t>
                  </w:r>
                </w:p>
              </w:tc>
            </w:tr>
            <w:tr w14:paraId="5DDF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50" w:type="pct"/>
                  <w:tcBorders>
                    <w:tl2br w:val="nil"/>
                    <w:tr2bl w:val="nil"/>
                  </w:tcBorders>
                  <w:noWrap w:val="0"/>
                  <w:vAlign w:val="center"/>
                </w:tcPr>
                <w:p w14:paraId="5238A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颗粒物</w:t>
                  </w:r>
                </w:p>
              </w:tc>
              <w:tc>
                <w:tcPr>
                  <w:tcW w:w="1981" w:type="pct"/>
                  <w:tcBorders>
                    <w:tl2br w:val="nil"/>
                    <w:tr2bl w:val="nil"/>
                  </w:tcBorders>
                  <w:noWrap w:val="0"/>
                  <w:vAlign w:val="center"/>
                </w:tcPr>
                <w:p w14:paraId="508637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593DB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r>
            <w:tr w14:paraId="116F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50" w:type="pct"/>
                  <w:tcBorders>
                    <w:tl2br w:val="nil"/>
                    <w:tr2bl w:val="nil"/>
                  </w:tcBorders>
                  <w:noWrap w:val="0"/>
                  <w:vAlign w:val="center"/>
                </w:tcPr>
                <w:p w14:paraId="77AAB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rPr>
                    <w:t>SO</w:t>
                  </w:r>
                  <w:r>
                    <w:rPr>
                      <w:rFonts w:hint="default" w:ascii="Times New Roman" w:hAnsi="Times New Roman" w:cs="Times New Roman"/>
                      <w:color w:val="auto"/>
                      <w:kern w:val="0"/>
                      <w:sz w:val="21"/>
                      <w:szCs w:val="21"/>
                      <w:highlight w:val="none"/>
                      <w:u w:val="none"/>
                      <w:vertAlign w:val="subscript"/>
                    </w:rPr>
                    <w:t>2</w:t>
                  </w:r>
                </w:p>
              </w:tc>
              <w:tc>
                <w:tcPr>
                  <w:tcW w:w="1981" w:type="pct"/>
                  <w:tcBorders>
                    <w:tl2br w:val="nil"/>
                    <w:tr2bl w:val="nil"/>
                  </w:tcBorders>
                  <w:noWrap w:val="0"/>
                  <w:vAlign w:val="center"/>
                </w:tcPr>
                <w:p w14:paraId="3686C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571AE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0.40</w:t>
                  </w:r>
                </w:p>
              </w:tc>
            </w:tr>
            <w:tr w14:paraId="4EFA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50" w:type="pct"/>
                  <w:tcBorders>
                    <w:tl2br w:val="nil"/>
                    <w:tr2bl w:val="nil"/>
                  </w:tcBorders>
                  <w:noWrap w:val="0"/>
                  <w:vAlign w:val="center"/>
                </w:tcPr>
                <w:p w14:paraId="4A9A6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rPr>
                    <w:t>NO</w:t>
                  </w:r>
                  <w:r>
                    <w:rPr>
                      <w:rFonts w:hint="default" w:ascii="Times New Roman" w:hAnsi="Times New Roman" w:cs="Times New Roman"/>
                      <w:color w:val="auto"/>
                      <w:kern w:val="0"/>
                      <w:sz w:val="21"/>
                      <w:szCs w:val="21"/>
                      <w:highlight w:val="none"/>
                      <w:u w:val="none"/>
                      <w:vertAlign w:val="subscript"/>
                    </w:rPr>
                    <w:t>x</w:t>
                  </w:r>
                </w:p>
              </w:tc>
              <w:tc>
                <w:tcPr>
                  <w:tcW w:w="1981" w:type="pct"/>
                  <w:tcBorders>
                    <w:tl2br w:val="nil"/>
                    <w:tr2bl w:val="nil"/>
                  </w:tcBorders>
                  <w:noWrap w:val="0"/>
                  <w:vAlign w:val="center"/>
                </w:tcPr>
                <w:p w14:paraId="4DB743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667" w:type="pct"/>
                  <w:tcBorders>
                    <w:tl2br w:val="nil"/>
                    <w:tr2bl w:val="nil"/>
                  </w:tcBorders>
                  <w:noWrap w:val="0"/>
                  <w:vAlign w:val="center"/>
                </w:tcPr>
                <w:p w14:paraId="6C973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0.12</w:t>
                  </w:r>
                </w:p>
              </w:tc>
            </w:tr>
          </w:tbl>
          <w:p w14:paraId="41D3F37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32"/>
                <w:highlight w:val="none"/>
                <w:u w:val="none"/>
              </w:rPr>
            </w:pPr>
            <w:r>
              <w:rPr>
                <w:rFonts w:hint="default" w:ascii="Times New Roman" w:hAnsi="Times New Roman" w:cs="Times New Roman"/>
                <w:bCs/>
                <w:color w:val="auto"/>
                <w:sz w:val="24"/>
                <w:highlight w:val="none"/>
                <w:u w:val="none"/>
                <w:lang w:bidi="zh-CN"/>
              </w:rPr>
              <w:t>项目生产过程产生的颗粒物、VOCs（以非甲烷总烃</w:t>
            </w:r>
            <w:r>
              <w:rPr>
                <w:rFonts w:hint="default" w:ascii="Times New Roman" w:hAnsi="Times New Roman" w:cs="Times New Roman"/>
                <w:bCs/>
                <w:color w:val="auto"/>
                <w:sz w:val="24"/>
                <w:highlight w:val="none"/>
                <w:lang w:bidi="zh-CN"/>
              </w:rPr>
              <w:t>计）</w:t>
            </w:r>
            <w:r>
              <w:rPr>
                <w:rFonts w:hint="eastAsia" w:cs="Times New Roman"/>
                <w:bCs/>
                <w:color w:val="auto"/>
                <w:sz w:val="24"/>
                <w:highlight w:val="none"/>
                <w:lang w:bidi="zh-CN"/>
              </w:rPr>
              <w:t>、</w:t>
            </w:r>
            <w:r>
              <w:rPr>
                <w:rFonts w:hint="eastAsia" w:cs="Times New Roman"/>
                <w:bCs/>
                <w:color w:val="auto"/>
                <w:sz w:val="24"/>
                <w:highlight w:val="none"/>
                <w:lang w:val="en-US" w:bidi="zh-CN"/>
              </w:rPr>
              <w:t>甲苯、二甲苯</w:t>
            </w:r>
            <w:r>
              <w:rPr>
                <w:rFonts w:hint="default" w:ascii="Times New Roman" w:hAnsi="Times New Roman" w:cs="Times New Roman"/>
                <w:bCs/>
                <w:color w:val="auto"/>
                <w:sz w:val="24"/>
                <w:highlight w:val="none"/>
                <w:lang w:bidi="zh-CN"/>
              </w:rPr>
              <w:t>排放执行《大气污染物综合排放标准》（GB16297—1996）中表2排放限值要求，由于项目周边200m内建筑物高度最高约为</w:t>
            </w:r>
            <w:r>
              <w:rPr>
                <w:rFonts w:hint="eastAsia" w:cs="Times New Roman"/>
                <w:bCs/>
                <w:color w:val="auto"/>
                <w:sz w:val="24"/>
                <w:highlight w:val="none"/>
                <w:lang w:val="en-US" w:bidi="zh-CN"/>
              </w:rPr>
              <w:t>10</w:t>
            </w:r>
            <w:r>
              <w:rPr>
                <w:rFonts w:hint="default" w:ascii="Times New Roman" w:hAnsi="Times New Roman" w:cs="Times New Roman"/>
                <w:bCs/>
                <w:color w:val="auto"/>
                <w:sz w:val="24"/>
                <w:highlight w:val="none"/>
                <w:lang w:bidi="zh-CN"/>
              </w:rPr>
              <w:t>m</w:t>
            </w:r>
            <w:r>
              <w:rPr>
                <w:rFonts w:hint="eastAsia" w:cs="Times New Roman"/>
                <w:bCs/>
                <w:color w:val="auto"/>
                <w:sz w:val="24"/>
                <w:highlight w:val="none"/>
                <w:lang w:bidi="zh-CN"/>
              </w:rPr>
              <w:t>的</w:t>
            </w:r>
            <w:r>
              <w:rPr>
                <w:rFonts w:hint="eastAsia" w:cs="Times New Roman"/>
                <w:bCs/>
                <w:color w:val="auto"/>
                <w:sz w:val="24"/>
                <w:highlight w:val="none"/>
                <w:lang w:val="en-US" w:bidi="zh-CN"/>
              </w:rPr>
              <w:t>厂房</w:t>
            </w:r>
            <w:r>
              <w:rPr>
                <w:rFonts w:hint="default" w:ascii="Times New Roman" w:hAnsi="Times New Roman" w:cs="Times New Roman"/>
                <w:bCs/>
                <w:color w:val="auto"/>
                <w:sz w:val="24"/>
                <w:highlight w:val="none"/>
                <w:lang w:bidi="zh-CN"/>
              </w:rPr>
              <w:t>，项目</w:t>
            </w:r>
            <w:r>
              <w:rPr>
                <w:rFonts w:hint="eastAsia" w:cs="Times New Roman"/>
                <w:bCs/>
                <w:color w:val="auto"/>
                <w:sz w:val="24"/>
                <w:highlight w:val="none"/>
                <w:lang w:val="en-US" w:bidi="zh-CN"/>
              </w:rPr>
              <w:t>排气筒高度15米，</w:t>
            </w:r>
            <w:r>
              <w:rPr>
                <w:rFonts w:hint="default" w:ascii="Times New Roman" w:hAnsi="Times New Roman" w:cs="Times New Roman"/>
                <w:bCs/>
                <w:color w:val="auto"/>
                <w:sz w:val="24"/>
                <w:highlight w:val="none"/>
                <w:lang w:bidi="zh-CN"/>
              </w:rPr>
              <w:t>满足高于周围200m建筑5m以上要求。</w:t>
            </w:r>
            <w:r>
              <w:rPr>
                <w:rFonts w:hint="default" w:ascii="Times New Roman" w:hAnsi="Times New Roman" w:cs="Times New Roman"/>
                <w:color w:val="auto"/>
                <w:sz w:val="24"/>
                <w:szCs w:val="32"/>
                <w:highlight w:val="none"/>
                <w:u w:val="none"/>
              </w:rPr>
              <w:t>具体标准见表</w:t>
            </w:r>
            <w:r>
              <w:rPr>
                <w:rFonts w:hint="default" w:ascii="Times New Roman" w:hAnsi="Times New Roman" w:cs="Times New Roman"/>
                <w:color w:val="auto"/>
                <w:sz w:val="24"/>
                <w:szCs w:val="32"/>
                <w:highlight w:val="none"/>
                <w:u w:val="none"/>
                <w:lang w:val="en-US" w:eastAsia="zh-CN"/>
              </w:rPr>
              <w:t>3</w:t>
            </w:r>
            <w:r>
              <w:rPr>
                <w:rFonts w:hint="default" w:ascii="Times New Roman" w:hAnsi="Times New Roman" w:cs="Times New Roman"/>
                <w:color w:val="auto"/>
                <w:sz w:val="24"/>
                <w:szCs w:val="32"/>
                <w:highlight w:val="none"/>
                <w:u w:val="none"/>
              </w:rPr>
              <w:t>-</w:t>
            </w:r>
            <w:r>
              <w:rPr>
                <w:rFonts w:hint="eastAsia" w:cs="Times New Roman"/>
                <w:color w:val="auto"/>
                <w:sz w:val="24"/>
                <w:szCs w:val="32"/>
                <w:highlight w:val="none"/>
                <w:u w:val="none"/>
                <w:lang w:val="en-US" w:eastAsia="zh-CN"/>
              </w:rPr>
              <w:t>5</w:t>
            </w:r>
            <w:r>
              <w:rPr>
                <w:rFonts w:hint="default" w:ascii="Times New Roman" w:hAnsi="Times New Roman" w:cs="Times New Roman"/>
                <w:color w:val="auto"/>
                <w:sz w:val="24"/>
                <w:szCs w:val="32"/>
                <w:highlight w:val="none"/>
                <w:u w:val="none"/>
              </w:rPr>
              <w:t>。</w:t>
            </w:r>
          </w:p>
          <w:p w14:paraId="0EEA7C48">
            <w:pPr>
              <w:keepNext w:val="0"/>
              <w:keepLines w:val="0"/>
              <w:suppressLineNumbers w:val="0"/>
              <w:spacing w:before="0" w:beforeAutospacing="0" w:after="0" w:afterAutospacing="0" w:line="440" w:lineRule="exact"/>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表3-</w:t>
            </w: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rPr>
              <w:t>大气污染物综合排放标准（GB16297—1996）</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7"/>
              <w:gridCol w:w="1647"/>
              <w:gridCol w:w="1077"/>
              <w:gridCol w:w="1133"/>
              <w:gridCol w:w="1255"/>
              <w:gridCol w:w="1629"/>
            </w:tblGrid>
            <w:tr w14:paraId="2796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vMerge w:val="restart"/>
                  <w:noWrap w:val="0"/>
                  <w:vAlign w:val="center"/>
                </w:tcPr>
                <w:p w14:paraId="4C8D99B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污染物名称</w:t>
                  </w:r>
                </w:p>
              </w:tc>
              <w:tc>
                <w:tcPr>
                  <w:tcW w:w="982" w:type="pct"/>
                  <w:vMerge w:val="restart"/>
                  <w:noWrap w:val="0"/>
                  <w:vAlign w:val="center"/>
                </w:tcPr>
                <w:p w14:paraId="5B24406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最高允许排放浓度（mg/Nm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1318" w:type="pct"/>
                  <w:gridSpan w:val="2"/>
                  <w:noWrap w:val="0"/>
                  <w:vAlign w:val="center"/>
                </w:tcPr>
                <w:p w14:paraId="6CB58147">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最高允许排放率（kg/h）</w:t>
                  </w:r>
                </w:p>
              </w:tc>
              <w:tc>
                <w:tcPr>
                  <w:tcW w:w="1721" w:type="pct"/>
                  <w:gridSpan w:val="2"/>
                  <w:noWrap w:val="0"/>
                  <w:vAlign w:val="center"/>
                </w:tcPr>
                <w:p w14:paraId="1234E91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无组织排放监控浓度值</w:t>
                  </w:r>
                </w:p>
              </w:tc>
            </w:tr>
            <w:tr w14:paraId="7213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vMerge w:val="continue"/>
                  <w:noWrap w:val="0"/>
                  <w:vAlign w:val="center"/>
                </w:tcPr>
                <w:p w14:paraId="7972C56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82" w:type="pct"/>
                  <w:vMerge w:val="continue"/>
                  <w:noWrap w:val="0"/>
                  <w:vAlign w:val="center"/>
                </w:tcPr>
                <w:p w14:paraId="02AF7C96">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642" w:type="pct"/>
                  <w:noWrap w:val="0"/>
                  <w:vAlign w:val="center"/>
                </w:tcPr>
                <w:p w14:paraId="12E5AC1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排气筒（m</w:t>
                  </w:r>
                  <w:r>
                    <w:rPr>
                      <w:rFonts w:hint="eastAsia" w:cs="Times New Roman"/>
                      <w:color w:val="auto"/>
                      <w:szCs w:val="21"/>
                      <w:highlight w:val="none"/>
                      <w:lang w:eastAsia="zh-CN"/>
                    </w:rPr>
                    <w:t>）</w:t>
                  </w:r>
                </w:p>
              </w:tc>
              <w:tc>
                <w:tcPr>
                  <w:tcW w:w="676" w:type="pct"/>
                  <w:noWrap w:val="0"/>
                  <w:vAlign w:val="center"/>
                </w:tcPr>
                <w:p w14:paraId="4476F27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二级标准</w:t>
                  </w:r>
                </w:p>
              </w:tc>
              <w:tc>
                <w:tcPr>
                  <w:tcW w:w="748" w:type="pct"/>
                  <w:noWrap w:val="0"/>
                  <w:vAlign w:val="center"/>
                </w:tcPr>
                <w:p w14:paraId="6089F22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监控点</w:t>
                  </w:r>
                </w:p>
              </w:tc>
              <w:tc>
                <w:tcPr>
                  <w:tcW w:w="972" w:type="pct"/>
                  <w:noWrap w:val="0"/>
                  <w:vAlign w:val="center"/>
                </w:tcPr>
                <w:p w14:paraId="2941B56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浓度（mg/m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r>
            <w:tr w14:paraId="40E8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104D9A1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982" w:type="pct"/>
                  <w:noWrap w:val="0"/>
                  <w:vAlign w:val="center"/>
                </w:tcPr>
                <w:p w14:paraId="64114B2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c>
                <w:tcPr>
                  <w:tcW w:w="642" w:type="pct"/>
                  <w:noWrap w:val="0"/>
                  <w:vAlign w:val="center"/>
                </w:tcPr>
                <w:p w14:paraId="512730A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676" w:type="pct"/>
                  <w:noWrap w:val="0"/>
                  <w:vAlign w:val="center"/>
                </w:tcPr>
                <w:p w14:paraId="3FDAAC9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748" w:type="pct"/>
                  <w:vMerge w:val="restart"/>
                  <w:noWrap w:val="0"/>
                  <w:vAlign w:val="center"/>
                </w:tcPr>
                <w:p w14:paraId="0A20403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周界外浓</w:t>
                  </w:r>
                </w:p>
                <w:p w14:paraId="277AA3A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度最高点</w:t>
                  </w:r>
                </w:p>
              </w:tc>
              <w:tc>
                <w:tcPr>
                  <w:tcW w:w="972" w:type="pct"/>
                  <w:noWrap w:val="0"/>
                  <w:vAlign w:val="center"/>
                </w:tcPr>
                <w:p w14:paraId="65353AA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14:paraId="6745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22C15DC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982" w:type="pct"/>
                  <w:noWrap w:val="0"/>
                  <w:vAlign w:val="center"/>
                </w:tcPr>
                <w:p w14:paraId="45588F34">
                  <w:pPr>
                    <w:keepNext w:val="0"/>
                    <w:keepLines w:val="0"/>
                    <w:suppressLineNumbers w:val="0"/>
                    <w:tabs>
                      <w:tab w:val="left" w:pos="2626"/>
                    </w:tabs>
                    <w:spacing w:before="0" w:beforeAutospacing="0" w:after="0" w:afterAutospacing="0" w:line="320" w:lineRule="exact"/>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120</w:t>
                  </w:r>
                </w:p>
              </w:tc>
              <w:tc>
                <w:tcPr>
                  <w:tcW w:w="642" w:type="pct"/>
                  <w:noWrap w:val="0"/>
                  <w:vAlign w:val="center"/>
                </w:tcPr>
                <w:p w14:paraId="6559DDD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676" w:type="pct"/>
                  <w:noWrap w:val="0"/>
                  <w:vAlign w:val="center"/>
                </w:tcPr>
                <w:p w14:paraId="395234C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748" w:type="pct"/>
                  <w:vMerge w:val="continue"/>
                  <w:noWrap w:val="0"/>
                  <w:vAlign w:val="center"/>
                </w:tcPr>
                <w:p w14:paraId="1904DE3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4E7BB64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19FB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601C821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二甲苯</w:t>
                  </w:r>
                </w:p>
              </w:tc>
              <w:tc>
                <w:tcPr>
                  <w:tcW w:w="982" w:type="pct"/>
                  <w:noWrap w:val="0"/>
                  <w:vAlign w:val="center"/>
                </w:tcPr>
                <w:p w14:paraId="1DD83E7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w:t>
                  </w:r>
                </w:p>
              </w:tc>
              <w:tc>
                <w:tcPr>
                  <w:tcW w:w="642" w:type="pct"/>
                  <w:noWrap w:val="0"/>
                  <w:vAlign w:val="center"/>
                </w:tcPr>
                <w:p w14:paraId="10C38B4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w:t>
                  </w:r>
                </w:p>
              </w:tc>
              <w:tc>
                <w:tcPr>
                  <w:tcW w:w="676" w:type="pct"/>
                  <w:noWrap w:val="0"/>
                  <w:vAlign w:val="center"/>
                </w:tcPr>
                <w:p w14:paraId="341854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748" w:type="pct"/>
                  <w:vMerge w:val="continue"/>
                  <w:noWrap w:val="0"/>
                  <w:vAlign w:val="center"/>
                </w:tcPr>
                <w:p w14:paraId="5A264E0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08871C1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r>
            <w:tr w14:paraId="5C4E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76" w:type="pct"/>
                  <w:noWrap w:val="0"/>
                  <w:vAlign w:val="center"/>
                </w:tcPr>
                <w:p w14:paraId="4366B10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甲苯</w:t>
                  </w:r>
                </w:p>
              </w:tc>
              <w:tc>
                <w:tcPr>
                  <w:tcW w:w="982" w:type="pct"/>
                  <w:noWrap w:val="0"/>
                  <w:vAlign w:val="center"/>
                </w:tcPr>
                <w:p w14:paraId="1D7D6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40</w:t>
                  </w:r>
                </w:p>
              </w:tc>
              <w:tc>
                <w:tcPr>
                  <w:tcW w:w="642" w:type="pct"/>
                  <w:noWrap w:val="0"/>
                  <w:vAlign w:val="center"/>
                </w:tcPr>
                <w:p w14:paraId="449C2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676" w:type="pct"/>
                  <w:noWrap w:val="0"/>
                  <w:vAlign w:val="center"/>
                </w:tcPr>
                <w:p w14:paraId="3FB19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3.1</w:t>
                  </w:r>
                </w:p>
              </w:tc>
              <w:tc>
                <w:tcPr>
                  <w:tcW w:w="748" w:type="pct"/>
                  <w:vMerge w:val="continue"/>
                  <w:noWrap w:val="0"/>
                  <w:vAlign w:val="center"/>
                </w:tcPr>
                <w:p w14:paraId="1AE5DC5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highlight w:val="none"/>
                    </w:rPr>
                  </w:pPr>
                </w:p>
              </w:tc>
              <w:tc>
                <w:tcPr>
                  <w:tcW w:w="972" w:type="pct"/>
                  <w:noWrap w:val="0"/>
                  <w:vAlign w:val="center"/>
                </w:tcPr>
                <w:p w14:paraId="14BAB3D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w:t>
                  </w:r>
                </w:p>
              </w:tc>
            </w:tr>
          </w:tbl>
          <w:p w14:paraId="41BCB9D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highlight w:val="none"/>
                <w:u w:val="none" w:color="auto"/>
                <w:lang w:eastAsia="zh-CN"/>
              </w:rPr>
              <w:t>项目厂区内非甲烷总烃无组织排放监控点浓度执行</w:t>
            </w:r>
            <w:r>
              <w:rPr>
                <w:rFonts w:hint="default" w:ascii="Times New Roman" w:hAnsi="Times New Roman" w:eastAsia="宋体" w:cs="Times New Roman"/>
                <w:color w:val="auto"/>
                <w:sz w:val="24"/>
                <w:szCs w:val="24"/>
                <w:highlight w:val="none"/>
              </w:rPr>
              <w:t>《挥发性有机物无组织排放控制标准》（GB37822-2019）附表A.1中无组织排放限值，详见表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14:paraId="1D2AC9E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sz w:val="24"/>
                <w:szCs w:val="24"/>
                <w:highlight w:val="none"/>
                <w:vertAlign w:val="superscript"/>
              </w:rPr>
            </w:pPr>
            <w:r>
              <w:rPr>
                <w:rFonts w:hint="default" w:ascii="Times New Roman" w:hAnsi="Times New Roman" w:cs="Times New Roman"/>
                <w:b/>
                <w:bCs/>
                <w:color w:val="auto"/>
                <w:sz w:val="24"/>
                <w:szCs w:val="24"/>
                <w:highlight w:val="none"/>
                <w:lang w:val="en-US" w:eastAsia="zh-CN" w:bidi="ar"/>
              </w:rPr>
              <w:t>表3-</w:t>
            </w:r>
            <w:r>
              <w:rPr>
                <w:rFonts w:hint="eastAsia" w:cs="Times New Roman"/>
                <w:b/>
                <w:bCs/>
                <w:color w:val="auto"/>
                <w:sz w:val="24"/>
                <w:szCs w:val="24"/>
                <w:highlight w:val="none"/>
                <w:lang w:val="en-US" w:eastAsia="zh-CN" w:bidi="ar"/>
              </w:rPr>
              <w:t>6</w:t>
            </w:r>
            <w:r>
              <w:rPr>
                <w:rFonts w:hint="default" w:ascii="Times New Roman" w:hAnsi="Times New Roman" w:cs="Times New Roman"/>
                <w:b/>
                <w:bCs/>
                <w:color w:val="auto"/>
                <w:sz w:val="24"/>
                <w:szCs w:val="24"/>
                <w:highlight w:val="none"/>
                <w:lang w:val="en-US" w:eastAsia="zh-CN" w:bidi="ar"/>
              </w:rPr>
              <w:t>厂区内非甲烷总烃无组织排放限值mg/</w:t>
            </w:r>
            <w:r>
              <w:rPr>
                <w:rFonts w:hint="default" w:ascii="Times New Roman" w:hAnsi="Times New Roman" w:cs="Times New Roman"/>
                <w:b/>
                <w:bCs/>
                <w:color w:val="auto"/>
                <w:sz w:val="24"/>
                <w:szCs w:val="24"/>
                <w:highlight w:val="none"/>
              </w:rPr>
              <w:t>m</w:t>
            </w:r>
            <w:r>
              <w:rPr>
                <w:rFonts w:hint="default" w:ascii="Times New Roman" w:hAnsi="Times New Roman" w:cs="Times New Roman"/>
                <w:b/>
                <w:bCs/>
                <w:color w:val="auto"/>
                <w:sz w:val="24"/>
                <w:szCs w:val="24"/>
                <w:highlight w:val="none"/>
                <w:vertAlign w:val="superscript"/>
              </w:rPr>
              <w:t>3</w:t>
            </w:r>
          </w:p>
          <w:tbl>
            <w:tblPr>
              <w:tblStyle w:val="47"/>
              <w:tblW w:w="5000"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722"/>
              <w:gridCol w:w="2663"/>
              <w:gridCol w:w="2371"/>
            </w:tblGrid>
            <w:tr w14:paraId="7622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noWrap w:val="0"/>
                  <w:vAlign w:val="center"/>
                </w:tcPr>
                <w:p w14:paraId="5FE74D35">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污染物项目</w:t>
                  </w:r>
                </w:p>
              </w:tc>
              <w:tc>
                <w:tcPr>
                  <w:tcW w:w="1718" w:type="dxa"/>
                  <w:noWrap w:val="0"/>
                  <w:vAlign w:val="center"/>
                </w:tcPr>
                <w:p w14:paraId="207086C7">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排放限值</w:t>
                  </w:r>
                </w:p>
              </w:tc>
              <w:tc>
                <w:tcPr>
                  <w:tcW w:w="2657" w:type="dxa"/>
                  <w:noWrap w:val="0"/>
                  <w:vAlign w:val="center"/>
                </w:tcPr>
                <w:p w14:paraId="11B9B09C">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限值含义</w:t>
                  </w:r>
                </w:p>
              </w:tc>
              <w:tc>
                <w:tcPr>
                  <w:tcW w:w="2365" w:type="dxa"/>
                  <w:noWrap w:val="0"/>
                  <w:vAlign w:val="center"/>
                </w:tcPr>
                <w:p w14:paraId="59CB0650">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无组织排放监控位置</w:t>
                  </w:r>
                </w:p>
              </w:tc>
            </w:tr>
            <w:tr w14:paraId="4801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vMerge w:val="restart"/>
                  <w:noWrap w:val="0"/>
                  <w:vAlign w:val="center"/>
                </w:tcPr>
                <w:p w14:paraId="32BA531E">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NMHC</w:t>
                  </w:r>
                </w:p>
              </w:tc>
              <w:tc>
                <w:tcPr>
                  <w:tcW w:w="1718" w:type="dxa"/>
                  <w:noWrap w:val="0"/>
                  <w:vAlign w:val="center"/>
                </w:tcPr>
                <w:p w14:paraId="36DD7F1E">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2657" w:type="dxa"/>
                  <w:noWrap w:val="0"/>
                  <w:vAlign w:val="center"/>
                </w:tcPr>
                <w:p w14:paraId="18D84896">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监控点处1h平均浓度</w:t>
                  </w:r>
                </w:p>
              </w:tc>
              <w:tc>
                <w:tcPr>
                  <w:tcW w:w="2365" w:type="dxa"/>
                  <w:vMerge w:val="restart"/>
                  <w:noWrap w:val="0"/>
                  <w:vAlign w:val="center"/>
                </w:tcPr>
                <w:p w14:paraId="5253BC71">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在厂房外设置监控点</w:t>
                  </w:r>
                </w:p>
              </w:tc>
            </w:tr>
            <w:tr w14:paraId="7C5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8" w:type="dxa"/>
                  <w:vMerge w:val="continue"/>
                  <w:noWrap w:val="0"/>
                  <w:vAlign w:val="center"/>
                </w:tcPr>
                <w:p w14:paraId="263E7D46">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718" w:type="dxa"/>
                  <w:noWrap w:val="0"/>
                  <w:vAlign w:val="center"/>
                </w:tcPr>
                <w:p w14:paraId="0E92D734">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2657" w:type="dxa"/>
                  <w:noWrap w:val="0"/>
                  <w:vAlign w:val="center"/>
                </w:tcPr>
                <w:p w14:paraId="3DDB2A64">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监控点处任一次浓度值</w:t>
                  </w:r>
                </w:p>
              </w:tc>
              <w:tc>
                <w:tcPr>
                  <w:tcW w:w="2365" w:type="dxa"/>
                  <w:vMerge w:val="continue"/>
                  <w:noWrap w:val="0"/>
                  <w:vAlign w:val="center"/>
                </w:tcPr>
                <w:p w14:paraId="3FB78547">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1E2F86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2、废水</w:t>
            </w:r>
          </w:p>
          <w:p w14:paraId="394B1C5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rPr>
              <w:t>项目施工期会产生少量的</w:t>
            </w:r>
            <w:r>
              <w:rPr>
                <w:rFonts w:hint="default" w:ascii="Times New Roman" w:hAnsi="Times New Roman" w:eastAsia="宋体" w:cs="Times New Roman"/>
                <w:color w:val="auto"/>
                <w:kern w:val="0"/>
                <w:sz w:val="24"/>
                <w:szCs w:val="24"/>
                <w:highlight w:val="none"/>
                <w:u w:val="none"/>
                <w:lang w:eastAsia="zh-CN"/>
              </w:rPr>
              <w:t>生活污水，施工期生活污水</w:t>
            </w:r>
            <w:r>
              <w:rPr>
                <w:rFonts w:hint="default" w:ascii="Times New Roman" w:hAnsi="Times New Roman" w:cs="Times New Roman"/>
                <w:color w:val="auto"/>
                <w:kern w:val="0"/>
                <w:sz w:val="24"/>
                <w:szCs w:val="24"/>
                <w:highlight w:val="none"/>
                <w:u w:val="none"/>
                <w:lang w:val="en-US" w:eastAsia="zh-CN"/>
              </w:rPr>
              <w:t>以及</w:t>
            </w:r>
            <w:r>
              <w:rPr>
                <w:rFonts w:hint="default" w:ascii="Times New Roman" w:hAnsi="Times New Roman" w:eastAsia="宋体" w:cs="Times New Roman"/>
                <w:caps w:val="0"/>
                <w:color w:val="auto"/>
                <w:sz w:val="24"/>
                <w:szCs w:val="24"/>
                <w:highlight w:val="none"/>
                <w:u w:val="none"/>
                <w:lang w:val="en-US" w:eastAsia="zh-CN"/>
              </w:rPr>
              <w:t>本</w:t>
            </w:r>
            <w:r>
              <w:rPr>
                <w:rFonts w:hint="default" w:ascii="Times New Roman" w:hAnsi="Times New Roman" w:eastAsia="宋体" w:cs="Times New Roman"/>
                <w:caps w:val="0"/>
                <w:color w:val="auto"/>
                <w:sz w:val="24"/>
                <w:szCs w:val="24"/>
                <w:highlight w:val="none"/>
                <w:u w:val="none"/>
              </w:rPr>
              <w:t>项目</w:t>
            </w:r>
            <w:r>
              <w:rPr>
                <w:rFonts w:hint="default" w:ascii="Times New Roman" w:hAnsi="Times New Roman" w:eastAsia="宋体" w:cs="Times New Roman"/>
                <w:caps w:val="0"/>
                <w:color w:val="auto"/>
                <w:sz w:val="24"/>
                <w:szCs w:val="24"/>
                <w:highlight w:val="none"/>
                <w:u w:val="none"/>
                <w:lang w:val="en-US" w:eastAsia="zh-CN"/>
              </w:rPr>
              <w:t>新增生活污水经化粪池处理达到</w:t>
            </w:r>
            <w:r>
              <w:rPr>
                <w:rFonts w:hint="default" w:ascii="Times New Roman" w:hAnsi="Times New Roman" w:eastAsia="宋体" w:cs="Times New Roman"/>
                <w:caps w:val="0"/>
                <w:color w:val="auto"/>
                <w:sz w:val="24"/>
                <w:szCs w:val="24"/>
                <w:highlight w:val="none"/>
                <w:u w:val="none"/>
              </w:rPr>
              <w:t>《污水综合排放标准》（GB8978-1996）三级标准</w:t>
            </w:r>
            <w:r>
              <w:rPr>
                <w:rFonts w:hint="eastAsia" w:ascii="宋体" w:hAnsi="宋体"/>
                <w:b w:val="0"/>
                <w:bCs w:val="0"/>
                <w:color w:val="auto"/>
                <w:sz w:val="24"/>
                <w:highlight w:val="none"/>
                <w:u w:val="none"/>
                <w:lang w:val="en-US" w:eastAsia="zh-CN"/>
              </w:rPr>
              <w:t>及</w:t>
            </w:r>
            <w:r>
              <w:rPr>
                <w:rFonts w:hint="eastAsia" w:ascii="宋体" w:hAnsi="宋体"/>
                <w:b w:val="0"/>
                <w:bCs w:val="0"/>
                <w:color w:val="auto"/>
                <w:sz w:val="24"/>
                <w:highlight w:val="none"/>
                <w:u w:val="none"/>
                <w:lang w:eastAsia="zh-CN"/>
              </w:rPr>
              <w:t>大榄坪污水处理厂</w:t>
            </w:r>
            <w:r>
              <w:rPr>
                <w:rFonts w:hint="eastAsia" w:ascii="宋体" w:hAnsi="宋体"/>
                <w:b w:val="0"/>
                <w:bCs w:val="0"/>
                <w:color w:val="auto"/>
                <w:sz w:val="24"/>
                <w:highlight w:val="none"/>
                <w:u w:val="none"/>
                <w:lang w:val="en-US" w:eastAsia="zh-CN"/>
              </w:rPr>
              <w:t>进水水质要求</w:t>
            </w:r>
            <w:r>
              <w:rPr>
                <w:rFonts w:hint="default" w:ascii="Times New Roman" w:hAnsi="Times New Roman" w:eastAsia="宋体" w:cs="Times New Roman"/>
                <w:caps w:val="0"/>
                <w:color w:val="auto"/>
                <w:sz w:val="24"/>
                <w:szCs w:val="24"/>
                <w:highlight w:val="none"/>
                <w:u w:val="none"/>
                <w:lang w:eastAsia="zh-CN"/>
              </w:rPr>
              <w:t>，</w:t>
            </w:r>
            <w:r>
              <w:rPr>
                <w:rFonts w:hint="default" w:ascii="Times New Roman" w:hAnsi="Times New Roman" w:eastAsia="宋体" w:cs="Times New Roman"/>
                <w:caps w:val="0"/>
                <w:color w:val="auto"/>
                <w:sz w:val="24"/>
                <w:szCs w:val="24"/>
                <w:highlight w:val="none"/>
                <w:u w:val="none"/>
                <w:lang w:val="en-US" w:eastAsia="zh-CN"/>
              </w:rPr>
              <w:t>接入</w:t>
            </w:r>
            <w:r>
              <w:rPr>
                <w:rFonts w:hint="default" w:ascii="Times New Roman" w:hAnsi="Times New Roman" w:eastAsia="宋体" w:cs="Times New Roman"/>
                <w:caps w:val="0"/>
                <w:color w:val="auto"/>
                <w:sz w:val="24"/>
                <w:szCs w:val="24"/>
                <w:highlight w:val="none"/>
                <w:u w:val="none"/>
              </w:rPr>
              <w:t>大榄坪污水处理厂。</w:t>
            </w:r>
          </w:p>
          <w:p w14:paraId="3AB89869">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b/>
                <w:bCs/>
                <w:caps w:val="0"/>
                <w:color w:val="auto"/>
                <w:sz w:val="24"/>
                <w:szCs w:val="24"/>
                <w:highlight w:val="none"/>
                <w:lang w:val="en-US" w:eastAsia="zh-CN"/>
              </w:rPr>
              <w:t>表</w:t>
            </w:r>
            <w:r>
              <w:rPr>
                <w:rFonts w:hint="eastAsia" w:cs="Times New Roman"/>
                <w:b/>
                <w:bCs/>
                <w:caps w:val="0"/>
                <w:color w:val="auto"/>
                <w:sz w:val="24"/>
                <w:szCs w:val="24"/>
                <w:highlight w:val="none"/>
                <w:lang w:val="en-US" w:eastAsia="zh-CN"/>
              </w:rPr>
              <w:t>3</w:t>
            </w:r>
            <w:r>
              <w:rPr>
                <w:rFonts w:hint="default" w:ascii="Times New Roman" w:hAnsi="Times New Roman" w:eastAsia="宋体" w:cs="Times New Roman"/>
                <w:b/>
                <w:bCs/>
                <w:caps w:val="0"/>
                <w:color w:val="auto"/>
                <w:sz w:val="24"/>
                <w:szCs w:val="24"/>
                <w:highlight w:val="none"/>
                <w:lang w:val="en-US" w:eastAsia="zh-CN"/>
              </w:rPr>
              <w:t>-</w:t>
            </w:r>
            <w:r>
              <w:rPr>
                <w:rFonts w:hint="eastAsia" w:cs="Times New Roman"/>
                <w:b/>
                <w:bCs/>
                <w:caps w:val="0"/>
                <w:color w:val="auto"/>
                <w:sz w:val="24"/>
                <w:szCs w:val="24"/>
                <w:highlight w:val="none"/>
                <w:lang w:val="en-US" w:eastAsia="zh-CN"/>
              </w:rPr>
              <w:t>7生活</w:t>
            </w:r>
            <w:r>
              <w:rPr>
                <w:rFonts w:hint="default" w:ascii="Times New Roman" w:hAnsi="Times New Roman" w:eastAsia="宋体" w:cs="Times New Roman"/>
                <w:b/>
                <w:bCs/>
                <w:caps w:val="0"/>
                <w:color w:val="auto"/>
                <w:sz w:val="24"/>
                <w:szCs w:val="24"/>
                <w:highlight w:val="none"/>
              </w:rPr>
              <w:t>污水综合排放标准</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5"/>
              <w:gridCol w:w="1233"/>
              <w:gridCol w:w="1029"/>
              <w:gridCol w:w="1017"/>
              <w:gridCol w:w="916"/>
              <w:gridCol w:w="851"/>
            </w:tblGrid>
            <w:tr w14:paraId="4C8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5" w:type="pct"/>
                  <w:shd w:val="clear" w:color="auto" w:fill="FFFFFF"/>
                  <w:noWrap w:val="0"/>
                  <w:vAlign w:val="center"/>
                </w:tcPr>
                <w:p w14:paraId="214B1CD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污染物</w:t>
                  </w:r>
                </w:p>
              </w:tc>
              <w:tc>
                <w:tcPr>
                  <w:tcW w:w="736" w:type="pct"/>
                  <w:shd w:val="clear" w:color="auto" w:fill="FFFFFF"/>
                  <w:noWrap w:val="0"/>
                  <w:vAlign w:val="center"/>
                </w:tcPr>
                <w:p w14:paraId="1D0DE00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pH值</w:t>
                  </w:r>
                </w:p>
              </w:tc>
              <w:tc>
                <w:tcPr>
                  <w:tcW w:w="614" w:type="pct"/>
                  <w:shd w:val="clear" w:color="auto" w:fill="FFFFFF"/>
                  <w:noWrap w:val="0"/>
                  <w:vAlign w:val="center"/>
                </w:tcPr>
                <w:p w14:paraId="7A552688">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SS</w:t>
                  </w:r>
                </w:p>
              </w:tc>
              <w:tc>
                <w:tcPr>
                  <w:tcW w:w="607" w:type="pct"/>
                  <w:shd w:val="clear" w:color="auto" w:fill="FFFFFF"/>
                  <w:noWrap w:val="0"/>
                  <w:vAlign w:val="center"/>
                </w:tcPr>
                <w:p w14:paraId="4E31B5E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COD</w:t>
                  </w:r>
                  <w:r>
                    <w:rPr>
                      <w:rFonts w:hint="default" w:ascii="Times New Roman" w:hAnsi="Times New Roman" w:eastAsia="宋体" w:cs="Times New Roman"/>
                      <w:color w:val="auto"/>
                      <w:highlight w:val="none"/>
                      <w:u w:val="none"/>
                      <w:vertAlign w:val="subscript"/>
                    </w:rPr>
                    <w:t>Cr</w:t>
                  </w:r>
                </w:p>
              </w:tc>
              <w:tc>
                <w:tcPr>
                  <w:tcW w:w="547" w:type="pct"/>
                  <w:shd w:val="clear" w:color="auto" w:fill="FFFFFF"/>
                  <w:noWrap w:val="0"/>
                  <w:vAlign w:val="center"/>
                </w:tcPr>
                <w:p w14:paraId="46CC977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BOD</w:t>
                  </w:r>
                  <w:r>
                    <w:rPr>
                      <w:rFonts w:hint="default" w:ascii="Times New Roman" w:hAnsi="Times New Roman" w:eastAsia="宋体" w:cs="Times New Roman"/>
                      <w:color w:val="auto"/>
                      <w:highlight w:val="none"/>
                      <w:u w:val="none"/>
                      <w:vertAlign w:val="subscript"/>
                    </w:rPr>
                    <w:t>5</w:t>
                  </w:r>
                </w:p>
              </w:tc>
              <w:tc>
                <w:tcPr>
                  <w:tcW w:w="508" w:type="pct"/>
                  <w:shd w:val="clear" w:color="auto" w:fill="FFFFFF"/>
                  <w:noWrap w:val="0"/>
                  <w:vAlign w:val="center"/>
                </w:tcPr>
                <w:p w14:paraId="5DB11A6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NH</w:t>
                  </w:r>
                  <w:r>
                    <w:rPr>
                      <w:rFonts w:hint="default" w:ascii="Times New Roman" w:hAnsi="Times New Roman" w:eastAsia="宋体" w:cs="Times New Roman"/>
                      <w:color w:val="auto"/>
                      <w:highlight w:val="none"/>
                      <w:u w:val="none"/>
                      <w:vertAlign w:val="subscript"/>
                    </w:rPr>
                    <w:t>3</w:t>
                  </w:r>
                  <w:r>
                    <w:rPr>
                      <w:rFonts w:hint="default" w:ascii="Times New Roman" w:hAnsi="Times New Roman" w:eastAsia="宋体" w:cs="Times New Roman"/>
                      <w:color w:val="auto"/>
                      <w:highlight w:val="none"/>
                      <w:u w:val="none"/>
                    </w:rPr>
                    <w:t>-N</w:t>
                  </w:r>
                </w:p>
              </w:tc>
            </w:tr>
            <w:tr w14:paraId="149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985" w:type="pct"/>
                  <w:shd w:val="clear" w:color="auto" w:fill="FFFFFF"/>
                  <w:noWrap w:val="0"/>
                  <w:vAlign w:val="center"/>
                </w:tcPr>
                <w:p w14:paraId="7B070DF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GB8978-1996</w:t>
                  </w:r>
                  <w:r>
                    <w:rPr>
                      <w:rFonts w:hint="default" w:ascii="Times New Roman" w:hAnsi="Times New Roman" w:eastAsia="宋体" w:cs="Times New Roman"/>
                      <w:color w:val="auto"/>
                      <w:highlight w:val="none"/>
                      <w:u w:val="none"/>
                      <w:lang w:val="en-US" w:eastAsia="zh-CN"/>
                    </w:rPr>
                    <w:t>表4</w:t>
                  </w:r>
                  <w:r>
                    <w:rPr>
                      <w:rFonts w:hint="default" w:ascii="Times New Roman" w:hAnsi="Times New Roman" w:eastAsia="宋体" w:cs="Times New Roman"/>
                      <w:color w:val="auto"/>
                      <w:highlight w:val="none"/>
                      <w:u w:val="none"/>
                    </w:rPr>
                    <w:t>三级标准</w:t>
                  </w:r>
                </w:p>
              </w:tc>
              <w:tc>
                <w:tcPr>
                  <w:tcW w:w="736" w:type="pct"/>
                  <w:shd w:val="clear" w:color="auto" w:fill="FFFFFF"/>
                  <w:noWrap w:val="0"/>
                  <w:vAlign w:val="center"/>
                </w:tcPr>
                <w:p w14:paraId="157428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28B416C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400</w:t>
                  </w:r>
                </w:p>
              </w:tc>
              <w:tc>
                <w:tcPr>
                  <w:tcW w:w="607" w:type="pct"/>
                  <w:shd w:val="clear" w:color="auto" w:fill="FFFFFF"/>
                  <w:noWrap w:val="0"/>
                  <w:vAlign w:val="center"/>
                </w:tcPr>
                <w:p w14:paraId="719D15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500</w:t>
                  </w:r>
                </w:p>
              </w:tc>
              <w:tc>
                <w:tcPr>
                  <w:tcW w:w="547" w:type="pct"/>
                  <w:shd w:val="clear" w:color="auto" w:fill="FFFFFF"/>
                  <w:noWrap w:val="0"/>
                  <w:vAlign w:val="center"/>
                </w:tcPr>
                <w:p w14:paraId="2211AC79">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300</w:t>
                  </w:r>
                </w:p>
              </w:tc>
              <w:tc>
                <w:tcPr>
                  <w:tcW w:w="508" w:type="pct"/>
                  <w:shd w:val="clear" w:color="auto" w:fill="FFFFFF"/>
                  <w:noWrap w:val="0"/>
                  <w:vAlign w:val="center"/>
                </w:tcPr>
                <w:p w14:paraId="63A7AE0E">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w:t>
                  </w:r>
                </w:p>
              </w:tc>
            </w:tr>
            <w:tr w14:paraId="317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985" w:type="pct"/>
                  <w:shd w:val="clear" w:color="auto" w:fill="FFFFFF"/>
                  <w:noWrap w:val="0"/>
                  <w:vAlign w:val="center"/>
                </w:tcPr>
                <w:p w14:paraId="5B7611CD">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大榄坪污水处理厂</w:t>
                  </w:r>
                  <w:r>
                    <w:rPr>
                      <w:rFonts w:hint="default" w:ascii="Times New Roman" w:hAnsi="Times New Roman" w:eastAsia="宋体" w:cs="Times New Roman"/>
                      <w:color w:val="auto"/>
                      <w:highlight w:val="none"/>
                      <w:u w:val="none"/>
                      <w:lang w:val="en-US" w:eastAsia="zh-CN"/>
                    </w:rPr>
                    <w:t>入水水质要求</w:t>
                  </w:r>
                </w:p>
              </w:tc>
              <w:tc>
                <w:tcPr>
                  <w:tcW w:w="736" w:type="pct"/>
                  <w:shd w:val="clear" w:color="auto" w:fill="FFFFFF"/>
                  <w:noWrap w:val="0"/>
                  <w:vAlign w:val="center"/>
                </w:tcPr>
                <w:p w14:paraId="53A76718">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430527F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30</w:t>
                  </w:r>
                  <w:r>
                    <w:rPr>
                      <w:rFonts w:hint="default" w:ascii="Times New Roman" w:hAnsi="Times New Roman" w:eastAsia="宋体" w:cs="Times New Roman"/>
                      <w:color w:val="auto"/>
                      <w:highlight w:val="none"/>
                      <w:u w:val="none"/>
                      <w:lang w:val="en-US" w:eastAsia="zh-CN"/>
                    </w:rPr>
                    <w:t>0</w:t>
                  </w:r>
                </w:p>
              </w:tc>
              <w:tc>
                <w:tcPr>
                  <w:tcW w:w="607" w:type="pct"/>
                  <w:shd w:val="clear" w:color="auto" w:fill="FFFFFF"/>
                  <w:noWrap w:val="0"/>
                  <w:vAlign w:val="center"/>
                </w:tcPr>
                <w:p w14:paraId="6F9CE1D1">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5</w:t>
                  </w:r>
                  <w:r>
                    <w:rPr>
                      <w:rFonts w:hint="default" w:ascii="Times New Roman" w:hAnsi="Times New Roman" w:eastAsia="宋体" w:cs="Times New Roman"/>
                      <w:color w:val="auto"/>
                      <w:highlight w:val="none"/>
                      <w:u w:val="none"/>
                    </w:rPr>
                    <w:t>00</w:t>
                  </w:r>
                </w:p>
              </w:tc>
              <w:tc>
                <w:tcPr>
                  <w:tcW w:w="547" w:type="pct"/>
                  <w:shd w:val="clear" w:color="auto" w:fill="FFFFFF"/>
                  <w:noWrap w:val="0"/>
                  <w:vAlign w:val="center"/>
                </w:tcPr>
                <w:p w14:paraId="34D6269A">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200</w:t>
                  </w:r>
                </w:p>
              </w:tc>
              <w:tc>
                <w:tcPr>
                  <w:tcW w:w="508" w:type="pct"/>
                  <w:shd w:val="clear" w:color="auto" w:fill="FFFFFF"/>
                  <w:noWrap w:val="0"/>
                  <w:vAlign w:val="center"/>
                </w:tcPr>
                <w:p w14:paraId="0524887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35</w:t>
                  </w:r>
                </w:p>
              </w:tc>
            </w:tr>
            <w:tr w14:paraId="5A9D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985" w:type="pct"/>
                  <w:shd w:val="clear" w:color="auto" w:fill="FFFFFF"/>
                  <w:noWrap w:val="0"/>
                  <w:vAlign w:val="center"/>
                </w:tcPr>
                <w:p w14:paraId="64D57D40">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最终执行标准</w:t>
                  </w:r>
                </w:p>
              </w:tc>
              <w:tc>
                <w:tcPr>
                  <w:tcW w:w="736" w:type="pct"/>
                  <w:shd w:val="clear" w:color="auto" w:fill="FFFFFF"/>
                  <w:noWrap w:val="0"/>
                  <w:vAlign w:val="center"/>
                </w:tcPr>
                <w:p w14:paraId="789B9EF4">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6~9</w:t>
                  </w:r>
                </w:p>
              </w:tc>
              <w:tc>
                <w:tcPr>
                  <w:tcW w:w="614" w:type="pct"/>
                  <w:shd w:val="clear" w:color="auto" w:fill="FFFFFF"/>
                  <w:noWrap w:val="0"/>
                  <w:vAlign w:val="center"/>
                </w:tcPr>
                <w:p w14:paraId="33A64A03">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30</w:t>
                  </w:r>
                  <w:r>
                    <w:rPr>
                      <w:rFonts w:hint="default" w:ascii="Times New Roman" w:hAnsi="Times New Roman" w:eastAsia="宋体" w:cs="Times New Roman"/>
                      <w:color w:val="auto"/>
                      <w:highlight w:val="none"/>
                      <w:u w:val="none"/>
                      <w:lang w:val="en-US" w:eastAsia="zh-CN"/>
                    </w:rPr>
                    <w:t>0</w:t>
                  </w:r>
                </w:p>
              </w:tc>
              <w:tc>
                <w:tcPr>
                  <w:tcW w:w="607" w:type="pct"/>
                  <w:shd w:val="clear" w:color="auto" w:fill="FFFFFF"/>
                  <w:noWrap w:val="0"/>
                  <w:vAlign w:val="center"/>
                </w:tcPr>
                <w:p w14:paraId="6DBAC1B6">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500</w:t>
                  </w:r>
                </w:p>
              </w:tc>
              <w:tc>
                <w:tcPr>
                  <w:tcW w:w="547" w:type="pct"/>
                  <w:shd w:val="clear" w:color="auto" w:fill="FFFFFF"/>
                  <w:noWrap w:val="0"/>
                  <w:vAlign w:val="center"/>
                </w:tcPr>
                <w:p w14:paraId="32D844EF">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w:t>
                  </w:r>
                  <w:r>
                    <w:rPr>
                      <w:rFonts w:hint="default" w:ascii="Times New Roman" w:hAnsi="Times New Roman" w:eastAsia="宋体" w:cs="Times New Roman"/>
                      <w:color w:val="auto"/>
                      <w:highlight w:val="none"/>
                      <w:u w:val="none"/>
                      <w:lang w:val="en-US" w:eastAsia="zh-CN"/>
                    </w:rPr>
                    <w:t>00</w:t>
                  </w:r>
                </w:p>
              </w:tc>
              <w:tc>
                <w:tcPr>
                  <w:tcW w:w="508" w:type="pct"/>
                  <w:shd w:val="clear" w:color="auto" w:fill="FFFFFF"/>
                  <w:noWrap w:val="0"/>
                  <w:vAlign w:val="center"/>
                </w:tcPr>
                <w:p w14:paraId="547CA019">
                  <w:pPr>
                    <w:pStyle w:val="141"/>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35</w:t>
                  </w:r>
                </w:p>
              </w:tc>
            </w:tr>
          </w:tbl>
          <w:p w14:paraId="61BF5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3、噪声</w:t>
            </w:r>
          </w:p>
          <w:p w14:paraId="0BFB8CCE">
            <w:pPr>
              <w:keepNext w:val="0"/>
              <w:keepLines w:val="0"/>
              <w:suppressLineNumbers w:val="0"/>
              <w:topLinePunct/>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w:t>
            </w:r>
            <w:r>
              <w:rPr>
                <w:rFonts w:hint="default" w:ascii="Times New Roman" w:hAnsi="Times New Roman" w:cs="Times New Roman"/>
                <w:color w:val="auto"/>
                <w:sz w:val="24"/>
                <w:szCs w:val="24"/>
                <w:highlight w:val="none"/>
                <w:u w:val="none"/>
              </w:rPr>
              <w:t>施工期厂界噪声排放执行《建筑施工场界环境噪声排放标准》（GB12523-2011）标准限值</w:t>
            </w:r>
            <w:r>
              <w:rPr>
                <w:rFonts w:hint="default" w:ascii="Times New Roman" w:hAnsi="Times New Roman" w:cs="Times New Roman"/>
                <w:color w:val="auto"/>
                <w:highlight w:val="none"/>
                <w:u w:val="none"/>
              </w:rPr>
              <w:t>；</w:t>
            </w:r>
            <w:r>
              <w:rPr>
                <w:rFonts w:hint="default" w:ascii="Times New Roman" w:hAnsi="Times New Roman" w:eastAsia="宋体" w:cs="Times New Roman"/>
                <w:color w:val="auto"/>
                <w:kern w:val="0"/>
                <w:sz w:val="24"/>
                <w:szCs w:val="24"/>
                <w:highlight w:val="none"/>
                <w:u w:val="none"/>
                <w:lang w:val="en-US" w:eastAsia="zh-CN" w:bidi="ar"/>
              </w:rPr>
              <w:t>项目运营期各厂界噪声执行《工业企业厂界环境噪声排放标准》（GB12348-2008）</w:t>
            </w:r>
            <w:r>
              <w:rPr>
                <w:rFonts w:hint="default" w:ascii="Times New Roman" w:hAnsi="Times New Roman" w:cs="Times New Roman"/>
                <w:color w:val="auto"/>
                <w:kern w:val="0"/>
                <w:sz w:val="24"/>
                <w:szCs w:val="24"/>
                <w:highlight w:val="none"/>
                <w:u w:val="none"/>
                <w:lang w:val="en-US" w:eastAsia="zh-CN" w:bidi="ar"/>
              </w:rPr>
              <w:t>3</w:t>
            </w:r>
            <w:r>
              <w:rPr>
                <w:rFonts w:hint="default" w:ascii="Times New Roman" w:hAnsi="Times New Roman" w:eastAsia="宋体" w:cs="Times New Roman"/>
                <w:color w:val="auto"/>
                <w:kern w:val="0"/>
                <w:sz w:val="24"/>
                <w:szCs w:val="24"/>
                <w:highlight w:val="none"/>
                <w:u w:val="none"/>
                <w:lang w:val="en-US" w:eastAsia="zh-CN" w:bidi="ar"/>
              </w:rPr>
              <w:t>类标准</w:t>
            </w:r>
            <w:r>
              <w:rPr>
                <w:rFonts w:hint="default" w:ascii="Times New Roman" w:hAnsi="Times New Roman" w:eastAsia="宋体" w:cs="Times New Roman"/>
                <w:color w:val="auto"/>
                <w:sz w:val="24"/>
                <w:szCs w:val="24"/>
                <w:highlight w:val="none"/>
                <w:u w:val="none"/>
              </w:rPr>
              <w:t>。</w:t>
            </w:r>
          </w:p>
          <w:p w14:paraId="4EC4E763">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color w:val="auto"/>
                <w:sz w:val="24"/>
                <w:szCs w:val="24"/>
                <w:highlight w:val="none"/>
                <w:u w:val="none"/>
              </w:rPr>
            </w:pPr>
            <w:r>
              <w:rPr>
                <w:rFonts w:hint="default" w:ascii="Times New Roman" w:hAnsi="Times New Roman" w:cs="Times New Roman"/>
                <w:b/>
                <w:bCs/>
                <w:color w:val="auto"/>
                <w:sz w:val="24"/>
                <w:szCs w:val="24"/>
                <w:highlight w:val="none"/>
                <w:u w:val="none"/>
              </w:rPr>
              <w:t>表3-</w:t>
            </w:r>
            <w:r>
              <w:rPr>
                <w:rFonts w:hint="eastAsia" w:cs="Times New Roman"/>
                <w:b/>
                <w:bCs/>
                <w:color w:val="auto"/>
                <w:sz w:val="24"/>
                <w:szCs w:val="24"/>
                <w:highlight w:val="none"/>
                <w:u w:val="none"/>
                <w:lang w:val="en-US" w:eastAsia="zh-CN"/>
              </w:rPr>
              <w:t>8</w:t>
            </w:r>
            <w:r>
              <w:rPr>
                <w:rFonts w:hint="default" w:ascii="Times New Roman" w:hAnsi="Times New Roman" w:cs="Times New Roman"/>
                <w:b/>
                <w:bCs/>
                <w:color w:val="auto"/>
                <w:sz w:val="24"/>
                <w:szCs w:val="24"/>
                <w:highlight w:val="none"/>
                <w:u w:val="none"/>
              </w:rPr>
              <w:t>《建筑施工场界环境噪声排放标准》（GB12523-2011）</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186"/>
              <w:gridCol w:w="4192"/>
            </w:tblGrid>
            <w:tr w14:paraId="0BB6B8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30" w:hRule="atLeast"/>
                <w:jc w:val="center"/>
              </w:trPr>
              <w:tc>
                <w:tcPr>
                  <w:tcW w:w="4176" w:type="dxa"/>
                  <w:tcBorders>
                    <w:tl2br w:val="nil"/>
                    <w:tr2bl w:val="nil"/>
                  </w:tcBorders>
                  <w:vAlign w:val="center"/>
                </w:tcPr>
                <w:p w14:paraId="65997CF8">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昼间dB(A)</w:t>
                  </w:r>
                </w:p>
              </w:tc>
              <w:tc>
                <w:tcPr>
                  <w:tcW w:w="4183" w:type="dxa"/>
                  <w:tcBorders>
                    <w:tl2br w:val="nil"/>
                    <w:tr2bl w:val="nil"/>
                  </w:tcBorders>
                  <w:vAlign w:val="center"/>
                </w:tcPr>
                <w:p w14:paraId="6CCBF14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b/>
                      <w:color w:val="auto"/>
                      <w:sz w:val="21"/>
                      <w:szCs w:val="21"/>
                      <w:highlight w:val="none"/>
                      <w:u w:val="none"/>
                    </w:rPr>
                    <w:t>夜间</w:t>
                  </w:r>
                  <w:r>
                    <w:rPr>
                      <w:rFonts w:hint="default" w:ascii="Times New Roman" w:hAnsi="Times New Roman" w:cs="Times New Roman"/>
                      <w:b/>
                      <w:bCs/>
                      <w:color w:val="auto"/>
                      <w:sz w:val="21"/>
                      <w:szCs w:val="21"/>
                      <w:highlight w:val="none"/>
                      <w:u w:val="none"/>
                    </w:rPr>
                    <w:t>dB(A)</w:t>
                  </w:r>
                </w:p>
              </w:tc>
            </w:tr>
            <w:tr w14:paraId="46BF1A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3" w:hRule="atLeast"/>
                <w:jc w:val="center"/>
              </w:trPr>
              <w:tc>
                <w:tcPr>
                  <w:tcW w:w="4176" w:type="dxa"/>
                  <w:tcBorders>
                    <w:tl2br w:val="nil"/>
                    <w:tr2bl w:val="nil"/>
                  </w:tcBorders>
                  <w:vAlign w:val="center"/>
                </w:tcPr>
                <w:p w14:paraId="7063EAF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70</w:t>
                  </w:r>
                </w:p>
              </w:tc>
              <w:tc>
                <w:tcPr>
                  <w:tcW w:w="4183" w:type="dxa"/>
                  <w:tcBorders>
                    <w:tl2br w:val="nil"/>
                    <w:tr2bl w:val="nil"/>
                  </w:tcBorders>
                  <w:vAlign w:val="center"/>
                </w:tcPr>
                <w:p w14:paraId="0D5C1B1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55</w:t>
                  </w:r>
                </w:p>
              </w:tc>
            </w:tr>
          </w:tbl>
          <w:p w14:paraId="636B03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p>
          <w:p w14:paraId="21827B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p>
          <w:p w14:paraId="49FC5E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工业企业厂界环境噪声排放标准</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GB12348-2008</w:t>
            </w:r>
            <w:r>
              <w:rPr>
                <w:rFonts w:hint="default" w:ascii="Times New Roman" w:hAnsi="Times New Roman" w:eastAsia="宋体" w:cs="Times New Roman"/>
                <w:b/>
                <w:bCs/>
                <w:color w:val="auto"/>
                <w:sz w:val="24"/>
                <w:szCs w:val="24"/>
                <w:highlight w:val="none"/>
                <w:lang w:eastAsia="zh-CN"/>
              </w:rPr>
              <w:t>）</w:t>
            </w:r>
          </w:p>
          <w:tbl>
            <w:tblPr>
              <w:tblStyle w:val="46"/>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671"/>
              <w:gridCol w:w="2551"/>
              <w:gridCol w:w="2112"/>
            </w:tblGrid>
            <w:tr w14:paraId="701AC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04" w:type="dxa"/>
                  <w:tcBorders>
                    <w:top w:val="single" w:color="auto" w:sz="4" w:space="0"/>
                    <w:left w:val="single" w:color="auto" w:sz="12" w:space="0"/>
                    <w:tl2br w:val="nil"/>
                    <w:tr2bl w:val="nil"/>
                  </w:tcBorders>
                  <w:noWrap w:val="0"/>
                  <w:vAlign w:val="center"/>
                </w:tcPr>
                <w:p w14:paraId="2535E9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1671" w:type="dxa"/>
                  <w:tcBorders>
                    <w:top w:val="single" w:color="auto" w:sz="4" w:space="0"/>
                    <w:tl2br w:val="nil"/>
                    <w:tr2bl w:val="nil"/>
                  </w:tcBorders>
                  <w:noWrap w:val="0"/>
                  <w:vAlign w:val="center"/>
                </w:tcPr>
                <w:p w14:paraId="2F9803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执行范围</w:t>
                  </w:r>
                </w:p>
              </w:tc>
              <w:tc>
                <w:tcPr>
                  <w:tcW w:w="2551" w:type="dxa"/>
                  <w:tcBorders>
                    <w:top w:val="single" w:color="auto" w:sz="4" w:space="0"/>
                    <w:tl2br w:val="nil"/>
                    <w:tr2bl w:val="nil"/>
                  </w:tcBorders>
                  <w:noWrap w:val="0"/>
                  <w:vAlign w:val="center"/>
                </w:tcPr>
                <w:p w14:paraId="4395CD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昼间</w:t>
                  </w:r>
                  <w:r>
                    <w:rPr>
                      <w:rFonts w:hint="default" w:ascii="Times New Roman" w:hAnsi="Times New Roman" w:cs="Times New Roman"/>
                      <w:b/>
                      <w:bCs/>
                      <w:color w:val="auto"/>
                      <w:sz w:val="21"/>
                      <w:szCs w:val="21"/>
                      <w:highlight w:val="none"/>
                    </w:rPr>
                    <w:t>dB(A)</w:t>
                  </w:r>
                </w:p>
              </w:tc>
              <w:tc>
                <w:tcPr>
                  <w:tcW w:w="2112" w:type="dxa"/>
                  <w:tcBorders>
                    <w:top w:val="single" w:color="auto" w:sz="4" w:space="0"/>
                    <w:right w:val="single" w:color="auto" w:sz="4" w:space="0"/>
                    <w:tl2br w:val="nil"/>
                    <w:tr2bl w:val="nil"/>
                  </w:tcBorders>
                  <w:noWrap w:val="0"/>
                  <w:vAlign w:val="center"/>
                </w:tcPr>
                <w:p w14:paraId="6C9B41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r>
                    <w:rPr>
                      <w:rFonts w:hint="default" w:ascii="Times New Roman" w:hAnsi="Times New Roman" w:cs="Times New Roman"/>
                      <w:b/>
                      <w:bCs/>
                      <w:color w:val="auto"/>
                      <w:sz w:val="21"/>
                      <w:szCs w:val="21"/>
                      <w:highlight w:val="none"/>
                    </w:rPr>
                    <w:t>dB(A)</w:t>
                  </w:r>
                </w:p>
              </w:tc>
            </w:tr>
            <w:tr w14:paraId="29F3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104" w:type="dxa"/>
                  <w:tcBorders>
                    <w:left w:val="single" w:color="auto" w:sz="4" w:space="0"/>
                    <w:bottom w:val="single" w:color="auto" w:sz="4" w:space="0"/>
                    <w:tl2br w:val="nil"/>
                    <w:tr2bl w:val="nil"/>
                  </w:tcBorders>
                  <w:noWrap w:val="0"/>
                  <w:vAlign w:val="center"/>
                </w:tcPr>
                <w:p w14:paraId="2263E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c>
                <w:tcPr>
                  <w:tcW w:w="1671" w:type="dxa"/>
                  <w:tcBorders>
                    <w:bottom w:val="single" w:color="auto" w:sz="4" w:space="0"/>
                    <w:tl2br w:val="nil"/>
                    <w:tr2bl w:val="nil"/>
                  </w:tcBorders>
                  <w:noWrap w:val="0"/>
                  <w:vAlign w:val="center"/>
                </w:tcPr>
                <w:p w14:paraId="4EC477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2551" w:type="dxa"/>
                  <w:tcBorders>
                    <w:bottom w:val="single" w:color="auto" w:sz="4" w:space="0"/>
                    <w:tl2br w:val="nil"/>
                    <w:tr2bl w:val="nil"/>
                  </w:tcBorders>
                  <w:noWrap w:val="0"/>
                  <w:vAlign w:val="center"/>
                </w:tcPr>
                <w:p w14:paraId="207BC8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5</w:t>
                  </w:r>
                </w:p>
              </w:tc>
              <w:tc>
                <w:tcPr>
                  <w:tcW w:w="2112" w:type="dxa"/>
                  <w:tcBorders>
                    <w:bottom w:val="single" w:color="auto" w:sz="4" w:space="0"/>
                    <w:right w:val="single" w:color="auto" w:sz="4" w:space="0"/>
                    <w:tl2br w:val="nil"/>
                    <w:tr2bl w:val="nil"/>
                  </w:tcBorders>
                  <w:noWrap w:val="0"/>
                  <w:vAlign w:val="center"/>
                </w:tcPr>
                <w:p w14:paraId="485D2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default" w:ascii="Times New Roman" w:hAnsi="Times New Roman" w:cs="Times New Roman"/>
                      <w:color w:val="auto"/>
                      <w:sz w:val="21"/>
                      <w:szCs w:val="21"/>
                      <w:highlight w:val="none"/>
                      <w:lang w:val="en-US" w:eastAsia="zh-CN"/>
                    </w:rPr>
                    <w:t>5</w:t>
                  </w:r>
                </w:p>
              </w:tc>
            </w:tr>
          </w:tbl>
          <w:p w14:paraId="619FF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4、固体废物</w:t>
            </w:r>
          </w:p>
          <w:p w14:paraId="1B423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highlight w:val="none"/>
              </w:rPr>
            </w:pPr>
            <w:r>
              <w:rPr>
                <w:rFonts w:hint="eastAsia" w:ascii="宋体" w:hAnsi="宋体"/>
                <w:b w:val="0"/>
                <w:bCs w:val="0"/>
                <w:color w:val="auto"/>
                <w:sz w:val="24"/>
                <w:highlight w:val="none"/>
                <w:u w:val="none"/>
                <w:lang w:val="en-US" w:eastAsia="zh-CN"/>
              </w:rPr>
              <w:t>一般工业</w:t>
            </w:r>
            <w:r>
              <w:rPr>
                <w:rFonts w:hint="default" w:ascii="宋体" w:hAnsi="宋体"/>
                <w:color w:val="auto"/>
                <w:sz w:val="24"/>
                <w:highlight w:val="none"/>
                <w:u w:val="none"/>
              </w:rPr>
              <w:t>固体废物</w:t>
            </w:r>
            <w:r>
              <w:rPr>
                <w:rFonts w:hint="eastAsia" w:ascii="宋体" w:hAnsi="宋体"/>
                <w:color w:val="auto"/>
                <w:sz w:val="24"/>
                <w:highlight w:val="none"/>
                <w:u w:val="none"/>
                <w:lang w:val="en-US" w:eastAsia="zh-CN"/>
              </w:rPr>
              <w:t>参照</w:t>
            </w:r>
            <w:r>
              <w:rPr>
                <w:rFonts w:hint="default" w:ascii="宋体" w:hAnsi="宋体"/>
                <w:color w:val="auto"/>
                <w:sz w:val="24"/>
                <w:highlight w:val="none"/>
                <w:u w:val="none"/>
              </w:rPr>
              <w:t>《一般工业固体废物贮存</w:t>
            </w:r>
            <w:r>
              <w:rPr>
                <w:rFonts w:hint="eastAsia" w:ascii="宋体" w:hAnsi="宋体"/>
                <w:color w:val="auto"/>
                <w:sz w:val="24"/>
                <w:highlight w:val="none"/>
                <w:u w:val="none"/>
              </w:rPr>
              <w:t>和填埋</w:t>
            </w:r>
            <w:r>
              <w:rPr>
                <w:rFonts w:hint="default" w:ascii="宋体" w:hAnsi="宋体"/>
                <w:color w:val="auto"/>
                <w:sz w:val="24"/>
                <w:highlight w:val="none"/>
                <w:u w:val="none"/>
              </w:rPr>
              <w:t>污染控制标准》(GB18599-2020</w:t>
            </w: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相关要求</w:t>
            </w:r>
            <w:r>
              <w:rPr>
                <w:rFonts w:hint="eastAsia" w:ascii="宋体" w:hAnsi="宋体"/>
                <w:color w:val="auto"/>
                <w:sz w:val="24"/>
                <w:highlight w:val="none"/>
                <w:u w:val="none"/>
                <w:lang w:eastAsia="zh-CN"/>
              </w:rPr>
              <w:t>；</w:t>
            </w:r>
            <w:r>
              <w:rPr>
                <w:rFonts w:hint="eastAsia" w:ascii="宋体" w:hAnsi="宋体" w:eastAsia="宋体" w:cs="宋体"/>
                <w:color w:val="auto"/>
                <w:sz w:val="24"/>
                <w:highlight w:val="none"/>
                <w:u w:val="none"/>
              </w:rPr>
              <w:t>危险废物执行《危险废物贮存污染控制标准》</w:t>
            </w:r>
            <w:r>
              <w:rPr>
                <w:rFonts w:hint="eastAsia" w:ascii="宋体" w:hAnsi="宋体" w:cs="宋体"/>
                <w:color w:val="auto"/>
                <w:sz w:val="24"/>
                <w:highlight w:val="none"/>
                <w:u w:val="none"/>
                <w:lang w:eastAsia="zh-CN"/>
              </w:rPr>
              <w:t>(</w:t>
            </w:r>
            <w:r>
              <w:rPr>
                <w:rFonts w:hint="eastAsia" w:ascii="宋体" w:hAnsi="宋体" w:eastAsia="宋体" w:cs="宋体"/>
                <w:color w:val="auto"/>
                <w:sz w:val="24"/>
                <w:highlight w:val="none"/>
                <w:u w:val="none"/>
              </w:rPr>
              <w:t>GB18597-20</w:t>
            </w:r>
            <w:r>
              <w:rPr>
                <w:rFonts w:hint="eastAsia" w:ascii="宋体" w:hAnsi="宋体" w:eastAsia="宋体" w:cs="宋体"/>
                <w:color w:val="auto"/>
                <w:sz w:val="24"/>
                <w:highlight w:val="none"/>
                <w:u w:val="none"/>
                <w:lang w:val="en-US" w:eastAsia="zh-CN"/>
              </w:rPr>
              <w:t>23</w:t>
            </w:r>
            <w:r>
              <w:rPr>
                <w:rFonts w:hint="eastAsia" w:ascii="宋体" w:hAnsi="宋体" w:cs="宋体"/>
                <w:color w:val="auto"/>
                <w:sz w:val="24"/>
                <w:highlight w:val="none"/>
                <w:u w:val="none"/>
                <w:lang w:val="en-US" w:eastAsia="zh-CN"/>
              </w:rPr>
              <w:t>)</w:t>
            </w:r>
            <w:r>
              <w:rPr>
                <w:rFonts w:hint="eastAsia" w:ascii="宋体" w:hAnsi="宋体" w:eastAsia="宋体" w:cs="宋体"/>
                <w:color w:val="auto"/>
                <w:sz w:val="24"/>
                <w:highlight w:val="none"/>
                <w:u w:val="none"/>
              </w:rPr>
              <w:t>中的有关规定和要求</w:t>
            </w:r>
            <w:r>
              <w:rPr>
                <w:rFonts w:hint="default" w:ascii="宋体" w:hAnsi="宋体"/>
                <w:color w:val="auto"/>
                <w:sz w:val="24"/>
                <w:highlight w:val="none"/>
                <w:u w:val="none"/>
              </w:rPr>
              <w:t>；生活垃圾参照《中华人民共和国固体废物污染环境防治法》(2020年修订</w:t>
            </w:r>
            <w:r>
              <w:rPr>
                <w:rFonts w:hint="eastAsia" w:ascii="宋体" w:hAnsi="宋体"/>
                <w:color w:val="auto"/>
                <w:sz w:val="24"/>
                <w:highlight w:val="none"/>
                <w:u w:val="none"/>
                <w:lang w:eastAsia="zh-CN"/>
              </w:rPr>
              <w:t>)</w:t>
            </w:r>
            <w:r>
              <w:rPr>
                <w:rFonts w:hint="default" w:ascii="宋体" w:hAnsi="宋体"/>
                <w:color w:val="auto"/>
                <w:sz w:val="24"/>
                <w:highlight w:val="none"/>
                <w:u w:val="none"/>
              </w:rPr>
              <w:t>第四章生活垃圾污染环境的防治规定要求</w:t>
            </w:r>
            <w:r>
              <w:rPr>
                <w:rFonts w:hint="eastAsia" w:ascii="宋体" w:hAnsi="宋体"/>
                <w:color w:val="auto"/>
                <w:sz w:val="24"/>
                <w:highlight w:val="none"/>
                <w:u w:val="none"/>
                <w:lang w:eastAsia="zh-CN"/>
              </w:rPr>
              <w:t>。</w:t>
            </w:r>
          </w:p>
        </w:tc>
      </w:tr>
      <w:tr w14:paraId="4C531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456" w:type="dxa"/>
            <w:noWrap w:val="0"/>
            <w:vAlign w:val="center"/>
          </w:tcPr>
          <w:p w14:paraId="77BD22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7F3B9E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67B911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指标</w:t>
            </w:r>
          </w:p>
        </w:tc>
        <w:tc>
          <w:tcPr>
            <w:tcW w:w="8604" w:type="dxa"/>
            <w:noWrap w:val="0"/>
            <w:vAlign w:val="center"/>
          </w:tcPr>
          <w:p w14:paraId="6A3E5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目前国家对化学需氧量（COD）、氨氮（NH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VOCs</w:t>
            </w:r>
            <w:r>
              <w:rPr>
                <w:rFonts w:hint="default" w:ascii="Times New Roman" w:hAnsi="Times New Roman" w:cs="Times New Roman"/>
                <w:color w:val="auto"/>
                <w:sz w:val="24"/>
                <w:szCs w:val="24"/>
                <w:highlight w:val="none"/>
              </w:rPr>
              <w:t>、氮氧化物（NO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szCs w:val="24"/>
                <w:highlight w:val="none"/>
                <w:lang w:eastAsia="zh-CN"/>
              </w:rPr>
              <w:t>多</w:t>
            </w:r>
            <w:r>
              <w:rPr>
                <w:rFonts w:hint="default" w:ascii="Times New Roman" w:hAnsi="Times New Roman" w:cs="Times New Roman"/>
                <w:color w:val="auto"/>
                <w:sz w:val="24"/>
                <w:szCs w:val="24"/>
                <w:highlight w:val="none"/>
              </w:rPr>
              <w:t>种主要污染物实行排放总量控制计划管理。</w:t>
            </w:r>
          </w:p>
          <w:p w14:paraId="6BFD066E">
            <w:pPr>
              <w:pStyle w:val="55"/>
              <w:keepNext w:val="0"/>
              <w:keepLines w:val="0"/>
              <w:suppressLineNumbers w:val="0"/>
              <w:spacing w:before="0" w:beforeAutospacing="0" w:after="0" w:afterAutospacing="0" w:line="360" w:lineRule="auto"/>
              <w:ind w:left="0" w:right="0" w:firstLine="480" w:firstLineChars="200"/>
              <w:jc w:val="both"/>
              <w:rPr>
                <w:rFonts w:hint="eastAsia" w:hAnsi="宋体"/>
                <w:color w:val="auto"/>
                <w:kern w:val="44"/>
                <w:sz w:val="24"/>
                <w:szCs w:val="24"/>
                <w:highlight w:val="none"/>
                <w:u w:val="none"/>
                <w:lang w:eastAsia="zh-CN"/>
              </w:rPr>
            </w:pPr>
            <w:r>
              <w:rPr>
                <w:rFonts w:hint="eastAsia" w:hAnsi="宋体"/>
                <w:color w:val="auto"/>
                <w:kern w:val="44"/>
                <w:sz w:val="24"/>
                <w:szCs w:val="24"/>
                <w:highlight w:val="none"/>
                <w:u w:val="none"/>
              </w:rPr>
              <w:t>本项目生活污水经化粪池处理</w:t>
            </w:r>
            <w:r>
              <w:rPr>
                <w:rFonts w:hint="eastAsia" w:hAnsi="宋体"/>
                <w:color w:val="auto"/>
                <w:kern w:val="44"/>
                <w:sz w:val="24"/>
                <w:szCs w:val="24"/>
                <w:highlight w:val="none"/>
                <w:u w:val="none"/>
                <w:lang w:val="en-US" w:eastAsia="zh-CN"/>
              </w:rPr>
              <w:t>后最终进入</w:t>
            </w:r>
            <w:r>
              <w:rPr>
                <w:rFonts w:hint="eastAsia" w:hAnsi="宋体"/>
                <w:b w:val="0"/>
                <w:bCs w:val="0"/>
                <w:color w:val="auto"/>
                <w:sz w:val="24"/>
                <w:szCs w:val="24"/>
                <w:highlight w:val="none"/>
                <w:u w:val="none"/>
                <w:lang w:eastAsia="zh-CN"/>
              </w:rPr>
              <w:t>大榄坪污水处理厂</w:t>
            </w:r>
            <w:r>
              <w:rPr>
                <w:rFonts w:hint="eastAsia" w:ascii="宋体" w:hAnsi="宋体"/>
                <w:b w:val="0"/>
                <w:bCs w:val="0"/>
                <w:color w:val="auto"/>
                <w:sz w:val="24"/>
                <w:szCs w:val="24"/>
                <w:highlight w:val="none"/>
                <w:u w:val="none"/>
                <w:lang w:val="en-US" w:eastAsia="zh-CN"/>
              </w:rPr>
              <w:t>进一步</w:t>
            </w:r>
            <w:r>
              <w:rPr>
                <w:rFonts w:hint="eastAsia" w:hAnsi="宋体"/>
                <w:color w:val="auto"/>
                <w:kern w:val="44"/>
                <w:sz w:val="24"/>
                <w:szCs w:val="24"/>
                <w:highlight w:val="none"/>
                <w:u w:val="none"/>
              </w:rPr>
              <w:t>处理，总量由该污水处理厂统计，本项目不再重复申报</w:t>
            </w:r>
            <w:r>
              <w:rPr>
                <w:rFonts w:hint="eastAsia" w:hAnsi="宋体"/>
                <w:color w:val="auto"/>
                <w:kern w:val="44"/>
                <w:sz w:val="24"/>
                <w:szCs w:val="24"/>
                <w:highlight w:val="none"/>
                <w:u w:val="none"/>
                <w:lang w:eastAsia="zh-CN"/>
              </w:rPr>
              <w:t>。</w:t>
            </w:r>
          </w:p>
          <w:p w14:paraId="74742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rPr>
            </w:pPr>
            <w:r>
              <w:rPr>
                <w:rFonts w:hint="eastAsia" w:hAnsi="宋体"/>
                <w:color w:val="auto"/>
                <w:kern w:val="44"/>
                <w:sz w:val="24"/>
                <w:szCs w:val="24"/>
                <w:highlight w:val="none"/>
                <w:u w:val="none"/>
              </w:rPr>
              <w:t>本项目总量</w:t>
            </w:r>
            <w:r>
              <w:rPr>
                <w:rFonts w:hint="eastAsia" w:hAnsi="宋体"/>
                <w:color w:val="auto"/>
                <w:kern w:val="44"/>
                <w:sz w:val="24"/>
                <w:szCs w:val="24"/>
                <w:highlight w:val="none"/>
                <w:u w:val="none"/>
                <w:lang w:val="en-US" w:eastAsia="zh-CN"/>
              </w:rPr>
              <w:t>指标</w:t>
            </w:r>
            <w:r>
              <w:rPr>
                <w:rFonts w:hint="eastAsia" w:hAnsi="宋体"/>
                <w:color w:val="auto"/>
                <w:kern w:val="44"/>
                <w:sz w:val="24"/>
                <w:szCs w:val="24"/>
                <w:highlight w:val="none"/>
                <w:u w:val="none"/>
              </w:rPr>
              <w:t>控制建议</w:t>
            </w:r>
            <w:r>
              <w:rPr>
                <w:rFonts w:hint="eastAsia" w:hAnsi="宋体"/>
                <w:color w:val="auto"/>
                <w:kern w:val="44"/>
                <w:sz w:val="24"/>
                <w:szCs w:val="24"/>
                <w:highlight w:val="none"/>
                <w:u w:val="none"/>
                <w:lang w:val="en-US" w:eastAsia="zh-CN"/>
              </w:rPr>
              <w:t>值</w:t>
            </w:r>
            <w:r>
              <w:rPr>
                <w:rFonts w:hint="eastAsia" w:hAnsi="宋体"/>
                <w:color w:val="auto"/>
                <w:kern w:val="44"/>
                <w:sz w:val="24"/>
                <w:szCs w:val="24"/>
                <w:highlight w:val="none"/>
                <w:u w:val="none"/>
              </w:rPr>
              <w:t>为</w:t>
            </w:r>
            <w:r>
              <w:rPr>
                <w:rFonts w:hint="default" w:hAnsi="宋体" w:cs="Times New Roman"/>
                <w:color w:val="auto"/>
                <w:kern w:val="44"/>
                <w:sz w:val="24"/>
                <w:szCs w:val="24"/>
                <w:highlight w:val="none"/>
                <w:u w:val="none"/>
              </w:rPr>
              <w:t>：COD：0t/a、氨氮：0t/a、SO</w:t>
            </w:r>
            <w:r>
              <w:rPr>
                <w:rFonts w:hint="default" w:hAnsi="宋体" w:cs="Times New Roman"/>
                <w:color w:val="auto"/>
                <w:kern w:val="44"/>
                <w:sz w:val="24"/>
                <w:szCs w:val="24"/>
                <w:highlight w:val="none"/>
                <w:u w:val="none"/>
                <w:vertAlign w:val="subscript"/>
              </w:rPr>
              <w:t>2</w:t>
            </w:r>
            <w:r>
              <w:rPr>
                <w:rFonts w:hint="default" w:hAnsi="宋体" w:cs="Times New Roman"/>
                <w:color w:val="auto"/>
                <w:kern w:val="44"/>
                <w:sz w:val="24"/>
                <w:szCs w:val="24"/>
                <w:highlight w:val="none"/>
                <w:u w:val="none"/>
              </w:rPr>
              <w:t>：0t/a、NOx：0t/a</w:t>
            </w:r>
            <w:r>
              <w:rPr>
                <w:rFonts w:hint="eastAsia" w:hAnsi="宋体" w:cs="Times New Roman"/>
                <w:color w:val="auto"/>
                <w:kern w:val="44"/>
                <w:sz w:val="24"/>
                <w:szCs w:val="24"/>
                <w:highlight w:val="none"/>
                <w:u w:val="none"/>
              </w:rPr>
              <w:t>、V</w:t>
            </w:r>
            <w:r>
              <w:rPr>
                <w:rFonts w:hint="default" w:hAnsi="宋体" w:cs="Times New Roman"/>
                <w:color w:val="auto"/>
                <w:kern w:val="44"/>
                <w:sz w:val="24"/>
                <w:szCs w:val="24"/>
                <w:highlight w:val="none"/>
                <w:u w:val="none"/>
              </w:rPr>
              <w:t>OC</w:t>
            </w:r>
            <w:r>
              <w:rPr>
                <w:rFonts w:hint="eastAsia" w:hAnsi="宋体" w:cs="Times New Roman"/>
                <w:color w:val="auto"/>
                <w:kern w:val="44"/>
                <w:sz w:val="24"/>
                <w:szCs w:val="24"/>
                <w:highlight w:val="none"/>
                <w:u w:val="none"/>
              </w:rPr>
              <w:t>s：</w:t>
            </w:r>
            <w:r>
              <w:rPr>
                <w:rFonts w:hint="eastAsia" w:hAnsi="宋体" w:cs="Times New Roman"/>
                <w:color w:val="auto"/>
                <w:kern w:val="44"/>
                <w:sz w:val="24"/>
                <w:szCs w:val="24"/>
                <w:highlight w:val="none"/>
                <w:u w:val="none"/>
                <w:lang w:val="en-US" w:eastAsia="zh-CN"/>
              </w:rPr>
              <w:t>0.253</w:t>
            </w:r>
            <w:r>
              <w:rPr>
                <w:rFonts w:hint="eastAsia" w:hAnsi="宋体" w:cs="Times New Roman"/>
                <w:color w:val="auto"/>
                <w:kern w:val="44"/>
                <w:sz w:val="24"/>
                <w:szCs w:val="24"/>
                <w:highlight w:val="none"/>
                <w:u w:val="none"/>
              </w:rPr>
              <w:t>t</w:t>
            </w:r>
            <w:r>
              <w:rPr>
                <w:rFonts w:hint="default" w:hAnsi="宋体" w:cs="Times New Roman"/>
                <w:color w:val="auto"/>
                <w:kern w:val="44"/>
                <w:sz w:val="24"/>
                <w:szCs w:val="24"/>
                <w:highlight w:val="none"/>
                <w:u w:val="none"/>
              </w:rPr>
              <w:t>/a。</w:t>
            </w:r>
          </w:p>
        </w:tc>
      </w:tr>
    </w:tbl>
    <w:p w14:paraId="1F04BCFE">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10" w:name="_Toc15801"/>
      <w:r>
        <w:rPr>
          <w:rFonts w:hint="default" w:ascii="Times New Roman" w:hAnsi="Times New Roman" w:eastAsia="黑体" w:cs="Times New Roman"/>
          <w:snapToGrid w:val="0"/>
          <w:color w:val="auto"/>
          <w:sz w:val="30"/>
          <w:szCs w:val="30"/>
          <w:highlight w:val="none"/>
        </w:rPr>
        <w:t>四、主要环境影响和保护措施</w:t>
      </w:r>
      <w:bookmarkEnd w:id="10"/>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383"/>
      </w:tblGrid>
      <w:tr w14:paraId="2B066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dxa"/>
            <w:noWrap w:val="0"/>
            <w:tcMar>
              <w:left w:w="28" w:type="dxa"/>
              <w:right w:w="28" w:type="dxa"/>
            </w:tcMar>
            <w:vAlign w:val="center"/>
          </w:tcPr>
          <w:p w14:paraId="05E24A96">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14:paraId="28E302E4">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14:paraId="2E21AB2D">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14:paraId="51F746F9">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14:paraId="2BC5F501">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4"/>
                <w:szCs w:val="24"/>
                <w:highlight w:val="none"/>
              </w:rPr>
              <w:t>施</w:t>
            </w:r>
          </w:p>
        </w:tc>
        <w:tc>
          <w:tcPr>
            <w:tcW w:w="8383" w:type="dxa"/>
            <w:noWrap w:val="0"/>
            <w:vAlign w:val="center"/>
          </w:tcPr>
          <w:p w14:paraId="03EE3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项目施工期主要</w:t>
            </w:r>
            <w:r>
              <w:rPr>
                <w:rFonts w:hint="default" w:ascii="Times New Roman" w:hAnsi="Times New Roman" w:cs="Times New Roman"/>
                <w:color w:val="auto"/>
                <w:sz w:val="24"/>
                <w:szCs w:val="24"/>
                <w:highlight w:val="none"/>
                <w:u w:val="none"/>
                <w:lang w:val="en-US" w:eastAsia="zh-CN"/>
              </w:rPr>
              <w:t>在现有场地上完善厂房建设以及配套环保设施的安装</w:t>
            </w:r>
            <w:r>
              <w:rPr>
                <w:rFonts w:hint="default" w:ascii="Times New Roman" w:hAnsi="Times New Roman" w:eastAsia="宋体" w:cs="Times New Roman"/>
                <w:color w:val="auto"/>
                <w:sz w:val="24"/>
                <w:szCs w:val="24"/>
                <w:highlight w:val="none"/>
                <w:u w:val="none"/>
              </w:rPr>
              <w:t>。项目施工建设过程中</w:t>
            </w:r>
            <w:r>
              <w:rPr>
                <w:rFonts w:hint="default" w:ascii="Times New Roman" w:hAnsi="Times New Roman" w:cs="Times New Roman"/>
                <w:color w:val="auto"/>
                <w:sz w:val="24"/>
                <w:szCs w:val="24"/>
                <w:highlight w:val="none"/>
                <w:u w:val="none"/>
                <w:lang w:eastAsia="zh-CN"/>
              </w:rPr>
              <w:t>会</w:t>
            </w:r>
            <w:r>
              <w:rPr>
                <w:rFonts w:hint="default" w:ascii="Times New Roman" w:hAnsi="Times New Roman" w:eastAsia="宋体" w:cs="Times New Roman"/>
                <w:color w:val="auto"/>
                <w:sz w:val="24"/>
                <w:szCs w:val="24"/>
                <w:highlight w:val="none"/>
                <w:u w:val="none"/>
              </w:rPr>
              <w:t>产生的</w:t>
            </w:r>
            <w:r>
              <w:rPr>
                <w:rFonts w:hint="default" w:ascii="Times New Roman" w:hAnsi="Times New Roman" w:cs="Times New Roman"/>
                <w:color w:val="auto"/>
                <w:sz w:val="24"/>
                <w:szCs w:val="24"/>
                <w:highlight w:val="none"/>
                <w:u w:val="none"/>
                <w:lang w:eastAsia="zh-CN"/>
              </w:rPr>
              <w:t>少量废气</w:t>
            </w:r>
            <w:r>
              <w:rPr>
                <w:rFonts w:hint="default" w:ascii="Times New Roman" w:hAnsi="Times New Roman" w:eastAsia="宋体" w:cs="Times New Roman"/>
                <w:color w:val="auto"/>
                <w:sz w:val="24"/>
                <w:szCs w:val="24"/>
                <w:highlight w:val="none"/>
                <w:u w:val="none"/>
              </w:rPr>
              <w:t>、废水、噪声、</w:t>
            </w:r>
            <w:r>
              <w:rPr>
                <w:rFonts w:hint="default" w:ascii="Times New Roman" w:hAnsi="Times New Roman" w:cs="Times New Roman"/>
                <w:color w:val="auto"/>
                <w:sz w:val="24"/>
                <w:szCs w:val="24"/>
                <w:highlight w:val="none"/>
                <w:u w:val="none"/>
                <w:lang w:eastAsia="zh-CN"/>
              </w:rPr>
              <w:t>固体废物</w:t>
            </w:r>
            <w:r>
              <w:rPr>
                <w:rFonts w:hint="default" w:ascii="Times New Roman" w:hAnsi="Times New Roman" w:eastAsia="宋体" w:cs="Times New Roman"/>
                <w:color w:val="auto"/>
                <w:sz w:val="24"/>
                <w:szCs w:val="24"/>
                <w:highlight w:val="none"/>
                <w:u w:val="none"/>
              </w:rPr>
              <w:t>，</w:t>
            </w:r>
            <w:r>
              <w:rPr>
                <w:rFonts w:hint="default" w:ascii="Times New Roman" w:hAnsi="Times New Roman" w:cs="Times New Roman"/>
                <w:color w:val="auto"/>
                <w:sz w:val="24"/>
                <w:szCs w:val="24"/>
                <w:highlight w:val="none"/>
                <w:u w:val="none"/>
                <w:lang w:eastAsia="zh-CN"/>
              </w:rPr>
              <w:t>但施工量较少，且</w:t>
            </w:r>
            <w:r>
              <w:rPr>
                <w:rFonts w:hint="default" w:ascii="Times New Roman" w:hAnsi="Times New Roman" w:eastAsia="宋体" w:cs="Times New Roman"/>
                <w:color w:val="auto"/>
                <w:sz w:val="24"/>
                <w:szCs w:val="24"/>
                <w:highlight w:val="none"/>
                <w:u w:val="none"/>
              </w:rPr>
              <w:t>活动简单，随着施工期的结束，项目施工产生的影响也随之消退，</w:t>
            </w:r>
            <w:r>
              <w:rPr>
                <w:rFonts w:hint="default" w:ascii="Times New Roman" w:hAnsi="Times New Roman" w:cs="Times New Roman"/>
                <w:color w:val="auto"/>
                <w:sz w:val="24"/>
                <w:szCs w:val="24"/>
                <w:highlight w:val="none"/>
                <w:u w:val="none"/>
                <w:lang w:eastAsia="zh-CN"/>
              </w:rPr>
              <w:t>对</w:t>
            </w:r>
            <w:r>
              <w:rPr>
                <w:rFonts w:hint="default" w:ascii="Times New Roman" w:hAnsi="Times New Roman" w:eastAsia="宋体" w:cs="Times New Roman"/>
                <w:color w:val="auto"/>
                <w:sz w:val="24"/>
                <w:szCs w:val="24"/>
                <w:highlight w:val="none"/>
                <w:u w:val="none"/>
              </w:rPr>
              <w:t>环境影响较小。因此，本次环评不对施工期进行详细分析。</w:t>
            </w:r>
          </w:p>
          <w:p w14:paraId="5825C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lang w:eastAsia="zh-CN"/>
              </w:rPr>
              <w:t>项目</w:t>
            </w:r>
            <w:r>
              <w:rPr>
                <w:rFonts w:hint="default" w:ascii="Times New Roman" w:hAnsi="Times New Roman" w:eastAsia="宋体" w:cs="Times New Roman"/>
                <w:color w:val="auto"/>
                <w:sz w:val="24"/>
                <w:szCs w:val="24"/>
                <w:highlight w:val="none"/>
                <w:u w:val="none"/>
              </w:rPr>
              <w:t>施工期</w:t>
            </w:r>
            <w:r>
              <w:rPr>
                <w:rFonts w:hint="default" w:ascii="Times New Roman" w:hAnsi="Times New Roman" w:cs="Times New Roman"/>
                <w:color w:val="auto"/>
                <w:sz w:val="24"/>
                <w:szCs w:val="24"/>
                <w:highlight w:val="none"/>
                <w:u w:val="none"/>
                <w:lang w:eastAsia="zh-CN"/>
              </w:rPr>
              <w:t>采取的</w:t>
            </w:r>
            <w:r>
              <w:rPr>
                <w:rFonts w:hint="default" w:ascii="Times New Roman" w:hAnsi="Times New Roman" w:eastAsia="宋体" w:cs="Times New Roman"/>
                <w:color w:val="auto"/>
                <w:sz w:val="24"/>
                <w:szCs w:val="24"/>
                <w:highlight w:val="none"/>
                <w:u w:val="none"/>
              </w:rPr>
              <w:t>环境保护措施</w:t>
            </w:r>
            <w:r>
              <w:rPr>
                <w:rFonts w:hint="default" w:ascii="Times New Roman" w:hAnsi="Times New Roman" w:cs="Times New Roman"/>
                <w:color w:val="auto"/>
                <w:sz w:val="24"/>
                <w:szCs w:val="24"/>
                <w:highlight w:val="none"/>
                <w:u w:val="none"/>
                <w:lang w:eastAsia="zh-CN"/>
              </w:rPr>
              <w:t>如下：</w:t>
            </w:r>
          </w:p>
          <w:p w14:paraId="5614BEA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1、施工扬尘防治措施</w:t>
            </w:r>
          </w:p>
          <w:p w14:paraId="559629F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①施工现场架设高2.5～3米围墙，封闭施工现场；</w:t>
            </w:r>
          </w:p>
          <w:p w14:paraId="310CC6F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②建材运输往来车辆采取遮盖措施，盖上笘布、防止遗落和风吹起尘；</w:t>
            </w:r>
          </w:p>
          <w:p w14:paraId="3F88564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③施工现场道路加强维护、勤洒水，保持一定湿度，控制二次扬尘的产生；</w:t>
            </w:r>
          </w:p>
          <w:p w14:paraId="78F0FDE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④限制车速，合理分流车辆，防止车辆过度集中；</w:t>
            </w:r>
          </w:p>
          <w:p w14:paraId="67E3898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⑤科学调试，合理堆存，减少扬尘。对需在工期堆存的物料如水泥、石灰等要加遮盖物或置于料库中；</w:t>
            </w:r>
          </w:p>
          <w:p w14:paraId="7063148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⑥施工过程中产生的弃土、弃料及其他建筑垃圾，应及时清运，若在工地内堆置超过一定时间，应覆盖防尘布或防尘网，定期喷水抑尘，防治风蚀起尘；</w:t>
            </w:r>
          </w:p>
          <w:p w14:paraId="2607C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2、施工期废水防治措施</w:t>
            </w:r>
          </w:p>
          <w:p w14:paraId="0B9D3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rPr>
            </w:pPr>
            <w:r>
              <w:rPr>
                <w:rFonts w:hint="default" w:ascii="Times New Roman" w:hAnsi="Times New Roman" w:eastAsia="宋体" w:cs="Times New Roman"/>
                <w:color w:val="auto"/>
                <w:kern w:val="0"/>
                <w:sz w:val="24"/>
                <w:szCs w:val="24"/>
                <w:highlight w:val="none"/>
                <w:u w:val="none"/>
                <w:lang w:val="en-US" w:eastAsia="zh-CN"/>
              </w:rPr>
              <w:t>项目施工期会产生少量的</w:t>
            </w:r>
            <w:r>
              <w:rPr>
                <w:rFonts w:hint="default" w:ascii="Times New Roman" w:hAnsi="Times New Roman" w:eastAsia="宋体" w:cs="Times New Roman"/>
                <w:color w:val="auto"/>
                <w:kern w:val="0"/>
                <w:sz w:val="24"/>
                <w:szCs w:val="24"/>
                <w:highlight w:val="none"/>
                <w:u w:val="none"/>
                <w:lang w:eastAsia="zh-CN"/>
              </w:rPr>
              <w:t>生活污水，施工期生活污水依托</w:t>
            </w:r>
            <w:r>
              <w:rPr>
                <w:rFonts w:hint="default" w:ascii="Times New Roman" w:hAnsi="Times New Roman" w:cs="Times New Roman"/>
                <w:color w:val="auto"/>
                <w:kern w:val="0"/>
                <w:sz w:val="24"/>
                <w:szCs w:val="24"/>
                <w:highlight w:val="none"/>
                <w:u w:val="none"/>
                <w:lang w:eastAsia="zh-CN"/>
              </w:rPr>
              <w:t>广西北部湾国际集装箱码头有限公司</w:t>
            </w:r>
            <w:r>
              <w:rPr>
                <w:rFonts w:hint="default" w:ascii="Times New Roman" w:hAnsi="Times New Roman" w:eastAsia="宋体" w:cs="Times New Roman"/>
                <w:color w:val="auto"/>
                <w:kern w:val="0"/>
                <w:sz w:val="24"/>
                <w:szCs w:val="24"/>
                <w:highlight w:val="none"/>
                <w:u w:val="none"/>
                <w:lang w:eastAsia="zh-CN"/>
              </w:rPr>
              <w:t>现有废水处理系统收集处理</w:t>
            </w:r>
            <w:r>
              <w:rPr>
                <w:rFonts w:hint="default" w:ascii="Times New Roman" w:hAnsi="Times New Roman" w:eastAsia="宋体" w:cs="Times New Roman"/>
                <w:color w:val="auto"/>
                <w:kern w:val="0"/>
                <w:sz w:val="24"/>
                <w:szCs w:val="24"/>
                <w:highlight w:val="none"/>
                <w:u w:val="none"/>
                <w:lang w:val="en-US" w:eastAsia="zh-CN"/>
              </w:rPr>
              <w:t>达到</w:t>
            </w:r>
            <w:r>
              <w:rPr>
                <w:rFonts w:hint="eastAsia" w:ascii="宋体" w:hAnsi="宋体"/>
                <w:b w:val="0"/>
                <w:bCs w:val="0"/>
                <w:color w:val="auto"/>
                <w:sz w:val="24"/>
                <w:highlight w:val="none"/>
                <w:u w:val="none"/>
              </w:rPr>
              <w:t>《污水综合排放标准》</w:t>
            </w:r>
            <w:r>
              <w:rPr>
                <w:rFonts w:hint="eastAsia" w:ascii="宋体" w:hAnsi="宋体"/>
                <w:b w:val="0"/>
                <w:bCs w:val="0"/>
                <w:color w:val="auto"/>
                <w:sz w:val="24"/>
                <w:highlight w:val="none"/>
                <w:u w:val="none"/>
                <w:lang w:eastAsia="zh-CN"/>
              </w:rPr>
              <w:t>(</w:t>
            </w:r>
            <w:r>
              <w:rPr>
                <w:rFonts w:hint="eastAsia" w:ascii="宋体" w:hAnsi="宋体"/>
                <w:b w:val="0"/>
                <w:bCs w:val="0"/>
                <w:color w:val="auto"/>
                <w:sz w:val="24"/>
                <w:highlight w:val="none"/>
                <w:u w:val="none"/>
              </w:rPr>
              <w:t>GB8978-1996</w:t>
            </w:r>
            <w:r>
              <w:rPr>
                <w:rFonts w:hint="eastAsia" w:ascii="宋体" w:hAnsi="宋体"/>
                <w:b w:val="0"/>
                <w:bCs w:val="0"/>
                <w:color w:val="auto"/>
                <w:sz w:val="24"/>
                <w:highlight w:val="none"/>
                <w:u w:val="none"/>
                <w:lang w:eastAsia="zh-CN"/>
              </w:rPr>
              <w:t>)</w:t>
            </w:r>
            <w:r>
              <w:rPr>
                <w:rFonts w:hint="eastAsia" w:ascii="宋体" w:hAnsi="宋体"/>
                <w:b w:val="0"/>
                <w:bCs w:val="0"/>
                <w:color w:val="auto"/>
                <w:sz w:val="24"/>
                <w:highlight w:val="none"/>
                <w:u w:val="none"/>
                <w:lang w:val="en-US" w:eastAsia="zh-CN"/>
              </w:rPr>
              <w:t>表4</w:t>
            </w:r>
            <w:r>
              <w:rPr>
                <w:rFonts w:hint="eastAsia" w:ascii="宋体" w:hAnsi="宋体"/>
                <w:b w:val="0"/>
                <w:bCs w:val="0"/>
                <w:color w:val="auto"/>
                <w:sz w:val="24"/>
                <w:highlight w:val="none"/>
                <w:u w:val="none"/>
              </w:rPr>
              <w:t>三级标准</w:t>
            </w:r>
            <w:r>
              <w:rPr>
                <w:rFonts w:hint="eastAsia" w:ascii="宋体" w:hAnsi="宋体"/>
                <w:b w:val="0"/>
                <w:bCs w:val="0"/>
                <w:color w:val="auto"/>
                <w:sz w:val="24"/>
                <w:highlight w:val="none"/>
                <w:u w:val="none"/>
                <w:lang w:val="en-US" w:eastAsia="zh-CN"/>
              </w:rPr>
              <w:t>及</w:t>
            </w:r>
            <w:r>
              <w:rPr>
                <w:rFonts w:hint="eastAsia" w:ascii="宋体" w:hAnsi="宋体"/>
                <w:b w:val="0"/>
                <w:bCs w:val="0"/>
                <w:color w:val="auto"/>
                <w:sz w:val="24"/>
                <w:highlight w:val="none"/>
                <w:u w:val="none"/>
                <w:lang w:eastAsia="zh-CN"/>
              </w:rPr>
              <w:t>大榄坪污水处理厂</w:t>
            </w:r>
            <w:r>
              <w:rPr>
                <w:rFonts w:hint="eastAsia" w:ascii="宋体" w:hAnsi="宋体"/>
                <w:b w:val="0"/>
                <w:bCs w:val="0"/>
                <w:color w:val="auto"/>
                <w:sz w:val="24"/>
                <w:highlight w:val="none"/>
                <w:u w:val="none"/>
                <w:lang w:val="en-US" w:eastAsia="zh-CN"/>
              </w:rPr>
              <w:t>进水水质要求，排入污水管网进入大榄坪污水处理厂处理</w:t>
            </w:r>
            <w:r>
              <w:rPr>
                <w:rFonts w:hint="default" w:ascii="Times New Roman" w:hAnsi="Times New Roman" w:eastAsia="宋体" w:cs="Times New Roman"/>
                <w:color w:val="auto"/>
                <w:kern w:val="0"/>
                <w:sz w:val="24"/>
                <w:szCs w:val="24"/>
                <w:highlight w:val="none"/>
                <w:u w:val="none"/>
                <w:lang w:eastAsia="zh-CN"/>
              </w:rPr>
              <w:t>。</w:t>
            </w:r>
          </w:p>
          <w:p w14:paraId="127CE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3、施工噪声防治措施</w:t>
            </w:r>
          </w:p>
          <w:p w14:paraId="662449C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①在设备选型时尽量采用低噪声设备，在高噪声设备附近加设简易隔声屏。</w:t>
            </w:r>
          </w:p>
          <w:p w14:paraId="6C35350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②合理安排施工时间。机械施工时，应严格执行《建筑施工场界环境噪声排放标准》（GB12523-2011）</w:t>
            </w:r>
            <w:r>
              <w:rPr>
                <w:rFonts w:hint="default" w:ascii="Times New Roman" w:hAnsi="Times New Roman" w:cs="Times New Roman" w:eastAsiaTheme="minorEastAsia"/>
                <w:color w:val="auto"/>
                <w:sz w:val="24"/>
                <w:highlight w:val="none"/>
                <w:u w:val="none"/>
                <w:lang w:eastAsia="zh-CN"/>
              </w:rPr>
              <w:t>的相关</w:t>
            </w:r>
            <w:r>
              <w:rPr>
                <w:rFonts w:hint="default" w:ascii="Times New Roman" w:hAnsi="Times New Roman" w:cs="Times New Roman" w:eastAsiaTheme="minorEastAsia"/>
                <w:color w:val="auto"/>
                <w:sz w:val="24"/>
                <w:highlight w:val="none"/>
                <w:u w:val="none"/>
              </w:rPr>
              <w:t>要求，对产生强噪声的作业，一般不宜在夜间进行；项目所需混凝土采取外购形式，严禁现场搅拌；对必须在夜间施工的作业，应做到进出场物料的装卸要轻装轻卸、运输车辆禁鸣高音喇叭。</w:t>
            </w:r>
          </w:p>
          <w:p w14:paraId="32F4DA2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③合理布局施工现场。</w:t>
            </w:r>
          </w:p>
          <w:p w14:paraId="22F7BB5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④加强管理，尽量减少人为噪声。</w:t>
            </w:r>
          </w:p>
          <w:p w14:paraId="6652F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highlight w:val="none"/>
                <w:u w:val="none"/>
              </w:rPr>
            </w:pPr>
            <w:r>
              <w:rPr>
                <w:rFonts w:hint="default" w:ascii="Times New Roman" w:hAnsi="Times New Roman" w:cs="Times New Roman" w:eastAsiaTheme="minorEastAsia"/>
                <w:b/>
                <w:bCs/>
                <w:color w:val="auto"/>
                <w:sz w:val="24"/>
                <w:highlight w:val="none"/>
                <w:u w:val="none"/>
              </w:rPr>
              <w:t>4、施工期固体废弃物防治措施</w:t>
            </w:r>
          </w:p>
          <w:p w14:paraId="71BD6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rPr>
            </w:pPr>
            <w:r>
              <w:rPr>
                <w:rFonts w:hint="default" w:ascii="Times New Roman" w:hAnsi="Times New Roman" w:cs="Times New Roman" w:eastAsiaTheme="minorEastAsia"/>
                <w:color w:val="auto"/>
                <w:sz w:val="24"/>
                <w:highlight w:val="none"/>
                <w:u w:val="none"/>
              </w:rPr>
              <w:t>①建筑垃圾中的钢筋可以回收利用的全部回收利用；其它的混凝土块等无法回收利用的，按城市规划管理局对建筑垃圾的管理办法进行处置；在建设过程中，建设单位应请具有建筑垃圾运输许可证的单位规范运输，不得随意倾倒建筑垃圾。</w:t>
            </w:r>
          </w:p>
          <w:p w14:paraId="04AEEF7E">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sz w:val="24"/>
                <w:highlight w:val="none"/>
                <w:u w:val="none"/>
                <w:lang w:eastAsia="zh-CN"/>
              </w:rPr>
              <w:t>②</w:t>
            </w:r>
            <w:r>
              <w:rPr>
                <w:rFonts w:hint="default" w:ascii="Times New Roman" w:hAnsi="Times New Roman" w:cs="Times New Roman" w:eastAsiaTheme="minorEastAsia"/>
                <w:color w:val="auto"/>
                <w:sz w:val="24"/>
                <w:highlight w:val="none"/>
                <w:u w:val="none"/>
              </w:rPr>
              <w:t>施工人员生活垃圾集中收集，由环卫部门统一清运处理。</w:t>
            </w:r>
          </w:p>
        </w:tc>
      </w:tr>
      <w:tr w14:paraId="5F166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2" w:hRule="atLeast"/>
          <w:jc w:val="center"/>
        </w:trPr>
        <w:tc>
          <w:tcPr>
            <w:tcW w:w="598" w:type="dxa"/>
            <w:noWrap w:val="0"/>
            <w:tcMar>
              <w:left w:w="28" w:type="dxa"/>
              <w:right w:w="28" w:type="dxa"/>
            </w:tcMar>
            <w:vAlign w:val="center"/>
          </w:tcPr>
          <w:p w14:paraId="44FCB3C4">
            <w:pPr>
              <w:pStyle w:val="4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eastAsia="宋体" w:cs="Times New Roman"/>
                <w:color w:val="auto"/>
                <w:sz w:val="24"/>
                <w:highlight w:val="none"/>
                <w:u w:val="none"/>
              </w:rPr>
              <w:t>运营期环境影响和环境保护措施</w:t>
            </w:r>
          </w:p>
        </w:tc>
        <w:tc>
          <w:tcPr>
            <w:tcW w:w="8383" w:type="dxa"/>
            <w:noWrap w:val="0"/>
            <w:vAlign w:val="center"/>
          </w:tcPr>
          <w:p w14:paraId="434CE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cs="Times New Roman"/>
                <w:b/>
                <w:bCs/>
                <w:color w:val="auto"/>
                <w:sz w:val="24"/>
                <w:szCs w:val="24"/>
                <w:highlight w:val="none"/>
                <w:u w:val="none"/>
                <w:lang w:val="en-US" w:eastAsia="zh-CN"/>
              </w:rPr>
              <w:t>一</w:t>
            </w:r>
            <w:r>
              <w:rPr>
                <w:rFonts w:hint="default" w:ascii="Times New Roman" w:hAnsi="Times New Roman" w:eastAsia="宋体" w:cs="Times New Roman"/>
                <w:b/>
                <w:bCs/>
                <w:color w:val="auto"/>
                <w:sz w:val="24"/>
                <w:szCs w:val="24"/>
                <w:highlight w:val="none"/>
                <w:u w:val="none"/>
              </w:rPr>
              <w:t>、大气环境影响和保护措施</w:t>
            </w:r>
          </w:p>
          <w:p w14:paraId="4AD33605">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 w:val="0"/>
                <w:bCs/>
                <w:color w:val="auto"/>
                <w:sz w:val="24"/>
                <w:szCs w:val="24"/>
                <w:highlight w:val="none"/>
                <w:u w:val="none"/>
                <w:lang w:val="en-US" w:eastAsia="zh-CN"/>
              </w:rPr>
            </w:pPr>
            <w:r>
              <w:rPr>
                <w:rFonts w:hint="default" w:ascii="Times New Roman" w:hAnsi="Times New Roman" w:cs="Times New Roman"/>
                <w:b w:val="0"/>
                <w:bCs/>
                <w:color w:val="auto"/>
                <w:w w:val="100"/>
                <w:sz w:val="24"/>
                <w:szCs w:val="24"/>
                <w:highlight w:val="none"/>
                <w:u w:val="none"/>
                <w:lang w:val="en-US" w:eastAsia="zh-CN"/>
              </w:rPr>
              <w:t>本</w:t>
            </w:r>
            <w:r>
              <w:rPr>
                <w:rFonts w:hint="default" w:ascii="Times New Roman" w:hAnsi="Times New Roman" w:eastAsia="宋体" w:cs="Times New Roman"/>
                <w:b w:val="0"/>
                <w:bCs/>
                <w:color w:val="auto"/>
                <w:sz w:val="24"/>
                <w:szCs w:val="24"/>
                <w:highlight w:val="none"/>
                <w:u w:val="none"/>
                <w:lang w:val="en-US" w:eastAsia="zh-CN"/>
              </w:rPr>
              <w:t>项目废气污染物产生、治理及排放情况汇总情况见表</w:t>
            </w:r>
            <w:r>
              <w:rPr>
                <w:rFonts w:hint="default" w:ascii="Times New Roman" w:hAnsi="Times New Roman" w:cs="Times New Roman"/>
                <w:b w:val="0"/>
                <w:bCs/>
                <w:color w:val="auto"/>
                <w:sz w:val="24"/>
                <w:szCs w:val="24"/>
                <w:highlight w:val="none"/>
                <w:u w:val="none"/>
                <w:lang w:val="en-US" w:eastAsia="zh-CN"/>
              </w:rPr>
              <w:t>4-</w:t>
            </w:r>
            <w:r>
              <w:rPr>
                <w:rFonts w:hint="eastAsia" w:cs="Times New Roman"/>
                <w:b w:val="0"/>
                <w:bCs/>
                <w:color w:val="auto"/>
                <w:sz w:val="24"/>
                <w:szCs w:val="24"/>
                <w:highlight w:val="none"/>
                <w:u w:val="none"/>
                <w:lang w:val="en-US" w:eastAsia="zh-CN"/>
              </w:rPr>
              <w:t>1</w:t>
            </w:r>
            <w:r>
              <w:rPr>
                <w:rFonts w:hint="default" w:ascii="Times New Roman" w:hAnsi="Times New Roman" w:eastAsia="宋体" w:cs="Times New Roman"/>
                <w:b w:val="0"/>
                <w:bCs/>
                <w:color w:val="auto"/>
                <w:sz w:val="24"/>
                <w:szCs w:val="24"/>
                <w:highlight w:val="none"/>
                <w:u w:val="none"/>
                <w:lang w:val="en-US" w:eastAsia="zh-CN"/>
              </w:rPr>
              <w:t>，排放口信息见表</w:t>
            </w:r>
            <w:r>
              <w:rPr>
                <w:rFonts w:hint="default" w:ascii="Times New Roman" w:hAnsi="Times New Roman" w:cs="Times New Roman"/>
                <w:b w:val="0"/>
                <w:bCs/>
                <w:color w:val="auto"/>
                <w:sz w:val="24"/>
                <w:szCs w:val="24"/>
                <w:highlight w:val="none"/>
                <w:u w:val="none"/>
                <w:lang w:val="en-US" w:eastAsia="zh-CN"/>
              </w:rPr>
              <w:t>4-</w:t>
            </w:r>
            <w:r>
              <w:rPr>
                <w:rFonts w:hint="eastAsia" w:cs="Times New Roman"/>
                <w:b w:val="0"/>
                <w:bCs/>
                <w:color w:val="auto"/>
                <w:sz w:val="24"/>
                <w:szCs w:val="24"/>
                <w:highlight w:val="none"/>
                <w:u w:val="none"/>
                <w:lang w:val="en-US" w:eastAsia="zh-CN"/>
              </w:rPr>
              <w:t>2</w:t>
            </w:r>
            <w:r>
              <w:rPr>
                <w:rFonts w:hint="default" w:ascii="Times New Roman" w:hAnsi="Times New Roman" w:cs="Times New Roman"/>
                <w:b w:val="0"/>
                <w:bCs/>
                <w:color w:val="auto"/>
                <w:sz w:val="24"/>
                <w:szCs w:val="24"/>
                <w:highlight w:val="none"/>
                <w:u w:val="none"/>
                <w:lang w:val="en-US" w:eastAsia="zh-CN"/>
              </w:rPr>
              <w:t>。</w:t>
            </w:r>
          </w:p>
          <w:p w14:paraId="217FCD3F">
            <w:pPr>
              <w:keepNext w:val="0"/>
              <w:keepLines w:val="0"/>
              <w:suppressLineNumbers w:val="0"/>
              <w:spacing w:before="0" w:beforeAutospacing="0" w:after="0" w:afterAutospacing="0"/>
              <w:ind w:left="0" w:right="0" w:firstLine="480" w:firstLineChars="200"/>
              <w:rPr>
                <w:rFonts w:hint="default" w:ascii="Times New Roman" w:hAnsi="Times New Roman" w:cs="Times New Roman" w:eastAsiaTheme="minorEastAsia"/>
                <w:color w:val="auto"/>
                <w:sz w:val="24"/>
                <w:highlight w:val="none"/>
                <w:u w:val="none"/>
                <w:lang w:eastAsia="zh-CN"/>
              </w:rPr>
            </w:pPr>
          </w:p>
        </w:tc>
      </w:tr>
    </w:tbl>
    <w:p w14:paraId="03D07C16">
      <w:pPr>
        <w:pStyle w:val="41"/>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FE5BE19">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w:t>
      </w:r>
      <w:r>
        <w:rPr>
          <w:rFonts w:hint="eastAsia" w:cs="Times New Roman"/>
          <w:b/>
          <w:color w:val="auto"/>
          <w:w w:val="100"/>
          <w:sz w:val="24"/>
          <w:szCs w:val="24"/>
          <w:highlight w:val="none"/>
          <w:u w:val="none"/>
          <w:lang w:val="en-US" w:eastAsia="zh-CN"/>
        </w:rPr>
        <w:t>1</w:t>
      </w:r>
      <w:r>
        <w:rPr>
          <w:rFonts w:hint="default" w:ascii="Times New Roman" w:hAnsi="Times New Roman" w:eastAsia="宋体" w:cs="Times New Roman"/>
          <w:b/>
          <w:color w:val="auto"/>
          <w:w w:val="100"/>
          <w:sz w:val="24"/>
          <w:szCs w:val="24"/>
          <w:highlight w:val="none"/>
          <w:u w:val="none"/>
        </w:rPr>
        <w:t>项目废气污染物产生、治理及排放情况汇总一览表</w:t>
      </w:r>
    </w:p>
    <w:tbl>
      <w:tblPr>
        <w:tblStyle w:val="46"/>
        <w:tblW w:w="5033"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859"/>
        <w:gridCol w:w="1208"/>
        <w:gridCol w:w="616"/>
        <w:gridCol w:w="857"/>
        <w:gridCol w:w="677"/>
        <w:gridCol w:w="2491"/>
        <w:gridCol w:w="778"/>
        <w:gridCol w:w="542"/>
        <w:gridCol w:w="816"/>
        <w:gridCol w:w="889"/>
        <w:gridCol w:w="847"/>
        <w:gridCol w:w="839"/>
        <w:gridCol w:w="800"/>
        <w:gridCol w:w="897"/>
      </w:tblGrid>
      <w:tr w14:paraId="7CD1FAF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Merge w:val="restart"/>
            <w:vAlign w:val="center"/>
          </w:tcPr>
          <w:p w14:paraId="0A0E0B7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eastAsia="zh-CN"/>
              </w:rPr>
            </w:pPr>
            <w:r>
              <w:rPr>
                <w:rFonts w:hint="default" w:ascii="Times New Roman" w:hAnsi="Times New Roman" w:cs="Times New Roman"/>
                <w:b w:val="0"/>
                <w:bCs/>
                <w:color w:val="auto"/>
                <w:spacing w:val="0"/>
                <w:w w:val="100"/>
                <w:sz w:val="21"/>
                <w:szCs w:val="21"/>
                <w:highlight w:val="none"/>
                <w:u w:val="none"/>
                <w:lang w:val="en-US" w:eastAsia="zh-CN"/>
              </w:rPr>
              <w:t>产排污环节</w:t>
            </w:r>
          </w:p>
        </w:tc>
        <w:tc>
          <w:tcPr>
            <w:tcW w:w="460" w:type="pct"/>
            <w:vMerge w:val="restart"/>
            <w:vAlign w:val="center"/>
          </w:tcPr>
          <w:p w14:paraId="5775AC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污染物名称</w:t>
            </w:r>
          </w:p>
        </w:tc>
        <w:tc>
          <w:tcPr>
            <w:tcW w:w="234" w:type="pct"/>
            <w:vMerge w:val="restart"/>
            <w:vAlign w:val="center"/>
          </w:tcPr>
          <w:p w14:paraId="7BB90F4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排放形式</w:t>
            </w:r>
          </w:p>
        </w:tc>
        <w:tc>
          <w:tcPr>
            <w:tcW w:w="584" w:type="pct"/>
            <w:gridSpan w:val="2"/>
            <w:vAlign w:val="center"/>
          </w:tcPr>
          <w:p w14:paraId="721ADD4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产生情况</w:t>
            </w:r>
          </w:p>
        </w:tc>
        <w:tc>
          <w:tcPr>
            <w:tcW w:w="1763" w:type="pct"/>
            <w:gridSpan w:val="4"/>
            <w:vAlign w:val="center"/>
          </w:tcPr>
          <w:p w14:paraId="410E65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治理措施及效果</w:t>
            </w:r>
          </w:p>
        </w:tc>
        <w:tc>
          <w:tcPr>
            <w:tcW w:w="1628" w:type="pct"/>
            <w:gridSpan w:val="5"/>
            <w:vAlign w:val="center"/>
          </w:tcPr>
          <w:p w14:paraId="64020AB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排放情况</w:t>
            </w:r>
          </w:p>
        </w:tc>
      </w:tr>
      <w:tr w14:paraId="32F337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Merge w:val="continue"/>
            <w:vAlign w:val="center"/>
          </w:tcPr>
          <w:p w14:paraId="2C3AC1F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460" w:type="pct"/>
            <w:vMerge w:val="continue"/>
            <w:vAlign w:val="center"/>
          </w:tcPr>
          <w:p w14:paraId="7E9DB7D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234" w:type="pct"/>
            <w:vMerge w:val="continue"/>
            <w:vAlign w:val="center"/>
          </w:tcPr>
          <w:p w14:paraId="424E3E8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326" w:type="pct"/>
            <w:vAlign w:val="center"/>
          </w:tcPr>
          <w:p w14:paraId="71B7D65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产生浓度</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mg/m</w:t>
            </w:r>
            <w:r>
              <w:rPr>
                <w:rFonts w:hint="default" w:ascii="Times New Roman" w:hAnsi="Times New Roman" w:eastAsia="宋体" w:cs="Times New Roman"/>
                <w:b w:val="0"/>
                <w:bCs/>
                <w:color w:val="auto"/>
                <w:spacing w:val="0"/>
                <w:w w:val="100"/>
                <w:sz w:val="21"/>
                <w:szCs w:val="21"/>
                <w:highlight w:val="none"/>
                <w:u w:val="none"/>
                <w:vertAlign w:val="superscript"/>
              </w:rPr>
              <w:t>3</w:t>
            </w:r>
            <w:r>
              <w:rPr>
                <w:rFonts w:hint="eastAsia" w:cs="Times New Roman"/>
                <w:b w:val="0"/>
                <w:bCs/>
                <w:color w:val="auto"/>
                <w:spacing w:val="0"/>
                <w:w w:val="100"/>
                <w:sz w:val="21"/>
                <w:szCs w:val="21"/>
                <w:highlight w:val="none"/>
                <w:u w:val="none"/>
                <w:vertAlign w:val="superscript"/>
                <w:lang w:eastAsia="zh-CN"/>
              </w:rPr>
              <w:t>）</w:t>
            </w:r>
          </w:p>
        </w:tc>
        <w:tc>
          <w:tcPr>
            <w:tcW w:w="258" w:type="pct"/>
            <w:vAlign w:val="center"/>
          </w:tcPr>
          <w:p w14:paraId="6553B3B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产生量</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t/a</w:t>
            </w:r>
            <w:r>
              <w:rPr>
                <w:rFonts w:hint="eastAsia" w:cs="Times New Roman"/>
                <w:b w:val="0"/>
                <w:bCs/>
                <w:color w:val="auto"/>
                <w:spacing w:val="0"/>
                <w:w w:val="100"/>
                <w:sz w:val="21"/>
                <w:szCs w:val="21"/>
                <w:highlight w:val="none"/>
                <w:u w:val="none"/>
                <w:lang w:eastAsia="zh-CN"/>
              </w:rPr>
              <w:t>）</w:t>
            </w:r>
          </w:p>
        </w:tc>
        <w:tc>
          <w:tcPr>
            <w:tcW w:w="949" w:type="pct"/>
            <w:vAlign w:val="center"/>
          </w:tcPr>
          <w:p w14:paraId="7D0BA86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处理措施</w:t>
            </w:r>
          </w:p>
        </w:tc>
        <w:tc>
          <w:tcPr>
            <w:tcW w:w="296" w:type="pct"/>
            <w:vAlign w:val="center"/>
          </w:tcPr>
          <w:p w14:paraId="4488400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处理规模</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cs="Times New Roman"/>
                <w:b w:val="0"/>
                <w:bCs/>
                <w:color w:val="auto"/>
                <w:spacing w:val="0"/>
                <w:w w:val="100"/>
                <w:sz w:val="21"/>
                <w:szCs w:val="21"/>
                <w:highlight w:val="none"/>
                <w:u w:val="none"/>
                <w:lang w:val="en-US" w:eastAsia="zh-CN"/>
              </w:rPr>
              <w:t>m</w:t>
            </w:r>
            <w:r>
              <w:rPr>
                <w:rFonts w:hint="default" w:ascii="Times New Roman" w:hAnsi="Times New Roman" w:cs="Times New Roman"/>
                <w:b w:val="0"/>
                <w:bCs/>
                <w:color w:val="auto"/>
                <w:spacing w:val="0"/>
                <w:w w:val="100"/>
                <w:sz w:val="21"/>
                <w:szCs w:val="21"/>
                <w:highlight w:val="none"/>
                <w:u w:val="none"/>
                <w:vertAlign w:val="superscript"/>
                <w:lang w:val="en-US" w:eastAsia="zh-CN"/>
              </w:rPr>
              <w:t>3</w:t>
            </w:r>
            <w:r>
              <w:rPr>
                <w:rFonts w:hint="default" w:ascii="Times New Roman" w:hAnsi="Times New Roman" w:cs="Times New Roman"/>
                <w:b w:val="0"/>
                <w:bCs/>
                <w:color w:val="auto"/>
                <w:spacing w:val="0"/>
                <w:w w:val="100"/>
                <w:sz w:val="21"/>
                <w:szCs w:val="21"/>
                <w:highlight w:val="none"/>
                <w:u w:val="none"/>
                <w:lang w:val="en-US" w:eastAsia="zh-CN"/>
              </w:rPr>
              <w:t>/h</w:t>
            </w:r>
            <w:r>
              <w:rPr>
                <w:rFonts w:hint="eastAsia" w:cs="Times New Roman"/>
                <w:b w:val="0"/>
                <w:bCs/>
                <w:color w:val="auto"/>
                <w:spacing w:val="0"/>
                <w:w w:val="100"/>
                <w:sz w:val="21"/>
                <w:szCs w:val="21"/>
                <w:highlight w:val="none"/>
                <w:u w:val="none"/>
                <w:lang w:val="en-US" w:eastAsia="zh-CN"/>
              </w:rPr>
              <w:t>）</w:t>
            </w:r>
          </w:p>
        </w:tc>
        <w:tc>
          <w:tcPr>
            <w:tcW w:w="206" w:type="pct"/>
            <w:vAlign w:val="center"/>
          </w:tcPr>
          <w:p w14:paraId="4A8A61C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净化效率%</w:t>
            </w:r>
          </w:p>
        </w:tc>
        <w:tc>
          <w:tcPr>
            <w:tcW w:w="311" w:type="pct"/>
            <w:vAlign w:val="center"/>
          </w:tcPr>
          <w:p w14:paraId="252892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是否为可行技术</w:t>
            </w:r>
          </w:p>
        </w:tc>
        <w:tc>
          <w:tcPr>
            <w:tcW w:w="338" w:type="pct"/>
            <w:vAlign w:val="center"/>
          </w:tcPr>
          <w:p w14:paraId="7826E9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排放浓度</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mg/m</w:t>
            </w:r>
            <w:r>
              <w:rPr>
                <w:rFonts w:hint="default" w:ascii="Times New Roman" w:hAnsi="Times New Roman" w:eastAsia="宋体" w:cs="Times New Roman"/>
                <w:b w:val="0"/>
                <w:bCs/>
                <w:color w:val="auto"/>
                <w:spacing w:val="0"/>
                <w:w w:val="100"/>
                <w:sz w:val="21"/>
                <w:szCs w:val="21"/>
                <w:highlight w:val="none"/>
                <w:u w:val="none"/>
                <w:vertAlign w:val="superscript"/>
              </w:rPr>
              <w:t>3</w:t>
            </w:r>
            <w:r>
              <w:rPr>
                <w:rFonts w:hint="eastAsia" w:cs="Times New Roman"/>
                <w:b w:val="0"/>
                <w:bCs/>
                <w:color w:val="auto"/>
                <w:spacing w:val="0"/>
                <w:w w:val="100"/>
                <w:sz w:val="21"/>
                <w:szCs w:val="21"/>
                <w:highlight w:val="none"/>
                <w:u w:val="none"/>
                <w:vertAlign w:val="superscript"/>
                <w:lang w:eastAsia="zh-CN"/>
              </w:rPr>
              <w:t>）</w:t>
            </w:r>
          </w:p>
        </w:tc>
        <w:tc>
          <w:tcPr>
            <w:tcW w:w="322" w:type="pct"/>
            <w:vAlign w:val="center"/>
          </w:tcPr>
          <w:p w14:paraId="7B37BD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排放速率</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lang w:eastAsia="zh-CN"/>
              </w:rPr>
              <w:t>kg</w:t>
            </w:r>
            <w:r>
              <w:rPr>
                <w:rFonts w:hint="default" w:ascii="Times New Roman" w:hAnsi="Times New Roman" w:eastAsia="宋体" w:cs="Times New Roman"/>
                <w:b w:val="0"/>
                <w:bCs/>
                <w:color w:val="auto"/>
                <w:spacing w:val="0"/>
                <w:w w:val="100"/>
                <w:sz w:val="21"/>
                <w:szCs w:val="21"/>
                <w:highlight w:val="none"/>
                <w:u w:val="none"/>
              </w:rPr>
              <w:t>/h</w:t>
            </w:r>
            <w:r>
              <w:rPr>
                <w:rFonts w:hint="eastAsia" w:cs="Times New Roman"/>
                <w:b w:val="0"/>
                <w:bCs/>
                <w:color w:val="auto"/>
                <w:spacing w:val="0"/>
                <w:w w:val="100"/>
                <w:sz w:val="21"/>
                <w:szCs w:val="21"/>
                <w:highlight w:val="none"/>
                <w:u w:val="none"/>
                <w:lang w:eastAsia="zh-CN"/>
              </w:rPr>
              <w:t>）</w:t>
            </w:r>
          </w:p>
        </w:tc>
        <w:tc>
          <w:tcPr>
            <w:tcW w:w="319" w:type="pct"/>
            <w:vAlign w:val="center"/>
          </w:tcPr>
          <w:p w14:paraId="4706B23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排放时间</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h/a</w:t>
            </w:r>
            <w:r>
              <w:rPr>
                <w:rFonts w:hint="eastAsia" w:cs="Times New Roman"/>
                <w:b w:val="0"/>
                <w:bCs/>
                <w:color w:val="auto"/>
                <w:spacing w:val="0"/>
                <w:w w:val="100"/>
                <w:sz w:val="21"/>
                <w:szCs w:val="21"/>
                <w:highlight w:val="none"/>
                <w:u w:val="none"/>
                <w:lang w:eastAsia="zh-CN"/>
              </w:rPr>
              <w:t>）</w:t>
            </w:r>
          </w:p>
        </w:tc>
        <w:tc>
          <w:tcPr>
            <w:tcW w:w="305" w:type="pct"/>
            <w:vAlign w:val="center"/>
          </w:tcPr>
          <w:p w14:paraId="2A8A8D1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排放量</w:t>
            </w:r>
            <w:r>
              <w:rPr>
                <w:rFonts w:hint="eastAsia" w:cs="Times New Roman"/>
                <w:b w:val="0"/>
                <w:bCs/>
                <w:color w:val="auto"/>
                <w:spacing w:val="0"/>
                <w:w w:val="100"/>
                <w:sz w:val="21"/>
                <w:szCs w:val="21"/>
                <w:highlight w:val="none"/>
                <w:u w:val="none"/>
                <w:lang w:eastAsia="zh-CN"/>
              </w:rPr>
              <w:t>（</w:t>
            </w:r>
            <w:r>
              <w:rPr>
                <w:rFonts w:hint="default" w:ascii="Times New Roman" w:hAnsi="Times New Roman" w:eastAsia="宋体" w:cs="Times New Roman"/>
                <w:b w:val="0"/>
                <w:bCs/>
                <w:color w:val="auto"/>
                <w:spacing w:val="0"/>
                <w:w w:val="100"/>
                <w:sz w:val="21"/>
                <w:szCs w:val="21"/>
                <w:highlight w:val="none"/>
                <w:u w:val="none"/>
              </w:rPr>
              <w:t>t/a</w:t>
            </w:r>
            <w:r>
              <w:rPr>
                <w:rFonts w:hint="eastAsia" w:cs="Times New Roman"/>
                <w:b w:val="0"/>
                <w:bCs/>
                <w:color w:val="auto"/>
                <w:spacing w:val="0"/>
                <w:w w:val="100"/>
                <w:sz w:val="21"/>
                <w:szCs w:val="21"/>
                <w:highlight w:val="none"/>
                <w:u w:val="none"/>
                <w:lang w:eastAsia="zh-CN"/>
              </w:rPr>
              <w:t>）</w:t>
            </w:r>
          </w:p>
        </w:tc>
        <w:tc>
          <w:tcPr>
            <w:tcW w:w="342" w:type="pct"/>
            <w:vAlign w:val="center"/>
          </w:tcPr>
          <w:p w14:paraId="2D174DE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rPr>
              <w:t>排气筒编号</w:t>
            </w:r>
          </w:p>
        </w:tc>
      </w:tr>
      <w:tr w14:paraId="7060E59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7A542C6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焊接烟尘</w:t>
            </w:r>
          </w:p>
        </w:tc>
        <w:tc>
          <w:tcPr>
            <w:tcW w:w="460" w:type="pct"/>
            <w:vAlign w:val="center"/>
          </w:tcPr>
          <w:p w14:paraId="5D401BE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vAlign w:val="center"/>
          </w:tcPr>
          <w:p w14:paraId="1F56B8A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vAlign w:val="center"/>
          </w:tcPr>
          <w:p w14:paraId="340E2E0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510AC1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0.0386</w:t>
            </w:r>
          </w:p>
        </w:tc>
        <w:tc>
          <w:tcPr>
            <w:tcW w:w="949" w:type="pct"/>
            <w:vAlign w:val="center"/>
          </w:tcPr>
          <w:p w14:paraId="209567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车间密闭+</w:t>
            </w: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无组织排放</w:t>
            </w:r>
          </w:p>
        </w:tc>
        <w:tc>
          <w:tcPr>
            <w:tcW w:w="296" w:type="pct"/>
            <w:vAlign w:val="center"/>
          </w:tcPr>
          <w:p w14:paraId="6D58EF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1D6DBE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90</w:t>
            </w:r>
          </w:p>
        </w:tc>
        <w:tc>
          <w:tcPr>
            <w:tcW w:w="311" w:type="pct"/>
            <w:vAlign w:val="center"/>
          </w:tcPr>
          <w:p w14:paraId="030DF34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23AE0F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028B2E2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0.0041</w:t>
            </w:r>
          </w:p>
        </w:tc>
        <w:tc>
          <w:tcPr>
            <w:tcW w:w="319" w:type="pct"/>
            <w:vAlign w:val="center"/>
          </w:tcPr>
          <w:p w14:paraId="3C6FD8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2640</w:t>
            </w:r>
          </w:p>
        </w:tc>
        <w:tc>
          <w:tcPr>
            <w:tcW w:w="305" w:type="pct"/>
            <w:vAlign w:val="center"/>
          </w:tcPr>
          <w:p w14:paraId="501E9D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0.0108</w:t>
            </w:r>
          </w:p>
        </w:tc>
        <w:tc>
          <w:tcPr>
            <w:tcW w:w="342" w:type="pct"/>
            <w:vAlign w:val="center"/>
          </w:tcPr>
          <w:p w14:paraId="664D7D7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6A98C62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01CB4A2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切割</w:t>
            </w:r>
            <w:r>
              <w:rPr>
                <w:rFonts w:hint="eastAsia" w:cs="Times New Roman"/>
                <w:b w:val="0"/>
                <w:bCs/>
                <w:color w:val="auto"/>
                <w:spacing w:val="0"/>
                <w:w w:val="100"/>
                <w:sz w:val="21"/>
                <w:szCs w:val="21"/>
                <w:highlight w:val="none"/>
                <w:u w:val="none"/>
                <w:lang w:val="en-US" w:eastAsia="zh-CN"/>
              </w:rPr>
              <w:t>粉尘</w:t>
            </w:r>
          </w:p>
        </w:tc>
        <w:tc>
          <w:tcPr>
            <w:tcW w:w="460" w:type="pct"/>
            <w:shd w:val="clear" w:color="auto" w:fill="auto"/>
            <w:vAlign w:val="center"/>
          </w:tcPr>
          <w:p w14:paraId="675A3A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shd w:val="clear" w:color="auto" w:fill="auto"/>
            <w:vAlign w:val="center"/>
          </w:tcPr>
          <w:p w14:paraId="39B6C01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shd w:val="clear" w:color="auto" w:fill="auto"/>
            <w:vAlign w:val="center"/>
          </w:tcPr>
          <w:p w14:paraId="422FC1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206E046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949" w:type="pct"/>
            <w:vAlign w:val="center"/>
          </w:tcPr>
          <w:p w14:paraId="21698C8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车间密闭</w:t>
            </w:r>
          </w:p>
        </w:tc>
        <w:tc>
          <w:tcPr>
            <w:tcW w:w="296" w:type="pct"/>
            <w:vAlign w:val="center"/>
          </w:tcPr>
          <w:p w14:paraId="43503F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3444FDD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w:t>
            </w:r>
          </w:p>
        </w:tc>
        <w:tc>
          <w:tcPr>
            <w:tcW w:w="311" w:type="pct"/>
            <w:vAlign w:val="center"/>
          </w:tcPr>
          <w:p w14:paraId="7ABFCD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0C437B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0CC3DC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319" w:type="pct"/>
            <w:vAlign w:val="center"/>
          </w:tcPr>
          <w:p w14:paraId="5FBCE22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990</w:t>
            </w:r>
          </w:p>
        </w:tc>
        <w:tc>
          <w:tcPr>
            <w:tcW w:w="305" w:type="pct"/>
            <w:vAlign w:val="center"/>
          </w:tcPr>
          <w:p w14:paraId="003F2C9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0.0048</w:t>
            </w:r>
          </w:p>
        </w:tc>
        <w:tc>
          <w:tcPr>
            <w:tcW w:w="342" w:type="pct"/>
            <w:vAlign w:val="center"/>
          </w:tcPr>
          <w:p w14:paraId="175ECEE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497B93D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7" w:type="pct"/>
            <w:vAlign w:val="center"/>
          </w:tcPr>
          <w:p w14:paraId="41D752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断木废气</w:t>
            </w:r>
          </w:p>
        </w:tc>
        <w:tc>
          <w:tcPr>
            <w:tcW w:w="460" w:type="pct"/>
            <w:vAlign w:val="center"/>
          </w:tcPr>
          <w:p w14:paraId="2C6F45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w:t>
            </w:r>
          </w:p>
        </w:tc>
        <w:tc>
          <w:tcPr>
            <w:tcW w:w="234" w:type="pct"/>
            <w:vAlign w:val="center"/>
          </w:tcPr>
          <w:p w14:paraId="4C43E1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无组织</w:t>
            </w:r>
          </w:p>
        </w:tc>
        <w:tc>
          <w:tcPr>
            <w:tcW w:w="326" w:type="pct"/>
            <w:vAlign w:val="center"/>
          </w:tcPr>
          <w:p w14:paraId="6F0391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58" w:type="pct"/>
            <w:vAlign w:val="center"/>
          </w:tcPr>
          <w:p w14:paraId="06BF484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0.0024</w:t>
            </w:r>
          </w:p>
        </w:tc>
        <w:tc>
          <w:tcPr>
            <w:tcW w:w="949" w:type="pct"/>
            <w:vAlign w:val="center"/>
          </w:tcPr>
          <w:p w14:paraId="6CE898C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rPr>
            </w:pPr>
            <w:r>
              <w:rPr>
                <w:rFonts w:hint="default" w:ascii="Times New Roman" w:hAnsi="Times New Roman" w:cs="Times New Roman"/>
                <w:b w:val="0"/>
                <w:bCs/>
                <w:color w:val="auto"/>
                <w:spacing w:val="0"/>
                <w:w w:val="100"/>
                <w:sz w:val="21"/>
                <w:szCs w:val="21"/>
                <w:highlight w:val="none"/>
                <w:u w:val="none"/>
                <w:lang w:val="en-US" w:eastAsia="zh-CN"/>
              </w:rPr>
              <w:t>车间密闭</w:t>
            </w:r>
          </w:p>
        </w:tc>
        <w:tc>
          <w:tcPr>
            <w:tcW w:w="296" w:type="pct"/>
            <w:vAlign w:val="center"/>
          </w:tcPr>
          <w:p w14:paraId="32DF36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206" w:type="pct"/>
            <w:vAlign w:val="center"/>
          </w:tcPr>
          <w:p w14:paraId="1B8C6DD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w:t>
            </w:r>
          </w:p>
        </w:tc>
        <w:tc>
          <w:tcPr>
            <w:tcW w:w="311" w:type="pct"/>
            <w:vAlign w:val="center"/>
          </w:tcPr>
          <w:p w14:paraId="4CDD85F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38" w:type="pct"/>
            <w:vAlign w:val="center"/>
          </w:tcPr>
          <w:p w14:paraId="0846079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c>
          <w:tcPr>
            <w:tcW w:w="322" w:type="pct"/>
            <w:vAlign w:val="center"/>
          </w:tcPr>
          <w:p w14:paraId="58F8C02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w:t>
            </w:r>
            <w:r>
              <w:rPr>
                <w:rFonts w:hint="eastAsia" w:cs="Times New Roman"/>
                <w:b w:val="0"/>
                <w:bCs/>
                <w:color w:val="auto"/>
                <w:spacing w:val="0"/>
                <w:w w:val="100"/>
                <w:sz w:val="21"/>
                <w:szCs w:val="21"/>
                <w:highlight w:val="none"/>
                <w:u w:val="none"/>
                <w:lang w:val="en-US" w:eastAsia="zh-CN"/>
              </w:rPr>
              <w:t>009</w:t>
            </w:r>
          </w:p>
        </w:tc>
        <w:tc>
          <w:tcPr>
            <w:tcW w:w="319" w:type="pct"/>
            <w:vAlign w:val="center"/>
          </w:tcPr>
          <w:p w14:paraId="39D33F0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2640</w:t>
            </w:r>
          </w:p>
        </w:tc>
        <w:tc>
          <w:tcPr>
            <w:tcW w:w="305" w:type="pct"/>
            <w:vAlign w:val="center"/>
          </w:tcPr>
          <w:p w14:paraId="245A88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0.0024</w:t>
            </w:r>
          </w:p>
        </w:tc>
        <w:tc>
          <w:tcPr>
            <w:tcW w:w="342" w:type="pct"/>
            <w:vAlign w:val="center"/>
          </w:tcPr>
          <w:p w14:paraId="7AD97AB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5B2780C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restart"/>
            <w:vAlign w:val="center"/>
          </w:tcPr>
          <w:p w14:paraId="3BA108A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刷漆</w:t>
            </w:r>
            <w:r>
              <w:rPr>
                <w:rFonts w:hint="default" w:ascii="Times New Roman" w:hAnsi="Times New Roman" w:eastAsia="宋体" w:cs="Times New Roman"/>
                <w:b w:val="0"/>
                <w:bCs/>
                <w:color w:val="auto"/>
                <w:spacing w:val="0"/>
                <w:w w:val="100"/>
                <w:sz w:val="21"/>
                <w:szCs w:val="21"/>
                <w:highlight w:val="none"/>
                <w:u w:val="single"/>
                <w:lang w:val="en-US" w:eastAsia="zh-CN"/>
              </w:rPr>
              <w:t>、</w:t>
            </w:r>
            <w:r>
              <w:rPr>
                <w:rFonts w:hint="default" w:ascii="Times New Roman" w:hAnsi="Times New Roman" w:cs="Times New Roman"/>
                <w:b w:val="0"/>
                <w:bCs/>
                <w:color w:val="auto"/>
                <w:spacing w:val="0"/>
                <w:w w:val="100"/>
                <w:sz w:val="21"/>
                <w:szCs w:val="21"/>
                <w:highlight w:val="none"/>
                <w:u w:val="single"/>
                <w:lang w:val="en-US" w:eastAsia="zh-CN"/>
              </w:rPr>
              <w:t>晾干废气</w:t>
            </w:r>
          </w:p>
        </w:tc>
        <w:tc>
          <w:tcPr>
            <w:tcW w:w="1208" w:type="dxa"/>
            <w:vAlign w:val="center"/>
          </w:tcPr>
          <w:p w14:paraId="0CC4E0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非甲烷总烃</w:t>
            </w:r>
          </w:p>
        </w:tc>
        <w:tc>
          <w:tcPr>
            <w:tcW w:w="234" w:type="pct"/>
            <w:vMerge w:val="restart"/>
            <w:vAlign w:val="center"/>
          </w:tcPr>
          <w:p w14:paraId="3DA68C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有组织</w:t>
            </w:r>
          </w:p>
        </w:tc>
        <w:tc>
          <w:tcPr>
            <w:tcW w:w="857" w:type="dxa"/>
            <w:vAlign w:val="center"/>
          </w:tcPr>
          <w:p w14:paraId="1A01996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15.15</w:t>
            </w:r>
          </w:p>
        </w:tc>
        <w:tc>
          <w:tcPr>
            <w:tcW w:w="258" w:type="pct"/>
            <w:vAlign w:val="center"/>
          </w:tcPr>
          <w:p w14:paraId="1103135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0.36</w:t>
            </w:r>
          </w:p>
        </w:tc>
        <w:tc>
          <w:tcPr>
            <w:tcW w:w="949" w:type="pct"/>
            <w:vMerge w:val="restart"/>
            <w:vAlign w:val="center"/>
          </w:tcPr>
          <w:p w14:paraId="1FFBC3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1套“</w:t>
            </w:r>
            <w:r>
              <w:rPr>
                <w:rFonts w:hint="eastAsia" w:cs="Times New Roman"/>
                <w:b w:val="0"/>
                <w:bCs/>
                <w:color w:val="auto"/>
                <w:spacing w:val="0"/>
                <w:w w:val="100"/>
                <w:sz w:val="21"/>
                <w:szCs w:val="21"/>
                <w:highlight w:val="none"/>
                <w:u w:val="single"/>
                <w:lang w:val="en-US" w:eastAsia="zh-CN"/>
              </w:rPr>
              <w:t>二级活性炭吸附</w:t>
            </w:r>
            <w:r>
              <w:rPr>
                <w:rFonts w:hint="default" w:ascii="Times New Roman" w:hAnsi="Times New Roman" w:cs="Times New Roman"/>
                <w:b w:val="0"/>
                <w:bCs/>
                <w:color w:val="auto"/>
                <w:spacing w:val="0"/>
                <w:w w:val="100"/>
                <w:sz w:val="21"/>
                <w:szCs w:val="21"/>
                <w:highlight w:val="none"/>
                <w:u w:val="single"/>
                <w:lang w:val="en-US" w:eastAsia="zh-CN"/>
              </w:rPr>
              <w:t>”装置</w:t>
            </w:r>
          </w:p>
        </w:tc>
        <w:tc>
          <w:tcPr>
            <w:tcW w:w="296" w:type="pct"/>
            <w:vMerge w:val="restart"/>
            <w:vAlign w:val="center"/>
          </w:tcPr>
          <w:p w14:paraId="547B3EE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w:t>
            </w:r>
            <w:r>
              <w:rPr>
                <w:rFonts w:hint="default" w:ascii="Times New Roman" w:hAnsi="Times New Roman" w:cs="Times New Roman"/>
                <w:b w:val="0"/>
                <w:bCs/>
                <w:color w:val="auto"/>
                <w:spacing w:val="0"/>
                <w:w w:val="100"/>
                <w:sz w:val="21"/>
                <w:szCs w:val="21"/>
                <w:highlight w:val="none"/>
                <w:u w:val="single"/>
                <w:lang w:val="en-US" w:eastAsia="zh-CN"/>
              </w:rPr>
              <w:t>000</w:t>
            </w:r>
          </w:p>
        </w:tc>
        <w:tc>
          <w:tcPr>
            <w:tcW w:w="206" w:type="pct"/>
            <w:vAlign w:val="center"/>
          </w:tcPr>
          <w:p w14:paraId="2FB9F8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33</w:t>
            </w:r>
          </w:p>
        </w:tc>
        <w:tc>
          <w:tcPr>
            <w:tcW w:w="311" w:type="pct"/>
            <w:vAlign w:val="center"/>
          </w:tcPr>
          <w:p w14:paraId="41A4B8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215796A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9.13</w:t>
            </w:r>
          </w:p>
        </w:tc>
        <w:tc>
          <w:tcPr>
            <w:tcW w:w="322" w:type="pct"/>
            <w:vAlign w:val="center"/>
          </w:tcPr>
          <w:p w14:paraId="1367FC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0.0274</w:t>
            </w:r>
          </w:p>
        </w:tc>
        <w:tc>
          <w:tcPr>
            <w:tcW w:w="319" w:type="pct"/>
            <w:vMerge w:val="restart"/>
            <w:vAlign w:val="center"/>
          </w:tcPr>
          <w:p w14:paraId="7AFF0A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7920</w:t>
            </w:r>
          </w:p>
        </w:tc>
        <w:tc>
          <w:tcPr>
            <w:tcW w:w="305" w:type="pct"/>
            <w:vAlign w:val="center"/>
          </w:tcPr>
          <w:p w14:paraId="7E7E356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0.217</w:t>
            </w:r>
          </w:p>
        </w:tc>
        <w:tc>
          <w:tcPr>
            <w:tcW w:w="342" w:type="pct"/>
            <w:vMerge w:val="restart"/>
            <w:vAlign w:val="center"/>
          </w:tcPr>
          <w:p w14:paraId="4AF95E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DA00</w:t>
            </w:r>
            <w:r>
              <w:rPr>
                <w:rFonts w:hint="eastAsia" w:cs="Times New Roman"/>
                <w:b w:val="0"/>
                <w:bCs/>
                <w:color w:val="auto"/>
                <w:spacing w:val="0"/>
                <w:w w:val="100"/>
                <w:sz w:val="21"/>
                <w:szCs w:val="21"/>
                <w:highlight w:val="none"/>
                <w:u w:val="none"/>
                <w:lang w:val="en-US" w:eastAsia="zh-CN"/>
              </w:rPr>
              <w:t>1</w:t>
            </w:r>
          </w:p>
        </w:tc>
      </w:tr>
      <w:tr w14:paraId="3C9CE2F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4E4746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34E9A9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二甲苯</w:t>
            </w:r>
          </w:p>
        </w:tc>
        <w:tc>
          <w:tcPr>
            <w:tcW w:w="234" w:type="pct"/>
            <w:vMerge w:val="continue"/>
            <w:vAlign w:val="center"/>
          </w:tcPr>
          <w:p w14:paraId="6C00F6D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57" w:type="dxa"/>
            <w:vAlign w:val="center"/>
          </w:tcPr>
          <w:p w14:paraId="6D0AF3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5.05</w:t>
            </w:r>
          </w:p>
        </w:tc>
        <w:tc>
          <w:tcPr>
            <w:tcW w:w="258" w:type="pct"/>
            <w:vAlign w:val="center"/>
          </w:tcPr>
          <w:p w14:paraId="38065E4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0.12</w:t>
            </w:r>
          </w:p>
        </w:tc>
        <w:tc>
          <w:tcPr>
            <w:tcW w:w="949" w:type="pct"/>
            <w:vMerge w:val="continue"/>
            <w:vAlign w:val="center"/>
          </w:tcPr>
          <w:p w14:paraId="72EE4C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490F96A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5644BA3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33</w:t>
            </w:r>
          </w:p>
        </w:tc>
        <w:tc>
          <w:tcPr>
            <w:tcW w:w="311" w:type="pct"/>
            <w:vAlign w:val="center"/>
          </w:tcPr>
          <w:p w14:paraId="7D475A4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3E8176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3.03</w:t>
            </w:r>
          </w:p>
        </w:tc>
        <w:tc>
          <w:tcPr>
            <w:tcW w:w="322" w:type="pct"/>
            <w:vAlign w:val="center"/>
          </w:tcPr>
          <w:p w14:paraId="4E236A8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0.0091</w:t>
            </w:r>
          </w:p>
        </w:tc>
        <w:tc>
          <w:tcPr>
            <w:tcW w:w="319" w:type="pct"/>
            <w:vMerge w:val="continue"/>
            <w:vAlign w:val="center"/>
          </w:tcPr>
          <w:p w14:paraId="16ADE92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05" w:type="pct"/>
            <w:vAlign w:val="center"/>
          </w:tcPr>
          <w:p w14:paraId="06125F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0.072</w:t>
            </w:r>
          </w:p>
        </w:tc>
        <w:tc>
          <w:tcPr>
            <w:tcW w:w="342" w:type="pct"/>
            <w:vMerge w:val="continue"/>
            <w:vAlign w:val="center"/>
          </w:tcPr>
          <w:p w14:paraId="2577D1D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6624A8C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0DF11F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460" w:type="pct"/>
            <w:vAlign w:val="center"/>
          </w:tcPr>
          <w:p w14:paraId="13DBF4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甲苯</w:t>
            </w:r>
          </w:p>
        </w:tc>
        <w:tc>
          <w:tcPr>
            <w:tcW w:w="234" w:type="pct"/>
            <w:vMerge w:val="continue"/>
            <w:vAlign w:val="center"/>
          </w:tcPr>
          <w:p w14:paraId="5E82E3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57" w:type="dxa"/>
            <w:vAlign w:val="center"/>
          </w:tcPr>
          <w:p w14:paraId="3C90F4F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2.02</w:t>
            </w:r>
          </w:p>
        </w:tc>
        <w:tc>
          <w:tcPr>
            <w:tcW w:w="258" w:type="pct"/>
            <w:vAlign w:val="center"/>
          </w:tcPr>
          <w:p w14:paraId="5F786D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0.048</w:t>
            </w:r>
          </w:p>
        </w:tc>
        <w:tc>
          <w:tcPr>
            <w:tcW w:w="949" w:type="pct"/>
            <w:vMerge w:val="continue"/>
            <w:vAlign w:val="center"/>
          </w:tcPr>
          <w:p w14:paraId="44F151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2B619D3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65CF198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33</w:t>
            </w:r>
          </w:p>
        </w:tc>
        <w:tc>
          <w:tcPr>
            <w:tcW w:w="311" w:type="pct"/>
            <w:vAlign w:val="center"/>
          </w:tcPr>
          <w:p w14:paraId="5C5BD5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是</w:t>
            </w:r>
          </w:p>
        </w:tc>
        <w:tc>
          <w:tcPr>
            <w:tcW w:w="338" w:type="pct"/>
            <w:vAlign w:val="center"/>
          </w:tcPr>
          <w:p w14:paraId="3997673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1.22</w:t>
            </w:r>
          </w:p>
        </w:tc>
        <w:tc>
          <w:tcPr>
            <w:tcW w:w="322" w:type="pct"/>
            <w:vAlign w:val="center"/>
          </w:tcPr>
          <w:p w14:paraId="7629EFF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0.0037</w:t>
            </w:r>
          </w:p>
        </w:tc>
        <w:tc>
          <w:tcPr>
            <w:tcW w:w="319" w:type="pct"/>
            <w:vMerge w:val="continue"/>
            <w:vAlign w:val="center"/>
          </w:tcPr>
          <w:p w14:paraId="3AF34DC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05" w:type="pct"/>
            <w:vAlign w:val="center"/>
          </w:tcPr>
          <w:p w14:paraId="27C5CC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0.029</w:t>
            </w:r>
          </w:p>
        </w:tc>
        <w:tc>
          <w:tcPr>
            <w:tcW w:w="342" w:type="pct"/>
            <w:vMerge w:val="continue"/>
            <w:vAlign w:val="center"/>
          </w:tcPr>
          <w:p w14:paraId="307667B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3AFBC77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179" w:hRule="atLeast"/>
          <w:jc w:val="center"/>
        </w:trPr>
        <w:tc>
          <w:tcPr>
            <w:tcW w:w="327" w:type="pct"/>
            <w:vMerge w:val="continue"/>
            <w:vAlign w:val="center"/>
          </w:tcPr>
          <w:p w14:paraId="472234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0B144B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非甲烷总烃</w:t>
            </w:r>
          </w:p>
        </w:tc>
        <w:tc>
          <w:tcPr>
            <w:tcW w:w="234" w:type="pct"/>
            <w:vMerge w:val="restart"/>
            <w:vAlign w:val="center"/>
          </w:tcPr>
          <w:p w14:paraId="6C89D07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无组织</w:t>
            </w:r>
          </w:p>
        </w:tc>
        <w:tc>
          <w:tcPr>
            <w:tcW w:w="326" w:type="pct"/>
            <w:vAlign w:val="center"/>
          </w:tcPr>
          <w:p w14:paraId="4C1C2B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36C2A89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0.036</w:t>
            </w:r>
          </w:p>
        </w:tc>
        <w:tc>
          <w:tcPr>
            <w:tcW w:w="949" w:type="pct"/>
            <w:vMerge w:val="restart"/>
            <w:vAlign w:val="center"/>
          </w:tcPr>
          <w:p w14:paraId="14F13D8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车间密闭</w:t>
            </w:r>
          </w:p>
        </w:tc>
        <w:tc>
          <w:tcPr>
            <w:tcW w:w="296" w:type="pct"/>
            <w:vMerge w:val="restart"/>
            <w:vAlign w:val="center"/>
          </w:tcPr>
          <w:p w14:paraId="382230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06" w:type="pct"/>
            <w:vAlign w:val="center"/>
          </w:tcPr>
          <w:p w14:paraId="2D49930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w:t>
            </w:r>
          </w:p>
        </w:tc>
        <w:tc>
          <w:tcPr>
            <w:tcW w:w="311" w:type="pct"/>
            <w:vAlign w:val="center"/>
          </w:tcPr>
          <w:p w14:paraId="10C6A1B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732C7CE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3D3FE92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045</w:t>
            </w:r>
          </w:p>
        </w:tc>
        <w:tc>
          <w:tcPr>
            <w:tcW w:w="319" w:type="pct"/>
            <w:vMerge w:val="restart"/>
            <w:vAlign w:val="center"/>
          </w:tcPr>
          <w:p w14:paraId="3E65855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7920</w:t>
            </w:r>
          </w:p>
        </w:tc>
        <w:tc>
          <w:tcPr>
            <w:tcW w:w="800" w:type="dxa"/>
            <w:vAlign w:val="center"/>
          </w:tcPr>
          <w:p w14:paraId="105D48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0.036</w:t>
            </w:r>
          </w:p>
        </w:tc>
        <w:tc>
          <w:tcPr>
            <w:tcW w:w="342" w:type="pct"/>
            <w:vMerge w:val="restart"/>
            <w:vAlign w:val="center"/>
          </w:tcPr>
          <w:p w14:paraId="3709C1D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w:t>
            </w:r>
          </w:p>
        </w:tc>
      </w:tr>
      <w:tr w14:paraId="4E7A3DE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243D7AF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7B9E9F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二甲苯</w:t>
            </w:r>
          </w:p>
        </w:tc>
        <w:tc>
          <w:tcPr>
            <w:tcW w:w="234" w:type="pct"/>
            <w:vMerge w:val="continue"/>
            <w:vAlign w:val="center"/>
          </w:tcPr>
          <w:p w14:paraId="501586D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26" w:type="pct"/>
            <w:vAlign w:val="center"/>
          </w:tcPr>
          <w:p w14:paraId="4694846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166085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0.012</w:t>
            </w:r>
          </w:p>
        </w:tc>
        <w:tc>
          <w:tcPr>
            <w:tcW w:w="949" w:type="pct"/>
            <w:vMerge w:val="continue"/>
            <w:vAlign w:val="center"/>
          </w:tcPr>
          <w:p w14:paraId="534963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6C97B0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519BE62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0</w:t>
            </w:r>
          </w:p>
        </w:tc>
        <w:tc>
          <w:tcPr>
            <w:tcW w:w="311" w:type="pct"/>
            <w:vAlign w:val="center"/>
          </w:tcPr>
          <w:p w14:paraId="3FB9D9F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2549DDD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07C312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015</w:t>
            </w:r>
          </w:p>
        </w:tc>
        <w:tc>
          <w:tcPr>
            <w:tcW w:w="319" w:type="pct"/>
            <w:vMerge w:val="continue"/>
            <w:vAlign w:val="center"/>
          </w:tcPr>
          <w:p w14:paraId="5C81F6A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00" w:type="dxa"/>
            <w:vAlign w:val="center"/>
          </w:tcPr>
          <w:p w14:paraId="7282CE4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0.012</w:t>
            </w:r>
          </w:p>
        </w:tc>
        <w:tc>
          <w:tcPr>
            <w:tcW w:w="342" w:type="pct"/>
            <w:vMerge w:val="continue"/>
            <w:vAlign w:val="center"/>
          </w:tcPr>
          <w:p w14:paraId="089062D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r w14:paraId="37017F5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 w:hRule="atLeast"/>
          <w:jc w:val="center"/>
        </w:trPr>
        <w:tc>
          <w:tcPr>
            <w:tcW w:w="327" w:type="pct"/>
            <w:vMerge w:val="continue"/>
            <w:vAlign w:val="center"/>
          </w:tcPr>
          <w:p w14:paraId="22C39E1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p>
        </w:tc>
        <w:tc>
          <w:tcPr>
            <w:tcW w:w="1208" w:type="dxa"/>
            <w:vAlign w:val="center"/>
          </w:tcPr>
          <w:p w14:paraId="25C65D0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甲苯</w:t>
            </w:r>
          </w:p>
        </w:tc>
        <w:tc>
          <w:tcPr>
            <w:tcW w:w="234" w:type="pct"/>
            <w:vMerge w:val="continue"/>
            <w:vAlign w:val="center"/>
          </w:tcPr>
          <w:p w14:paraId="25F47FB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326" w:type="pct"/>
            <w:vAlign w:val="center"/>
          </w:tcPr>
          <w:p w14:paraId="111ECFE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258" w:type="pct"/>
            <w:vAlign w:val="center"/>
          </w:tcPr>
          <w:p w14:paraId="1883CF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0.005</w:t>
            </w:r>
          </w:p>
        </w:tc>
        <w:tc>
          <w:tcPr>
            <w:tcW w:w="949" w:type="pct"/>
            <w:vMerge w:val="continue"/>
            <w:vAlign w:val="center"/>
          </w:tcPr>
          <w:p w14:paraId="2FB2E6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96" w:type="pct"/>
            <w:vMerge w:val="continue"/>
            <w:vAlign w:val="center"/>
          </w:tcPr>
          <w:p w14:paraId="6A6841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206" w:type="pct"/>
            <w:vAlign w:val="center"/>
          </w:tcPr>
          <w:p w14:paraId="7B3C4B1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0</w:t>
            </w:r>
          </w:p>
        </w:tc>
        <w:tc>
          <w:tcPr>
            <w:tcW w:w="311" w:type="pct"/>
            <w:vAlign w:val="center"/>
          </w:tcPr>
          <w:p w14:paraId="616C9B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338" w:type="pct"/>
            <w:vAlign w:val="center"/>
          </w:tcPr>
          <w:p w14:paraId="28AE7DE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default" w:ascii="Times New Roman" w:hAnsi="Times New Roman" w:cs="Times New Roman"/>
                <w:b w:val="0"/>
                <w:bCs/>
                <w:color w:val="auto"/>
                <w:spacing w:val="0"/>
                <w:w w:val="100"/>
                <w:sz w:val="21"/>
                <w:szCs w:val="21"/>
                <w:highlight w:val="none"/>
                <w:u w:val="single"/>
                <w:lang w:val="en-US" w:eastAsia="zh-CN"/>
              </w:rPr>
              <w:t>/</w:t>
            </w:r>
          </w:p>
        </w:tc>
        <w:tc>
          <w:tcPr>
            <w:tcW w:w="847" w:type="dxa"/>
            <w:vAlign w:val="center"/>
          </w:tcPr>
          <w:p w14:paraId="44D849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single"/>
                <w:lang w:val="en-US" w:eastAsia="zh-CN"/>
              </w:rPr>
            </w:pPr>
            <w:r>
              <w:rPr>
                <w:rFonts w:hint="eastAsia" w:ascii="Times New Roman" w:hAnsi="Times New Roman" w:eastAsia="宋体" w:cs="Times New Roman"/>
                <w:b w:val="0"/>
                <w:bCs/>
                <w:color w:val="auto"/>
                <w:spacing w:val="0"/>
                <w:w w:val="100"/>
                <w:sz w:val="21"/>
                <w:szCs w:val="21"/>
                <w:highlight w:val="none"/>
                <w:u w:val="single"/>
                <w:lang w:val="en-US" w:eastAsia="zh-CN"/>
              </w:rPr>
              <w:t>0.0</w:t>
            </w:r>
            <w:r>
              <w:rPr>
                <w:rFonts w:hint="eastAsia" w:cs="Times New Roman"/>
                <w:b w:val="0"/>
                <w:bCs/>
                <w:color w:val="auto"/>
                <w:spacing w:val="0"/>
                <w:w w:val="100"/>
                <w:sz w:val="21"/>
                <w:szCs w:val="21"/>
                <w:highlight w:val="none"/>
                <w:u w:val="single"/>
                <w:lang w:val="en-US" w:eastAsia="zh-CN"/>
              </w:rPr>
              <w:t>006</w:t>
            </w:r>
          </w:p>
        </w:tc>
        <w:tc>
          <w:tcPr>
            <w:tcW w:w="319" w:type="pct"/>
            <w:vMerge w:val="continue"/>
            <w:vAlign w:val="center"/>
          </w:tcPr>
          <w:p w14:paraId="77C9C79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p>
        </w:tc>
        <w:tc>
          <w:tcPr>
            <w:tcW w:w="800" w:type="dxa"/>
            <w:vAlign w:val="center"/>
          </w:tcPr>
          <w:p w14:paraId="0858E9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single"/>
                <w:lang w:val="en-US" w:eastAsia="zh-CN"/>
              </w:rPr>
            </w:pPr>
            <w:r>
              <w:rPr>
                <w:rFonts w:hint="eastAsia" w:cs="Times New Roman"/>
                <w:b w:val="0"/>
                <w:bCs/>
                <w:color w:val="auto"/>
                <w:spacing w:val="0"/>
                <w:w w:val="100"/>
                <w:sz w:val="21"/>
                <w:szCs w:val="21"/>
                <w:highlight w:val="none"/>
                <w:u w:val="single"/>
                <w:lang w:val="en-US" w:eastAsia="zh-CN"/>
              </w:rPr>
              <w:t>0.005</w:t>
            </w:r>
          </w:p>
        </w:tc>
        <w:tc>
          <w:tcPr>
            <w:tcW w:w="342" w:type="pct"/>
            <w:vMerge w:val="continue"/>
            <w:vAlign w:val="center"/>
          </w:tcPr>
          <w:p w14:paraId="715DD1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r>
    </w:tbl>
    <w:p w14:paraId="29C51D99">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w w:val="100"/>
          <w:sz w:val="24"/>
          <w:szCs w:val="24"/>
          <w:highlight w:val="none"/>
          <w:u w:val="none"/>
          <w:lang w:val="en-US" w:eastAsia="zh-CN"/>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w:t>
      </w:r>
      <w:r>
        <w:rPr>
          <w:rFonts w:hint="eastAsia" w:cs="Times New Roman"/>
          <w:b/>
          <w:color w:val="auto"/>
          <w:w w:val="100"/>
          <w:sz w:val="24"/>
          <w:szCs w:val="24"/>
          <w:highlight w:val="none"/>
          <w:u w:val="none"/>
          <w:lang w:val="en-US" w:eastAsia="zh-CN"/>
        </w:rPr>
        <w:t>2</w:t>
      </w:r>
      <w:r>
        <w:rPr>
          <w:rFonts w:hint="default" w:ascii="Times New Roman" w:hAnsi="Times New Roman" w:eastAsia="宋体" w:cs="Times New Roman"/>
          <w:b/>
          <w:color w:val="auto"/>
          <w:w w:val="100"/>
          <w:sz w:val="24"/>
          <w:szCs w:val="24"/>
          <w:highlight w:val="none"/>
          <w:u w:val="none"/>
        </w:rPr>
        <w:t>项目废气</w:t>
      </w:r>
      <w:r>
        <w:rPr>
          <w:rFonts w:hint="default" w:ascii="Times New Roman" w:hAnsi="Times New Roman" w:eastAsia="宋体" w:cs="Times New Roman"/>
          <w:b/>
          <w:color w:val="auto"/>
          <w:w w:val="100"/>
          <w:sz w:val="24"/>
          <w:szCs w:val="24"/>
          <w:highlight w:val="none"/>
          <w:u w:val="none"/>
          <w:lang w:val="en-US" w:eastAsia="zh-CN"/>
        </w:rPr>
        <w:t>排放口基本情况信息</w:t>
      </w:r>
      <w:r>
        <w:rPr>
          <w:rFonts w:hint="default" w:ascii="Times New Roman" w:hAnsi="Times New Roman" w:eastAsia="宋体" w:cs="Times New Roman"/>
          <w:b/>
          <w:color w:val="auto"/>
          <w:w w:val="100"/>
          <w:sz w:val="24"/>
          <w:szCs w:val="24"/>
          <w:highlight w:val="none"/>
          <w:u w:val="none"/>
        </w:rPr>
        <w:t>一览表</w:t>
      </w:r>
      <w:r>
        <w:rPr>
          <w:rFonts w:hint="eastAsia" w:cs="Times New Roman"/>
          <w:b/>
          <w:color w:val="auto"/>
          <w:w w:val="100"/>
          <w:sz w:val="24"/>
          <w:szCs w:val="24"/>
          <w:highlight w:val="none"/>
          <w:u w:val="none"/>
          <w:lang w:eastAsia="zh-CN"/>
        </w:rPr>
        <w:t>（</w:t>
      </w:r>
      <w:r>
        <w:rPr>
          <w:rFonts w:hint="default" w:ascii="Times New Roman" w:hAnsi="Times New Roman" w:cs="Times New Roman"/>
          <w:b/>
          <w:color w:val="auto"/>
          <w:w w:val="100"/>
          <w:sz w:val="24"/>
          <w:szCs w:val="24"/>
          <w:highlight w:val="none"/>
          <w:u w:val="none"/>
          <w:lang w:val="en-US" w:eastAsia="zh-CN"/>
        </w:rPr>
        <w:t>有组织</w:t>
      </w:r>
      <w:r>
        <w:rPr>
          <w:rFonts w:hint="eastAsia" w:cs="Times New Roman"/>
          <w:b/>
          <w:color w:val="auto"/>
          <w:w w:val="100"/>
          <w:sz w:val="24"/>
          <w:szCs w:val="24"/>
          <w:highlight w:val="none"/>
          <w:u w:val="none"/>
          <w:lang w:val="en-US" w:eastAsia="zh-CN"/>
        </w:rPr>
        <w:t>）</w:t>
      </w:r>
    </w:p>
    <w:tbl>
      <w:tblPr>
        <w:tblStyle w:val="46"/>
        <w:tblW w:w="5005"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52"/>
        <w:gridCol w:w="1940"/>
        <w:gridCol w:w="1966"/>
        <w:gridCol w:w="1311"/>
        <w:gridCol w:w="1115"/>
        <w:gridCol w:w="760"/>
        <w:gridCol w:w="904"/>
        <w:gridCol w:w="695"/>
        <w:gridCol w:w="1115"/>
        <w:gridCol w:w="2287"/>
      </w:tblGrid>
      <w:tr w14:paraId="33A7C68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Merge w:val="restart"/>
            <w:vAlign w:val="center"/>
          </w:tcPr>
          <w:p w14:paraId="60EFAD5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r>
              <w:rPr>
                <w:rFonts w:hint="default" w:ascii="Times New Roman" w:hAnsi="Times New Roman" w:eastAsia="宋体" w:cs="Times New Roman"/>
                <w:b w:val="0"/>
                <w:bCs/>
                <w:color w:val="auto"/>
                <w:spacing w:val="0"/>
                <w:w w:val="100"/>
                <w:sz w:val="21"/>
                <w:szCs w:val="21"/>
                <w:highlight w:val="none"/>
                <w:u w:val="none"/>
                <w:lang w:val="en-US" w:eastAsia="zh-CN"/>
              </w:rPr>
              <w:t>排放口</w:t>
            </w:r>
            <w:r>
              <w:rPr>
                <w:rFonts w:hint="default" w:ascii="Times New Roman" w:hAnsi="Times New Roman" w:eastAsia="宋体" w:cs="Times New Roman"/>
                <w:b w:val="0"/>
                <w:bCs/>
                <w:color w:val="auto"/>
                <w:spacing w:val="0"/>
                <w:w w:val="100"/>
                <w:sz w:val="21"/>
                <w:szCs w:val="21"/>
                <w:highlight w:val="none"/>
                <w:u w:val="none"/>
              </w:rPr>
              <w:t>编号</w:t>
            </w:r>
          </w:p>
        </w:tc>
        <w:tc>
          <w:tcPr>
            <w:tcW w:w="743" w:type="pct"/>
            <w:vMerge w:val="restart"/>
            <w:vAlign w:val="center"/>
          </w:tcPr>
          <w:p w14:paraId="6E2C11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排放口名称</w:t>
            </w:r>
          </w:p>
        </w:tc>
        <w:tc>
          <w:tcPr>
            <w:tcW w:w="753" w:type="pct"/>
            <w:vMerge w:val="restart"/>
            <w:vAlign w:val="center"/>
          </w:tcPr>
          <w:p w14:paraId="5156D0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污染物</w:t>
            </w:r>
          </w:p>
        </w:tc>
        <w:tc>
          <w:tcPr>
            <w:tcW w:w="929" w:type="pct"/>
            <w:gridSpan w:val="2"/>
            <w:vAlign w:val="center"/>
          </w:tcPr>
          <w:p w14:paraId="7F98399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排气筒底部地理坐标</w:t>
            </w:r>
          </w:p>
        </w:tc>
        <w:tc>
          <w:tcPr>
            <w:tcW w:w="291" w:type="pct"/>
            <w:vMerge w:val="restart"/>
            <w:vAlign w:val="center"/>
          </w:tcPr>
          <w:p w14:paraId="434AEC6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高度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m</w:t>
            </w:r>
            <w:r>
              <w:rPr>
                <w:rFonts w:hint="eastAsia" w:cs="Times New Roman"/>
                <w:b w:val="0"/>
                <w:bCs/>
                <w:color w:val="auto"/>
                <w:spacing w:val="0"/>
                <w:w w:val="100"/>
                <w:sz w:val="21"/>
                <w:szCs w:val="21"/>
                <w:highlight w:val="none"/>
                <w:u w:val="none"/>
                <w:lang w:val="en-US" w:eastAsia="zh-CN"/>
              </w:rPr>
              <w:t>）</w:t>
            </w:r>
          </w:p>
        </w:tc>
        <w:tc>
          <w:tcPr>
            <w:tcW w:w="346" w:type="pct"/>
            <w:vMerge w:val="restart"/>
            <w:vAlign w:val="center"/>
          </w:tcPr>
          <w:p w14:paraId="334593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排气筒内径</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m</w:t>
            </w:r>
            <w:r>
              <w:rPr>
                <w:rFonts w:hint="eastAsia" w:cs="Times New Roman"/>
                <w:b w:val="0"/>
                <w:bCs/>
                <w:color w:val="auto"/>
                <w:spacing w:val="0"/>
                <w:w w:val="100"/>
                <w:sz w:val="21"/>
                <w:szCs w:val="21"/>
                <w:highlight w:val="none"/>
                <w:u w:val="none"/>
                <w:lang w:val="en-US" w:eastAsia="zh-CN"/>
              </w:rPr>
              <w:t>）</w:t>
            </w:r>
          </w:p>
        </w:tc>
        <w:tc>
          <w:tcPr>
            <w:tcW w:w="266" w:type="pct"/>
            <w:vMerge w:val="restart"/>
            <w:vAlign w:val="center"/>
          </w:tcPr>
          <w:p w14:paraId="555C388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烟气温度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427" w:type="pct"/>
            <w:vMerge w:val="restart"/>
            <w:vAlign w:val="center"/>
          </w:tcPr>
          <w:p w14:paraId="4E11115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类型</w:t>
            </w:r>
          </w:p>
        </w:tc>
        <w:tc>
          <w:tcPr>
            <w:tcW w:w="876" w:type="pct"/>
            <w:vMerge w:val="restart"/>
            <w:vAlign w:val="center"/>
          </w:tcPr>
          <w:p w14:paraId="4A613B7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执行标准</w:t>
            </w:r>
          </w:p>
        </w:tc>
      </w:tr>
      <w:tr w14:paraId="099DD6A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Merge w:val="continue"/>
            <w:vAlign w:val="center"/>
          </w:tcPr>
          <w:p w14:paraId="585F0F9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743" w:type="pct"/>
            <w:vMerge w:val="continue"/>
            <w:vAlign w:val="center"/>
          </w:tcPr>
          <w:p w14:paraId="21CE616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c>
          <w:tcPr>
            <w:tcW w:w="753" w:type="pct"/>
            <w:vMerge w:val="continue"/>
            <w:vAlign w:val="center"/>
          </w:tcPr>
          <w:p w14:paraId="7EAA55D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p>
        </w:tc>
        <w:tc>
          <w:tcPr>
            <w:tcW w:w="502" w:type="pct"/>
            <w:vAlign w:val="center"/>
          </w:tcPr>
          <w:p w14:paraId="287B2C7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经度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427" w:type="pct"/>
            <w:vAlign w:val="center"/>
          </w:tcPr>
          <w:p w14:paraId="00F8A44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纬度</w:t>
            </w:r>
            <w:r>
              <w:rPr>
                <w:rFonts w:hint="eastAsia" w:cs="Times New Roman"/>
                <w:b w:val="0"/>
                <w:bCs/>
                <w:color w:val="auto"/>
                <w:spacing w:val="0"/>
                <w:w w:val="100"/>
                <w:sz w:val="21"/>
                <w:szCs w:val="21"/>
                <w:highlight w:val="none"/>
                <w:u w:val="none"/>
                <w:lang w:val="en-US" w:eastAsia="zh-CN"/>
              </w:rPr>
              <w:t>（</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eastAsia" w:cs="Times New Roman"/>
                <w:b w:val="0"/>
                <w:bCs/>
                <w:color w:val="auto"/>
                <w:spacing w:val="0"/>
                <w:w w:val="100"/>
                <w:sz w:val="21"/>
                <w:szCs w:val="21"/>
                <w:highlight w:val="none"/>
                <w:u w:val="none"/>
                <w:lang w:val="en-US" w:eastAsia="zh-CN"/>
              </w:rPr>
              <w:t>）</w:t>
            </w:r>
          </w:p>
        </w:tc>
        <w:tc>
          <w:tcPr>
            <w:tcW w:w="291" w:type="pct"/>
            <w:vMerge w:val="continue"/>
            <w:vAlign w:val="center"/>
          </w:tcPr>
          <w:p w14:paraId="5EC2B29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346" w:type="pct"/>
            <w:vMerge w:val="continue"/>
            <w:vAlign w:val="center"/>
          </w:tcPr>
          <w:p w14:paraId="4E8DE0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266" w:type="pct"/>
            <w:vMerge w:val="continue"/>
            <w:vAlign w:val="center"/>
          </w:tcPr>
          <w:p w14:paraId="46B700E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p>
        </w:tc>
        <w:tc>
          <w:tcPr>
            <w:tcW w:w="427" w:type="pct"/>
            <w:vMerge w:val="continue"/>
            <w:vAlign w:val="center"/>
          </w:tcPr>
          <w:p w14:paraId="4A0A75D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c>
          <w:tcPr>
            <w:tcW w:w="876" w:type="pct"/>
            <w:vMerge w:val="continue"/>
            <w:vAlign w:val="center"/>
          </w:tcPr>
          <w:p w14:paraId="3D34C1E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rPr>
            </w:pPr>
          </w:p>
        </w:tc>
      </w:tr>
      <w:tr w14:paraId="78DCE5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5" w:type="pct"/>
            <w:vAlign w:val="center"/>
          </w:tcPr>
          <w:p w14:paraId="018C3C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DA00</w:t>
            </w:r>
            <w:r>
              <w:rPr>
                <w:rFonts w:hint="default" w:ascii="Times New Roman" w:hAnsi="Times New Roman" w:eastAsia="宋体" w:cs="Times New Roman"/>
                <w:b w:val="0"/>
                <w:bCs/>
                <w:color w:val="auto"/>
                <w:spacing w:val="0"/>
                <w:w w:val="100"/>
                <w:sz w:val="21"/>
                <w:szCs w:val="21"/>
                <w:highlight w:val="none"/>
                <w:u w:val="none"/>
              </w:rPr>
              <w:t>1</w:t>
            </w:r>
          </w:p>
        </w:tc>
        <w:tc>
          <w:tcPr>
            <w:tcW w:w="743" w:type="pct"/>
            <w:vAlign w:val="center"/>
          </w:tcPr>
          <w:p w14:paraId="28A45CF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刷漆晾干废气排放口</w:t>
            </w:r>
          </w:p>
        </w:tc>
        <w:tc>
          <w:tcPr>
            <w:tcW w:w="753" w:type="pct"/>
            <w:vAlign w:val="center"/>
          </w:tcPr>
          <w:p w14:paraId="0595F5B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 w:val="0"/>
                <w:bCs/>
                <w:color w:val="auto"/>
                <w:spacing w:val="0"/>
                <w:w w:val="10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颗粒物、非甲烷总烃、二甲苯</w:t>
            </w:r>
          </w:p>
        </w:tc>
        <w:tc>
          <w:tcPr>
            <w:tcW w:w="502" w:type="pct"/>
            <w:vAlign w:val="center"/>
          </w:tcPr>
          <w:p w14:paraId="3F1CAE6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108.657848</w:t>
            </w:r>
          </w:p>
        </w:tc>
        <w:tc>
          <w:tcPr>
            <w:tcW w:w="427" w:type="pct"/>
            <w:vAlign w:val="center"/>
          </w:tcPr>
          <w:p w14:paraId="4FACA1C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21.717975</w:t>
            </w:r>
          </w:p>
        </w:tc>
        <w:tc>
          <w:tcPr>
            <w:tcW w:w="291" w:type="pct"/>
            <w:vAlign w:val="center"/>
          </w:tcPr>
          <w:p w14:paraId="11DD52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eastAsia" w:cs="Times New Roman"/>
                <w:b w:val="0"/>
                <w:bCs/>
                <w:color w:val="auto"/>
                <w:spacing w:val="0"/>
                <w:w w:val="100"/>
                <w:sz w:val="21"/>
                <w:szCs w:val="21"/>
                <w:highlight w:val="none"/>
                <w:u w:val="none"/>
                <w:lang w:val="en-US" w:eastAsia="zh-CN"/>
              </w:rPr>
              <w:t>15</w:t>
            </w:r>
          </w:p>
        </w:tc>
        <w:tc>
          <w:tcPr>
            <w:tcW w:w="346" w:type="pct"/>
            <w:vAlign w:val="center"/>
          </w:tcPr>
          <w:p w14:paraId="12BE9E5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0.8</w:t>
            </w:r>
          </w:p>
        </w:tc>
        <w:tc>
          <w:tcPr>
            <w:tcW w:w="266" w:type="pct"/>
            <w:vAlign w:val="center"/>
          </w:tcPr>
          <w:p w14:paraId="4F7D7ED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cs="Times New Roman"/>
                <w:b w:val="0"/>
                <w:bCs/>
                <w:color w:val="auto"/>
                <w:spacing w:val="0"/>
                <w:w w:val="100"/>
                <w:sz w:val="21"/>
                <w:szCs w:val="21"/>
                <w:highlight w:val="none"/>
                <w:u w:val="none"/>
                <w:lang w:val="en-US" w:eastAsia="zh-CN"/>
              </w:rPr>
              <w:t>常温</w:t>
            </w:r>
          </w:p>
        </w:tc>
        <w:tc>
          <w:tcPr>
            <w:tcW w:w="427" w:type="pct"/>
            <w:vAlign w:val="center"/>
          </w:tcPr>
          <w:p w14:paraId="58DD1C7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一般排放口</w:t>
            </w:r>
          </w:p>
        </w:tc>
        <w:tc>
          <w:tcPr>
            <w:tcW w:w="876" w:type="pct"/>
            <w:vAlign w:val="center"/>
          </w:tcPr>
          <w:p w14:paraId="1B0A564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kern w:val="2"/>
                <w:sz w:val="21"/>
                <w:szCs w:val="21"/>
                <w:highlight w:val="none"/>
                <w:u w:val="none"/>
                <w:lang w:val="en-US" w:eastAsia="zh-CN" w:bidi="ar-SA"/>
              </w:rPr>
              <w:t>《大气污染物综合排放标准》(GB16297-1996</w:t>
            </w:r>
            <w:r>
              <w:rPr>
                <w:rFonts w:hint="eastAsia" w:cs="Times New Roman"/>
                <w:b w:val="0"/>
                <w:bCs/>
                <w:color w:val="auto"/>
                <w:spacing w:val="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0"/>
                <w:w w:val="100"/>
                <w:kern w:val="2"/>
                <w:sz w:val="21"/>
                <w:szCs w:val="21"/>
                <w:highlight w:val="none"/>
                <w:u w:val="none"/>
                <w:lang w:val="en-US" w:eastAsia="zh-CN" w:bidi="ar-SA"/>
              </w:rPr>
              <w:t>表2中二级标准</w:t>
            </w:r>
          </w:p>
        </w:tc>
      </w:tr>
    </w:tbl>
    <w:p w14:paraId="2BE91C8A">
      <w:pPr>
        <w:pStyle w:val="41"/>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383"/>
      </w:tblGrid>
      <w:tr w14:paraId="4A84D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3" w:hRule="atLeast"/>
          <w:jc w:val="center"/>
        </w:trPr>
        <w:tc>
          <w:tcPr>
            <w:tcW w:w="598" w:type="dxa"/>
            <w:noWrap w:val="0"/>
            <w:tcMar>
              <w:left w:w="28" w:type="dxa"/>
              <w:right w:w="28" w:type="dxa"/>
            </w:tcMar>
            <w:vAlign w:val="center"/>
          </w:tcPr>
          <w:p w14:paraId="14020B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505F66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596B4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00B03E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028262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14:paraId="0A2D88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 w:val="24"/>
                <w:szCs w:val="24"/>
                <w:highlight w:val="none"/>
              </w:rPr>
              <w:t>措施</w:t>
            </w:r>
          </w:p>
        </w:tc>
        <w:tc>
          <w:tcPr>
            <w:tcW w:w="8383" w:type="dxa"/>
            <w:noWrap w:val="0"/>
            <w:vAlign w:val="center"/>
          </w:tcPr>
          <w:p w14:paraId="1E2CCF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一</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营运期大气污染源</w:t>
            </w:r>
            <w:r>
              <w:rPr>
                <w:rFonts w:hint="default" w:ascii="Times New Roman" w:hAnsi="Times New Roman" w:cs="Times New Roman"/>
                <w:b/>
                <w:color w:val="auto"/>
                <w:sz w:val="24"/>
                <w:highlight w:val="none"/>
                <w:lang w:eastAsia="zh-CN"/>
              </w:rPr>
              <w:t>环境影响分析及保护措施</w:t>
            </w:r>
          </w:p>
          <w:p w14:paraId="671E0B71">
            <w:pPr>
              <w:keepNext w:val="0"/>
              <w:keepLines w:val="0"/>
              <w:suppressLineNumbers w:val="0"/>
              <w:spacing w:before="157" w:beforeAutospacing="0" w:after="0" w:afterAutospacing="0" w:line="220" w:lineRule="auto"/>
              <w:ind w:left="104" w:right="0"/>
              <w:rPr>
                <w:rFonts w:hint="default" w:ascii="Times New Roman" w:hAnsi="Times New Roman" w:eastAsia="黑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黑体" w:cs="Times New Roman"/>
                <w:b/>
                <w:bCs/>
                <w:color w:val="auto"/>
                <w:spacing w:val="-1"/>
                <w:sz w:val="24"/>
                <w:szCs w:val="24"/>
                <w:highlight w:val="none"/>
              </w:rPr>
              <w:t>产排污环节</w:t>
            </w:r>
          </w:p>
          <w:p w14:paraId="73369025">
            <w:pPr>
              <w:pStyle w:val="143"/>
              <w:keepNext w:val="0"/>
              <w:keepLines w:val="0"/>
              <w:pageBreakBefore w:val="0"/>
              <w:widowControl w:val="0"/>
              <w:suppressLineNumbers w:val="0"/>
              <w:kinsoku/>
              <w:wordWrap/>
              <w:overflowPunct/>
              <w:topLinePunct w:val="0"/>
              <w:autoSpaceDE/>
              <w:autoSpaceDN/>
              <w:bidi w:val="0"/>
              <w:adjustRightInd/>
              <w:snapToGrid/>
              <w:spacing w:before="157"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本项目焊接、切割、木地板断料工序均在车间内进行</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刷漆、晾干在</w:t>
            </w:r>
            <w:r>
              <w:rPr>
                <w:rFonts w:hint="default" w:ascii="Times New Roman" w:hAnsi="Times New Roman" w:eastAsia="宋体" w:cs="Times New Roman"/>
                <w:color w:val="auto"/>
                <w:kern w:val="2"/>
                <w:sz w:val="24"/>
                <w:szCs w:val="24"/>
                <w:highlight w:val="none"/>
                <w:u w:val="none"/>
                <w:lang w:val="en-US" w:eastAsia="zh-CN" w:bidi="ar-SA"/>
              </w:rPr>
              <w:t>修箱车间</w:t>
            </w:r>
            <w:r>
              <w:rPr>
                <w:rFonts w:hint="default" w:ascii="Times New Roman" w:hAnsi="Times New Roman" w:cs="Times New Roman"/>
                <w:color w:val="auto"/>
                <w:kern w:val="2"/>
                <w:sz w:val="24"/>
                <w:szCs w:val="24"/>
                <w:highlight w:val="none"/>
                <w:u w:val="none"/>
                <w:lang w:val="en-US" w:eastAsia="zh-CN" w:bidi="ar-SA"/>
              </w:rPr>
              <w:t>内进行</w:t>
            </w:r>
            <w:r>
              <w:rPr>
                <w:rFonts w:hint="default" w:ascii="Times New Roman" w:hAnsi="Times New Roman" w:cs="Times New Roman"/>
                <w:color w:val="auto"/>
                <w:spacing w:val="-1"/>
                <w:sz w:val="24"/>
                <w:szCs w:val="24"/>
                <w:highlight w:val="none"/>
              </w:rPr>
              <w:t>。</w:t>
            </w:r>
          </w:p>
          <w:p w14:paraId="3FA62D3D">
            <w:pPr>
              <w:pStyle w:val="143"/>
              <w:keepNext w:val="0"/>
              <w:keepLines w:val="0"/>
              <w:suppressLineNumbers w:val="0"/>
              <w:spacing w:before="79" w:beforeAutospacing="0" w:after="0" w:afterAutospacing="0" w:line="360" w:lineRule="auto"/>
              <w:ind w:left="107" w:right="95"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本项目废气主要包括：集装箱切割烟尘、焊接烟尘、木板断料粉尘、刷漆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晾干</w:t>
            </w:r>
            <w:r>
              <w:rPr>
                <w:rFonts w:hint="default" w:ascii="Times New Roman" w:hAnsi="Times New Roman" w:cs="Times New Roman"/>
                <w:color w:val="auto"/>
                <w:sz w:val="24"/>
                <w:szCs w:val="24"/>
                <w:highlight w:val="none"/>
              </w:rPr>
              <w:t>有机废气。项目</w:t>
            </w:r>
            <w:r>
              <w:rPr>
                <w:rFonts w:hint="eastAsia" w:ascii="Times New Roman" w:hAnsi="Times New Roman" w:cs="Times New Roman"/>
                <w:color w:val="auto"/>
                <w:sz w:val="24"/>
                <w:szCs w:val="24"/>
                <w:highlight w:val="none"/>
                <w:lang w:val="en-US" w:eastAsia="zh-CN"/>
              </w:rPr>
              <w:t>切割、</w:t>
            </w:r>
            <w:r>
              <w:rPr>
                <w:rFonts w:hint="default" w:ascii="Times New Roman" w:hAnsi="Times New Roman" w:cs="Times New Roman"/>
                <w:color w:val="auto"/>
                <w:sz w:val="24"/>
                <w:szCs w:val="24"/>
                <w:highlight w:val="none"/>
              </w:rPr>
              <w:t>木板开料废气在厂房内无组织排放，厂房内设置排气扇等通风装置；项目焊接烟尘采用移动式焊接烟尘净化器处理后在厂房内无组织排放；修箱车间刷漆、晾干负压收集废气、废气处理设施设置二级活性炭吸附装置，处理达标后经1根15m排气筒排放</w:t>
            </w:r>
            <w:r>
              <w:rPr>
                <w:rFonts w:hint="default" w:ascii="Times New Roman" w:hAnsi="Times New Roman" w:cs="Times New Roman"/>
                <w:color w:val="auto"/>
                <w:sz w:val="24"/>
                <w:szCs w:val="24"/>
                <w:highlight w:val="none"/>
                <w:lang w:eastAsia="zh-CN"/>
              </w:rPr>
              <w:t>。</w:t>
            </w:r>
          </w:p>
          <w:p w14:paraId="3636AB9E">
            <w:pPr>
              <w:keepNext w:val="0"/>
              <w:keepLines w:val="0"/>
              <w:suppressLineNumbers w:val="0"/>
              <w:spacing w:before="31" w:beforeAutospacing="0" w:after="0" w:afterAutospacing="0" w:line="219" w:lineRule="auto"/>
              <w:ind w:left="104" w:right="0"/>
              <w:rPr>
                <w:rFonts w:hint="default" w:ascii="Times New Roman" w:hAnsi="Times New Roman" w:eastAsia="黑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黑体" w:cs="Times New Roman"/>
                <w:b/>
                <w:bCs/>
                <w:color w:val="auto"/>
                <w:spacing w:val="-2"/>
                <w:sz w:val="24"/>
                <w:szCs w:val="24"/>
                <w:highlight w:val="none"/>
              </w:rPr>
              <w:t>污染物种类、产生量和浓度</w:t>
            </w:r>
          </w:p>
          <w:p w14:paraId="5B379DB4">
            <w:pPr>
              <w:pStyle w:val="143"/>
              <w:keepNext w:val="0"/>
              <w:keepLines w:val="0"/>
              <w:suppressLineNumbers w:val="0"/>
              <w:spacing w:before="161" w:beforeAutospacing="0" w:after="0" w:afterAutospacing="0" w:line="360" w:lineRule="auto"/>
              <w:ind w:left="533" w:right="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1</w:t>
            </w:r>
            <w:r>
              <w:rPr>
                <w:rFonts w:hint="default" w:ascii="Times New Roman" w:hAnsi="Times New Roman" w:cs="Times New Roman"/>
                <w:color w:val="auto"/>
                <w:spacing w:val="-1"/>
                <w:sz w:val="24"/>
                <w:szCs w:val="24"/>
                <w:highlight w:val="none"/>
              </w:rPr>
              <w:t>）集装箱切割烟尘、焊接烟尘、</w:t>
            </w:r>
          </w:p>
          <w:p w14:paraId="704D31F6">
            <w:pPr>
              <w:pStyle w:val="143"/>
              <w:keepNext w:val="0"/>
              <w:keepLines w:val="0"/>
              <w:suppressLineNumbers w:val="0"/>
              <w:spacing w:before="74" w:beforeAutospacing="0" w:after="0" w:afterAutospacing="0" w:line="360" w:lineRule="auto"/>
              <w:ind w:left="107" w:right="95" w:firstLine="423"/>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项目有</w:t>
            </w:r>
            <w:r>
              <w:rPr>
                <w:rFonts w:hint="default" w:ascii="Times New Roman" w:hAnsi="Times New Roman" w:eastAsia="宋体" w:cs="Times New Roman"/>
                <w:color w:val="auto"/>
                <w:sz w:val="24"/>
                <w:szCs w:val="24"/>
                <w:highlight w:val="none"/>
                <w:lang w:val="en-US" w:eastAsia="zh-CN"/>
              </w:rPr>
              <w:t>18000</w:t>
            </w:r>
            <w:r>
              <w:rPr>
                <w:rFonts w:hint="default" w:ascii="Times New Roman" w:hAnsi="Times New Roman" w:cs="Times New Roman"/>
                <w:color w:val="auto"/>
                <w:sz w:val="24"/>
                <w:szCs w:val="24"/>
                <w:highlight w:val="none"/>
              </w:rPr>
              <w:t>个集装箱涉及补焊工序，集装箱破损部位首先采用氧气</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乙炔气割枪进行切割，同时将钢板切割成所需尺寸，后将破损部位采用二氧化碳焊机进行补焊，切割、焊接</w:t>
            </w:r>
            <w:r>
              <w:rPr>
                <w:rFonts w:hint="default" w:ascii="Times New Roman" w:hAnsi="Times New Roman" w:cs="Times New Roman"/>
                <w:color w:val="auto"/>
                <w:spacing w:val="-1"/>
                <w:sz w:val="24"/>
                <w:szCs w:val="24"/>
                <w:highlight w:val="none"/>
              </w:rPr>
              <w:t>工序产生切割烟尘及焊接烟尘，主要污染物为颗粒物。在实际操作过程中，车</w:t>
            </w:r>
            <w:r>
              <w:rPr>
                <w:rFonts w:hint="default" w:ascii="Times New Roman" w:hAnsi="Times New Roman" w:cs="Times New Roman"/>
                <w:color w:val="auto"/>
                <w:spacing w:val="-2"/>
                <w:sz w:val="24"/>
                <w:szCs w:val="24"/>
                <w:highlight w:val="none"/>
              </w:rPr>
              <w:t>间内有</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台集装箱同</w:t>
            </w:r>
            <w:r>
              <w:rPr>
                <w:rFonts w:hint="default" w:ascii="Times New Roman" w:hAnsi="Times New Roman" w:cs="Times New Roman"/>
                <w:color w:val="auto"/>
                <w:sz w:val="24"/>
                <w:szCs w:val="24"/>
                <w:highlight w:val="none"/>
              </w:rPr>
              <w:t>时维修，每名工人负责一台二保焊机和一台气割枪，先对集装箱破损部位及钢板进行切割</w:t>
            </w:r>
            <w:r>
              <w:rPr>
                <w:rFonts w:hint="default" w:ascii="Times New Roman" w:hAnsi="Times New Roman" w:cs="Times New Roman"/>
                <w:color w:val="auto"/>
                <w:spacing w:val="-1"/>
                <w:sz w:val="24"/>
                <w:szCs w:val="24"/>
                <w:highlight w:val="none"/>
              </w:rPr>
              <w:t>，然后在进行焊接操作，车间每天工作</w:t>
            </w:r>
            <w:r>
              <w:rPr>
                <w:rFonts w:hint="default" w:ascii="Times New Roman" w:hAnsi="Times New Roman" w:eastAsia="Times New Roman" w:cs="Times New Roman"/>
                <w:color w:val="auto"/>
                <w:spacing w:val="-1"/>
                <w:sz w:val="24"/>
                <w:szCs w:val="24"/>
                <w:highlight w:val="none"/>
              </w:rPr>
              <w:t>8h</w:t>
            </w:r>
            <w:r>
              <w:rPr>
                <w:rFonts w:hint="default" w:ascii="Times New Roman" w:hAnsi="Times New Roman" w:cs="Times New Roman"/>
                <w:color w:val="auto"/>
                <w:spacing w:val="-1"/>
                <w:sz w:val="24"/>
                <w:szCs w:val="24"/>
                <w:highlight w:val="none"/>
              </w:rPr>
              <w:t>，年</w:t>
            </w:r>
            <w:r>
              <w:rPr>
                <w:rFonts w:hint="default" w:ascii="Times New Roman" w:hAnsi="Times New Roman" w:cs="Times New Roman"/>
                <w:color w:val="auto"/>
                <w:spacing w:val="-2"/>
                <w:sz w:val="24"/>
                <w:szCs w:val="24"/>
                <w:highlight w:val="none"/>
              </w:rPr>
              <w:t>工作</w:t>
            </w:r>
            <w:r>
              <w:rPr>
                <w:rFonts w:hint="default" w:ascii="Times New Roman" w:hAnsi="Times New Roman" w:eastAsia="宋体" w:cs="Times New Roman"/>
                <w:color w:val="auto"/>
                <w:spacing w:val="-2"/>
                <w:sz w:val="24"/>
                <w:szCs w:val="24"/>
                <w:highlight w:val="none"/>
                <w:lang w:val="en-US" w:eastAsia="zh-CN"/>
              </w:rPr>
              <w:t>330</w:t>
            </w:r>
            <w:r>
              <w:rPr>
                <w:rFonts w:hint="default" w:ascii="Times New Roman" w:hAnsi="Times New Roman" w:cs="Times New Roman"/>
                <w:color w:val="auto"/>
                <w:spacing w:val="-2"/>
                <w:sz w:val="24"/>
                <w:szCs w:val="24"/>
                <w:highlight w:val="none"/>
              </w:rPr>
              <w:t>天。</w:t>
            </w:r>
          </w:p>
          <w:p w14:paraId="69541691">
            <w:pPr>
              <w:pStyle w:val="143"/>
              <w:keepNext w:val="0"/>
              <w:keepLines w:val="0"/>
              <w:suppressLineNumbers w:val="0"/>
              <w:spacing w:before="47" w:beforeAutospacing="0" w:after="0" w:afterAutospacing="0" w:line="360" w:lineRule="auto"/>
              <w:ind w:left="106" w:right="6" w:firstLine="420"/>
              <w:rPr>
                <w:rFonts w:hint="default" w:ascii="Times New Roman" w:hAnsi="Times New Roman" w:eastAsia="宋体" w:cs="Times New Roman"/>
                <w:strike w:val="0"/>
                <w:dstrike w:val="0"/>
                <w:color w:val="auto"/>
                <w:spacing w:val="-2"/>
                <w:sz w:val="24"/>
                <w:szCs w:val="24"/>
                <w:highlight w:val="none"/>
                <w:lang w:val="en-US" w:eastAsia="zh-CN"/>
              </w:rPr>
            </w:pPr>
            <w:r>
              <w:rPr>
                <w:rFonts w:hint="default" w:ascii="Times New Roman" w:hAnsi="Times New Roman" w:cs="Times New Roman"/>
                <w:strike w:val="0"/>
                <w:dstrike w:val="0"/>
                <w:color w:val="auto"/>
                <w:spacing w:val="-6"/>
                <w:sz w:val="24"/>
                <w:szCs w:val="24"/>
                <w:highlight w:val="none"/>
              </w:rPr>
              <w:t>根据《焊接车间环境污染及控制技术进展》（上海环境科学，孙大光，</w:t>
            </w:r>
            <w:r>
              <w:rPr>
                <w:rFonts w:hint="default" w:ascii="Times New Roman" w:hAnsi="Times New Roman" w:eastAsia="Times New Roman" w:cs="Times New Roman"/>
                <w:strike w:val="0"/>
                <w:dstrike w:val="0"/>
                <w:color w:val="auto"/>
                <w:spacing w:val="-6"/>
                <w:sz w:val="24"/>
                <w:szCs w:val="24"/>
                <w:highlight w:val="none"/>
              </w:rPr>
              <w:t>2</w:t>
            </w:r>
            <w:r>
              <w:rPr>
                <w:rFonts w:hint="default" w:ascii="Times New Roman" w:hAnsi="Times New Roman" w:eastAsia="Times New Roman" w:cs="Times New Roman"/>
                <w:strike w:val="0"/>
                <w:dstrike w:val="0"/>
                <w:color w:val="auto"/>
                <w:spacing w:val="-7"/>
                <w:sz w:val="24"/>
                <w:szCs w:val="24"/>
                <w:highlight w:val="none"/>
              </w:rPr>
              <w:t>004</w:t>
            </w:r>
            <w:r>
              <w:rPr>
                <w:rFonts w:hint="default" w:ascii="Times New Roman" w:hAnsi="Times New Roman" w:cs="Times New Roman"/>
                <w:strike w:val="0"/>
                <w:dstrike w:val="0"/>
                <w:color w:val="auto"/>
                <w:spacing w:val="-7"/>
                <w:sz w:val="24"/>
                <w:szCs w:val="24"/>
                <w:highlight w:val="none"/>
              </w:rPr>
              <w:t>年</w:t>
            </w:r>
            <w:r>
              <w:rPr>
                <w:rFonts w:hint="default" w:ascii="Times New Roman" w:hAnsi="Times New Roman" w:eastAsia="Times New Roman" w:cs="Times New Roman"/>
                <w:strike w:val="0"/>
                <w:dstrike w:val="0"/>
                <w:color w:val="auto"/>
                <w:spacing w:val="-7"/>
                <w:sz w:val="24"/>
                <w:szCs w:val="24"/>
                <w:highlight w:val="none"/>
              </w:rPr>
              <w:t>7</w:t>
            </w:r>
            <w:r>
              <w:rPr>
                <w:rFonts w:hint="default" w:ascii="Times New Roman" w:hAnsi="Times New Roman" w:cs="Times New Roman"/>
                <w:strike w:val="0"/>
                <w:dstrike w:val="0"/>
                <w:color w:val="auto"/>
                <w:spacing w:val="-7"/>
                <w:sz w:val="24"/>
                <w:szCs w:val="24"/>
                <w:highlight w:val="none"/>
              </w:rPr>
              <w:t>月</w:t>
            </w:r>
            <w:r>
              <w:rPr>
                <w:rFonts w:hint="default" w:ascii="Times New Roman" w:hAnsi="Times New Roman" w:eastAsia="Times New Roman" w:cs="Times New Roman"/>
                <w:strike w:val="0"/>
                <w:dstrike w:val="0"/>
                <w:color w:val="auto"/>
                <w:spacing w:val="-7"/>
                <w:sz w:val="24"/>
                <w:szCs w:val="24"/>
                <w:highlight w:val="none"/>
              </w:rPr>
              <w:t>12</w:t>
            </w:r>
            <w:r>
              <w:rPr>
                <w:rFonts w:hint="default" w:ascii="Times New Roman" w:hAnsi="Times New Roman" w:cs="Times New Roman"/>
                <w:strike w:val="0"/>
                <w:dstrike w:val="0"/>
                <w:color w:val="auto"/>
                <w:spacing w:val="-7"/>
                <w:sz w:val="24"/>
                <w:szCs w:val="24"/>
                <w:highlight w:val="none"/>
              </w:rPr>
              <w:t>日）</w:t>
            </w:r>
            <w:r>
              <w:rPr>
                <w:rFonts w:hint="default" w:ascii="Times New Roman" w:hAnsi="Times New Roman" w:cs="Times New Roman"/>
                <w:strike w:val="0"/>
                <w:dstrike w:val="0"/>
                <w:color w:val="auto"/>
                <w:spacing w:val="-1"/>
                <w:sz w:val="24"/>
                <w:szCs w:val="24"/>
                <w:highlight w:val="none"/>
              </w:rPr>
              <w:t>中表</w:t>
            </w:r>
            <w:r>
              <w:rPr>
                <w:rFonts w:hint="default" w:ascii="Times New Roman" w:hAnsi="Times New Roman" w:eastAsia="Times New Roman" w:cs="Times New Roman"/>
                <w:strike w:val="0"/>
                <w:dstrike w:val="0"/>
                <w:color w:val="auto"/>
                <w:spacing w:val="-1"/>
                <w:sz w:val="24"/>
                <w:szCs w:val="24"/>
                <w:highlight w:val="none"/>
              </w:rPr>
              <w:t>2</w:t>
            </w:r>
            <w:r>
              <w:rPr>
                <w:rFonts w:hint="default" w:ascii="Times New Roman" w:hAnsi="Times New Roman" w:cs="Times New Roman"/>
                <w:strike w:val="0"/>
                <w:dstrike w:val="0"/>
                <w:color w:val="auto"/>
                <w:spacing w:val="-1"/>
                <w:sz w:val="24"/>
                <w:szCs w:val="24"/>
                <w:highlight w:val="none"/>
              </w:rPr>
              <w:t>几种焊接（切割）方法的发尘量以及参考氧</w:t>
            </w:r>
            <w:r>
              <w:rPr>
                <w:rFonts w:hint="default" w:ascii="Times New Roman" w:hAnsi="Times New Roman" w:eastAsia="Times New Roman" w:cs="Times New Roman"/>
                <w:strike w:val="0"/>
                <w:dstrike w:val="0"/>
                <w:color w:val="auto"/>
                <w:spacing w:val="-1"/>
                <w:sz w:val="24"/>
                <w:szCs w:val="24"/>
                <w:highlight w:val="none"/>
              </w:rPr>
              <w:t>-</w:t>
            </w:r>
            <w:r>
              <w:rPr>
                <w:rFonts w:hint="default" w:ascii="Times New Roman" w:hAnsi="Times New Roman" w:cs="Times New Roman"/>
                <w:strike w:val="0"/>
                <w:dstrike w:val="0"/>
                <w:color w:val="auto"/>
                <w:spacing w:val="-1"/>
                <w:sz w:val="24"/>
                <w:szCs w:val="24"/>
                <w:highlight w:val="none"/>
              </w:rPr>
              <w:t>乙炔切割发尘量为</w:t>
            </w:r>
            <w:r>
              <w:rPr>
                <w:rFonts w:hint="default" w:ascii="Times New Roman" w:hAnsi="Times New Roman" w:eastAsia="Times New Roman" w:cs="Times New Roman"/>
                <w:strike w:val="0"/>
                <w:dstrike w:val="0"/>
                <w:color w:val="auto"/>
                <w:spacing w:val="-1"/>
                <w:sz w:val="24"/>
                <w:szCs w:val="24"/>
                <w:highlight w:val="none"/>
              </w:rPr>
              <w:t>40</w:t>
            </w:r>
            <w:r>
              <w:rPr>
                <w:rFonts w:hint="default" w:ascii="Times New Roman" w:hAnsi="Times New Roman" w:eastAsia="Times New Roman" w:cs="Times New Roman"/>
                <w:strike w:val="0"/>
                <w:dstrike w:val="0"/>
                <w:color w:val="auto"/>
                <w:spacing w:val="-2"/>
                <w:sz w:val="24"/>
                <w:szCs w:val="24"/>
                <w:highlight w:val="none"/>
              </w:rPr>
              <w:t>~80mg/min</w:t>
            </w:r>
            <w:r>
              <w:rPr>
                <w:rFonts w:hint="default" w:ascii="Times New Roman" w:hAnsi="Times New Roman" w:cs="Times New Roman"/>
                <w:strike w:val="0"/>
                <w:dstrike w:val="0"/>
                <w:color w:val="auto"/>
                <w:spacing w:val="-2"/>
                <w:sz w:val="24"/>
                <w:szCs w:val="24"/>
                <w:highlight w:val="none"/>
              </w:rPr>
              <w:t>，本次评价</w:t>
            </w:r>
            <w:r>
              <w:rPr>
                <w:rFonts w:hint="default" w:ascii="Times New Roman" w:hAnsi="Times New Roman" w:cs="Times New Roman"/>
                <w:strike w:val="0"/>
                <w:dstrike w:val="0"/>
                <w:color w:val="auto"/>
                <w:spacing w:val="-1"/>
                <w:sz w:val="24"/>
                <w:szCs w:val="24"/>
                <w:highlight w:val="none"/>
              </w:rPr>
              <w:t>切割发尘量按照</w:t>
            </w:r>
            <w:r>
              <w:rPr>
                <w:rFonts w:hint="default" w:ascii="Times New Roman" w:hAnsi="Times New Roman" w:eastAsia="Times New Roman" w:cs="Times New Roman"/>
                <w:strike w:val="0"/>
                <w:dstrike w:val="0"/>
                <w:color w:val="auto"/>
                <w:spacing w:val="-1"/>
                <w:sz w:val="24"/>
                <w:szCs w:val="24"/>
                <w:highlight w:val="none"/>
              </w:rPr>
              <w:t>80mg/min</w:t>
            </w:r>
            <w:r>
              <w:rPr>
                <w:rFonts w:hint="default" w:ascii="Times New Roman" w:hAnsi="Times New Roman" w:cs="Times New Roman"/>
                <w:strike w:val="0"/>
                <w:dstrike w:val="0"/>
                <w:color w:val="auto"/>
                <w:spacing w:val="-1"/>
                <w:sz w:val="24"/>
                <w:szCs w:val="24"/>
                <w:highlight w:val="none"/>
              </w:rPr>
              <w:t>，</w:t>
            </w:r>
            <w:r>
              <w:rPr>
                <w:rFonts w:hint="default" w:ascii="Times New Roman" w:hAnsi="Times New Roman" w:cs="Times New Roman"/>
                <w:strike w:val="0"/>
                <w:dstrike w:val="0"/>
                <w:color w:val="auto"/>
                <w:spacing w:val="-1"/>
                <w:sz w:val="24"/>
                <w:szCs w:val="24"/>
                <w:highlight w:val="none"/>
                <w:lang w:val="en-US" w:eastAsia="zh-CN"/>
              </w:rPr>
              <w:t>本项目每天切割时间按180min计算，</w:t>
            </w:r>
            <w:r>
              <w:rPr>
                <w:rFonts w:hint="default" w:ascii="Times New Roman" w:hAnsi="Times New Roman" w:cs="Times New Roman"/>
                <w:strike w:val="0"/>
                <w:dstrike w:val="0"/>
                <w:color w:val="auto"/>
                <w:spacing w:val="-1"/>
                <w:sz w:val="24"/>
                <w:szCs w:val="24"/>
                <w:highlight w:val="none"/>
              </w:rPr>
              <w:t>切割烟尘产生</w:t>
            </w:r>
            <w:r>
              <w:rPr>
                <w:rFonts w:hint="default" w:ascii="Times New Roman" w:hAnsi="Times New Roman" w:cs="Times New Roman"/>
                <w:strike w:val="0"/>
                <w:dstrike w:val="0"/>
                <w:color w:val="auto"/>
                <w:spacing w:val="-2"/>
                <w:sz w:val="24"/>
                <w:szCs w:val="24"/>
                <w:highlight w:val="none"/>
              </w:rPr>
              <w:t>量为</w:t>
            </w:r>
            <w:r>
              <w:rPr>
                <w:rFonts w:hint="default" w:ascii="Times New Roman" w:hAnsi="Times New Roman" w:eastAsia="宋体" w:cs="Times New Roman"/>
                <w:strike w:val="0"/>
                <w:dstrike w:val="0"/>
                <w:color w:val="auto"/>
                <w:spacing w:val="-2"/>
                <w:sz w:val="24"/>
                <w:szCs w:val="24"/>
                <w:highlight w:val="none"/>
                <w:lang w:val="en-US" w:eastAsia="zh-CN"/>
              </w:rPr>
              <w:t>4.752</w:t>
            </w:r>
            <w:r>
              <w:rPr>
                <w:rFonts w:hint="default" w:ascii="Times New Roman" w:hAnsi="Times New Roman" w:eastAsia="Times New Roman" w:cs="Times New Roman"/>
                <w:strike w:val="0"/>
                <w:dstrike w:val="0"/>
                <w:color w:val="auto"/>
                <w:spacing w:val="-2"/>
                <w:sz w:val="24"/>
                <w:szCs w:val="24"/>
                <w:highlight w:val="none"/>
              </w:rPr>
              <w:t>kg/a</w:t>
            </w:r>
            <w:r>
              <w:rPr>
                <w:rFonts w:hint="default" w:ascii="Times New Roman" w:hAnsi="Times New Roman" w:cs="Times New Roman"/>
                <w:strike w:val="0"/>
                <w:dstrike w:val="0"/>
                <w:color w:val="auto"/>
                <w:spacing w:val="-2"/>
                <w:sz w:val="24"/>
                <w:szCs w:val="24"/>
                <w:highlight w:val="none"/>
              </w:rPr>
              <w:t>。</w:t>
            </w:r>
            <w:r>
              <w:rPr>
                <w:rFonts w:hint="eastAsia" w:ascii="Times New Roman" w:hAnsi="Times New Roman" w:cs="Times New Roman"/>
                <w:strike w:val="0"/>
                <w:dstrike w:val="0"/>
                <w:color w:val="auto"/>
                <w:spacing w:val="-2"/>
                <w:sz w:val="24"/>
                <w:szCs w:val="24"/>
                <w:highlight w:val="none"/>
                <w:lang w:val="en-US" w:eastAsia="zh-CN"/>
              </w:rPr>
              <w:t>切割烟尘产生量少，通过厂房四周设置的轴流风机无组织排放。</w:t>
            </w:r>
          </w:p>
          <w:p w14:paraId="0B5BD20D">
            <w:pPr>
              <w:pStyle w:val="1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项目拼装焊接采用二氧化碳保护焊机，</w:t>
            </w:r>
            <w:r>
              <w:rPr>
                <w:rFonts w:hint="default" w:ascii="Times New Roman" w:hAnsi="Times New Roman" w:cs="Times New Roman"/>
                <w:color w:val="auto"/>
                <w:sz w:val="24"/>
                <w:szCs w:val="24"/>
                <w:highlight w:val="none"/>
                <w:u w:val="none"/>
                <w:lang w:eastAsia="zh-CN"/>
              </w:rPr>
              <w:t>采用实芯焊丝，</w:t>
            </w:r>
            <w:r>
              <w:rPr>
                <w:rFonts w:hint="default" w:ascii="Times New Roman" w:hAnsi="Times New Roman" w:cs="Times New Roman"/>
                <w:color w:val="auto"/>
                <w:sz w:val="24"/>
                <w:szCs w:val="24"/>
                <w:highlight w:val="none"/>
                <w:u w:val="none"/>
              </w:rPr>
              <w:t>年消耗焊丝约</w:t>
            </w:r>
            <w:r>
              <w:rPr>
                <w:rFonts w:hint="default" w:ascii="Times New Roman" w:hAnsi="Times New Roman" w:cs="Times New Roman"/>
                <w:color w:val="auto"/>
                <w:sz w:val="24"/>
                <w:szCs w:val="24"/>
                <w:highlight w:val="none"/>
                <w:u w:val="none"/>
                <w:lang w:val="en-US" w:eastAsia="zh-CN"/>
              </w:rPr>
              <w:t>2</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手工电弧焊采用焊条，</w:t>
            </w:r>
            <w:r>
              <w:rPr>
                <w:rFonts w:hint="default" w:ascii="Times New Roman" w:hAnsi="Times New Roman" w:cs="Times New Roman"/>
                <w:color w:val="auto"/>
                <w:sz w:val="24"/>
                <w:szCs w:val="24"/>
                <w:highlight w:val="none"/>
                <w:u w:val="none"/>
              </w:rPr>
              <w:t>年消耗焊</w:t>
            </w:r>
            <w:r>
              <w:rPr>
                <w:rFonts w:hint="default" w:ascii="Times New Roman" w:hAnsi="Times New Roman" w:cs="Times New Roman"/>
                <w:color w:val="auto"/>
                <w:sz w:val="24"/>
                <w:szCs w:val="24"/>
                <w:highlight w:val="none"/>
                <w:u w:val="none"/>
                <w:lang w:val="en-US" w:eastAsia="zh-CN"/>
              </w:rPr>
              <w:t>条</w:t>
            </w:r>
            <w:r>
              <w:rPr>
                <w:rFonts w:hint="default" w:ascii="Times New Roman" w:hAnsi="Times New Roman" w:cs="Times New Roman"/>
                <w:color w:val="auto"/>
                <w:sz w:val="24"/>
                <w:szCs w:val="24"/>
                <w:highlight w:val="none"/>
                <w:u w:val="none"/>
              </w:rPr>
              <w:t>约</w:t>
            </w:r>
            <w:r>
              <w:rPr>
                <w:rFonts w:hint="default" w:ascii="Times New Roman" w:hAnsi="Times New Roman"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rPr>
              <w:t>t/a。二氧化碳保护焊是利用专门送至熔池周围的二氧化碳气体作为保护介质的一种电弧焊，用金属熔化极作电极，惰性气体（CO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）作焊接方法，CO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气体分解，生成焊接烟尘。项目焊接烟尘采用移动式焊接烟尘净化器（处理率可达9</w:t>
            </w:r>
            <w:r>
              <w:rPr>
                <w:rFonts w:hint="default" w:ascii="Times New Roman" w:hAnsi="Times New Roman" w:cs="Times New Roman"/>
                <w:color w:val="auto"/>
                <w:sz w:val="24"/>
                <w:szCs w:val="24"/>
                <w:highlight w:val="none"/>
                <w:u w:val="none"/>
                <w:lang w:val="en-US" w:eastAsia="zh-CN"/>
              </w:rPr>
              <w:t>5</w:t>
            </w:r>
            <w:r>
              <w:rPr>
                <w:rFonts w:hint="default" w:ascii="Times New Roman" w:hAnsi="Times New Roman" w:cs="Times New Roman"/>
                <w:color w:val="auto"/>
                <w:sz w:val="24"/>
                <w:szCs w:val="24"/>
                <w:highlight w:val="none"/>
                <w:u w:val="none"/>
              </w:rPr>
              <w:t>%以上）进行</w:t>
            </w:r>
            <w:r>
              <w:rPr>
                <w:rFonts w:hint="default" w:ascii="Times New Roman" w:hAnsi="Times New Roman" w:cs="Times New Roman"/>
                <w:color w:val="auto"/>
                <w:sz w:val="24"/>
                <w:szCs w:val="24"/>
                <w:highlight w:val="none"/>
                <w:u w:val="none"/>
                <w:lang w:val="en-US" w:eastAsia="zh-CN"/>
              </w:rPr>
              <w:t>处理</w:t>
            </w:r>
            <w:r>
              <w:rPr>
                <w:rFonts w:hint="default" w:ascii="Times New Roman" w:hAnsi="Times New Roman" w:cs="Times New Roman"/>
                <w:color w:val="auto"/>
                <w:sz w:val="24"/>
                <w:szCs w:val="24"/>
                <w:highlight w:val="none"/>
                <w:u w:val="none"/>
              </w:rPr>
              <w:t>后</w:t>
            </w:r>
            <w:r>
              <w:rPr>
                <w:rFonts w:hint="default" w:ascii="Times New Roman" w:hAnsi="Times New Roman" w:cs="Times New Roman"/>
                <w:color w:val="auto"/>
                <w:sz w:val="24"/>
                <w:szCs w:val="24"/>
                <w:highlight w:val="none"/>
                <w:u w:val="none"/>
                <w:lang w:val="en-US" w:eastAsia="zh-CN"/>
              </w:rPr>
              <w:t>在厂房内无组织排放</w:t>
            </w:r>
            <w:r>
              <w:rPr>
                <w:rFonts w:hint="default" w:ascii="Times New Roman" w:hAnsi="Times New Roman" w:cs="Times New Roman"/>
                <w:color w:val="auto"/>
                <w:sz w:val="24"/>
                <w:szCs w:val="24"/>
                <w:highlight w:val="none"/>
                <w:u w:val="none"/>
              </w:rPr>
              <w:t>。</w:t>
            </w:r>
          </w:p>
          <w:p w14:paraId="4DBE0453">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rPr>
              <w:t>焊接烟尘主要包括MnO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、FeO、C等，</w:t>
            </w:r>
            <w:r>
              <w:rPr>
                <w:rFonts w:hint="default" w:ascii="Times New Roman" w:hAnsi="Times New Roman" w:eastAsia="宋体" w:cs="Times New Roman"/>
                <w:color w:val="auto"/>
                <w:sz w:val="24"/>
                <w:szCs w:val="24"/>
                <w:highlight w:val="none"/>
                <w:lang w:val="en-US" w:eastAsia="zh-CN"/>
              </w:rPr>
              <w:t>参照全国第二次污染源普查《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C431-C434修理行业</w:t>
            </w:r>
            <w:r>
              <w:rPr>
                <w:rFonts w:hint="default" w:ascii="Times New Roman" w:hAnsi="Times New Roman" w:cs="Times New Roman"/>
                <w:color w:val="auto"/>
                <w:sz w:val="24"/>
                <w:szCs w:val="24"/>
                <w:highlight w:val="none"/>
                <w:u w:val="none"/>
                <w:lang w:eastAsia="zh-CN"/>
              </w:rPr>
              <w:t>，焊接工序产生的颗粒物系数，见表</w:t>
            </w:r>
            <w:r>
              <w:rPr>
                <w:rFonts w:hint="default" w:ascii="Times New Roman" w:hAnsi="Times New Roman" w:cs="Times New Roman"/>
                <w:color w:val="auto"/>
                <w:sz w:val="24"/>
                <w:szCs w:val="24"/>
                <w:highlight w:val="none"/>
                <w:u w:val="none"/>
                <w:lang w:val="en-US" w:eastAsia="zh-CN"/>
              </w:rPr>
              <w:t>4-3。</w:t>
            </w:r>
          </w:p>
          <w:p w14:paraId="744AA385">
            <w:pPr>
              <w:pStyle w:val="1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highlight w:val="none"/>
                <w:lang w:val="en-US" w:eastAsia="zh-CN"/>
              </w:rPr>
              <w:t>表4-3</w:t>
            </w:r>
            <w:r>
              <w:rPr>
                <w:rFonts w:hint="default" w:ascii="Times New Roman" w:hAnsi="Times New Roman" w:cs="Times New Roman"/>
                <w:b/>
                <w:bCs/>
                <w:color w:val="auto"/>
                <w:sz w:val="24"/>
                <w:szCs w:val="24"/>
                <w:highlight w:val="none"/>
                <w:lang w:eastAsia="zh-CN"/>
              </w:rPr>
              <w:t>焊接工序产生的颗粒物系数一览表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929"/>
              <w:gridCol w:w="1602"/>
              <w:gridCol w:w="1221"/>
              <w:gridCol w:w="694"/>
              <w:gridCol w:w="1107"/>
              <w:gridCol w:w="1058"/>
              <w:gridCol w:w="896"/>
            </w:tblGrid>
            <w:tr w14:paraId="37A6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49" w:type="dxa"/>
                  <w:noWrap w:val="0"/>
                  <w:vAlign w:val="center"/>
                </w:tcPr>
                <w:p w14:paraId="0D4E490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工段</w:t>
                  </w:r>
                </w:p>
              </w:tc>
              <w:tc>
                <w:tcPr>
                  <w:tcW w:w="929" w:type="dxa"/>
                  <w:noWrap w:val="0"/>
                  <w:vAlign w:val="center"/>
                </w:tcPr>
                <w:p w14:paraId="0D748F0B">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产品</w:t>
                  </w:r>
                </w:p>
                <w:p w14:paraId="36BC2C7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1602" w:type="dxa"/>
                  <w:noWrap w:val="0"/>
                  <w:vAlign w:val="center"/>
                </w:tcPr>
                <w:p w14:paraId="46CEDC8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w:t>
                  </w:r>
                </w:p>
                <w:p w14:paraId="4722828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1221" w:type="dxa"/>
                  <w:noWrap w:val="0"/>
                  <w:vAlign w:val="center"/>
                </w:tcPr>
                <w:p w14:paraId="5A2A2E5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工艺</w:t>
                  </w:r>
                </w:p>
                <w:p w14:paraId="37F03A5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694" w:type="dxa"/>
                  <w:noWrap w:val="0"/>
                  <w:vAlign w:val="center"/>
                </w:tcPr>
                <w:p w14:paraId="46A4F81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规模</w:t>
                  </w:r>
                </w:p>
                <w:p w14:paraId="1544A23C">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等级</w:t>
                  </w:r>
                </w:p>
              </w:tc>
              <w:tc>
                <w:tcPr>
                  <w:tcW w:w="1107" w:type="dxa"/>
                  <w:noWrap w:val="0"/>
                  <w:vAlign w:val="center"/>
                </w:tcPr>
                <w:p w14:paraId="311673A6">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w:t>
                  </w:r>
                </w:p>
                <w:p w14:paraId="3753EEC3">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指标</w:t>
                  </w:r>
                </w:p>
              </w:tc>
              <w:tc>
                <w:tcPr>
                  <w:tcW w:w="1058" w:type="dxa"/>
                  <w:noWrap w:val="0"/>
                  <w:vAlign w:val="center"/>
                </w:tcPr>
                <w:p w14:paraId="1A4C0CF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系数</w:t>
                  </w:r>
                </w:p>
                <w:p w14:paraId="30D89EC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c>
                <w:tcPr>
                  <w:tcW w:w="896" w:type="dxa"/>
                  <w:noWrap w:val="0"/>
                  <w:vAlign w:val="center"/>
                </w:tcPr>
                <w:p w14:paraId="70236B79">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产污</w:t>
                  </w:r>
                </w:p>
                <w:p w14:paraId="2031AFC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系数</w:t>
                  </w:r>
                </w:p>
              </w:tc>
            </w:tr>
            <w:tr w14:paraId="3FE2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549" w:type="dxa"/>
                  <w:vMerge w:val="restart"/>
                  <w:noWrap w:val="0"/>
                  <w:vAlign w:val="center"/>
                </w:tcPr>
                <w:p w14:paraId="6A61ACC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修理焊接</w:t>
                  </w:r>
                </w:p>
              </w:tc>
              <w:tc>
                <w:tcPr>
                  <w:tcW w:w="929" w:type="dxa"/>
                  <w:vMerge w:val="restart"/>
                  <w:noWrap w:val="0"/>
                  <w:vAlign w:val="center"/>
                </w:tcPr>
                <w:p w14:paraId="55D0864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金属制品修理件、通用设备修理件、专用设备修理件焊接件</w:t>
                  </w:r>
                </w:p>
              </w:tc>
              <w:tc>
                <w:tcPr>
                  <w:tcW w:w="1602" w:type="dxa"/>
                  <w:noWrap w:val="0"/>
                  <w:vAlign w:val="center"/>
                </w:tcPr>
                <w:p w14:paraId="6C2B99B5">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实芯焊丝</w:t>
                  </w:r>
                </w:p>
              </w:tc>
              <w:tc>
                <w:tcPr>
                  <w:tcW w:w="1221" w:type="dxa"/>
                  <w:noWrap w:val="0"/>
                  <w:vAlign w:val="center"/>
                </w:tcPr>
                <w:p w14:paraId="52D60A9A">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拆除、清洗、实芯焊丝焊接（二氧化碳保护焊、埋弧焊、氩弧焊）、安装、检测试验</w:t>
                  </w:r>
                </w:p>
              </w:tc>
              <w:tc>
                <w:tcPr>
                  <w:tcW w:w="694" w:type="dxa"/>
                  <w:noWrap w:val="0"/>
                  <w:vAlign w:val="center"/>
                </w:tcPr>
                <w:p w14:paraId="117561E1">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所有规模</w:t>
                  </w:r>
                </w:p>
              </w:tc>
              <w:tc>
                <w:tcPr>
                  <w:tcW w:w="1107" w:type="dxa"/>
                  <w:noWrap w:val="0"/>
                  <w:vAlign w:val="center"/>
                </w:tcPr>
                <w:p w14:paraId="6EFE579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058" w:type="dxa"/>
                  <w:noWrap w:val="0"/>
                  <w:vAlign w:val="center"/>
                </w:tcPr>
                <w:p w14:paraId="756DAF9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kg/t原料</w:t>
                  </w:r>
                </w:p>
              </w:tc>
              <w:tc>
                <w:tcPr>
                  <w:tcW w:w="896" w:type="dxa"/>
                  <w:noWrap w:val="0"/>
                  <w:vAlign w:val="center"/>
                </w:tcPr>
                <w:p w14:paraId="2CC8035F">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9.19</w:t>
                  </w:r>
                </w:p>
              </w:tc>
            </w:tr>
            <w:tr w14:paraId="19D7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549" w:type="dxa"/>
                  <w:vMerge w:val="continue"/>
                  <w:noWrap w:val="0"/>
                  <w:vAlign w:val="center"/>
                </w:tcPr>
                <w:p w14:paraId="7CA4A41E">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29" w:type="dxa"/>
                  <w:vMerge w:val="continue"/>
                  <w:noWrap w:val="0"/>
                  <w:vAlign w:val="center"/>
                </w:tcPr>
                <w:p w14:paraId="4FFC8A17">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602" w:type="dxa"/>
                  <w:noWrap w:val="0"/>
                  <w:vAlign w:val="center"/>
                </w:tcPr>
                <w:p w14:paraId="237DF658">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结构钢焊条（JXXX）、钼和铬钼耐热钢焊条（RXXX）、不锈钢焊条（G/AXXX）、堆焊焊条（DXXX）、低温钢焊条（WXXX）、铸铁焊条（ZXXX）、镍和镍合金焊条（NiXXX）、铜和铜合金焊条（TXXX）、铝和铝合金焊条（LXXX）、特殊用途焊条（TSXXX）</w:t>
                  </w:r>
                </w:p>
              </w:tc>
              <w:tc>
                <w:tcPr>
                  <w:tcW w:w="1221" w:type="dxa"/>
                  <w:noWrap w:val="0"/>
                  <w:vAlign w:val="center"/>
                </w:tcPr>
                <w:p w14:paraId="150EC6B6">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拆除、清洗、焊条焊接（手工电弧焊）、安装、检测试验</w:t>
                  </w:r>
                </w:p>
              </w:tc>
              <w:tc>
                <w:tcPr>
                  <w:tcW w:w="694" w:type="dxa"/>
                  <w:noWrap w:val="0"/>
                  <w:vAlign w:val="center"/>
                </w:tcPr>
                <w:p w14:paraId="4AD60C42">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所有规模</w:t>
                  </w:r>
                </w:p>
              </w:tc>
              <w:tc>
                <w:tcPr>
                  <w:tcW w:w="1107" w:type="dxa"/>
                  <w:noWrap w:val="0"/>
                  <w:vAlign w:val="center"/>
                </w:tcPr>
                <w:p w14:paraId="482DEC10">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颗粒物</w:t>
                  </w:r>
                </w:p>
              </w:tc>
              <w:tc>
                <w:tcPr>
                  <w:tcW w:w="1058" w:type="dxa"/>
                  <w:noWrap w:val="0"/>
                  <w:vAlign w:val="center"/>
                </w:tcPr>
                <w:p w14:paraId="773C8844">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kg/t原料</w:t>
                  </w:r>
                </w:p>
              </w:tc>
              <w:tc>
                <w:tcPr>
                  <w:tcW w:w="896" w:type="dxa"/>
                  <w:noWrap w:val="0"/>
                  <w:vAlign w:val="center"/>
                </w:tcPr>
                <w:p w14:paraId="52E37A30">
                  <w:pPr>
                    <w:pStyle w:val="15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p>
              </w:tc>
            </w:tr>
          </w:tbl>
          <w:p w14:paraId="4D6180BF">
            <w:pPr>
              <w:pStyle w:val="1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由上表可知，本项目年消耗焊丝约2t/a，</w:t>
            </w:r>
            <w:r>
              <w:rPr>
                <w:rFonts w:hint="default" w:ascii="Times New Roman" w:hAnsi="Times New Roman" w:cs="Times New Roman"/>
                <w:color w:val="auto"/>
                <w:sz w:val="24"/>
                <w:szCs w:val="24"/>
                <w:highlight w:val="none"/>
                <w:u w:val="none"/>
              </w:rPr>
              <w:t>年消耗焊</w:t>
            </w:r>
            <w:r>
              <w:rPr>
                <w:rFonts w:hint="default" w:ascii="Times New Roman" w:hAnsi="Times New Roman" w:cs="Times New Roman"/>
                <w:color w:val="auto"/>
                <w:sz w:val="24"/>
                <w:szCs w:val="24"/>
                <w:highlight w:val="none"/>
                <w:u w:val="none"/>
                <w:lang w:val="en-US" w:eastAsia="zh-CN"/>
              </w:rPr>
              <w:t>条</w:t>
            </w:r>
            <w:r>
              <w:rPr>
                <w:rFonts w:hint="default" w:ascii="Times New Roman" w:hAnsi="Times New Roman" w:cs="Times New Roman"/>
                <w:color w:val="auto"/>
                <w:sz w:val="24"/>
                <w:szCs w:val="24"/>
                <w:highlight w:val="none"/>
                <w:u w:val="none"/>
              </w:rPr>
              <w:t>约</w:t>
            </w:r>
            <w:r>
              <w:rPr>
                <w:rFonts w:hint="default" w:ascii="Times New Roman" w:hAnsi="Times New Roman"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highlight w:val="none"/>
                <w:u w:val="none"/>
                <w:lang w:val="en-US" w:eastAsia="zh-CN"/>
              </w:rPr>
              <w:t>则焊接工序产生的颗粒物总量约为0.0386t/a，产生速率为0.0146kg/h，</w:t>
            </w:r>
            <w:r>
              <w:rPr>
                <w:rFonts w:hint="default" w:ascii="Times New Roman" w:hAnsi="Times New Roman" w:cs="Times New Roman"/>
                <w:color w:val="auto"/>
                <w:sz w:val="24"/>
                <w:highlight w:val="none"/>
                <w:u w:val="none"/>
              </w:rPr>
              <w:t>年生产3</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rPr>
              <w:t>0天</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每</w:t>
            </w:r>
            <w:r>
              <w:rPr>
                <w:rFonts w:hint="default" w:ascii="Times New Roman" w:hAnsi="Times New Roman" w:cs="Times New Roman"/>
                <w:color w:val="auto"/>
                <w:sz w:val="24"/>
                <w:highlight w:val="none"/>
                <w:u w:val="none"/>
                <w:lang w:val="en-US" w:eastAsia="zh-CN"/>
              </w:rPr>
              <w:t>天生产8</w:t>
            </w:r>
            <w:r>
              <w:rPr>
                <w:rFonts w:hint="default" w:ascii="Times New Roman" w:hAnsi="Times New Roman" w:cs="Times New Roman"/>
                <w:color w:val="auto"/>
                <w:sz w:val="24"/>
                <w:highlight w:val="none"/>
                <w:u w:val="none"/>
              </w:rPr>
              <w:t>小时</w:t>
            </w:r>
            <w:r>
              <w:rPr>
                <w:rFonts w:hint="default" w:ascii="Times New Roman" w:hAnsi="Times New Roman" w:cs="Times New Roman"/>
                <w:color w:val="auto"/>
                <w:sz w:val="24"/>
                <w:highlight w:val="none"/>
                <w:u w:val="none"/>
                <w:lang w:eastAsia="zh-CN"/>
              </w:rPr>
              <w:t>，《</w:t>
            </w:r>
            <w:r>
              <w:rPr>
                <w:rFonts w:hint="eastAsia" w:ascii="Times New Roman" w:hAnsi="Times New Roman" w:cs="Times New Roman"/>
                <w:color w:val="auto"/>
                <w:sz w:val="24"/>
                <w:highlight w:val="none"/>
                <w:u w:val="none"/>
                <w:lang w:eastAsia="zh-CN"/>
              </w:rPr>
              <w:t>广东省生态环境厅</w:t>
            </w:r>
            <w:r>
              <w:rPr>
                <w:rFonts w:hint="default" w:ascii="Times New Roman" w:hAnsi="Times New Roman" w:cs="Times New Roman"/>
                <w:color w:val="auto"/>
                <w:sz w:val="24"/>
                <w:highlight w:val="none"/>
                <w:u w:val="none"/>
                <w:lang w:eastAsia="zh-CN"/>
              </w:rPr>
              <w:t>粤环办〔2021〕92号关于指导大气污染治理项目入库工作的通知》明确：敞开面控制风速不小于0.5m/s的</w:t>
            </w:r>
            <w:r>
              <w:rPr>
                <w:rFonts w:hint="default" w:ascii="Times New Roman" w:hAnsi="Times New Roman" w:cs="Times New Roman"/>
                <w:color w:val="auto"/>
                <w:highlight w:val="none"/>
                <w:u w:val="none"/>
              </w:rPr>
              <w:t>集气效率以</w:t>
            </w:r>
            <w:r>
              <w:rPr>
                <w:rFonts w:hint="default" w:ascii="Times New Roman" w:hAnsi="Times New Roman" w:cs="Times New Roman"/>
                <w:color w:val="auto"/>
                <w:highlight w:val="none"/>
                <w:u w:val="none"/>
                <w:lang w:val="en-US" w:eastAsia="zh-CN"/>
              </w:rPr>
              <w:t>80</w:t>
            </w:r>
            <w:r>
              <w:rPr>
                <w:rFonts w:hint="default" w:ascii="Times New Roman" w:hAnsi="Times New Roman" w:cs="Times New Roman"/>
                <w:color w:val="auto"/>
                <w:highlight w:val="none"/>
                <w:u w:val="none"/>
              </w:rPr>
              <w:t>%计，引风机风量以</w:t>
            </w:r>
            <w:r>
              <w:rPr>
                <w:rFonts w:hint="default" w:ascii="Times New Roman" w:hAnsi="Times New Roman" w:cs="Times New Roman"/>
                <w:color w:val="auto"/>
                <w:highlight w:val="none"/>
                <w:u w:val="none"/>
                <w:lang w:val="en-US" w:eastAsia="zh-CN"/>
              </w:rPr>
              <w:t>8</w:t>
            </w:r>
            <w:r>
              <w:rPr>
                <w:rFonts w:hint="default" w:ascii="Times New Roman" w:hAnsi="Times New Roman" w:cs="Times New Roman"/>
                <w:color w:val="auto"/>
                <w:highlight w:val="none"/>
                <w:u w:val="none"/>
              </w:rPr>
              <w:t>000m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/h计，</w:t>
            </w:r>
            <w:r>
              <w:rPr>
                <w:rFonts w:hint="default" w:ascii="Times New Roman" w:hAnsi="Times New Roman" w:cs="Times New Roman"/>
                <w:color w:val="auto"/>
                <w:highlight w:val="none"/>
                <w:u w:val="none"/>
                <w:lang w:val="en-US" w:eastAsia="zh-CN"/>
              </w:rPr>
              <w:t>分别经可伸缩移动且</w:t>
            </w:r>
            <w:r>
              <w:rPr>
                <w:rFonts w:hint="default" w:ascii="Times New Roman" w:hAnsi="Times New Roman" w:cs="Times New Roman"/>
                <w:color w:val="auto"/>
                <w:sz w:val="24"/>
                <w:highlight w:val="none"/>
                <w:u w:val="none"/>
                <w:lang w:eastAsia="zh-CN"/>
              </w:rPr>
              <w:t>敞开面控制风速不小于0.5m/s</w:t>
            </w:r>
            <w:r>
              <w:rPr>
                <w:rFonts w:hint="default" w:ascii="Times New Roman" w:hAnsi="Times New Roman" w:cs="Times New Roman"/>
                <w:color w:val="auto"/>
                <w:highlight w:val="none"/>
                <w:u w:val="none"/>
                <w:lang w:val="en-US" w:eastAsia="zh-CN"/>
              </w:rPr>
              <w:t>的</w:t>
            </w:r>
            <w:r>
              <w:rPr>
                <w:rFonts w:hint="default" w:ascii="Times New Roman" w:hAnsi="Times New Roman" w:cs="Times New Roman"/>
                <w:color w:val="auto"/>
                <w:sz w:val="24"/>
                <w:szCs w:val="24"/>
                <w:highlight w:val="none"/>
                <w:u w:val="none"/>
                <w:lang w:val="en-US" w:eastAsia="zh-CN"/>
              </w:rPr>
              <w:t>集气罩</w:t>
            </w:r>
            <w:r>
              <w:rPr>
                <w:rFonts w:hint="default" w:ascii="Times New Roman" w:hAnsi="Times New Roman" w:cs="Times New Roman"/>
                <w:color w:val="auto"/>
                <w:highlight w:val="none"/>
                <w:u w:val="none"/>
                <w:lang w:val="en-US" w:eastAsia="zh-CN"/>
              </w:rPr>
              <w:t>收集后由</w:t>
            </w:r>
            <w:r>
              <w:rPr>
                <w:rFonts w:hint="default" w:ascii="Times New Roman" w:hAnsi="Times New Roman" w:cs="Times New Roman"/>
                <w:color w:val="auto"/>
                <w:sz w:val="24"/>
                <w:szCs w:val="24"/>
                <w:highlight w:val="none"/>
                <w:u w:val="none"/>
              </w:rPr>
              <w:t>移动式焊接烟尘净化器</w:t>
            </w:r>
            <w:r>
              <w:rPr>
                <w:rFonts w:hint="default" w:ascii="Times New Roman" w:hAnsi="Times New Roman" w:cs="Times New Roman"/>
                <w:color w:val="auto"/>
                <w:highlight w:val="none"/>
                <w:u w:val="none"/>
                <w:lang w:val="en-US" w:eastAsia="zh-CN"/>
              </w:rPr>
              <w:t>处理（处理效率90%），</w:t>
            </w:r>
            <w:r>
              <w:rPr>
                <w:rFonts w:hint="default" w:ascii="Times New Roman" w:hAnsi="Times New Roman" w:cs="Times New Roman"/>
                <w:color w:val="auto"/>
                <w:sz w:val="24"/>
                <w:szCs w:val="24"/>
                <w:highlight w:val="none"/>
                <w:u w:val="none"/>
                <w:lang w:val="en-US" w:eastAsia="zh-CN"/>
              </w:rPr>
              <w:t>处理</w:t>
            </w:r>
            <w:r>
              <w:rPr>
                <w:rFonts w:hint="default" w:ascii="Times New Roman" w:hAnsi="Times New Roman" w:cs="Times New Roman"/>
                <w:color w:val="auto"/>
                <w:sz w:val="24"/>
                <w:szCs w:val="24"/>
                <w:highlight w:val="none"/>
                <w:u w:val="none"/>
              </w:rPr>
              <w:t>后</w:t>
            </w:r>
            <w:r>
              <w:rPr>
                <w:rFonts w:hint="default" w:ascii="Times New Roman" w:hAnsi="Times New Roman" w:cs="Times New Roman"/>
                <w:color w:val="auto"/>
                <w:sz w:val="24"/>
                <w:szCs w:val="24"/>
                <w:highlight w:val="none"/>
                <w:u w:val="none"/>
                <w:lang w:val="en-US" w:eastAsia="zh-CN"/>
              </w:rPr>
              <w:t>在厂房内无组织排放</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highlight w:val="none"/>
                <w:u w:val="none"/>
              </w:rPr>
              <w:t>项目</w:t>
            </w:r>
            <w:r>
              <w:rPr>
                <w:rFonts w:hint="default" w:ascii="Times New Roman" w:hAnsi="Times New Roman" w:cs="Times New Roman"/>
                <w:color w:val="auto"/>
                <w:highlight w:val="none"/>
                <w:u w:val="none"/>
                <w:lang w:val="en-US" w:eastAsia="zh-CN"/>
              </w:rPr>
              <w:t>焊接烟尘</w:t>
            </w:r>
            <w:r>
              <w:rPr>
                <w:rFonts w:hint="default" w:ascii="Times New Roman" w:hAnsi="Times New Roman" w:cs="Times New Roman"/>
                <w:color w:val="auto"/>
                <w:highlight w:val="none"/>
                <w:u w:val="none"/>
              </w:rPr>
              <w:t>产排情况见下表</w:t>
            </w:r>
            <w:r>
              <w:rPr>
                <w:rFonts w:hint="default" w:ascii="Times New Roman" w:hAnsi="Times New Roman" w:cs="Times New Roman"/>
                <w:color w:val="auto"/>
                <w:highlight w:val="none"/>
                <w:u w:val="none"/>
                <w:lang w:eastAsia="zh-CN"/>
              </w:rPr>
              <w:t>。</w:t>
            </w:r>
          </w:p>
          <w:p w14:paraId="4A51F7F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表4-</w:t>
            </w:r>
            <w:r>
              <w:rPr>
                <w:rFonts w:hint="default" w:ascii="Times New Roman" w:hAnsi="Times New Roman" w:cs="Times New Roman"/>
                <w:b/>
                <w:bCs/>
                <w:color w:val="auto"/>
                <w:sz w:val="24"/>
                <w:szCs w:val="24"/>
                <w:highlight w:val="none"/>
                <w:u w:val="none"/>
                <w:lang w:val="en-US" w:eastAsia="zh-CN"/>
              </w:rPr>
              <w:t>4</w:t>
            </w:r>
            <w:r>
              <w:rPr>
                <w:rFonts w:hint="default" w:ascii="Times New Roman" w:hAnsi="Times New Roman" w:cs="Times New Roman"/>
                <w:b/>
                <w:bCs/>
                <w:color w:val="auto"/>
                <w:sz w:val="24"/>
                <w:szCs w:val="24"/>
                <w:highlight w:val="none"/>
                <w:u w:val="none"/>
              </w:rPr>
              <w:t>项目</w:t>
            </w:r>
            <w:r>
              <w:rPr>
                <w:rFonts w:hint="default" w:ascii="Times New Roman" w:hAnsi="Times New Roman" w:cs="Times New Roman"/>
                <w:b/>
                <w:bCs/>
                <w:color w:val="auto"/>
                <w:sz w:val="24"/>
                <w:szCs w:val="24"/>
                <w:highlight w:val="none"/>
                <w:u w:val="none"/>
                <w:lang w:val="en-US" w:eastAsia="zh-CN"/>
              </w:rPr>
              <w:t>焊接</w:t>
            </w:r>
            <w:r>
              <w:rPr>
                <w:rFonts w:hint="default" w:ascii="Times New Roman" w:hAnsi="Times New Roman" w:cs="Times New Roman"/>
                <w:b/>
                <w:bCs/>
                <w:color w:val="auto"/>
                <w:sz w:val="24"/>
                <w:szCs w:val="24"/>
                <w:highlight w:val="none"/>
                <w:u w:val="none"/>
              </w:rPr>
              <w:t>工序</w:t>
            </w:r>
            <w:r>
              <w:rPr>
                <w:rFonts w:hint="default" w:ascii="Times New Roman" w:hAnsi="Times New Roman" w:cs="Times New Roman"/>
                <w:b/>
                <w:bCs/>
                <w:color w:val="auto"/>
                <w:sz w:val="24"/>
                <w:szCs w:val="24"/>
                <w:highlight w:val="none"/>
                <w:u w:val="none"/>
                <w:lang w:val="en-US" w:eastAsia="zh-CN"/>
              </w:rPr>
              <w:t>颗粒物</w:t>
            </w:r>
            <w:r>
              <w:rPr>
                <w:rFonts w:hint="default" w:ascii="Times New Roman" w:hAnsi="Times New Roman" w:cs="Times New Roman"/>
                <w:b/>
                <w:bCs/>
                <w:color w:val="auto"/>
                <w:sz w:val="24"/>
                <w:szCs w:val="24"/>
                <w:highlight w:val="none"/>
                <w:u w:val="none"/>
              </w:rPr>
              <w:t>产生与排放情况</w:t>
            </w:r>
          </w:p>
          <w:tbl>
            <w:tblPr>
              <w:tblStyle w:val="46"/>
              <w:tblW w:w="78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10"/>
              <w:gridCol w:w="899"/>
              <w:gridCol w:w="845"/>
              <w:gridCol w:w="1105"/>
              <w:gridCol w:w="907"/>
              <w:gridCol w:w="1146"/>
              <w:gridCol w:w="1220"/>
              <w:gridCol w:w="921"/>
            </w:tblGrid>
            <w:tr w14:paraId="62013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810" w:type="dxa"/>
                  <w:vMerge w:val="restart"/>
                  <w:tcBorders>
                    <w:top w:val="single" w:color="auto" w:sz="4" w:space="0"/>
                    <w:left w:val="single" w:color="auto" w:sz="0" w:space="0"/>
                  </w:tcBorders>
                  <w:noWrap w:val="0"/>
                  <w:vAlign w:val="center"/>
                </w:tcPr>
                <w:p w14:paraId="764ACC20">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污染物</w:t>
                  </w:r>
                </w:p>
              </w:tc>
              <w:tc>
                <w:tcPr>
                  <w:tcW w:w="899" w:type="dxa"/>
                  <w:vMerge w:val="restart"/>
                  <w:tcBorders>
                    <w:top w:val="single" w:color="auto" w:sz="4" w:space="0"/>
                  </w:tcBorders>
                  <w:noWrap w:val="0"/>
                  <w:vAlign w:val="center"/>
                </w:tcPr>
                <w:p w14:paraId="2EFC90BC">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产生量</w:t>
                  </w:r>
                </w:p>
              </w:tc>
              <w:tc>
                <w:tcPr>
                  <w:tcW w:w="845" w:type="dxa"/>
                  <w:vMerge w:val="restart"/>
                  <w:tcBorders>
                    <w:top w:val="single" w:color="auto" w:sz="4" w:space="0"/>
                    <w:right w:val="single" w:color="auto" w:sz="4" w:space="0"/>
                  </w:tcBorders>
                  <w:noWrap w:val="0"/>
                  <w:vAlign w:val="center"/>
                </w:tcPr>
                <w:p w14:paraId="2E2818BF">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default" w:ascii="Times New Roman" w:hAnsi="Times New Roman" w:cs="Times New Roman"/>
                      <w:b/>
                      <w:color w:val="auto"/>
                      <w:szCs w:val="21"/>
                      <w:highlight w:val="none"/>
                      <w:u w:val="none"/>
                      <w:lang w:val="en-US" w:eastAsia="zh-CN"/>
                    </w:rPr>
                    <w:t>收集量</w:t>
                  </w:r>
                </w:p>
              </w:tc>
              <w:tc>
                <w:tcPr>
                  <w:tcW w:w="1105" w:type="dxa"/>
                  <w:vMerge w:val="restart"/>
                  <w:tcBorders>
                    <w:top w:val="single" w:color="auto" w:sz="4" w:space="0"/>
                    <w:right w:val="single" w:color="auto" w:sz="4" w:space="0"/>
                  </w:tcBorders>
                  <w:noWrap w:val="0"/>
                  <w:vAlign w:val="center"/>
                </w:tcPr>
                <w:p w14:paraId="564F9039">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lang w:val="en-US" w:eastAsia="zh-CN"/>
                    </w:rPr>
                  </w:pPr>
                  <w:r>
                    <w:rPr>
                      <w:rFonts w:hint="eastAsia" w:cs="Times New Roman"/>
                      <w:b/>
                      <w:color w:val="auto"/>
                      <w:szCs w:val="21"/>
                      <w:highlight w:val="none"/>
                      <w:u w:val="none"/>
                      <w:lang w:val="en-US" w:eastAsia="zh-CN"/>
                    </w:rPr>
                    <w:t>处置措施</w:t>
                  </w:r>
                </w:p>
              </w:tc>
              <w:tc>
                <w:tcPr>
                  <w:tcW w:w="2053" w:type="dxa"/>
                  <w:gridSpan w:val="2"/>
                  <w:tcBorders>
                    <w:top w:val="single" w:color="auto" w:sz="4" w:space="0"/>
                    <w:right w:val="single" w:color="auto" w:sz="4" w:space="0"/>
                  </w:tcBorders>
                  <w:noWrap w:val="0"/>
                  <w:vAlign w:val="center"/>
                </w:tcPr>
                <w:p w14:paraId="544D8F0A">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收集</w:t>
                  </w:r>
                  <w:r>
                    <w:rPr>
                      <w:rFonts w:hint="default" w:ascii="Times New Roman" w:hAnsi="Times New Roman" w:cs="Times New Roman"/>
                      <w:b/>
                      <w:color w:val="auto"/>
                      <w:szCs w:val="21"/>
                      <w:highlight w:val="none"/>
                      <w:u w:val="none"/>
                    </w:rPr>
                    <w:t>排放</w:t>
                  </w:r>
                </w:p>
              </w:tc>
              <w:tc>
                <w:tcPr>
                  <w:tcW w:w="2141" w:type="dxa"/>
                  <w:gridSpan w:val="2"/>
                  <w:tcBorders>
                    <w:top w:val="single" w:color="auto" w:sz="4" w:space="0"/>
                    <w:right w:val="single" w:color="auto" w:sz="4" w:space="0"/>
                  </w:tcBorders>
                  <w:noWrap w:val="0"/>
                  <w:vAlign w:val="center"/>
                </w:tcPr>
                <w:p w14:paraId="6661B7FB">
                  <w:pPr>
                    <w:pStyle w:val="158"/>
                    <w:keepNext w:val="0"/>
                    <w:keepLines/>
                    <w:suppressLineNumbers w:val="0"/>
                    <w:spacing w:before="0" w:beforeAutospacing="0" w:after="0" w:afterAutospacing="0"/>
                    <w:ind w:left="0" w:right="0"/>
                    <w:rPr>
                      <w:rFonts w:hint="default" w:cs="Times New Roman"/>
                      <w:b/>
                      <w:color w:val="auto"/>
                      <w:szCs w:val="21"/>
                      <w:highlight w:val="none"/>
                      <w:u w:val="none"/>
                      <w:lang w:val="en-US" w:eastAsia="zh-CN"/>
                    </w:rPr>
                  </w:pPr>
                  <w:r>
                    <w:rPr>
                      <w:rFonts w:hint="eastAsia" w:cs="Times New Roman"/>
                      <w:b/>
                      <w:color w:val="auto"/>
                      <w:szCs w:val="21"/>
                      <w:highlight w:val="none"/>
                      <w:u w:val="none"/>
                      <w:lang w:val="en-US" w:eastAsia="zh-CN"/>
                    </w:rPr>
                    <w:t>未收集排放</w:t>
                  </w:r>
                </w:p>
              </w:tc>
            </w:tr>
            <w:tr w14:paraId="6086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810" w:type="dxa"/>
                  <w:vMerge w:val="continue"/>
                  <w:tcBorders>
                    <w:left w:val="single" w:color="auto" w:sz="4" w:space="0"/>
                  </w:tcBorders>
                  <w:noWrap w:val="0"/>
                  <w:vAlign w:val="center"/>
                </w:tcPr>
                <w:p w14:paraId="646A517D">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899" w:type="dxa"/>
                  <w:vMerge w:val="continue"/>
                  <w:noWrap w:val="0"/>
                  <w:vAlign w:val="center"/>
                </w:tcPr>
                <w:p w14:paraId="420AE107">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845" w:type="dxa"/>
                  <w:vMerge w:val="continue"/>
                  <w:tcBorders>
                    <w:right w:val="single" w:color="auto" w:sz="4" w:space="0"/>
                  </w:tcBorders>
                  <w:noWrap w:val="0"/>
                  <w:vAlign w:val="center"/>
                </w:tcPr>
                <w:p w14:paraId="6493C652">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1105" w:type="dxa"/>
                  <w:vMerge w:val="continue"/>
                  <w:tcBorders>
                    <w:right w:val="single" w:color="auto" w:sz="4" w:space="0"/>
                  </w:tcBorders>
                  <w:noWrap w:val="0"/>
                  <w:vAlign w:val="center"/>
                </w:tcPr>
                <w:p w14:paraId="1F8FD63B">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p>
              </w:tc>
              <w:tc>
                <w:tcPr>
                  <w:tcW w:w="907" w:type="dxa"/>
                  <w:tcBorders>
                    <w:right w:val="single" w:color="auto" w:sz="4" w:space="0"/>
                  </w:tcBorders>
                  <w:noWrap w:val="0"/>
                  <w:vAlign w:val="center"/>
                </w:tcPr>
                <w:p w14:paraId="2C5FC92E">
                  <w:pPr>
                    <w:pStyle w:val="158"/>
                    <w:keepNext w:val="0"/>
                    <w:keepLines/>
                    <w:suppressLineNumbers w:val="0"/>
                    <w:spacing w:before="0" w:beforeAutospacing="0" w:after="0" w:afterAutospacing="0"/>
                    <w:ind w:left="0" w:right="0"/>
                    <w:rPr>
                      <w:rFonts w:hint="eastAsia"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排放量</w:t>
                  </w:r>
                </w:p>
              </w:tc>
              <w:tc>
                <w:tcPr>
                  <w:tcW w:w="1146" w:type="dxa"/>
                  <w:tcBorders>
                    <w:right w:val="single" w:color="auto" w:sz="4" w:space="0"/>
                  </w:tcBorders>
                  <w:noWrap w:val="0"/>
                  <w:vAlign w:val="center"/>
                </w:tcPr>
                <w:p w14:paraId="0E52487C">
                  <w:pPr>
                    <w:pStyle w:val="158"/>
                    <w:keepNext w:val="0"/>
                    <w:keepLines/>
                    <w:suppressLineNumbers w:val="0"/>
                    <w:spacing w:before="0" w:beforeAutospacing="0" w:after="0" w:afterAutospacing="0"/>
                    <w:ind w:left="0" w:right="0"/>
                    <w:rPr>
                      <w:rFonts w:hint="default"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排放速率</w:t>
                  </w:r>
                </w:p>
              </w:tc>
              <w:tc>
                <w:tcPr>
                  <w:tcW w:w="1220" w:type="dxa"/>
                  <w:tcBorders>
                    <w:right w:val="single" w:color="auto" w:sz="4" w:space="0"/>
                  </w:tcBorders>
                  <w:noWrap w:val="0"/>
                  <w:vAlign w:val="center"/>
                </w:tcPr>
                <w:p w14:paraId="156B1351">
                  <w:pPr>
                    <w:pStyle w:val="158"/>
                    <w:keepNext w:val="0"/>
                    <w:keepLines/>
                    <w:suppressLineNumbers w:val="0"/>
                    <w:spacing w:before="0" w:beforeAutospacing="0" w:after="0" w:afterAutospacing="0"/>
                    <w:ind w:left="0" w:right="0"/>
                    <w:rPr>
                      <w:rFonts w:hint="eastAsia" w:ascii="Times New Roman" w:hAnsi="Times New Roman" w:eastAsia="宋体" w:cs="Times New Roman"/>
                      <w:b/>
                      <w:color w:val="auto"/>
                      <w:szCs w:val="21"/>
                      <w:highlight w:val="none"/>
                      <w:u w:val="none"/>
                      <w:lang w:val="en-US" w:eastAsia="zh-CN"/>
                    </w:rPr>
                  </w:pPr>
                  <w:r>
                    <w:rPr>
                      <w:rFonts w:hint="eastAsia" w:cs="Times New Roman"/>
                      <w:b/>
                      <w:color w:val="auto"/>
                      <w:szCs w:val="21"/>
                      <w:highlight w:val="none"/>
                      <w:u w:val="none"/>
                      <w:lang w:val="en-US" w:eastAsia="zh-CN"/>
                    </w:rPr>
                    <w:t>排放量</w:t>
                  </w:r>
                </w:p>
              </w:tc>
              <w:tc>
                <w:tcPr>
                  <w:tcW w:w="921" w:type="dxa"/>
                  <w:tcBorders>
                    <w:right w:val="single" w:color="auto" w:sz="4" w:space="0"/>
                  </w:tcBorders>
                  <w:noWrap w:val="0"/>
                  <w:vAlign w:val="center"/>
                </w:tcPr>
                <w:p w14:paraId="1510E30B">
                  <w:pPr>
                    <w:pStyle w:val="158"/>
                    <w:keepNext w:val="0"/>
                    <w:keepLines/>
                    <w:suppressLineNumbers w:val="0"/>
                    <w:spacing w:before="0" w:beforeAutospacing="0" w:after="0" w:afterAutospacing="0"/>
                    <w:ind w:left="0" w:right="0"/>
                    <w:rPr>
                      <w:rFonts w:hint="default" w:ascii="Times New Roman" w:hAnsi="Times New Roman" w:cs="Times New Roman"/>
                      <w:b/>
                      <w:color w:val="auto"/>
                      <w:szCs w:val="21"/>
                      <w:highlight w:val="none"/>
                      <w:u w:val="none"/>
                    </w:rPr>
                  </w:pPr>
                  <w:r>
                    <w:rPr>
                      <w:rFonts w:hint="default" w:ascii="Times New Roman" w:hAnsi="Times New Roman" w:cs="Times New Roman"/>
                      <w:b/>
                      <w:color w:val="auto"/>
                      <w:szCs w:val="21"/>
                      <w:highlight w:val="none"/>
                      <w:u w:val="none"/>
                    </w:rPr>
                    <w:t>排放速率</w:t>
                  </w:r>
                </w:p>
              </w:tc>
            </w:tr>
            <w:tr w14:paraId="2CEC2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18" w:hRule="atLeast"/>
                <w:jc w:val="center"/>
              </w:trPr>
              <w:tc>
                <w:tcPr>
                  <w:tcW w:w="810" w:type="dxa"/>
                  <w:tcBorders>
                    <w:left w:val="single" w:color="auto" w:sz="4" w:space="0"/>
                    <w:bottom w:val="single" w:color="auto" w:sz="4" w:space="0"/>
                  </w:tcBorders>
                  <w:noWrap w:val="0"/>
                  <w:vAlign w:val="center"/>
                </w:tcPr>
                <w:p w14:paraId="578E4547">
                  <w:pPr>
                    <w:pStyle w:val="158"/>
                    <w:keepNext w:val="0"/>
                    <w:keepLines/>
                    <w:suppressLineNumbers w:val="0"/>
                    <w:spacing w:before="0" w:beforeAutospacing="0" w:after="0" w:afterAutospacing="0"/>
                    <w:ind w:left="0" w:right="0"/>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颗粒物</w:t>
                  </w:r>
                </w:p>
              </w:tc>
              <w:tc>
                <w:tcPr>
                  <w:tcW w:w="899" w:type="dxa"/>
                  <w:tcBorders>
                    <w:bottom w:val="single" w:color="auto" w:sz="4" w:space="0"/>
                  </w:tcBorders>
                  <w:noWrap w:val="0"/>
                  <w:vAlign w:val="center"/>
                </w:tcPr>
                <w:p w14:paraId="6C5C08C2">
                  <w:pPr>
                    <w:pStyle w:val="158"/>
                    <w:keepNext w:val="0"/>
                    <w:keepLines/>
                    <w:suppressLineNumbers w:val="0"/>
                    <w:spacing w:before="0" w:beforeAutospacing="0" w:after="0" w:afterAutospacing="0"/>
                    <w:ind w:left="0" w:right="0"/>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lang w:val="en-US" w:eastAsia="zh-CN"/>
                    </w:rPr>
                    <w:t>0.0386</w:t>
                  </w:r>
                  <w:r>
                    <w:rPr>
                      <w:rFonts w:hint="default" w:ascii="Times New Roman" w:hAnsi="Times New Roman" w:cs="Times New Roman"/>
                      <w:color w:val="auto"/>
                      <w:szCs w:val="21"/>
                      <w:highlight w:val="none"/>
                      <w:u w:val="none"/>
                    </w:rPr>
                    <w:t>t/a</w:t>
                  </w:r>
                </w:p>
              </w:tc>
              <w:tc>
                <w:tcPr>
                  <w:tcW w:w="845" w:type="dxa"/>
                  <w:tcBorders>
                    <w:bottom w:val="single" w:color="auto" w:sz="4" w:space="0"/>
                  </w:tcBorders>
                  <w:noWrap w:val="0"/>
                  <w:vAlign w:val="center"/>
                </w:tcPr>
                <w:p w14:paraId="411FD30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w:t>
                  </w:r>
                  <w:r>
                    <w:rPr>
                      <w:rFonts w:hint="eastAsia" w:cs="Times New Roman"/>
                      <w:color w:val="auto"/>
                      <w:sz w:val="21"/>
                      <w:szCs w:val="21"/>
                      <w:highlight w:val="none"/>
                      <w:u w:val="none"/>
                      <w:lang w:val="en-US" w:eastAsia="zh-CN"/>
                    </w:rPr>
                    <w:t>309</w:t>
                  </w:r>
                  <w:r>
                    <w:rPr>
                      <w:rFonts w:hint="default" w:ascii="Times New Roman" w:hAnsi="Times New Roman" w:cs="Times New Roman"/>
                      <w:color w:val="auto"/>
                      <w:sz w:val="21"/>
                      <w:szCs w:val="21"/>
                      <w:highlight w:val="none"/>
                      <w:u w:val="none"/>
                    </w:rPr>
                    <w:t>t/a</w:t>
                  </w:r>
                </w:p>
              </w:tc>
              <w:tc>
                <w:tcPr>
                  <w:tcW w:w="1105" w:type="dxa"/>
                  <w:tcBorders>
                    <w:bottom w:val="single" w:color="auto" w:sz="4" w:space="0"/>
                  </w:tcBorders>
                  <w:noWrap w:val="0"/>
                  <w:vAlign w:val="center"/>
                </w:tcPr>
                <w:p w14:paraId="1E4D8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bidi="ar-SA"/>
                    </w:rPr>
                    <w:t>移动式焊接烟尘净化器</w:t>
                  </w:r>
                  <w:r>
                    <w:rPr>
                      <w:rFonts w:hint="eastAsia" w:ascii="Times New Roman" w:hAnsi="Times New Roman" w:eastAsia="宋体" w:cs="Times New Roman"/>
                      <w:color w:val="auto"/>
                      <w:kern w:val="0"/>
                      <w:sz w:val="21"/>
                      <w:szCs w:val="21"/>
                      <w:highlight w:val="none"/>
                      <w:u w:val="none"/>
                      <w:lang w:val="en-US" w:eastAsia="zh-CN" w:bidi="ar-SA"/>
                    </w:rPr>
                    <w:t>（去除效率90%）</w:t>
                  </w:r>
                </w:p>
              </w:tc>
              <w:tc>
                <w:tcPr>
                  <w:tcW w:w="907" w:type="dxa"/>
                  <w:tcBorders>
                    <w:bottom w:val="single" w:color="auto" w:sz="4" w:space="0"/>
                  </w:tcBorders>
                  <w:noWrap w:val="0"/>
                  <w:vAlign w:val="center"/>
                </w:tcPr>
                <w:p w14:paraId="6B1F257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0.00</w:t>
                  </w:r>
                  <w:r>
                    <w:rPr>
                      <w:rFonts w:hint="eastAsia" w:cs="Times New Roman"/>
                      <w:color w:val="auto"/>
                      <w:sz w:val="21"/>
                      <w:szCs w:val="21"/>
                      <w:highlight w:val="none"/>
                      <w:u w:val="none"/>
                      <w:lang w:val="en-US" w:eastAsia="zh-CN"/>
                    </w:rPr>
                    <w:t>31</w:t>
                  </w:r>
                  <w:r>
                    <w:rPr>
                      <w:rFonts w:hint="default" w:ascii="Times New Roman" w:hAnsi="Times New Roman" w:cs="Times New Roman"/>
                      <w:color w:val="auto"/>
                      <w:sz w:val="21"/>
                      <w:szCs w:val="21"/>
                      <w:highlight w:val="none"/>
                      <w:u w:val="none"/>
                    </w:rPr>
                    <w:t>t/a</w:t>
                  </w:r>
                </w:p>
              </w:tc>
              <w:tc>
                <w:tcPr>
                  <w:tcW w:w="1146" w:type="dxa"/>
                  <w:tcBorders>
                    <w:bottom w:val="single" w:color="auto" w:sz="4" w:space="0"/>
                    <w:right w:val="single" w:color="auto" w:sz="4" w:space="0"/>
                  </w:tcBorders>
                  <w:noWrap w:val="0"/>
                  <w:vAlign w:val="center"/>
                </w:tcPr>
                <w:p w14:paraId="5390D5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0.0012kg/h</w:t>
                  </w:r>
                </w:p>
              </w:tc>
              <w:tc>
                <w:tcPr>
                  <w:tcW w:w="1220" w:type="dxa"/>
                  <w:tcBorders>
                    <w:bottom w:val="single" w:color="auto" w:sz="4" w:space="0"/>
                    <w:right w:val="single" w:color="auto" w:sz="4" w:space="0"/>
                  </w:tcBorders>
                  <w:noWrap w:val="0"/>
                  <w:vAlign w:val="center"/>
                </w:tcPr>
                <w:p w14:paraId="2FD71A1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0.0077</w:t>
                  </w:r>
                  <w:r>
                    <w:rPr>
                      <w:rFonts w:hint="default" w:ascii="Times New Roman" w:hAnsi="Times New Roman" w:cs="Times New Roman"/>
                      <w:color w:val="auto"/>
                      <w:sz w:val="21"/>
                      <w:szCs w:val="21"/>
                      <w:highlight w:val="none"/>
                      <w:u w:val="none"/>
                    </w:rPr>
                    <w:t>t/a</w:t>
                  </w:r>
                </w:p>
              </w:tc>
              <w:tc>
                <w:tcPr>
                  <w:tcW w:w="921" w:type="dxa"/>
                  <w:tcBorders>
                    <w:bottom w:val="single" w:color="auto" w:sz="4" w:space="0"/>
                    <w:right w:val="single" w:color="auto" w:sz="4" w:space="0"/>
                  </w:tcBorders>
                  <w:noWrap w:val="0"/>
                  <w:vAlign w:val="center"/>
                </w:tcPr>
                <w:p w14:paraId="094BB6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0.0029</w:t>
                  </w:r>
                  <w:r>
                    <w:rPr>
                      <w:rFonts w:hint="eastAsia" w:cs="Times New Roman"/>
                      <w:color w:val="auto"/>
                      <w:sz w:val="21"/>
                      <w:szCs w:val="21"/>
                      <w:highlight w:val="none"/>
                      <w:u w:val="none"/>
                      <w:lang w:val="en-US" w:eastAsia="zh-CN"/>
                    </w:rPr>
                    <w:t>kg/h</w:t>
                  </w:r>
                </w:p>
              </w:tc>
            </w:tr>
          </w:tbl>
          <w:p w14:paraId="77F7F700">
            <w:pPr>
              <w:pStyle w:val="143"/>
              <w:keepNext w:val="0"/>
              <w:keepLines w:val="0"/>
              <w:suppressLineNumbers w:val="0"/>
              <w:spacing w:before="161" w:beforeAutospacing="0" w:after="0" w:afterAutospacing="0" w:line="360" w:lineRule="auto"/>
              <w:ind w:left="533" w:right="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2</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木板断料粉尘</w:t>
            </w:r>
          </w:p>
          <w:p w14:paraId="4A0B8573">
            <w:pPr>
              <w:pStyle w:val="143"/>
              <w:keepNext w:val="0"/>
              <w:keepLines w:val="0"/>
              <w:suppressLineNumbers w:val="0"/>
              <w:spacing w:before="48" w:beforeAutospacing="0" w:after="0" w:afterAutospacing="0" w:line="360" w:lineRule="auto"/>
              <w:ind w:left="123" w:right="145" w:firstLine="405"/>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木质断料</w:t>
            </w:r>
            <w:r>
              <w:rPr>
                <w:rFonts w:hint="default" w:ascii="Times New Roman" w:hAnsi="Times New Roman" w:cs="Times New Roman"/>
                <w:color w:val="auto"/>
                <w:spacing w:val="-2"/>
                <w:sz w:val="24"/>
                <w:szCs w:val="24"/>
                <w:highlight w:val="none"/>
                <w:lang w:val="en-US" w:eastAsia="zh-CN"/>
              </w:rPr>
              <w:t>采取锯切，产生的</w:t>
            </w:r>
            <w:r>
              <w:rPr>
                <w:rFonts w:hint="default" w:ascii="Times New Roman" w:hAnsi="Times New Roman" w:cs="Times New Roman"/>
                <w:color w:val="auto"/>
                <w:spacing w:val="-2"/>
                <w:sz w:val="24"/>
                <w:szCs w:val="24"/>
                <w:highlight w:val="none"/>
              </w:rPr>
              <w:t>粉尘</w:t>
            </w:r>
            <w:r>
              <w:rPr>
                <w:rFonts w:hint="default" w:ascii="Times New Roman" w:hAnsi="Times New Roman" w:cs="Times New Roman"/>
                <w:color w:val="auto"/>
                <w:sz w:val="24"/>
                <w:szCs w:val="24"/>
                <w:highlight w:val="none"/>
              </w:rPr>
              <w:t>产污系数参考第二次全国污染源普查工业污染源普查中《201木材加工行业系数手册（初稿）》，锯切/切削/旋切工序的颗粒物产生系数为0.243kg/m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-产品。</w:t>
            </w:r>
            <w:r>
              <w:rPr>
                <w:rFonts w:hint="default" w:ascii="Times New Roman" w:hAnsi="Times New Roman" w:cs="Times New Roman"/>
                <w:color w:val="auto"/>
                <w:spacing w:val="-1"/>
                <w:sz w:val="24"/>
                <w:szCs w:val="24"/>
                <w:highlight w:val="none"/>
              </w:rPr>
              <w:t>本项目木板使用量约</w:t>
            </w:r>
            <w:r>
              <w:rPr>
                <w:rFonts w:hint="default" w:ascii="Times New Roman" w:hAnsi="Times New Roman" w:eastAsia="宋体" w:cs="Times New Roman"/>
                <w:color w:val="auto"/>
                <w:spacing w:val="-1"/>
                <w:sz w:val="24"/>
                <w:szCs w:val="24"/>
                <w:highlight w:val="none"/>
                <w:lang w:val="en-US" w:eastAsia="zh-CN"/>
              </w:rPr>
              <w:t>10</w:t>
            </w:r>
            <w:r>
              <w:rPr>
                <w:rFonts w:hint="default" w:ascii="Times New Roman" w:hAnsi="Times New Roman" w:eastAsia="Times New Roman"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Times New Roman" w:cs="Times New Roman"/>
                <w:color w:val="auto"/>
                <w:spacing w:val="-1"/>
                <w:sz w:val="24"/>
                <w:szCs w:val="24"/>
                <w:highlight w:val="none"/>
              </w:rPr>
              <w:t>/a</w:t>
            </w:r>
            <w:r>
              <w:rPr>
                <w:rFonts w:hint="default" w:ascii="Times New Roman" w:hAnsi="Times New Roman" w:cs="Times New Roman"/>
                <w:color w:val="auto"/>
                <w:spacing w:val="-1"/>
                <w:sz w:val="24"/>
                <w:szCs w:val="24"/>
                <w:highlight w:val="none"/>
              </w:rPr>
              <w:t>，则木板断料粉尘产生量为</w:t>
            </w:r>
            <w:r>
              <w:rPr>
                <w:rFonts w:hint="default" w:ascii="Times New Roman" w:hAnsi="Times New Roman" w:eastAsia="宋体" w:cs="Times New Roman"/>
                <w:color w:val="auto"/>
                <w:spacing w:val="-1"/>
                <w:sz w:val="24"/>
                <w:szCs w:val="24"/>
                <w:highlight w:val="none"/>
                <w:lang w:val="en-US" w:eastAsia="zh-CN"/>
              </w:rPr>
              <w:t>2.43</w:t>
            </w:r>
            <w:r>
              <w:rPr>
                <w:rFonts w:hint="default" w:ascii="Times New Roman" w:hAnsi="Times New Roman" w:eastAsia="Times New Roman" w:cs="Times New Roman"/>
                <w:color w:val="auto"/>
                <w:spacing w:val="-1"/>
                <w:sz w:val="24"/>
                <w:szCs w:val="24"/>
                <w:highlight w:val="none"/>
              </w:rPr>
              <w:t>kg/a</w:t>
            </w:r>
            <w:r>
              <w:rPr>
                <w:rFonts w:hint="default" w:ascii="Times New Roman" w:hAnsi="Times New Roman" w:cs="Times New Roman"/>
                <w:color w:val="auto"/>
                <w:spacing w:val="-1"/>
                <w:sz w:val="24"/>
                <w:szCs w:val="24"/>
                <w:highlight w:val="none"/>
              </w:rPr>
              <w:t>。</w:t>
            </w:r>
          </w:p>
          <w:p w14:paraId="7FE50CD7">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cs="Times New Roman"/>
                <w:color w:val="auto"/>
                <w:sz w:val="24"/>
                <w:szCs w:val="24"/>
                <w:highlight w:val="none"/>
              </w:rPr>
              <w:t>综上，本项目修箱工序</w:t>
            </w:r>
            <w:r>
              <w:rPr>
                <w:rFonts w:hint="default" w:ascii="Times New Roman" w:hAnsi="Times New Roman" w:cs="Times New Roman"/>
                <w:color w:val="auto"/>
                <w:sz w:val="24"/>
                <w:szCs w:val="24"/>
                <w:highlight w:val="none"/>
                <w:lang w:val="en-US" w:eastAsia="zh-CN"/>
              </w:rPr>
              <w:t>木板断料工序在车间内进行，</w:t>
            </w:r>
            <w:r>
              <w:rPr>
                <w:rFonts w:hint="default" w:ascii="Times New Roman" w:hAnsi="Times New Roman" w:cs="Times New Roman"/>
                <w:color w:val="auto"/>
                <w:sz w:val="24"/>
                <w:szCs w:val="24"/>
                <w:highlight w:val="none"/>
              </w:rPr>
              <w:t>由于车间宽阔，重力沉降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切割量较小</w:t>
            </w:r>
            <w:r>
              <w:rPr>
                <w:rFonts w:hint="default" w:ascii="Times New Roman" w:hAnsi="Times New Roman" w:cs="Times New Roman"/>
                <w:color w:val="auto"/>
                <w:sz w:val="24"/>
                <w:szCs w:val="24"/>
                <w:highlight w:val="none"/>
              </w:rPr>
              <w:t>等原因，</w:t>
            </w:r>
            <w:r>
              <w:rPr>
                <w:rFonts w:hint="default" w:ascii="Times New Roman" w:hAnsi="Times New Roman" w:cs="Times New Roman"/>
                <w:color w:val="auto"/>
                <w:sz w:val="24"/>
                <w:szCs w:val="24"/>
                <w:highlight w:val="none"/>
                <w:lang w:val="en-US" w:eastAsia="zh-CN"/>
              </w:rPr>
              <w:t>断料粉尘直接</w:t>
            </w:r>
            <w:r>
              <w:rPr>
                <w:rFonts w:hint="default" w:ascii="Times New Roman" w:hAnsi="Times New Roman" w:cs="Times New Roman"/>
                <w:color w:val="auto"/>
                <w:sz w:val="24"/>
                <w:szCs w:val="24"/>
                <w:highlight w:val="none"/>
              </w:rPr>
              <w:t>自然逸散无组织排放</w:t>
            </w:r>
            <w:r>
              <w:rPr>
                <w:rFonts w:hint="default" w:ascii="Times New Roman" w:hAnsi="Times New Roman" w:cs="Times New Roman"/>
                <w:color w:val="auto"/>
                <w:spacing w:val="-1"/>
                <w:sz w:val="24"/>
                <w:szCs w:val="24"/>
                <w:highlight w:val="none"/>
              </w:rPr>
              <w:t>。</w:t>
            </w:r>
            <w:r>
              <w:rPr>
                <w:rFonts w:hint="default" w:ascii="Times New Roman" w:hAnsi="Times New Roman" w:cs="Times New Roman"/>
                <w:color w:val="auto"/>
                <w:sz w:val="24"/>
                <w:szCs w:val="24"/>
                <w:highlight w:val="none"/>
              </w:rPr>
              <w:t>颗粒物</w:t>
            </w:r>
            <w:r>
              <w:rPr>
                <w:rFonts w:hint="default" w:ascii="Times New Roman" w:hAnsi="Times New Roman"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2.43</w:t>
            </w:r>
            <w:r>
              <w:rPr>
                <w:rFonts w:hint="default" w:ascii="Times New Roman" w:hAnsi="Times New Roman" w:eastAsia="Times New Roman" w:cs="Times New Roman"/>
                <w:color w:val="auto"/>
                <w:sz w:val="24"/>
                <w:szCs w:val="24"/>
                <w:highlight w:val="none"/>
              </w:rPr>
              <w:t>kg/a</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排放速率为0.0009</w:t>
            </w:r>
            <w:r>
              <w:rPr>
                <w:rFonts w:hint="default" w:ascii="Times New Roman" w:hAnsi="Times New Roman" w:eastAsia="Times New Roman" w:cs="Times New Roman"/>
                <w:color w:val="auto"/>
                <w:spacing w:val="-1"/>
                <w:sz w:val="24"/>
                <w:szCs w:val="24"/>
                <w:highlight w:val="none"/>
              </w:rPr>
              <w:t>kg/</w:t>
            </w:r>
            <w:r>
              <w:rPr>
                <w:rFonts w:hint="default" w:ascii="Times New Roman" w:hAnsi="Times New Roman" w:eastAsia="宋体" w:cs="Times New Roman"/>
                <w:color w:val="auto"/>
                <w:spacing w:val="-1"/>
                <w:sz w:val="24"/>
                <w:szCs w:val="24"/>
                <w:highlight w:val="none"/>
                <w:lang w:val="en-US" w:eastAsia="zh-CN"/>
              </w:rPr>
              <w:t>h。</w:t>
            </w:r>
          </w:p>
          <w:p w14:paraId="4FC5D8DC">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both"/>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cs="Times New Roman"/>
                <w:color w:val="auto"/>
                <w:spacing w:val="-3"/>
                <w:sz w:val="24"/>
                <w:szCs w:val="24"/>
                <w:highlight w:val="none"/>
              </w:rPr>
              <w:t>）有机废气</w:t>
            </w:r>
          </w:p>
          <w:p w14:paraId="188C724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u w:val="none"/>
                <w:lang w:val="en-US" w:eastAsia="zh-CN"/>
              </w:rPr>
              <w:t>项目修理集装箱刷漆和晾干工序污染物主要为非甲烷总烃、二甲苯、甲苯</w:t>
            </w:r>
            <w:r>
              <w:rPr>
                <w:rFonts w:hint="default" w:ascii="Times New Roman" w:hAnsi="Times New Roman" w:eastAsia="宋体" w:cs="Times New Roman"/>
                <w:color w:val="auto"/>
                <w:sz w:val="24"/>
                <w:szCs w:val="24"/>
                <w:highlight w:val="none"/>
              </w:rPr>
              <w:t>。</w:t>
            </w:r>
          </w:p>
          <w:p w14:paraId="19ECCF4E">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cs="Times New Roman"/>
                <w:b/>
                <w:bCs/>
                <w:color w:val="auto"/>
                <w:sz w:val="24"/>
                <w:szCs w:val="24"/>
                <w:highlight w:val="none"/>
                <w:u w:val="none"/>
                <w:vertAlign w:val="baseline"/>
                <w:lang w:val="en-US" w:eastAsia="zh-CN"/>
              </w:rPr>
              <w:t>污染物产生总量</w:t>
            </w:r>
          </w:p>
          <w:p w14:paraId="7F3CF7C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根据</w:t>
            </w:r>
            <w:r>
              <w:rPr>
                <w:rFonts w:hint="default" w:ascii="Times New Roman" w:hAnsi="Times New Roman" w:eastAsia="宋体" w:cs="Times New Roman"/>
                <w:color w:val="auto"/>
                <w:sz w:val="24"/>
                <w:szCs w:val="24"/>
                <w:highlight w:val="none"/>
                <w:u w:val="single"/>
                <w:lang w:val="en-US" w:eastAsia="zh-CN"/>
              </w:rPr>
              <w:t>前文核算</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漆料中挥发性有机物含量为</w:t>
            </w:r>
            <w:r>
              <w:rPr>
                <w:rFonts w:hint="eastAsia" w:cs="Times New Roman"/>
                <w:color w:val="auto"/>
                <w:sz w:val="24"/>
                <w:szCs w:val="24"/>
                <w:highlight w:val="none"/>
                <w:u w:val="single"/>
                <w:lang w:val="en-US" w:eastAsia="zh-CN"/>
              </w:rPr>
              <w:t>0.36</w:t>
            </w:r>
            <w:r>
              <w:rPr>
                <w:rFonts w:hint="default" w:ascii="Times New Roman" w:hAnsi="Times New Roman" w:eastAsia="宋体" w:cs="Times New Roman"/>
                <w:color w:val="auto"/>
                <w:sz w:val="24"/>
                <w:szCs w:val="24"/>
                <w:highlight w:val="none"/>
                <w:u w:val="single"/>
                <w:lang w:val="en-US" w:eastAsia="zh-CN"/>
              </w:rPr>
              <w:t>t/a，二甲苯含量为</w:t>
            </w:r>
            <w:r>
              <w:rPr>
                <w:rFonts w:hint="eastAsia" w:cs="Times New Roman"/>
                <w:color w:val="auto"/>
                <w:sz w:val="24"/>
                <w:szCs w:val="24"/>
                <w:highlight w:val="none"/>
                <w:u w:val="single"/>
                <w:lang w:val="en-US" w:eastAsia="zh-CN"/>
              </w:rPr>
              <w:t>0.12</w:t>
            </w:r>
            <w:r>
              <w:rPr>
                <w:rFonts w:hint="default" w:ascii="Times New Roman" w:hAnsi="Times New Roman" w:eastAsia="宋体" w:cs="Times New Roman"/>
                <w:color w:val="auto"/>
                <w:sz w:val="24"/>
                <w:szCs w:val="24"/>
                <w:highlight w:val="none"/>
                <w:u w:val="single"/>
                <w:lang w:val="en-US" w:eastAsia="zh-CN"/>
              </w:rPr>
              <w:t>t/a，甲苯含量为</w:t>
            </w:r>
            <w:r>
              <w:rPr>
                <w:rFonts w:hint="eastAsia" w:cs="Times New Roman"/>
                <w:color w:val="auto"/>
                <w:sz w:val="24"/>
                <w:szCs w:val="24"/>
                <w:highlight w:val="none"/>
                <w:u w:val="single"/>
                <w:lang w:val="en-US" w:eastAsia="zh-CN"/>
              </w:rPr>
              <w:t>0.048</w:t>
            </w:r>
            <w:r>
              <w:rPr>
                <w:rFonts w:hint="default" w:ascii="Times New Roman" w:hAnsi="Times New Roman" w:eastAsia="宋体" w:cs="Times New Roman"/>
                <w:color w:val="auto"/>
                <w:sz w:val="24"/>
                <w:szCs w:val="24"/>
                <w:highlight w:val="none"/>
                <w:u w:val="single"/>
                <w:lang w:val="en-US" w:eastAsia="zh-CN"/>
              </w:rPr>
              <w:t>t/a。</w:t>
            </w:r>
          </w:p>
          <w:p w14:paraId="23F553AC">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②污染物收集、治理措施及效果</w:t>
            </w:r>
          </w:p>
          <w:p w14:paraId="61DD836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项目对刷漆、晾干废气进行密闭收集，收集后经1套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二级活性炭吸附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最终</w:t>
            </w:r>
            <w:r>
              <w:rPr>
                <w:rFonts w:hint="default" w:ascii="Times New Roman" w:hAnsi="Times New Roman" w:eastAsia="宋体" w:cs="Times New Roman"/>
                <w:color w:val="auto"/>
                <w:sz w:val="24"/>
                <w:szCs w:val="24"/>
                <w:highlight w:val="none"/>
              </w:rPr>
              <w:t>经1根</w:t>
            </w:r>
            <w:r>
              <w:rPr>
                <w:rFonts w:hint="default" w:ascii="Times New Roman" w:hAnsi="Times New Roman" w:cs="Times New Roman"/>
                <w:color w:val="auto"/>
                <w:sz w:val="24"/>
                <w:szCs w:val="24"/>
                <w:highlight w:val="none"/>
                <w:lang w:val="en-US" w:eastAsia="zh-CN"/>
              </w:rPr>
              <w:t>15m</w:t>
            </w:r>
            <w:r>
              <w:rPr>
                <w:rFonts w:hint="default" w:ascii="Times New Roman" w:hAnsi="Times New Roman" w:eastAsia="宋体" w:cs="Times New Roman"/>
                <w:color w:val="auto"/>
                <w:sz w:val="24"/>
                <w:szCs w:val="24"/>
                <w:highlight w:val="none"/>
              </w:rPr>
              <w:t>高排气筒排空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刷漆及晾干时长按24h计算，</w:t>
            </w:r>
            <w:r>
              <w:rPr>
                <w:rFonts w:hint="default" w:ascii="Times New Roman" w:hAnsi="Times New Roman" w:eastAsia="宋体" w:cs="Times New Roman"/>
                <w:color w:val="auto"/>
                <w:sz w:val="24"/>
                <w:szCs w:val="24"/>
                <w:highlight w:val="none"/>
                <w:lang w:val="en-US" w:eastAsia="zh-CN"/>
              </w:rPr>
              <w:t>年排放时间为</w:t>
            </w:r>
            <w:r>
              <w:rPr>
                <w:rFonts w:hint="eastAsia" w:cs="Times New Roman"/>
                <w:color w:val="auto"/>
                <w:sz w:val="24"/>
                <w:szCs w:val="24"/>
                <w:highlight w:val="none"/>
                <w:lang w:val="en-US" w:eastAsia="zh-CN"/>
              </w:rPr>
              <w:t>7920</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w:t>
            </w:r>
          </w:p>
          <w:p w14:paraId="08CE964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刷漆、烘干</w:t>
            </w:r>
            <w:r>
              <w:rPr>
                <w:rFonts w:hint="default" w:ascii="Times New Roman" w:hAnsi="Times New Roman" w:eastAsia="宋体" w:cs="Times New Roman"/>
                <w:color w:val="auto"/>
                <w:sz w:val="24"/>
                <w:szCs w:val="24"/>
                <w:highlight w:val="none"/>
              </w:rPr>
              <w:t>均在密闭空间内进行，工件通过</w:t>
            </w:r>
            <w:r>
              <w:rPr>
                <w:rFonts w:hint="default" w:ascii="Times New Roman" w:hAnsi="Times New Roman" w:eastAsia="宋体" w:cs="Times New Roman"/>
                <w:color w:val="auto"/>
                <w:sz w:val="24"/>
                <w:szCs w:val="24"/>
                <w:highlight w:val="none"/>
                <w:lang w:val="en-US" w:eastAsia="zh-CN"/>
              </w:rPr>
              <w:t>刷漆</w:t>
            </w:r>
            <w:r>
              <w:rPr>
                <w:rFonts w:hint="default" w:ascii="Times New Roman" w:hAnsi="Times New Roman" w:eastAsia="宋体" w:cs="Times New Roman"/>
                <w:color w:val="auto"/>
                <w:sz w:val="24"/>
                <w:szCs w:val="24"/>
                <w:highlight w:val="none"/>
              </w:rPr>
              <w:t>和烘干等生产设施。</w:t>
            </w:r>
            <w:r>
              <w:rPr>
                <w:rFonts w:hint="default" w:ascii="Times New Roman" w:hAnsi="Times New Roman" w:eastAsia="宋体" w:cs="Times New Roman"/>
                <w:color w:val="auto"/>
                <w:sz w:val="24"/>
                <w:szCs w:val="24"/>
                <w:highlight w:val="none"/>
                <w:lang w:val="en-US" w:eastAsia="zh-CN"/>
              </w:rPr>
              <w:t>刷漆空间</w:t>
            </w:r>
            <w:r>
              <w:rPr>
                <w:rFonts w:hint="default" w:ascii="Times New Roman" w:hAnsi="Times New Roman" w:eastAsia="宋体" w:cs="Times New Roman"/>
                <w:color w:val="auto"/>
                <w:sz w:val="24"/>
                <w:szCs w:val="24"/>
                <w:highlight w:val="none"/>
              </w:rPr>
              <w:t>采用上送风、下排风的气流组织方式，</w:t>
            </w:r>
            <w:r>
              <w:rPr>
                <w:rFonts w:hint="default" w:ascii="Times New Roman" w:hAnsi="Times New Roman" w:cs="Times New Roman"/>
                <w:color w:val="auto"/>
                <w:sz w:val="24"/>
                <w:szCs w:val="24"/>
                <w:highlight w:val="none"/>
                <w:lang w:val="en-US" w:eastAsia="zh-CN"/>
              </w:rPr>
              <w:t>密闭喷涂室内断面设计风速不低于0.3m/s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烘干采取</w:t>
            </w:r>
            <w:r>
              <w:rPr>
                <w:rFonts w:hint="default" w:ascii="Times New Roman" w:hAnsi="Times New Roman" w:eastAsia="宋体" w:cs="Times New Roman"/>
                <w:color w:val="auto"/>
                <w:sz w:val="24"/>
                <w:szCs w:val="24"/>
                <w:highlight w:val="none"/>
                <w:lang w:val="en-US" w:eastAsia="zh-CN"/>
              </w:rPr>
              <w:t>循环风为主</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各段之间均设有风幕控制污染物溢散设施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"https://www.mee.gov.cn/ywgz/fgbz/bz/bzwb/pwxk/201809/W020180930518678074115.pdf"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排污许可证申请与核发技术规范汽车制造业</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》(HJ971-2018</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表44中连续、密闭式喷涂设施的控制条件，废气的收集效率可达90%。</w:t>
            </w:r>
          </w:p>
          <w:p w14:paraId="0981997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本项目密闭滚涂室内断面设计风速不低于0.3m/s</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断面总有效截面积约为2</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5m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，经计算得出所需废气量应不低于2700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val="en-US" w:eastAsia="zh-CN"/>
              </w:rPr>
              <w:t>，最终总处理</w:t>
            </w:r>
            <w:r>
              <w:rPr>
                <w:rFonts w:hint="default" w:ascii="Times New Roman" w:hAnsi="Times New Roman" w:cs="Times New Roman"/>
                <w:color w:val="auto"/>
                <w:sz w:val="24"/>
                <w:szCs w:val="24"/>
                <w:highlight w:val="none"/>
              </w:rPr>
              <w:t>风量</w:t>
            </w:r>
            <w:r>
              <w:rPr>
                <w:rFonts w:hint="default" w:ascii="Times New Roman" w:hAnsi="Times New Roman" w:cs="Times New Roman"/>
                <w:color w:val="auto"/>
                <w:sz w:val="24"/>
                <w:szCs w:val="24"/>
                <w:highlight w:val="none"/>
                <w:lang w:val="en-US" w:eastAsia="zh-CN"/>
              </w:rPr>
              <w:t>取值3</w:t>
            </w:r>
            <w:r>
              <w:rPr>
                <w:rFonts w:hint="default" w:ascii="Times New Roman" w:hAnsi="Times New Roman"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eastAsia="zh-CN"/>
              </w:rPr>
              <w:t>。</w:t>
            </w:r>
          </w:p>
          <w:p w14:paraId="3A69244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w:t>
            </w:r>
            <w:r>
              <w:rPr>
                <w:rFonts w:hint="default" w:ascii="Times New Roman" w:hAnsi="Times New Roman" w:eastAsia="宋体" w:cs="Times New Roman"/>
                <w:color w:val="auto"/>
                <w:sz w:val="24"/>
                <w:szCs w:val="24"/>
                <w:highlight w:val="none"/>
                <w:u w:val="single"/>
                <w:vertAlign w:val="baseline"/>
                <w:lang w:val="en-US" w:eastAsia="zh-CN"/>
              </w:rPr>
              <w:t>《排放源统计调查产排污核算方法和系数手册》中</w:t>
            </w:r>
            <w:r>
              <w:rPr>
                <w:rFonts w:hint="default" w:ascii="Times New Roman" w:hAnsi="Times New Roman" w:eastAsia="宋体" w:cs="Times New Roman"/>
                <w:color w:val="auto"/>
                <w:sz w:val="24"/>
                <w:szCs w:val="24"/>
                <w:highlight w:val="none"/>
                <w:u w:val="single"/>
              </w:rPr>
              <w:t>33金属制品业行业系数手册</w:t>
            </w:r>
            <w:r>
              <w:rPr>
                <w:rFonts w:hint="default" w:ascii="Times New Roman" w:hAnsi="Times New Roman" w:eastAsia="宋体" w:cs="Times New Roman"/>
                <w:color w:val="auto"/>
                <w:sz w:val="24"/>
                <w:szCs w:val="24"/>
                <w:highlight w:val="none"/>
                <w:u w:val="single"/>
                <w:lang w:val="en-US" w:eastAsia="zh-CN"/>
              </w:rPr>
              <w:t>中附表，</w:t>
            </w:r>
            <w:r>
              <w:rPr>
                <w:rFonts w:hint="default" w:ascii="Times New Roman" w:hAnsi="Times New Roman" w:cs="Times New Roman"/>
                <w:color w:val="auto"/>
                <w:sz w:val="24"/>
                <w:szCs w:val="24"/>
                <w:highlight w:val="none"/>
                <w:u w:val="single"/>
                <w:lang w:val="en-US" w:eastAsia="zh-CN"/>
              </w:rPr>
              <w:t>单级活性炭吸附效率约18%，经计算二级活性炭吸附效率可达33%。</w:t>
            </w:r>
          </w:p>
          <w:p w14:paraId="6B363364">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③排放源强及达标情况</w:t>
            </w:r>
          </w:p>
          <w:p w14:paraId="35D4B31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cs="Times New Roman"/>
                <w:color w:val="auto"/>
                <w:sz w:val="24"/>
                <w:szCs w:val="24"/>
                <w:highlight w:val="none"/>
                <w:lang w:val="en-US" w:eastAsia="zh-CN"/>
              </w:rPr>
              <w:t>由以上数据核算出，</w:t>
            </w:r>
            <w:r>
              <w:rPr>
                <w:rFonts w:hint="default" w:ascii="Times New Roman" w:hAnsi="Times New Roman" w:eastAsia="宋体" w:cs="Times New Roman"/>
                <w:color w:val="auto"/>
                <w:sz w:val="24"/>
                <w:szCs w:val="24"/>
                <w:highlight w:val="none"/>
              </w:rPr>
              <w:t>非甲烷总烃、二甲苯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甲苯</w:t>
            </w:r>
            <w:r>
              <w:rPr>
                <w:rFonts w:hint="default" w:ascii="Times New Roman" w:hAnsi="Times New Roman" w:eastAsia="宋体" w:cs="Times New Roman"/>
                <w:color w:val="auto"/>
                <w:sz w:val="24"/>
                <w:szCs w:val="24"/>
                <w:highlight w:val="none"/>
              </w:rPr>
              <w:t>有组织</w:t>
            </w:r>
            <w:r>
              <w:rPr>
                <w:rFonts w:hint="default" w:ascii="Times New Roman" w:hAnsi="Times New Roman" w:eastAsia="宋体" w:cs="Times New Roman"/>
                <w:color w:val="auto"/>
                <w:sz w:val="24"/>
                <w:szCs w:val="24"/>
                <w:highlight w:val="none"/>
                <w:lang w:val="en-US" w:eastAsia="zh-CN"/>
              </w:rPr>
              <w:t>产生量分别为</w:t>
            </w:r>
            <w:r>
              <w:rPr>
                <w:rFonts w:hint="eastAsia" w:cs="Times New Roman"/>
                <w:color w:val="auto"/>
                <w:sz w:val="24"/>
                <w:szCs w:val="24"/>
                <w:highlight w:val="none"/>
                <w:u w:val="none"/>
                <w:lang w:val="en-US" w:eastAsia="zh-CN"/>
              </w:rPr>
              <w:t>0.36</w:t>
            </w:r>
            <w:r>
              <w:rPr>
                <w:rFonts w:hint="default" w:ascii="Times New Roman" w:hAnsi="Times New Roman" w:cs="Times New Roman"/>
                <w:color w:val="auto"/>
                <w:sz w:val="24"/>
                <w:szCs w:val="24"/>
                <w:highlight w:val="none"/>
                <w:u w:val="none"/>
                <w:lang w:val="en-US" w:eastAsia="zh-CN"/>
              </w:rPr>
              <w:t>t/a、</w:t>
            </w:r>
            <w:r>
              <w:rPr>
                <w:rFonts w:hint="eastAsia" w:cs="Times New Roman"/>
                <w:color w:val="auto"/>
                <w:sz w:val="24"/>
                <w:szCs w:val="24"/>
                <w:highlight w:val="none"/>
                <w:u w:val="none"/>
                <w:lang w:val="en-US" w:eastAsia="zh-CN"/>
              </w:rPr>
              <w:t>0.1</w:t>
            </w:r>
            <w:r>
              <w:rPr>
                <w:rFonts w:hint="eastAsia"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lang w:val="en-US" w:eastAsia="zh-CN"/>
              </w:rPr>
              <w:t>t/a、</w:t>
            </w:r>
            <w:r>
              <w:rPr>
                <w:rFonts w:hint="eastAsia" w:cs="Times New Roman"/>
                <w:color w:val="auto"/>
                <w:sz w:val="24"/>
                <w:szCs w:val="24"/>
                <w:highlight w:val="none"/>
                <w:u w:val="single"/>
                <w:lang w:val="en-US" w:eastAsia="zh-CN"/>
              </w:rPr>
              <w:t>0.048</w:t>
            </w:r>
            <w:r>
              <w:rPr>
                <w:rFonts w:hint="default" w:ascii="Times New Roman" w:hAnsi="Times New Roman" w:cs="Times New Roman"/>
                <w:color w:val="auto"/>
                <w:sz w:val="24"/>
                <w:szCs w:val="24"/>
                <w:highlight w:val="none"/>
                <w:u w:val="single"/>
                <w:lang w:val="en-US" w:eastAsia="zh-CN"/>
              </w:rPr>
              <w:t>t/a</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有组织</w:t>
            </w:r>
            <w:r>
              <w:rPr>
                <w:rFonts w:hint="default" w:ascii="Times New Roman" w:hAnsi="Times New Roman" w:eastAsia="宋体" w:cs="Times New Roman"/>
                <w:color w:val="auto"/>
                <w:sz w:val="24"/>
                <w:szCs w:val="24"/>
                <w:highlight w:val="none"/>
                <w:u w:val="single"/>
              </w:rPr>
              <w:t>产生浓度分别为</w:t>
            </w:r>
            <w:r>
              <w:rPr>
                <w:rFonts w:hint="eastAsia" w:cs="Times New Roman"/>
                <w:color w:val="auto"/>
                <w:sz w:val="24"/>
                <w:szCs w:val="24"/>
                <w:highlight w:val="none"/>
                <w:u w:val="single"/>
                <w:lang w:val="en-US" w:eastAsia="zh-CN"/>
              </w:rPr>
              <w:t>15.15</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5.05</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2.02</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经</w:t>
            </w:r>
            <w:r>
              <w:rPr>
                <w:rFonts w:hint="default" w:ascii="Times New Roman" w:hAnsi="Times New Roman" w:eastAsia="宋体" w:cs="Times New Roman"/>
                <w:color w:val="auto"/>
                <w:sz w:val="24"/>
                <w:szCs w:val="24"/>
                <w:highlight w:val="none"/>
                <w:u w:val="single"/>
              </w:rPr>
              <w:t>吸附后非甲烷总烃、二甲苯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有组织排放量分别为</w:t>
            </w:r>
            <w:r>
              <w:rPr>
                <w:rFonts w:hint="eastAsia" w:cs="Times New Roman"/>
                <w:color w:val="auto"/>
                <w:sz w:val="24"/>
                <w:szCs w:val="24"/>
                <w:highlight w:val="none"/>
                <w:u w:val="single"/>
                <w:lang w:val="en-US" w:eastAsia="zh-CN"/>
              </w:rPr>
              <w:t>0.217</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0.0274</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072</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(0.0</w:t>
            </w:r>
            <w:r>
              <w:rPr>
                <w:rFonts w:hint="eastAsia" w:cs="Times New Roman"/>
                <w:color w:val="auto"/>
                <w:sz w:val="24"/>
                <w:szCs w:val="24"/>
                <w:highlight w:val="none"/>
                <w:u w:val="single"/>
                <w:lang w:val="en-US" w:eastAsia="zh-CN"/>
              </w:rPr>
              <w:t>091</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029</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0.0037</w:t>
            </w:r>
            <w:r>
              <w:rPr>
                <w:rFonts w:hint="default" w:ascii="Times New Roman" w:hAnsi="Times New Roman" w:cs="Times New Roman"/>
                <w:color w:val="auto"/>
                <w:sz w:val="24"/>
                <w:szCs w:val="24"/>
                <w:highlight w:val="none"/>
                <w:u w:val="single"/>
                <w:lang w:val="en-US" w:eastAsia="zh-CN"/>
              </w:rPr>
              <w:t>kg/h)</w:t>
            </w:r>
            <w:r>
              <w:rPr>
                <w:rFonts w:hint="default" w:ascii="Times New Roman" w:hAnsi="Times New Roman" w:eastAsia="宋体" w:cs="Times New Roman"/>
                <w:color w:val="auto"/>
                <w:sz w:val="24"/>
                <w:szCs w:val="24"/>
                <w:highlight w:val="none"/>
                <w:u w:val="single"/>
              </w:rPr>
              <w:t>。经核算</w:t>
            </w:r>
            <w:r>
              <w:rPr>
                <w:rFonts w:hint="eastAsia" w:cs="Times New Roman"/>
                <w:color w:val="auto"/>
                <w:sz w:val="24"/>
                <w:szCs w:val="24"/>
                <w:highlight w:val="none"/>
                <w:u w:val="single"/>
                <w:lang w:val="en-US" w:eastAsia="zh-CN"/>
              </w:rPr>
              <w:t>非</w:t>
            </w:r>
            <w:r>
              <w:rPr>
                <w:rFonts w:hint="default" w:ascii="Times New Roman" w:hAnsi="Times New Roman" w:eastAsia="宋体" w:cs="Times New Roman"/>
                <w:color w:val="auto"/>
                <w:sz w:val="24"/>
                <w:szCs w:val="24"/>
                <w:highlight w:val="none"/>
                <w:u w:val="single"/>
              </w:rPr>
              <w:t>甲烷总烃、二甲苯</w:t>
            </w:r>
            <w:r>
              <w:rPr>
                <w:rFonts w:hint="eastAsia"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有组织排放浓度分别为</w:t>
            </w:r>
            <w:r>
              <w:rPr>
                <w:rFonts w:hint="eastAsia" w:cs="Times New Roman"/>
                <w:color w:val="auto"/>
                <w:sz w:val="24"/>
                <w:szCs w:val="24"/>
                <w:highlight w:val="none"/>
                <w:u w:val="single"/>
                <w:lang w:val="en-US" w:eastAsia="zh-CN"/>
              </w:rPr>
              <w:t>9.13</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3.03</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r>
              <w:rPr>
                <w:rFonts w:hint="eastAsia" w:cs="Times New Roman"/>
                <w:color w:val="auto"/>
                <w:sz w:val="24"/>
                <w:szCs w:val="24"/>
                <w:highlight w:val="none"/>
                <w:u w:val="single"/>
                <w:lang w:val="en-US" w:eastAsia="zh-CN"/>
              </w:rPr>
              <w:t>1.22</w:t>
            </w:r>
            <w:r>
              <w:rPr>
                <w:rFonts w:hint="default" w:ascii="Times New Roman" w:hAnsi="Times New Roman" w:eastAsia="宋体" w:cs="Times New Roman"/>
                <w:color w:val="auto"/>
                <w:sz w:val="24"/>
                <w:szCs w:val="24"/>
                <w:highlight w:val="none"/>
                <w:u w:val="single"/>
              </w:rPr>
              <w:t>mg/m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均可</w:t>
            </w:r>
            <w:r>
              <w:rPr>
                <w:rFonts w:hint="default" w:ascii="Times New Roman" w:hAnsi="Times New Roman" w:eastAsia="宋体" w:cs="Times New Roman"/>
                <w:color w:val="auto"/>
                <w:sz w:val="24"/>
                <w:szCs w:val="24"/>
                <w:highlight w:val="none"/>
                <w:u w:val="single"/>
              </w:rPr>
              <w:t>满足《大气污染物综合排放标准》</w:t>
            </w:r>
            <w:r>
              <w:rPr>
                <w:rFonts w:hint="default" w:ascii="Times New Roman" w:hAnsi="Times New Roman"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GB16297-1996</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表2</w:t>
            </w:r>
            <w:r>
              <w:rPr>
                <w:rFonts w:hint="default" w:ascii="Times New Roman" w:hAnsi="Times New Roman" w:eastAsia="宋体" w:cs="Times New Roman"/>
                <w:color w:val="auto"/>
                <w:sz w:val="24"/>
                <w:szCs w:val="24"/>
                <w:highlight w:val="none"/>
                <w:u w:val="single"/>
                <w:lang w:val="en-US" w:eastAsia="zh-CN"/>
              </w:rPr>
              <w:t>中</w:t>
            </w:r>
            <w:r>
              <w:rPr>
                <w:rFonts w:hint="default" w:ascii="Times New Roman" w:hAnsi="Times New Roman" w:eastAsia="宋体" w:cs="Times New Roman"/>
                <w:color w:val="auto"/>
                <w:sz w:val="24"/>
                <w:szCs w:val="24"/>
                <w:highlight w:val="none"/>
                <w:u w:val="single"/>
              </w:rPr>
              <w:t>二级标准要求。</w:t>
            </w:r>
          </w:p>
          <w:p w14:paraId="7209C01D">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szCs w:val="24"/>
                <w:highlight w:val="none"/>
                <w:u w:val="single"/>
                <w:lang w:eastAsia="zh-CN"/>
              </w:rPr>
            </w:pPr>
            <w:r>
              <w:rPr>
                <w:rFonts w:hint="default" w:ascii="Times New Roman" w:hAnsi="Times New Roman" w:eastAsia="宋体" w:cs="Times New Roman"/>
                <w:color w:val="auto"/>
                <w:sz w:val="24"/>
                <w:szCs w:val="24"/>
                <w:highlight w:val="none"/>
                <w:u w:val="single"/>
              </w:rPr>
              <w:t>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eastAsia="宋体" w:cs="Times New Roman"/>
                <w:color w:val="auto"/>
                <w:sz w:val="24"/>
                <w:szCs w:val="24"/>
                <w:highlight w:val="none"/>
                <w:u w:val="single"/>
              </w:rPr>
              <w:t>无组织排放量分别为</w:t>
            </w:r>
            <w:r>
              <w:rPr>
                <w:rFonts w:hint="eastAsia" w:cs="Times New Roman"/>
                <w:color w:val="auto"/>
                <w:sz w:val="24"/>
                <w:szCs w:val="24"/>
                <w:highlight w:val="none"/>
                <w:u w:val="single"/>
                <w:lang w:val="en-US" w:eastAsia="zh-CN"/>
              </w:rPr>
              <w:t>0.036</w:t>
            </w:r>
            <w:r>
              <w:rPr>
                <w:rFonts w:hint="default" w:ascii="Times New Roman" w:hAnsi="Times New Roman" w:eastAsia="宋体" w:cs="Times New Roman"/>
                <w:color w:val="auto"/>
                <w:sz w:val="24"/>
                <w:szCs w:val="24"/>
                <w:highlight w:val="none"/>
                <w:u w:val="single"/>
              </w:rPr>
              <w:t>t/a、0.</w:t>
            </w:r>
            <w:r>
              <w:rPr>
                <w:rFonts w:hint="default" w:ascii="Times New Roman" w:hAnsi="Times New Roman" w:eastAsia="宋体"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0.</w:t>
            </w:r>
            <w:r>
              <w:rPr>
                <w:rFonts w:hint="default" w:ascii="Times New Roman" w:hAnsi="Times New Roman" w:eastAsia="宋体" w:cs="Times New Roman"/>
                <w:color w:val="auto"/>
                <w:sz w:val="24"/>
                <w:szCs w:val="24"/>
                <w:highlight w:val="none"/>
                <w:u w:val="single"/>
                <w:lang w:val="en-US" w:eastAsia="zh-CN"/>
              </w:rPr>
              <w:t>0</w:t>
            </w:r>
            <w:r>
              <w:rPr>
                <w:rFonts w:hint="eastAsia" w:cs="Times New Roman"/>
                <w:color w:val="auto"/>
                <w:sz w:val="24"/>
                <w:szCs w:val="24"/>
                <w:highlight w:val="none"/>
                <w:u w:val="single"/>
                <w:lang w:val="en-US" w:eastAsia="zh-CN"/>
              </w:rPr>
              <w:t>05</w:t>
            </w:r>
            <w:r>
              <w:rPr>
                <w:rFonts w:hint="default" w:ascii="Times New Roman" w:hAnsi="Times New Roman" w:eastAsia="宋体"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eastAsia="zh-CN"/>
              </w:rPr>
              <w:t>。</w:t>
            </w:r>
          </w:p>
          <w:p w14:paraId="6CA8FB10">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w:t>
            </w:r>
            <w:r>
              <w:rPr>
                <w:rFonts w:hint="default" w:ascii="Times New Roman" w:hAnsi="Times New Roman" w:cs="Times New Roman"/>
                <w:b/>
                <w:bCs/>
                <w:color w:val="auto"/>
                <w:sz w:val="24"/>
                <w:szCs w:val="24"/>
                <w:highlight w:val="none"/>
                <w:u w:val="single"/>
                <w:lang w:val="en-US" w:eastAsia="zh-CN"/>
              </w:rPr>
              <w:t>4</w:t>
            </w:r>
            <w:r>
              <w:rPr>
                <w:rFonts w:hint="eastAsia" w:ascii="Times New Roman" w:hAnsi="Times New Roman" w:cs="Times New Roman"/>
                <w:b/>
                <w:bCs/>
                <w:color w:val="auto"/>
                <w:sz w:val="24"/>
                <w:szCs w:val="24"/>
                <w:highlight w:val="none"/>
                <w:u w:val="single"/>
                <w:lang w:val="en-US" w:eastAsia="zh-CN"/>
              </w:rPr>
              <w:t>）</w:t>
            </w:r>
            <w:r>
              <w:rPr>
                <w:rFonts w:hint="default" w:ascii="Times New Roman" w:hAnsi="Times New Roman" w:cs="Times New Roman"/>
                <w:b/>
                <w:bCs/>
                <w:color w:val="auto"/>
                <w:sz w:val="24"/>
                <w:szCs w:val="24"/>
                <w:highlight w:val="none"/>
                <w:u w:val="single"/>
                <w:lang w:val="en-US" w:eastAsia="zh-CN"/>
              </w:rPr>
              <w:t>无组织废气达标排放情况</w:t>
            </w:r>
          </w:p>
          <w:p w14:paraId="2ED6787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根据前文核算结果，本项目生产车间</w:t>
            </w:r>
            <w:r>
              <w:rPr>
                <w:rFonts w:hint="default" w:ascii="Times New Roman" w:hAnsi="Times New Roman" w:eastAsia="宋体" w:cs="Times New Roman"/>
                <w:color w:val="auto"/>
                <w:sz w:val="24"/>
                <w:szCs w:val="24"/>
                <w:highlight w:val="none"/>
                <w:u w:val="single"/>
              </w:rPr>
              <w:t>非甲烷总烃、二甲苯</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甲苯</w:t>
            </w:r>
            <w:r>
              <w:rPr>
                <w:rFonts w:hint="default" w:ascii="Times New Roman" w:hAnsi="Times New Roman" w:cs="Times New Roman"/>
                <w:color w:val="auto"/>
                <w:sz w:val="24"/>
                <w:szCs w:val="24"/>
                <w:highlight w:val="none"/>
                <w:u w:val="single"/>
                <w:lang w:val="en-US" w:eastAsia="zh-CN"/>
              </w:rPr>
              <w:t>无组织排放速率合计分别为0.0</w:t>
            </w:r>
            <w:r>
              <w:rPr>
                <w:rFonts w:hint="eastAsia" w:cs="Times New Roman"/>
                <w:color w:val="auto"/>
                <w:sz w:val="24"/>
                <w:szCs w:val="24"/>
                <w:highlight w:val="none"/>
                <w:u w:val="single"/>
                <w:lang w:val="en-US" w:eastAsia="zh-CN"/>
              </w:rPr>
              <w:t>045</w:t>
            </w:r>
            <w:r>
              <w:rPr>
                <w:rFonts w:hint="default" w:ascii="Times New Roman" w:hAnsi="Times New Roman" w:cs="Times New Roman"/>
                <w:color w:val="auto"/>
                <w:sz w:val="24"/>
                <w:szCs w:val="24"/>
                <w:highlight w:val="none"/>
                <w:u w:val="single"/>
                <w:lang w:val="en-US" w:eastAsia="zh-CN"/>
              </w:rPr>
              <w:t>kg/h、0.0</w:t>
            </w:r>
            <w:r>
              <w:rPr>
                <w:rFonts w:hint="eastAsia" w:cs="Times New Roman"/>
                <w:color w:val="auto"/>
                <w:sz w:val="24"/>
                <w:szCs w:val="24"/>
                <w:highlight w:val="none"/>
                <w:u w:val="single"/>
                <w:lang w:val="en-US" w:eastAsia="zh-CN"/>
              </w:rPr>
              <w:t>015</w:t>
            </w:r>
            <w:r>
              <w:rPr>
                <w:rFonts w:hint="default" w:ascii="Times New Roman" w:hAnsi="Times New Roman" w:cs="Times New Roman"/>
                <w:color w:val="auto"/>
                <w:sz w:val="24"/>
                <w:szCs w:val="24"/>
                <w:highlight w:val="none"/>
                <w:u w:val="single"/>
                <w:lang w:val="en-US" w:eastAsia="zh-CN"/>
              </w:rPr>
              <w:t>kg/h、0.0</w:t>
            </w:r>
            <w:r>
              <w:rPr>
                <w:rFonts w:hint="eastAsia" w:cs="Times New Roman"/>
                <w:color w:val="auto"/>
                <w:sz w:val="24"/>
                <w:szCs w:val="24"/>
                <w:highlight w:val="none"/>
                <w:u w:val="single"/>
                <w:lang w:val="en-US" w:eastAsia="zh-CN"/>
              </w:rPr>
              <w:t>006</w:t>
            </w:r>
            <w:r>
              <w:rPr>
                <w:rFonts w:hint="default" w:ascii="Times New Roman" w:hAnsi="Times New Roman" w:cs="Times New Roman"/>
                <w:color w:val="auto"/>
                <w:sz w:val="24"/>
                <w:szCs w:val="24"/>
                <w:highlight w:val="none"/>
                <w:u w:val="single"/>
                <w:lang w:val="en-US" w:eastAsia="zh-CN"/>
              </w:rPr>
              <w:t>kg/h。</w:t>
            </w:r>
          </w:p>
          <w:p w14:paraId="6C4702F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根据AERSCREEN模式估算结果，本项目无组织污染源排放的颗粒物厂界浓度约为0.088mg/m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，非甲烷总烃</w:t>
            </w:r>
            <w:r>
              <w:rPr>
                <w:rFonts w:hint="default" w:ascii="Times New Roman" w:hAnsi="Times New Roman" w:cs="Times New Roman"/>
                <w:color w:val="auto"/>
                <w:sz w:val="24"/>
                <w:szCs w:val="24"/>
                <w:highlight w:val="none"/>
                <w:u w:val="single"/>
                <w:lang w:val="en-US" w:eastAsia="zh-CN"/>
              </w:rPr>
              <w:t>约为0.069mg/m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，二甲苯</w:t>
            </w:r>
            <w:r>
              <w:rPr>
                <w:rFonts w:hint="default" w:ascii="Times New Roman" w:hAnsi="Times New Roman" w:cs="Times New Roman"/>
                <w:color w:val="auto"/>
                <w:sz w:val="24"/>
                <w:szCs w:val="24"/>
                <w:highlight w:val="none"/>
                <w:u w:val="single"/>
                <w:lang w:val="en-US" w:eastAsia="zh-CN"/>
              </w:rPr>
              <w:t>约为0.013mg/m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，甲苯</w:t>
            </w:r>
            <w:r>
              <w:rPr>
                <w:rFonts w:hint="default" w:ascii="Times New Roman" w:hAnsi="Times New Roman" w:cs="Times New Roman"/>
                <w:color w:val="auto"/>
                <w:sz w:val="24"/>
                <w:szCs w:val="24"/>
                <w:highlight w:val="none"/>
                <w:u w:val="single"/>
                <w:lang w:val="en-US" w:eastAsia="zh-CN"/>
              </w:rPr>
              <w:t>约为0.0</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lang w:val="en-US" w:eastAsia="zh-CN"/>
              </w:rPr>
              <w:t>3mg/m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w:t>
            </w:r>
            <w:r>
              <w:rPr>
                <w:rFonts w:hint="default" w:ascii="Times New Roman" w:hAnsi="Times New Roman" w:eastAsia="宋体" w:cs="Times New Roman"/>
                <w:color w:val="auto"/>
                <w:sz w:val="24"/>
                <w:szCs w:val="24"/>
                <w:highlight w:val="none"/>
                <w:u w:val="single"/>
              </w:rPr>
              <w:t>满足《大气污染物综合排放标准》</w:t>
            </w:r>
            <w:r>
              <w:rPr>
                <w:rFonts w:hint="default" w:ascii="Times New Roman" w:hAnsi="Times New Roman"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GB16297-1996</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表2中无组织排放限值要求</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lang w:val="en-US" w:eastAsia="zh-CN"/>
              </w:rPr>
              <w:t>非甲烷总烃厂内最大浓度约为0.075mg/m</w:t>
            </w:r>
            <w:r>
              <w:rPr>
                <w:rFonts w:hint="default" w:ascii="Times New Roman" w:hAnsi="Times New Roman" w:cs="Times New Roman"/>
                <w:color w:val="auto"/>
                <w:sz w:val="24"/>
                <w:szCs w:val="24"/>
                <w:highlight w:val="none"/>
                <w:u w:val="single"/>
                <w:vertAlign w:val="superscript"/>
                <w:lang w:val="en-US" w:eastAsia="zh-CN"/>
              </w:rPr>
              <w:t>3</w:t>
            </w:r>
            <w:r>
              <w:rPr>
                <w:rFonts w:hint="default" w:ascii="Times New Roman" w:hAnsi="Times New Roman" w:cs="Times New Roman"/>
                <w:color w:val="auto"/>
                <w:sz w:val="24"/>
                <w:szCs w:val="24"/>
                <w:highlight w:val="none"/>
                <w:u w:val="single"/>
                <w:vertAlign w:val="baseline"/>
                <w:lang w:val="en-US" w:eastAsia="zh-CN"/>
              </w:rPr>
              <w:t>，可满足</w:t>
            </w:r>
            <w:r>
              <w:rPr>
                <w:rFonts w:hint="default"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fldChar w:fldCharType="begin"/>
            </w:r>
            <w:r>
              <w:rPr>
                <w:rFonts w:hint="default" w:ascii="Times New Roman" w:hAnsi="Times New Roman" w:cs="Times New Roman"/>
                <w:color w:val="auto"/>
                <w:sz w:val="24"/>
                <w:szCs w:val="24"/>
                <w:highlight w:val="none"/>
                <w:u w:val="single"/>
                <w:lang w:val="en-US" w:eastAsia="zh-CN"/>
              </w:rPr>
              <w:instrText xml:space="preserve"> HYPERLINK "https://www.mee.gov.cn/ywgz/fgbz/bz/bzwb/dqhjbh/dqgdwrywrwpfbz/201906/W020190606587693632696.pdf" </w:instrText>
            </w:r>
            <w:r>
              <w:rPr>
                <w:rFonts w:hint="default" w:ascii="Times New Roman" w:hAnsi="Times New Roman" w:cs="Times New Roman"/>
                <w:color w:val="auto"/>
                <w:sz w:val="24"/>
                <w:szCs w:val="24"/>
                <w:highlight w:val="none"/>
                <w:u w:val="single"/>
                <w:lang w:val="en-US" w:eastAsia="zh-CN"/>
              </w:rPr>
              <w:fldChar w:fldCharType="separate"/>
            </w:r>
            <w:r>
              <w:rPr>
                <w:rFonts w:hint="default" w:ascii="Times New Roman" w:hAnsi="Times New Roman" w:cs="Times New Roman"/>
                <w:color w:val="auto"/>
                <w:sz w:val="24"/>
                <w:szCs w:val="24"/>
                <w:highlight w:val="none"/>
                <w:u w:val="single"/>
                <w:lang w:val="en-US" w:eastAsia="zh-CN"/>
              </w:rPr>
              <w:t>挥发性有机物无组织排放控制标准</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t>GB37822-2019</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fldChar w:fldCharType="end"/>
            </w:r>
            <w:r>
              <w:rPr>
                <w:rFonts w:hint="default" w:ascii="Times New Roman" w:hAnsi="Times New Roman" w:cs="Times New Roman"/>
                <w:color w:val="auto"/>
                <w:sz w:val="24"/>
                <w:szCs w:val="24"/>
                <w:highlight w:val="none"/>
                <w:u w:val="single"/>
                <w:lang w:val="en-US" w:eastAsia="zh-CN"/>
              </w:rPr>
              <w:t>》附录A厂区内VOCs无组织排放限值。</w:t>
            </w:r>
          </w:p>
          <w:p w14:paraId="05E0731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）污染物排放量核算</w:t>
            </w:r>
          </w:p>
          <w:p w14:paraId="386C3870">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①有组织排放量核算</w:t>
            </w:r>
          </w:p>
          <w:p w14:paraId="50FC8CCC">
            <w:pPr>
              <w:pStyle w:val="2"/>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highlight w:val="none"/>
                <w:u w:val="none" w:color="auto"/>
              </w:rPr>
              <w:t>表4-</w:t>
            </w:r>
            <w:r>
              <w:rPr>
                <w:rFonts w:hint="eastAsia" w:ascii="Times New Roman" w:hAnsi="Times New Roman" w:eastAsia="宋体" w:cs="Times New Roman"/>
                <w:b/>
                <w:bCs/>
                <w:color w:val="auto"/>
                <w:sz w:val="24"/>
                <w:highlight w:val="none"/>
                <w:u w:val="none" w:color="auto"/>
                <w:lang w:val="en-US" w:eastAsia="zh-CN"/>
              </w:rPr>
              <w:t>5</w:t>
            </w:r>
            <w:r>
              <w:rPr>
                <w:rFonts w:hint="default" w:ascii="Times New Roman" w:hAnsi="Times New Roman" w:eastAsia="宋体" w:cs="Times New Roman"/>
                <w:b/>
                <w:bCs/>
                <w:color w:val="auto"/>
                <w:sz w:val="24"/>
                <w:highlight w:val="none"/>
                <w:u w:val="none" w:color="auto"/>
              </w:rPr>
              <w:t>大气污染物有组织排放量核算表</w:t>
            </w:r>
          </w:p>
          <w:tbl>
            <w:tblPr>
              <w:tblStyle w:val="4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670"/>
              <w:gridCol w:w="1542"/>
              <w:gridCol w:w="1395"/>
              <w:gridCol w:w="1464"/>
              <w:gridCol w:w="1543"/>
            </w:tblGrid>
            <w:tr w14:paraId="740D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14:paraId="07501A2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1023" w:type="pct"/>
                  <w:vAlign w:val="center"/>
                </w:tcPr>
                <w:p w14:paraId="54A9666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排放口编号</w:t>
                  </w:r>
                </w:p>
              </w:tc>
              <w:tc>
                <w:tcPr>
                  <w:tcW w:w="945" w:type="pct"/>
                  <w:vAlign w:val="center"/>
                </w:tcPr>
                <w:p w14:paraId="5722D70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污染物</w:t>
                  </w:r>
                </w:p>
              </w:tc>
              <w:tc>
                <w:tcPr>
                  <w:tcW w:w="855" w:type="pct"/>
                  <w:vAlign w:val="center"/>
                </w:tcPr>
                <w:p w14:paraId="369AF33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核算排放浓度/(mg/m</w:t>
                  </w:r>
                  <w:r>
                    <w:rPr>
                      <w:rFonts w:hint="default" w:ascii="Times New Roman" w:hAnsi="Times New Roman" w:eastAsia="宋体" w:cs="Times New Roman"/>
                      <w:color w:val="auto"/>
                      <w:kern w:val="0"/>
                      <w:sz w:val="21"/>
                      <w:szCs w:val="21"/>
                      <w:highlight w:val="none"/>
                      <w:u w:val="none"/>
                      <w:vertAlign w:val="superscript"/>
                    </w:rPr>
                    <w:t>3</w:t>
                  </w:r>
                  <w:r>
                    <w:rPr>
                      <w:rFonts w:hint="default" w:ascii="Times New Roman" w:hAnsi="Times New Roman" w:eastAsia="宋体" w:cs="Times New Roman"/>
                      <w:color w:val="auto"/>
                      <w:kern w:val="0"/>
                      <w:sz w:val="21"/>
                      <w:szCs w:val="21"/>
                      <w:highlight w:val="none"/>
                      <w:u w:val="none"/>
                    </w:rPr>
                    <w:t>)</w:t>
                  </w:r>
                </w:p>
              </w:tc>
              <w:tc>
                <w:tcPr>
                  <w:tcW w:w="897" w:type="pct"/>
                  <w:vAlign w:val="center"/>
                </w:tcPr>
                <w:p w14:paraId="0BAB29A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核算排放速率/(kg/h)</w:t>
                  </w:r>
                </w:p>
              </w:tc>
              <w:tc>
                <w:tcPr>
                  <w:tcW w:w="945" w:type="pct"/>
                  <w:vAlign w:val="center"/>
                </w:tcPr>
                <w:p w14:paraId="090E387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核算年排放量/(t/a)</w:t>
                  </w:r>
                </w:p>
              </w:tc>
            </w:tr>
            <w:tr w14:paraId="4F19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restart"/>
                  <w:vAlign w:val="center"/>
                </w:tcPr>
                <w:p w14:paraId="1B1AF1C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3</w:t>
                  </w:r>
                </w:p>
              </w:tc>
              <w:tc>
                <w:tcPr>
                  <w:tcW w:w="1023" w:type="pct"/>
                  <w:vMerge w:val="restart"/>
                  <w:vAlign w:val="center"/>
                </w:tcPr>
                <w:p w14:paraId="0C68703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DA001</w:t>
                  </w:r>
                </w:p>
              </w:tc>
              <w:tc>
                <w:tcPr>
                  <w:tcW w:w="1542" w:type="dxa"/>
                  <w:vAlign w:val="center"/>
                </w:tcPr>
                <w:p w14:paraId="01C7DCB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1395" w:type="dxa"/>
                  <w:vAlign w:val="center"/>
                </w:tcPr>
                <w:p w14:paraId="494AEB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15.15</w:t>
                  </w:r>
                </w:p>
              </w:tc>
              <w:tc>
                <w:tcPr>
                  <w:tcW w:w="1464" w:type="dxa"/>
                  <w:vAlign w:val="center"/>
                </w:tcPr>
                <w:p w14:paraId="464E98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0.0274</w:t>
                  </w:r>
                </w:p>
              </w:tc>
              <w:tc>
                <w:tcPr>
                  <w:tcW w:w="1543" w:type="dxa"/>
                  <w:vAlign w:val="center"/>
                </w:tcPr>
                <w:p w14:paraId="32B966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0.217</w:t>
                  </w:r>
                </w:p>
              </w:tc>
            </w:tr>
            <w:tr w14:paraId="2A14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14:paraId="1B9BA90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023" w:type="pct"/>
                  <w:vMerge w:val="continue"/>
                  <w:vAlign w:val="center"/>
                </w:tcPr>
                <w:p w14:paraId="53C2B9AF">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p>
              </w:tc>
              <w:tc>
                <w:tcPr>
                  <w:tcW w:w="1542" w:type="dxa"/>
                  <w:vAlign w:val="center"/>
                </w:tcPr>
                <w:p w14:paraId="6CBE4B1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1395" w:type="dxa"/>
                  <w:vAlign w:val="center"/>
                </w:tcPr>
                <w:p w14:paraId="750392A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5.05</w:t>
                  </w:r>
                </w:p>
              </w:tc>
              <w:tc>
                <w:tcPr>
                  <w:tcW w:w="1464" w:type="dxa"/>
                  <w:vAlign w:val="center"/>
                </w:tcPr>
                <w:p w14:paraId="3DBDD07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0.0091</w:t>
                  </w:r>
                </w:p>
              </w:tc>
              <w:tc>
                <w:tcPr>
                  <w:tcW w:w="1543" w:type="dxa"/>
                  <w:vAlign w:val="center"/>
                </w:tcPr>
                <w:p w14:paraId="05DBCF1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0.072</w:t>
                  </w:r>
                </w:p>
              </w:tc>
            </w:tr>
            <w:tr w14:paraId="22A9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14:paraId="06ED42B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023" w:type="pct"/>
                  <w:vMerge w:val="continue"/>
                  <w:vAlign w:val="center"/>
                </w:tcPr>
                <w:p w14:paraId="398F6B7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p>
              </w:tc>
              <w:tc>
                <w:tcPr>
                  <w:tcW w:w="1542" w:type="dxa"/>
                  <w:vAlign w:val="center"/>
                </w:tcPr>
                <w:p w14:paraId="2D47A25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1395" w:type="dxa"/>
                  <w:vAlign w:val="center"/>
                </w:tcPr>
                <w:p w14:paraId="58438F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2.02</w:t>
                  </w:r>
                </w:p>
              </w:tc>
              <w:tc>
                <w:tcPr>
                  <w:tcW w:w="1464" w:type="dxa"/>
                  <w:vAlign w:val="center"/>
                </w:tcPr>
                <w:p w14:paraId="140AE5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0.0037</w:t>
                  </w:r>
                </w:p>
              </w:tc>
              <w:tc>
                <w:tcPr>
                  <w:tcW w:w="1543" w:type="dxa"/>
                  <w:vAlign w:val="center"/>
                </w:tcPr>
                <w:p w14:paraId="5FA011F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0.029</w:t>
                  </w:r>
                </w:p>
              </w:tc>
            </w:tr>
            <w:tr w14:paraId="0E4A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restart"/>
                  <w:vAlign w:val="center"/>
                </w:tcPr>
                <w:p w14:paraId="2CB7898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一般排放口合计</w:t>
                  </w:r>
                </w:p>
              </w:tc>
              <w:tc>
                <w:tcPr>
                  <w:tcW w:w="4401" w:type="dxa"/>
                  <w:gridSpan w:val="3"/>
                  <w:vAlign w:val="center"/>
                </w:tcPr>
                <w:p w14:paraId="34AFF92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1543" w:type="dxa"/>
                  <w:vAlign w:val="center"/>
                </w:tcPr>
                <w:p w14:paraId="00BEB7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0.217</w:t>
                  </w:r>
                </w:p>
              </w:tc>
            </w:tr>
            <w:tr w14:paraId="60AD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3B4D7B1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4401" w:type="dxa"/>
                  <w:gridSpan w:val="3"/>
                  <w:vAlign w:val="center"/>
                </w:tcPr>
                <w:p w14:paraId="4606160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1543" w:type="dxa"/>
                  <w:vAlign w:val="center"/>
                </w:tcPr>
                <w:p w14:paraId="3BD00B3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0.072</w:t>
                  </w:r>
                </w:p>
              </w:tc>
            </w:tr>
            <w:tr w14:paraId="3C82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5C45230A">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p>
              </w:tc>
              <w:tc>
                <w:tcPr>
                  <w:tcW w:w="4401" w:type="dxa"/>
                  <w:gridSpan w:val="3"/>
                  <w:vAlign w:val="center"/>
                </w:tcPr>
                <w:p w14:paraId="11B962C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1543" w:type="dxa"/>
                  <w:vAlign w:val="center"/>
                </w:tcPr>
                <w:p w14:paraId="3D10648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0.029</w:t>
                  </w:r>
                </w:p>
              </w:tc>
            </w:tr>
          </w:tbl>
          <w:p w14:paraId="3AD66679">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highlight w:val="none"/>
                <w:u w:val="none" w:color="auto"/>
                <w:lang w:eastAsia="zh-CN"/>
              </w:rPr>
            </w:pPr>
            <w:r>
              <w:rPr>
                <w:rFonts w:hint="default" w:ascii="Times New Roman" w:hAnsi="Times New Roman" w:cs="Times New Roman"/>
                <w:color w:val="auto"/>
                <w:sz w:val="24"/>
                <w:highlight w:val="none"/>
                <w:u w:val="none" w:color="auto"/>
                <w:lang w:eastAsia="zh-CN"/>
              </w:rPr>
              <w:t>②项目</w:t>
            </w:r>
            <w:r>
              <w:rPr>
                <w:rFonts w:hint="default" w:ascii="Times New Roman" w:hAnsi="Times New Roman" w:cs="Times New Roman"/>
                <w:color w:val="auto"/>
                <w:sz w:val="24"/>
                <w:highlight w:val="none"/>
                <w:u w:val="none" w:color="auto"/>
              </w:rPr>
              <w:t>无组织排放量核算</w:t>
            </w:r>
            <w:r>
              <w:rPr>
                <w:rFonts w:hint="default" w:ascii="Times New Roman" w:hAnsi="Times New Roman" w:cs="Times New Roman"/>
                <w:color w:val="auto"/>
                <w:sz w:val="24"/>
                <w:highlight w:val="none"/>
                <w:u w:val="none" w:color="auto"/>
                <w:lang w:eastAsia="zh-CN"/>
              </w:rPr>
              <w:t>见下表。</w:t>
            </w:r>
          </w:p>
          <w:p w14:paraId="791BB5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u w:val="none" w:color="auto"/>
              </w:rPr>
            </w:pPr>
            <w:r>
              <w:rPr>
                <w:rFonts w:hint="default" w:ascii="Times New Roman" w:hAnsi="Times New Roman" w:cs="Times New Roman"/>
                <w:b/>
                <w:bCs/>
                <w:color w:val="auto"/>
                <w:sz w:val="24"/>
                <w:highlight w:val="none"/>
                <w:u w:val="none" w:color="auto"/>
              </w:rPr>
              <w:t>表4-</w:t>
            </w:r>
            <w:r>
              <w:rPr>
                <w:rFonts w:hint="eastAsia" w:ascii="Times New Roman" w:hAnsi="Times New Roman" w:cs="Times New Roman"/>
                <w:b/>
                <w:bCs/>
                <w:color w:val="auto"/>
                <w:sz w:val="24"/>
                <w:highlight w:val="none"/>
                <w:u w:val="none" w:color="auto"/>
                <w:lang w:val="en-US" w:eastAsia="zh-CN"/>
              </w:rPr>
              <w:t>6</w:t>
            </w:r>
            <w:r>
              <w:rPr>
                <w:rFonts w:hint="default" w:ascii="Times New Roman" w:hAnsi="Times New Roman" w:cs="Times New Roman"/>
                <w:b/>
                <w:bCs/>
                <w:color w:val="auto"/>
                <w:sz w:val="24"/>
                <w:highlight w:val="none"/>
                <w:u w:val="none" w:color="auto"/>
              </w:rPr>
              <w:t>大气污染物无组织排放量核算表</w:t>
            </w:r>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8"/>
              <w:gridCol w:w="950"/>
              <w:gridCol w:w="1141"/>
              <w:gridCol w:w="941"/>
              <w:gridCol w:w="2585"/>
              <w:gridCol w:w="1231"/>
              <w:gridCol w:w="841"/>
            </w:tblGrid>
            <w:tr w14:paraId="51964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restart"/>
                  <w:vAlign w:val="center"/>
                </w:tcPr>
                <w:p w14:paraId="75346B9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583" w:type="pct"/>
                  <w:vMerge w:val="restart"/>
                  <w:vAlign w:val="center"/>
                </w:tcPr>
                <w:p w14:paraId="355F38B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产污环节</w:t>
                  </w:r>
                </w:p>
              </w:tc>
              <w:tc>
                <w:tcPr>
                  <w:tcW w:w="700" w:type="pct"/>
                  <w:vMerge w:val="restart"/>
                  <w:vAlign w:val="center"/>
                </w:tcPr>
                <w:p w14:paraId="7D7B844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污染物</w:t>
                  </w:r>
                </w:p>
              </w:tc>
              <w:tc>
                <w:tcPr>
                  <w:tcW w:w="577" w:type="pct"/>
                  <w:vMerge w:val="restart"/>
                  <w:vAlign w:val="center"/>
                </w:tcPr>
                <w:p w14:paraId="539AF28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主要污染防治措施</w:t>
                  </w:r>
                </w:p>
              </w:tc>
              <w:tc>
                <w:tcPr>
                  <w:tcW w:w="2341" w:type="pct"/>
                  <w:gridSpan w:val="2"/>
                  <w:vAlign w:val="center"/>
                </w:tcPr>
                <w:p w14:paraId="6558B70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污染物排放标准</w:t>
                  </w:r>
                </w:p>
              </w:tc>
              <w:tc>
                <w:tcPr>
                  <w:tcW w:w="516" w:type="pct"/>
                  <w:vMerge w:val="restart"/>
                  <w:vAlign w:val="center"/>
                </w:tcPr>
                <w:p w14:paraId="29089DD8">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年排放量/(t/a)</w:t>
                  </w:r>
                </w:p>
              </w:tc>
            </w:tr>
            <w:tr w14:paraId="753E5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81" w:type="pct"/>
                  <w:vMerge w:val="continue"/>
                  <w:vAlign w:val="center"/>
                </w:tcPr>
                <w:p w14:paraId="0FF80BA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583" w:type="pct"/>
                  <w:vMerge w:val="continue"/>
                  <w:vAlign w:val="center"/>
                </w:tcPr>
                <w:p w14:paraId="1612158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00" w:type="pct"/>
                  <w:vMerge w:val="continue"/>
                  <w:vAlign w:val="center"/>
                </w:tcPr>
                <w:p w14:paraId="589D3E6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577" w:type="pct"/>
                  <w:vMerge w:val="continue"/>
                  <w:vAlign w:val="center"/>
                </w:tcPr>
                <w:p w14:paraId="3C999438">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1586" w:type="pct"/>
                  <w:vAlign w:val="center"/>
                </w:tcPr>
                <w:p w14:paraId="4CEB3DC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标准名称</w:t>
                  </w:r>
                </w:p>
              </w:tc>
              <w:tc>
                <w:tcPr>
                  <w:tcW w:w="755" w:type="pct"/>
                  <w:vAlign w:val="center"/>
                </w:tcPr>
                <w:p w14:paraId="020641C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lang w:val="en-US" w:eastAsia="zh-CN"/>
                    </w:rPr>
                    <w:t>厂界</w:t>
                  </w:r>
                  <w:r>
                    <w:rPr>
                      <w:rFonts w:hint="default" w:ascii="Times New Roman" w:hAnsi="Times New Roman" w:eastAsia="宋体" w:cs="Times New Roman"/>
                      <w:color w:val="auto"/>
                      <w:kern w:val="0"/>
                      <w:sz w:val="21"/>
                      <w:szCs w:val="21"/>
                      <w:highlight w:val="none"/>
                      <w:u w:val="none"/>
                    </w:rPr>
                    <w:t>浓度限值/(µg/m</w:t>
                  </w:r>
                  <w:r>
                    <w:rPr>
                      <w:rFonts w:hint="default" w:ascii="Times New Roman" w:hAnsi="Times New Roman" w:eastAsia="宋体" w:cs="Times New Roman"/>
                      <w:color w:val="auto"/>
                      <w:kern w:val="0"/>
                      <w:sz w:val="21"/>
                      <w:szCs w:val="21"/>
                      <w:highlight w:val="none"/>
                      <w:u w:val="none"/>
                      <w:vertAlign w:val="superscript"/>
                    </w:rPr>
                    <w:t>3</w:t>
                  </w:r>
                  <w:r>
                    <w:rPr>
                      <w:rFonts w:hint="default" w:ascii="Times New Roman" w:hAnsi="Times New Roman" w:eastAsia="宋体" w:cs="Times New Roman"/>
                      <w:color w:val="auto"/>
                      <w:kern w:val="0"/>
                      <w:sz w:val="21"/>
                      <w:szCs w:val="21"/>
                      <w:highlight w:val="none"/>
                      <w:u w:val="none"/>
                    </w:rPr>
                    <w:t>)</w:t>
                  </w:r>
                </w:p>
              </w:tc>
              <w:tc>
                <w:tcPr>
                  <w:tcW w:w="516" w:type="pct"/>
                  <w:vMerge w:val="continue"/>
                  <w:vAlign w:val="center"/>
                </w:tcPr>
                <w:p w14:paraId="4EA8558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r>
            <w:tr w14:paraId="54DFB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Align w:val="center"/>
                </w:tcPr>
                <w:p w14:paraId="6CE34D76">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1</w:t>
                  </w:r>
                </w:p>
              </w:tc>
              <w:tc>
                <w:tcPr>
                  <w:tcW w:w="583" w:type="pct"/>
                  <w:vAlign w:val="center"/>
                </w:tcPr>
                <w:p w14:paraId="7CFB48F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lang w:val="en-US" w:eastAsia="zh-CN"/>
                    </w:rPr>
                    <w:t>焊接烟尘</w:t>
                  </w:r>
                </w:p>
              </w:tc>
              <w:tc>
                <w:tcPr>
                  <w:tcW w:w="700" w:type="pct"/>
                  <w:vAlign w:val="center"/>
                </w:tcPr>
                <w:p w14:paraId="58BB2415">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颗粒物</w:t>
                  </w:r>
                </w:p>
              </w:tc>
              <w:tc>
                <w:tcPr>
                  <w:tcW w:w="577" w:type="pct"/>
                  <w:vMerge w:val="restart"/>
                  <w:vAlign w:val="center"/>
                </w:tcPr>
                <w:p w14:paraId="08DA935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车间密闭</w:t>
                  </w:r>
                  <w:r>
                    <w:rPr>
                      <w:rFonts w:hint="default" w:ascii="Times New Roman" w:hAnsi="Times New Roman" w:cs="Times New Roman"/>
                      <w:color w:val="auto"/>
                      <w:kern w:val="0"/>
                      <w:sz w:val="21"/>
                      <w:szCs w:val="21"/>
                      <w:highlight w:val="none"/>
                      <w:u w:val="none"/>
                      <w:lang w:val="en-US" w:eastAsia="zh-CN"/>
                    </w:rPr>
                    <w:t>，提升收集效率</w:t>
                  </w:r>
                </w:p>
              </w:tc>
              <w:tc>
                <w:tcPr>
                  <w:tcW w:w="1586" w:type="pct"/>
                  <w:vMerge w:val="restart"/>
                  <w:vAlign w:val="center"/>
                </w:tcPr>
                <w:p w14:paraId="6EB1E0A5">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rPr>
                  </w:pPr>
                  <w:r>
                    <w:rPr>
                      <w:rFonts w:hint="default" w:ascii="Times New Roman" w:hAnsi="Times New Roman" w:eastAsia="宋体" w:cs="Times New Roman"/>
                      <w:bCs/>
                      <w:color w:val="auto"/>
                      <w:szCs w:val="21"/>
                      <w:highlight w:val="none"/>
                      <w:u w:val="none"/>
                      <w:lang w:val="en-US" w:eastAsia="zh-CN"/>
                    </w:rPr>
                    <w:t>《大气污染物综合排放标准》(GB16297-1996</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eastAsia="宋体" w:cs="Times New Roman"/>
                      <w:bCs/>
                      <w:color w:val="auto"/>
                      <w:szCs w:val="21"/>
                      <w:highlight w:val="none"/>
                      <w:u w:val="none"/>
                      <w:lang w:val="en-US" w:eastAsia="zh-CN"/>
                    </w:rPr>
                    <w:t>表2无组织排放监控浓度限值及</w:t>
                  </w:r>
                  <w:r>
                    <w:rPr>
                      <w:rFonts w:hint="default" w:ascii="Times New Roman" w:hAnsi="Times New Roman" w:cs="Times New Roman"/>
                      <w:bCs/>
                      <w:color w:val="auto"/>
                      <w:szCs w:val="21"/>
                      <w:highlight w:val="none"/>
                      <w:u w:val="none"/>
                      <w:lang w:val="en-US" w:eastAsia="zh-CN"/>
                    </w:rPr>
                    <w:t>《挥发性有机物无组织排放控制标准</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cs="Times New Roman"/>
                      <w:bCs/>
                      <w:color w:val="auto"/>
                      <w:szCs w:val="21"/>
                      <w:highlight w:val="none"/>
                      <w:u w:val="none"/>
                      <w:lang w:val="en-US" w:eastAsia="zh-CN"/>
                    </w:rPr>
                    <w:t>GB37822-2019</w:t>
                  </w:r>
                  <w:r>
                    <w:rPr>
                      <w:rFonts w:hint="eastAsia" w:ascii="Times New Roman" w:hAnsi="Times New Roman" w:cs="Times New Roman"/>
                      <w:bCs/>
                      <w:color w:val="auto"/>
                      <w:szCs w:val="21"/>
                      <w:highlight w:val="none"/>
                      <w:u w:val="none"/>
                      <w:lang w:val="en-US" w:eastAsia="zh-CN"/>
                    </w:rPr>
                    <w:t>）</w:t>
                  </w:r>
                  <w:r>
                    <w:rPr>
                      <w:rFonts w:hint="default" w:ascii="Times New Roman" w:hAnsi="Times New Roman" w:cs="Times New Roman"/>
                      <w:bCs/>
                      <w:color w:val="auto"/>
                      <w:szCs w:val="21"/>
                      <w:highlight w:val="none"/>
                      <w:u w:val="none"/>
                      <w:lang w:val="en-US" w:eastAsia="zh-CN"/>
                    </w:rPr>
                    <w:t>》附录A厂区内VOCs无组织排放限值</w:t>
                  </w:r>
                </w:p>
              </w:tc>
              <w:tc>
                <w:tcPr>
                  <w:tcW w:w="755" w:type="pct"/>
                  <w:vAlign w:val="center"/>
                </w:tcPr>
                <w:p w14:paraId="7304E1A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0B8634B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rPr>
                  </w:pPr>
                  <w:r>
                    <w:rPr>
                      <w:rFonts w:hint="default" w:ascii="Times New Roman" w:hAnsi="Times New Roman" w:cs="Times New Roman"/>
                      <w:b w:val="0"/>
                      <w:bCs/>
                      <w:color w:val="auto"/>
                      <w:spacing w:val="0"/>
                      <w:w w:val="100"/>
                      <w:sz w:val="21"/>
                      <w:szCs w:val="21"/>
                      <w:highlight w:val="none"/>
                      <w:u w:val="none"/>
                      <w:lang w:val="en-US" w:eastAsia="zh-CN"/>
                    </w:rPr>
                    <w:t>0.0</w:t>
                  </w:r>
                  <w:r>
                    <w:rPr>
                      <w:rFonts w:hint="eastAsia" w:cs="Times New Roman"/>
                      <w:b w:val="0"/>
                      <w:bCs/>
                      <w:color w:val="auto"/>
                      <w:spacing w:val="0"/>
                      <w:w w:val="100"/>
                      <w:sz w:val="21"/>
                      <w:szCs w:val="21"/>
                      <w:highlight w:val="none"/>
                      <w:u w:val="none"/>
                      <w:lang w:val="en-US" w:eastAsia="zh-CN"/>
                    </w:rPr>
                    <w:t>108</w:t>
                  </w:r>
                </w:p>
              </w:tc>
            </w:tr>
            <w:tr w14:paraId="28A4F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shd w:val="clear" w:color="auto" w:fill="auto"/>
                  <w:vAlign w:val="center"/>
                </w:tcPr>
                <w:p w14:paraId="6F44525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kern w:val="0"/>
                      <w:sz w:val="21"/>
                      <w:szCs w:val="21"/>
                      <w:highlight w:val="none"/>
                      <w:u w:val="none"/>
                      <w:lang w:val="en-US" w:eastAsia="zh-CN"/>
                    </w:rPr>
                    <w:t>2</w:t>
                  </w:r>
                </w:p>
              </w:tc>
              <w:tc>
                <w:tcPr>
                  <w:tcW w:w="583" w:type="pct"/>
                  <w:vAlign w:val="center"/>
                </w:tcPr>
                <w:p w14:paraId="52F98C5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切割粉尘</w:t>
                  </w:r>
                </w:p>
              </w:tc>
              <w:tc>
                <w:tcPr>
                  <w:tcW w:w="700" w:type="pct"/>
                  <w:vAlign w:val="center"/>
                </w:tcPr>
                <w:p w14:paraId="0DC25E0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颗粒物</w:t>
                  </w:r>
                </w:p>
              </w:tc>
              <w:tc>
                <w:tcPr>
                  <w:tcW w:w="577" w:type="pct"/>
                  <w:vMerge w:val="continue"/>
                  <w:vAlign w:val="center"/>
                </w:tcPr>
                <w:p w14:paraId="4852D34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64391EC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bCs/>
                      <w:color w:val="auto"/>
                      <w:szCs w:val="21"/>
                      <w:highlight w:val="none"/>
                      <w:u w:val="none"/>
                      <w:lang w:val="en-US" w:eastAsia="zh-CN"/>
                    </w:rPr>
                  </w:pPr>
                </w:p>
              </w:tc>
              <w:tc>
                <w:tcPr>
                  <w:tcW w:w="755" w:type="pct"/>
                  <w:vAlign w:val="center"/>
                </w:tcPr>
                <w:p w14:paraId="114BBCF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550FB7B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0.0048</w:t>
                  </w:r>
                </w:p>
              </w:tc>
            </w:tr>
            <w:tr w14:paraId="6B65F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Align w:val="center"/>
                </w:tcPr>
                <w:p w14:paraId="0D053AC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3</w:t>
                  </w:r>
                </w:p>
              </w:tc>
              <w:tc>
                <w:tcPr>
                  <w:tcW w:w="583" w:type="pct"/>
                  <w:vAlign w:val="center"/>
                </w:tcPr>
                <w:p w14:paraId="77499216">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断木废气</w:t>
                  </w:r>
                </w:p>
              </w:tc>
              <w:tc>
                <w:tcPr>
                  <w:tcW w:w="700" w:type="pct"/>
                  <w:vAlign w:val="center"/>
                </w:tcPr>
                <w:p w14:paraId="2CFFF41E">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eastAsia="zh-CN"/>
                    </w:rPr>
                    <w:t>颗粒物</w:t>
                  </w:r>
                </w:p>
              </w:tc>
              <w:tc>
                <w:tcPr>
                  <w:tcW w:w="577" w:type="pct"/>
                  <w:vMerge w:val="continue"/>
                  <w:vAlign w:val="center"/>
                </w:tcPr>
                <w:p w14:paraId="528DC17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724267A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bCs/>
                      <w:color w:val="auto"/>
                      <w:szCs w:val="21"/>
                      <w:highlight w:val="none"/>
                      <w:u w:val="none"/>
                      <w:lang w:val="en-US" w:eastAsia="zh-CN"/>
                    </w:rPr>
                  </w:pPr>
                </w:p>
              </w:tc>
              <w:tc>
                <w:tcPr>
                  <w:tcW w:w="755" w:type="pct"/>
                  <w:vAlign w:val="center"/>
                </w:tcPr>
                <w:p w14:paraId="725A4E0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w:t>
                  </w:r>
                  <w:r>
                    <w:rPr>
                      <w:rFonts w:hint="default" w:ascii="Times New Roman" w:hAnsi="Times New Roman" w:eastAsia="宋体" w:cs="Times New Roman"/>
                      <w:color w:val="auto"/>
                      <w:kern w:val="0"/>
                      <w:sz w:val="21"/>
                      <w:szCs w:val="21"/>
                      <w:highlight w:val="none"/>
                      <w:u w:val="none"/>
                      <w:lang w:val="en-US" w:eastAsia="zh-CN"/>
                    </w:rPr>
                    <w:t>000</w:t>
                  </w:r>
                </w:p>
              </w:tc>
              <w:tc>
                <w:tcPr>
                  <w:tcW w:w="516" w:type="pct"/>
                  <w:vAlign w:val="center"/>
                </w:tcPr>
                <w:p w14:paraId="15815E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0.0024</w:t>
                  </w:r>
                </w:p>
              </w:tc>
            </w:tr>
            <w:tr w14:paraId="15394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restart"/>
                  <w:vAlign w:val="center"/>
                </w:tcPr>
                <w:p w14:paraId="3FDDB8C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4</w:t>
                  </w:r>
                </w:p>
              </w:tc>
              <w:tc>
                <w:tcPr>
                  <w:tcW w:w="583" w:type="pct"/>
                  <w:vMerge w:val="restart"/>
                  <w:vAlign w:val="center"/>
                </w:tcPr>
                <w:p w14:paraId="075C7BAE">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b w:val="0"/>
                      <w:bCs/>
                      <w:color w:val="auto"/>
                      <w:spacing w:val="0"/>
                      <w:w w:val="100"/>
                      <w:sz w:val="21"/>
                      <w:szCs w:val="21"/>
                      <w:highlight w:val="none"/>
                      <w:u w:val="none"/>
                      <w:lang w:val="en-US" w:eastAsia="zh-CN"/>
                    </w:rPr>
                    <w:t>刷漆</w:t>
                  </w:r>
                  <w:r>
                    <w:rPr>
                      <w:rFonts w:hint="default" w:ascii="Times New Roman" w:hAnsi="Times New Roman" w:eastAsia="宋体" w:cs="Times New Roman"/>
                      <w:b w:val="0"/>
                      <w:bCs/>
                      <w:color w:val="auto"/>
                      <w:spacing w:val="0"/>
                      <w:w w:val="100"/>
                      <w:sz w:val="21"/>
                      <w:szCs w:val="21"/>
                      <w:highlight w:val="none"/>
                      <w:u w:val="none"/>
                      <w:lang w:val="en-US" w:eastAsia="zh-CN"/>
                    </w:rPr>
                    <w:t>、</w:t>
                  </w:r>
                  <w:r>
                    <w:rPr>
                      <w:rFonts w:hint="default" w:ascii="Times New Roman" w:hAnsi="Times New Roman" w:cs="Times New Roman"/>
                      <w:b w:val="0"/>
                      <w:bCs/>
                      <w:color w:val="auto"/>
                      <w:spacing w:val="0"/>
                      <w:w w:val="100"/>
                      <w:sz w:val="21"/>
                      <w:szCs w:val="21"/>
                      <w:highlight w:val="none"/>
                      <w:u w:val="none"/>
                      <w:lang w:val="en-US" w:eastAsia="zh-CN"/>
                    </w:rPr>
                    <w:t>晾干废气</w:t>
                  </w:r>
                </w:p>
              </w:tc>
              <w:tc>
                <w:tcPr>
                  <w:tcW w:w="700" w:type="pct"/>
                  <w:vAlign w:val="center"/>
                </w:tcPr>
                <w:p w14:paraId="06E5C13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非甲烷总烃</w:t>
                  </w:r>
                </w:p>
              </w:tc>
              <w:tc>
                <w:tcPr>
                  <w:tcW w:w="577" w:type="pct"/>
                  <w:vMerge w:val="continue"/>
                  <w:vAlign w:val="center"/>
                </w:tcPr>
                <w:p w14:paraId="78EF5674">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3DF9DAB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54D4991B">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4000</w:t>
                  </w:r>
                </w:p>
              </w:tc>
              <w:tc>
                <w:tcPr>
                  <w:tcW w:w="841" w:type="dxa"/>
                  <w:vAlign w:val="center"/>
                </w:tcPr>
                <w:p w14:paraId="4AA7129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0.036</w:t>
                  </w:r>
                </w:p>
              </w:tc>
            </w:tr>
            <w:tr w14:paraId="350FA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continue"/>
                  <w:vAlign w:val="center"/>
                </w:tcPr>
                <w:p w14:paraId="2A8E31D9">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583" w:type="pct"/>
                  <w:vMerge w:val="continue"/>
                  <w:vAlign w:val="center"/>
                </w:tcPr>
                <w:p w14:paraId="5E62C6F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p>
              </w:tc>
              <w:tc>
                <w:tcPr>
                  <w:tcW w:w="700" w:type="pct"/>
                  <w:vAlign w:val="center"/>
                </w:tcPr>
                <w:p w14:paraId="38D133C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二甲苯</w:t>
                  </w:r>
                </w:p>
              </w:tc>
              <w:tc>
                <w:tcPr>
                  <w:tcW w:w="577" w:type="pct"/>
                  <w:vMerge w:val="continue"/>
                  <w:vAlign w:val="center"/>
                </w:tcPr>
                <w:p w14:paraId="723D1A1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0D7E0903">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1C330C42">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1200</w:t>
                  </w:r>
                </w:p>
              </w:tc>
              <w:tc>
                <w:tcPr>
                  <w:tcW w:w="841" w:type="dxa"/>
                  <w:vAlign w:val="center"/>
                </w:tcPr>
                <w:p w14:paraId="588D2C2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0.012</w:t>
                  </w:r>
                </w:p>
              </w:tc>
            </w:tr>
            <w:tr w14:paraId="6B47D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81" w:type="pct"/>
                  <w:vMerge w:val="continue"/>
                  <w:vAlign w:val="center"/>
                </w:tcPr>
                <w:p w14:paraId="675DD2D7">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583" w:type="pct"/>
                  <w:vMerge w:val="continue"/>
                  <w:vAlign w:val="center"/>
                </w:tcPr>
                <w:p w14:paraId="2E98D23C">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kern w:val="0"/>
                      <w:sz w:val="21"/>
                      <w:szCs w:val="21"/>
                      <w:highlight w:val="none"/>
                      <w:u w:val="none"/>
                      <w:lang w:val="en-US" w:eastAsia="zh-CN"/>
                    </w:rPr>
                  </w:pPr>
                </w:p>
              </w:tc>
              <w:tc>
                <w:tcPr>
                  <w:tcW w:w="700" w:type="pct"/>
                  <w:vAlign w:val="center"/>
                </w:tcPr>
                <w:p w14:paraId="3D353D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577" w:type="pct"/>
                  <w:vMerge w:val="continue"/>
                  <w:vAlign w:val="center"/>
                </w:tcPr>
                <w:p w14:paraId="4405081A">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p>
              </w:tc>
              <w:tc>
                <w:tcPr>
                  <w:tcW w:w="1586" w:type="pct"/>
                  <w:vMerge w:val="continue"/>
                  <w:vAlign w:val="center"/>
                </w:tcPr>
                <w:p w14:paraId="6079D0E0">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755" w:type="pct"/>
                  <w:vAlign w:val="center"/>
                </w:tcPr>
                <w:p w14:paraId="7B697A5D">
                  <w:pPr>
                    <w:keepNext w:val="0"/>
                    <w:keepLines w:val="0"/>
                    <w:widowControl/>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2400</w:t>
                  </w:r>
                </w:p>
              </w:tc>
              <w:tc>
                <w:tcPr>
                  <w:tcW w:w="841" w:type="dxa"/>
                  <w:vAlign w:val="center"/>
                </w:tcPr>
                <w:p w14:paraId="439E3B5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0.005</w:t>
                  </w:r>
                </w:p>
              </w:tc>
            </w:tr>
            <w:tr w14:paraId="520B2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restart"/>
                  <w:vAlign w:val="center"/>
                </w:tcPr>
                <w:p w14:paraId="0196C25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无组织排放合计</w:t>
                  </w:r>
                </w:p>
              </w:tc>
              <w:tc>
                <w:tcPr>
                  <w:tcW w:w="2163" w:type="pct"/>
                  <w:gridSpan w:val="2"/>
                  <w:vAlign w:val="center"/>
                </w:tcPr>
                <w:p w14:paraId="1712592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eastAsia="zh-CN"/>
                    </w:rPr>
                    <w:t>颗粒物</w:t>
                  </w:r>
                </w:p>
              </w:tc>
              <w:tc>
                <w:tcPr>
                  <w:tcW w:w="1271" w:type="pct"/>
                  <w:gridSpan w:val="2"/>
                  <w:shd w:val="clear" w:color="auto" w:fill="auto"/>
                  <w:vAlign w:val="center"/>
                </w:tcPr>
                <w:p w14:paraId="01CAF2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default" w:ascii="Times New Roman" w:hAnsi="Times New Roman" w:eastAsia="宋体" w:cs="Times New Roman"/>
                      <w:b w:val="0"/>
                      <w:bCs/>
                      <w:color w:val="auto"/>
                      <w:spacing w:val="0"/>
                      <w:w w:val="100"/>
                      <w:sz w:val="21"/>
                      <w:szCs w:val="21"/>
                      <w:highlight w:val="none"/>
                      <w:u w:val="none"/>
                      <w:lang w:val="en-US" w:eastAsia="zh-CN"/>
                    </w:rPr>
                    <w:t>0.01</w:t>
                  </w:r>
                  <w:r>
                    <w:rPr>
                      <w:rFonts w:hint="eastAsia" w:cs="Times New Roman"/>
                      <w:b w:val="0"/>
                      <w:bCs/>
                      <w:color w:val="auto"/>
                      <w:spacing w:val="0"/>
                      <w:w w:val="100"/>
                      <w:sz w:val="21"/>
                      <w:szCs w:val="21"/>
                      <w:highlight w:val="none"/>
                      <w:u w:val="none"/>
                      <w:lang w:val="en-US" w:eastAsia="zh-CN"/>
                    </w:rPr>
                    <w:t>8</w:t>
                  </w:r>
                </w:p>
              </w:tc>
            </w:tr>
            <w:tr w14:paraId="32A0D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64" w:type="pct"/>
                  <w:gridSpan w:val="3"/>
                  <w:vMerge w:val="continue"/>
                  <w:vAlign w:val="center"/>
                </w:tcPr>
                <w:p w14:paraId="4B6A49A8">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vAlign w:val="center"/>
                </w:tcPr>
                <w:p w14:paraId="55C2436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非甲烷总烃</w:t>
                  </w:r>
                </w:p>
              </w:tc>
              <w:tc>
                <w:tcPr>
                  <w:tcW w:w="2072" w:type="dxa"/>
                  <w:gridSpan w:val="2"/>
                  <w:vAlign w:val="center"/>
                </w:tcPr>
                <w:p w14:paraId="5EE223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0.036</w:t>
                  </w:r>
                </w:p>
              </w:tc>
            </w:tr>
            <w:tr w14:paraId="4C5BE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continue"/>
                  <w:vAlign w:val="center"/>
                </w:tcPr>
                <w:p w14:paraId="3A83CC5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shd w:val="clear" w:color="auto" w:fill="auto"/>
                  <w:vAlign w:val="center"/>
                </w:tcPr>
                <w:p w14:paraId="40E85F1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二甲苯</w:t>
                  </w:r>
                </w:p>
              </w:tc>
              <w:tc>
                <w:tcPr>
                  <w:tcW w:w="2072" w:type="dxa"/>
                  <w:gridSpan w:val="2"/>
                  <w:shd w:val="clear" w:color="auto" w:fill="auto"/>
                  <w:vAlign w:val="center"/>
                </w:tcPr>
                <w:p w14:paraId="4B5C361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b w:val="0"/>
                      <w:bCs/>
                      <w:color w:val="auto"/>
                      <w:spacing w:val="0"/>
                      <w:w w:val="100"/>
                      <w:sz w:val="21"/>
                      <w:szCs w:val="21"/>
                      <w:highlight w:val="none"/>
                      <w:u w:val="none"/>
                      <w:lang w:val="en-US" w:eastAsia="zh-CN"/>
                    </w:rPr>
                    <w:t>0.012</w:t>
                  </w:r>
                </w:p>
              </w:tc>
            </w:tr>
            <w:tr w14:paraId="5E5C0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564" w:type="pct"/>
                  <w:gridSpan w:val="3"/>
                  <w:vMerge w:val="continue"/>
                  <w:vAlign w:val="center"/>
                </w:tcPr>
                <w:p w14:paraId="193DDF40">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0"/>
                      <w:sz w:val="21"/>
                      <w:szCs w:val="21"/>
                      <w:highlight w:val="none"/>
                      <w:u w:val="none"/>
                    </w:rPr>
                  </w:pPr>
                </w:p>
              </w:tc>
              <w:tc>
                <w:tcPr>
                  <w:tcW w:w="2163" w:type="pct"/>
                  <w:gridSpan w:val="2"/>
                  <w:vAlign w:val="center"/>
                </w:tcPr>
                <w:p w14:paraId="177B51B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b w:val="0"/>
                      <w:bCs/>
                      <w:color w:val="auto"/>
                      <w:spacing w:val="0"/>
                      <w:w w:val="100"/>
                      <w:sz w:val="21"/>
                      <w:szCs w:val="21"/>
                      <w:highlight w:val="none"/>
                      <w:u w:val="none"/>
                      <w:lang w:val="en-US" w:eastAsia="zh-CN"/>
                    </w:rPr>
                    <w:t>甲苯</w:t>
                  </w:r>
                </w:p>
              </w:tc>
              <w:tc>
                <w:tcPr>
                  <w:tcW w:w="2072" w:type="dxa"/>
                  <w:gridSpan w:val="2"/>
                  <w:vAlign w:val="center"/>
                </w:tcPr>
                <w:p w14:paraId="1E46C9E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0.005</w:t>
                  </w:r>
                </w:p>
              </w:tc>
            </w:tr>
          </w:tbl>
          <w:p w14:paraId="17E25E60">
            <w:pPr>
              <w:keepNext w:val="0"/>
              <w:keepLines w:val="0"/>
              <w:suppressLineNumbers w:val="0"/>
              <w:adjustRightInd w:val="0"/>
              <w:snapToGrid w:val="0"/>
              <w:spacing w:before="120" w:beforeLines="50" w:beforeAutospacing="0" w:after="0" w:afterAutospacing="0" w:line="360" w:lineRule="auto"/>
              <w:ind w:left="0" w:right="0" w:firstLine="482"/>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lang w:eastAsia="zh-CN"/>
              </w:rPr>
              <w:t>③</w:t>
            </w:r>
            <w:r>
              <w:rPr>
                <w:rFonts w:hint="default" w:ascii="Times New Roman" w:hAnsi="Times New Roman" w:cs="Times New Roman"/>
                <w:color w:val="auto"/>
                <w:sz w:val="24"/>
                <w:highlight w:val="none"/>
                <w:u w:val="none" w:color="auto"/>
              </w:rPr>
              <w:t>项目大气污染物年排放量核算</w:t>
            </w:r>
          </w:p>
          <w:p w14:paraId="773E5CE6">
            <w:pPr>
              <w:keepNext w:val="0"/>
              <w:keepLines w:val="0"/>
              <w:suppressLineNumbers w:val="0"/>
              <w:adjustRightInd w:val="0"/>
              <w:snapToGrid w:val="0"/>
              <w:spacing w:before="0" w:beforeAutospacing="0" w:after="0" w:afterAutospacing="0"/>
              <w:ind w:left="0" w:right="0" w:firstLine="482"/>
              <w:jc w:val="center"/>
              <w:rPr>
                <w:rFonts w:hint="default" w:ascii="Times New Roman" w:hAnsi="Times New Roman" w:cs="Times New Roman"/>
                <w:b/>
                <w:bCs/>
                <w:color w:val="auto"/>
                <w:sz w:val="24"/>
                <w:highlight w:val="none"/>
                <w:u w:val="none" w:color="auto"/>
              </w:rPr>
            </w:pPr>
            <w:r>
              <w:rPr>
                <w:rFonts w:hint="default" w:ascii="Times New Roman" w:hAnsi="Times New Roman" w:cs="Times New Roman"/>
                <w:b/>
                <w:bCs/>
                <w:color w:val="auto"/>
                <w:sz w:val="24"/>
                <w:highlight w:val="none"/>
                <w:u w:val="none" w:color="auto"/>
              </w:rPr>
              <w:t>表4</w:t>
            </w:r>
            <w:r>
              <w:rPr>
                <w:rFonts w:hint="default" w:ascii="Times New Roman" w:hAnsi="Times New Roman" w:cs="Times New Roman"/>
                <w:b/>
                <w:bCs/>
                <w:color w:val="auto"/>
                <w:sz w:val="24"/>
                <w:highlight w:val="none"/>
                <w:u w:val="none" w:color="auto"/>
                <w:lang w:val="en-US" w:eastAsia="zh-CN"/>
              </w:rPr>
              <w:t>-</w:t>
            </w:r>
            <w:r>
              <w:rPr>
                <w:rFonts w:hint="eastAsia" w:ascii="Times New Roman" w:hAnsi="Times New Roman" w:cs="Times New Roman"/>
                <w:b/>
                <w:bCs/>
                <w:color w:val="auto"/>
                <w:sz w:val="24"/>
                <w:highlight w:val="none"/>
                <w:u w:val="none" w:color="auto"/>
                <w:lang w:val="en-US" w:eastAsia="zh-CN"/>
              </w:rPr>
              <w:t>7</w:t>
            </w:r>
            <w:r>
              <w:rPr>
                <w:rFonts w:hint="default" w:ascii="Times New Roman" w:hAnsi="Times New Roman" w:cs="Times New Roman"/>
                <w:b/>
                <w:bCs/>
                <w:color w:val="auto"/>
                <w:sz w:val="24"/>
                <w:highlight w:val="none"/>
                <w:u w:val="none" w:color="auto"/>
              </w:rPr>
              <w:t>大气污染物年排放量核算表</w:t>
            </w:r>
          </w:p>
          <w:tbl>
            <w:tblPr>
              <w:tblStyle w:val="4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2130"/>
              <w:gridCol w:w="4422"/>
            </w:tblGrid>
            <w:tr w14:paraId="39DEC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2EA165C8">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序号</w:t>
                  </w:r>
                </w:p>
              </w:tc>
              <w:tc>
                <w:tcPr>
                  <w:tcW w:w="1307" w:type="pct"/>
                  <w:vAlign w:val="center"/>
                </w:tcPr>
                <w:p w14:paraId="111D1951">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污染物</w:t>
                  </w:r>
                </w:p>
              </w:tc>
              <w:tc>
                <w:tcPr>
                  <w:tcW w:w="2714" w:type="pct"/>
                  <w:vAlign w:val="center"/>
                </w:tcPr>
                <w:p w14:paraId="267A9953">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年排放量/(t/a)</w:t>
                  </w:r>
                </w:p>
              </w:tc>
            </w:tr>
            <w:tr w14:paraId="4D7B5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1AFBD0CB">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1</w:t>
                  </w:r>
                </w:p>
              </w:tc>
              <w:tc>
                <w:tcPr>
                  <w:tcW w:w="2074" w:type="dxa"/>
                  <w:vAlign w:val="center"/>
                </w:tcPr>
                <w:p w14:paraId="371B355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cs="Times New Roman"/>
                      <w:color w:val="auto"/>
                      <w:sz w:val="21"/>
                      <w:szCs w:val="21"/>
                      <w:highlight w:val="none"/>
                      <w:u w:val="none"/>
                      <w:lang w:eastAsia="zh-CN"/>
                    </w:rPr>
                    <w:t>颗粒物</w:t>
                  </w:r>
                </w:p>
              </w:tc>
              <w:tc>
                <w:tcPr>
                  <w:tcW w:w="2714" w:type="pct"/>
                  <w:vAlign w:val="center"/>
                </w:tcPr>
                <w:p w14:paraId="7BAEFDE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p>
              </w:tc>
            </w:tr>
            <w:tr w14:paraId="13394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0719E2E5">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2</w:t>
                  </w:r>
                </w:p>
              </w:tc>
              <w:tc>
                <w:tcPr>
                  <w:tcW w:w="2074" w:type="dxa"/>
                  <w:vAlign w:val="center"/>
                </w:tcPr>
                <w:p w14:paraId="03150B07">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非甲烷总烃</w:t>
                  </w:r>
                </w:p>
              </w:tc>
              <w:tc>
                <w:tcPr>
                  <w:tcW w:w="4422" w:type="dxa"/>
                  <w:vAlign w:val="center"/>
                </w:tcPr>
                <w:p w14:paraId="573BF806">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0.253</w:t>
                  </w:r>
                </w:p>
              </w:tc>
            </w:tr>
            <w:tr w14:paraId="3134F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7A9026C7">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lang w:val="en-US" w:eastAsia="zh-CN"/>
                    </w:rPr>
                    <w:t>3</w:t>
                  </w:r>
                </w:p>
              </w:tc>
              <w:tc>
                <w:tcPr>
                  <w:tcW w:w="2074" w:type="dxa"/>
                  <w:vAlign w:val="center"/>
                </w:tcPr>
                <w:p w14:paraId="4AF66EA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none"/>
                    </w:rPr>
                  </w:pPr>
                  <w:r>
                    <w:rPr>
                      <w:rFonts w:hint="default" w:ascii="Times New Roman" w:hAnsi="Times New Roman" w:cs="Times New Roman"/>
                      <w:color w:val="auto"/>
                      <w:sz w:val="21"/>
                      <w:szCs w:val="21"/>
                      <w:highlight w:val="none"/>
                      <w:u w:val="none"/>
                      <w:lang w:val="en-US" w:eastAsia="zh-CN"/>
                    </w:rPr>
                    <w:t>二甲苯</w:t>
                  </w:r>
                </w:p>
              </w:tc>
              <w:tc>
                <w:tcPr>
                  <w:tcW w:w="4422" w:type="dxa"/>
                  <w:vAlign w:val="center"/>
                </w:tcPr>
                <w:p w14:paraId="652E1BF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0.084</w:t>
                  </w:r>
                </w:p>
              </w:tc>
            </w:tr>
            <w:tr w14:paraId="77007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9" w:type="pct"/>
                  <w:vAlign w:val="center"/>
                </w:tcPr>
                <w:p w14:paraId="508D120A">
                  <w:pPr>
                    <w:keepNext w:val="0"/>
                    <w:keepLines w:val="0"/>
                    <w:suppressLineNumbers w:val="0"/>
                    <w:adjustRightInd w:val="0"/>
                    <w:snapToGrid w:val="0"/>
                    <w:spacing w:before="60" w:beforeAutospacing="0" w:after="60" w:afterAutospacing="0" w:line="240" w:lineRule="atLeast"/>
                    <w:ind w:left="0" w:right="0"/>
                    <w:jc w:val="center"/>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4</w:t>
                  </w:r>
                </w:p>
              </w:tc>
              <w:tc>
                <w:tcPr>
                  <w:tcW w:w="2074" w:type="dxa"/>
                  <w:vAlign w:val="center"/>
                </w:tcPr>
                <w:p w14:paraId="2B987EC3">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甲苯</w:t>
                  </w:r>
                </w:p>
              </w:tc>
              <w:tc>
                <w:tcPr>
                  <w:tcW w:w="4422" w:type="dxa"/>
                  <w:vAlign w:val="center"/>
                </w:tcPr>
                <w:p w14:paraId="5B4D1445">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0.034</w:t>
                  </w:r>
                </w:p>
              </w:tc>
            </w:tr>
          </w:tbl>
          <w:p w14:paraId="77B6C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0" w:firstLineChars="200"/>
              <w:textAlignment w:val="auto"/>
              <w:rPr>
                <w:rFonts w:hint="default" w:ascii="Times New Roman" w:hAnsi="Times New Roman" w:cs="Times New Roman"/>
                <w:color w:val="auto"/>
                <w:sz w:val="24"/>
                <w:highlight w:val="none"/>
                <w:u w:val="none" w:color="auto"/>
              </w:rPr>
            </w:pPr>
            <w:r>
              <w:rPr>
                <w:rFonts w:hint="default" w:ascii="Times New Roman" w:hAnsi="Times New Roman" w:cs="Times New Roman"/>
                <w:bCs/>
                <w:color w:val="auto"/>
                <w:spacing w:val="-10"/>
                <w:sz w:val="24"/>
                <w:highlight w:val="none"/>
                <w:u w:val="none" w:color="auto"/>
                <w:lang w:eastAsia="zh-CN"/>
              </w:rPr>
              <w:t>（</w:t>
            </w:r>
            <w:r>
              <w:rPr>
                <w:rFonts w:hint="default" w:ascii="Times New Roman" w:hAnsi="Times New Roman" w:cs="Times New Roman"/>
                <w:bCs/>
                <w:color w:val="auto"/>
                <w:spacing w:val="-10"/>
                <w:sz w:val="24"/>
                <w:highlight w:val="none"/>
                <w:u w:val="none" w:color="auto"/>
                <w:lang w:val="en-US" w:eastAsia="zh-CN"/>
              </w:rPr>
              <w:t>3</w:t>
            </w:r>
            <w:r>
              <w:rPr>
                <w:rFonts w:hint="default" w:ascii="Times New Roman" w:hAnsi="Times New Roman" w:cs="Times New Roman"/>
                <w:bCs/>
                <w:color w:val="auto"/>
                <w:spacing w:val="-10"/>
                <w:sz w:val="24"/>
                <w:highlight w:val="none"/>
                <w:u w:val="none" w:color="auto"/>
                <w:lang w:eastAsia="zh-CN"/>
              </w:rPr>
              <w:t>）</w:t>
            </w:r>
            <w:r>
              <w:rPr>
                <w:rFonts w:hint="default" w:ascii="Times New Roman" w:hAnsi="Times New Roman" w:cs="Times New Roman"/>
                <w:bCs/>
                <w:color w:val="auto"/>
                <w:spacing w:val="-10"/>
                <w:sz w:val="24"/>
                <w:highlight w:val="none"/>
                <w:u w:val="none" w:color="auto"/>
              </w:rPr>
              <w:t>非正常工况影响分析</w:t>
            </w:r>
          </w:p>
          <w:p w14:paraId="1DA41CE1">
            <w:pPr>
              <w:pStyle w:val="5"/>
              <w:suppressLineNumbers w:val="0"/>
              <w:tabs>
                <w:tab w:val="left" w:pos="1589"/>
              </w:tabs>
              <w:adjustRightInd w:val="0"/>
              <w:snapToGrid w:val="0"/>
              <w:spacing w:before="0" w:after="0" w:line="240" w:lineRule="auto"/>
              <w:ind w:left="0" w:right="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表4-</w:t>
            </w:r>
            <w:r>
              <w:rPr>
                <w:rFonts w:hint="eastAsia" w:ascii="Times New Roman" w:hAnsi="Times New Roman" w:eastAsia="宋体" w:cs="Times New Roman"/>
                <w:color w:val="auto"/>
                <w:sz w:val="24"/>
                <w:highlight w:val="none"/>
                <w:u w:val="none" w:color="auto"/>
                <w:lang w:val="en-US" w:eastAsia="zh-CN"/>
              </w:rPr>
              <w:t>8</w:t>
            </w:r>
            <w:r>
              <w:rPr>
                <w:rFonts w:hint="default" w:ascii="Times New Roman" w:hAnsi="Times New Roman" w:eastAsia="宋体" w:cs="Times New Roman"/>
                <w:color w:val="auto"/>
                <w:sz w:val="24"/>
                <w:highlight w:val="none"/>
                <w:u w:val="none" w:color="auto"/>
              </w:rPr>
              <w:t>非正常排放量核算表</w:t>
            </w:r>
          </w:p>
          <w:tbl>
            <w:tblPr>
              <w:tblStyle w:val="4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9"/>
              <w:gridCol w:w="3168"/>
              <w:gridCol w:w="953"/>
              <w:gridCol w:w="1297"/>
              <w:gridCol w:w="1017"/>
              <w:gridCol w:w="800"/>
            </w:tblGrid>
            <w:tr w14:paraId="07E00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8" w:type="pct"/>
                  <w:tcBorders>
                    <w:tl2br w:val="nil"/>
                    <w:tr2bl w:val="nil"/>
                  </w:tcBorders>
                  <w:noWrap w:val="0"/>
                  <w:vAlign w:val="center"/>
                </w:tcPr>
                <w:p w14:paraId="23CC2BCF">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eastAsia="宋体"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污染源</w:t>
                  </w:r>
                </w:p>
              </w:tc>
              <w:tc>
                <w:tcPr>
                  <w:tcW w:w="1944" w:type="pct"/>
                  <w:tcBorders>
                    <w:tl2br w:val="nil"/>
                    <w:tr2bl w:val="nil"/>
                  </w:tcBorders>
                  <w:noWrap w:val="0"/>
                  <w:vAlign w:val="center"/>
                </w:tcPr>
                <w:p w14:paraId="78BBBAA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非正常情形</w:t>
                  </w:r>
                </w:p>
              </w:tc>
              <w:tc>
                <w:tcPr>
                  <w:tcW w:w="585" w:type="pct"/>
                  <w:tcBorders>
                    <w:tl2br w:val="nil"/>
                    <w:tr2bl w:val="nil"/>
                  </w:tcBorders>
                  <w:noWrap w:val="0"/>
                  <w:vAlign w:val="center"/>
                </w:tcPr>
                <w:p w14:paraId="5C57AF80">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持续时间</w:t>
                  </w:r>
                </w:p>
              </w:tc>
              <w:tc>
                <w:tcPr>
                  <w:tcW w:w="796" w:type="pct"/>
                  <w:tcBorders>
                    <w:tl2br w:val="nil"/>
                    <w:tr2bl w:val="nil"/>
                  </w:tcBorders>
                  <w:noWrap w:val="0"/>
                  <w:vAlign w:val="center"/>
                </w:tcPr>
                <w:p w14:paraId="397F6624">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污染物</w:t>
                  </w:r>
                </w:p>
              </w:tc>
              <w:tc>
                <w:tcPr>
                  <w:tcW w:w="624" w:type="pct"/>
                  <w:tcBorders>
                    <w:tl2br w:val="nil"/>
                    <w:tr2bl w:val="nil"/>
                  </w:tcBorders>
                  <w:noWrap w:val="0"/>
                  <w:vAlign w:val="center"/>
                </w:tcPr>
                <w:p w14:paraId="33D2B440">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排放浓度</w:t>
                  </w:r>
                  <w:r>
                    <w:rPr>
                      <w:rFonts w:hint="eastAsia" w:ascii="Times New Roman" w:hAnsi="Times New Roman" w:cs="Times New Roman"/>
                      <w:snapToGrid w:val="0"/>
                      <w:color w:val="auto"/>
                      <w:spacing w:val="-11"/>
                      <w:sz w:val="21"/>
                      <w:szCs w:val="21"/>
                      <w:highlight w:val="none"/>
                      <w:u w:val="none"/>
                      <w:vertAlign w:val="baseline"/>
                      <w:lang w:val="en-US" w:eastAsia="zh-CN"/>
                    </w:rPr>
                    <w:t>（</w:t>
                  </w:r>
                  <w:r>
                    <w:rPr>
                      <w:rFonts w:hint="default" w:ascii="Times New Roman" w:hAnsi="Times New Roman" w:cs="Times New Roman"/>
                      <w:snapToGrid w:val="0"/>
                      <w:color w:val="auto"/>
                      <w:spacing w:val="-11"/>
                      <w:sz w:val="21"/>
                      <w:szCs w:val="21"/>
                      <w:highlight w:val="none"/>
                      <w:u w:val="none"/>
                      <w:vertAlign w:val="baseline"/>
                      <w:lang w:val="en-US" w:eastAsia="zh-CN"/>
                    </w:rPr>
                    <w:t>mg/m</w:t>
                  </w:r>
                  <w:r>
                    <w:rPr>
                      <w:rFonts w:hint="default" w:ascii="Times New Roman" w:hAnsi="Times New Roman" w:cs="Times New Roman"/>
                      <w:snapToGrid w:val="0"/>
                      <w:color w:val="auto"/>
                      <w:spacing w:val="-11"/>
                      <w:sz w:val="21"/>
                      <w:szCs w:val="21"/>
                      <w:highlight w:val="none"/>
                      <w:u w:val="none"/>
                      <w:vertAlign w:val="superscript"/>
                      <w:lang w:val="en-US" w:eastAsia="zh-CN"/>
                    </w:rPr>
                    <w:t>3</w:t>
                  </w:r>
                  <w:r>
                    <w:rPr>
                      <w:rFonts w:hint="eastAsia" w:ascii="Times New Roman" w:hAnsi="Times New Roman" w:cs="Times New Roman"/>
                      <w:snapToGrid w:val="0"/>
                      <w:color w:val="auto"/>
                      <w:spacing w:val="-11"/>
                      <w:sz w:val="21"/>
                      <w:szCs w:val="21"/>
                      <w:highlight w:val="none"/>
                      <w:u w:val="none"/>
                      <w:vertAlign w:val="superscript"/>
                      <w:lang w:val="en-US" w:eastAsia="zh-CN"/>
                    </w:rPr>
                    <w:t>）</w:t>
                  </w:r>
                </w:p>
              </w:tc>
              <w:tc>
                <w:tcPr>
                  <w:tcW w:w="491" w:type="pct"/>
                  <w:tcBorders>
                    <w:tl2br w:val="nil"/>
                    <w:tr2bl w:val="nil"/>
                  </w:tcBorders>
                  <w:noWrap w:val="0"/>
                  <w:vAlign w:val="center"/>
                </w:tcPr>
                <w:p w14:paraId="5F2AFC57">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是否超标</w:t>
                  </w:r>
                </w:p>
              </w:tc>
            </w:tr>
            <w:tr w14:paraId="4B9B3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restart"/>
                  <w:tcBorders>
                    <w:tl2br w:val="nil"/>
                    <w:tr2bl w:val="nil"/>
                  </w:tcBorders>
                  <w:noWrap w:val="0"/>
                  <w:vAlign w:val="center"/>
                </w:tcPr>
                <w:p w14:paraId="145B012E">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DA001</w:t>
                  </w:r>
                </w:p>
              </w:tc>
              <w:tc>
                <w:tcPr>
                  <w:tcW w:w="1944" w:type="pct"/>
                  <w:vMerge w:val="restart"/>
                  <w:tcBorders>
                    <w:tl2br w:val="nil"/>
                    <w:tr2bl w:val="nil"/>
                  </w:tcBorders>
                  <w:noWrap w:val="0"/>
                  <w:vAlign w:val="center"/>
                </w:tcPr>
                <w:p w14:paraId="52C4B8E5">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活性炭和纸盒饱和，丧失净化效果</w:t>
                  </w:r>
                </w:p>
              </w:tc>
              <w:tc>
                <w:tcPr>
                  <w:tcW w:w="585" w:type="pct"/>
                  <w:tcBorders>
                    <w:tl2br w:val="nil"/>
                    <w:tr2bl w:val="nil"/>
                  </w:tcBorders>
                  <w:noWrap w:val="0"/>
                  <w:vAlign w:val="center"/>
                </w:tcPr>
                <w:p w14:paraId="635C546B">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1297" w:type="dxa"/>
                  <w:tcBorders>
                    <w:tl2br w:val="nil"/>
                    <w:tr2bl w:val="nil"/>
                  </w:tcBorders>
                  <w:noWrap w:val="0"/>
                  <w:vAlign w:val="center"/>
                </w:tcPr>
                <w:p w14:paraId="4BDC468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非甲烷总烃</w:t>
                  </w:r>
                </w:p>
              </w:tc>
              <w:tc>
                <w:tcPr>
                  <w:tcW w:w="1017" w:type="dxa"/>
                  <w:tcBorders>
                    <w:tl2br w:val="nil"/>
                    <w:tr2bl w:val="nil"/>
                  </w:tcBorders>
                  <w:noWrap w:val="0"/>
                  <w:vAlign w:val="center"/>
                </w:tcPr>
                <w:p w14:paraId="3139DA4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15.15</w:t>
                  </w:r>
                </w:p>
              </w:tc>
              <w:tc>
                <w:tcPr>
                  <w:tcW w:w="491" w:type="pct"/>
                  <w:tcBorders>
                    <w:tl2br w:val="nil"/>
                    <w:tr2bl w:val="nil"/>
                  </w:tcBorders>
                  <w:noWrap w:val="0"/>
                  <w:vAlign w:val="center"/>
                </w:tcPr>
                <w:p w14:paraId="01D1492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r w14:paraId="2FFC6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0CAF3D97">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1944" w:type="pct"/>
                  <w:vMerge w:val="continue"/>
                  <w:tcBorders>
                    <w:tl2br w:val="nil"/>
                    <w:tr2bl w:val="nil"/>
                  </w:tcBorders>
                  <w:noWrap w:val="0"/>
                  <w:vAlign w:val="center"/>
                </w:tcPr>
                <w:p w14:paraId="30DD6751">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585" w:type="pct"/>
                  <w:tcBorders>
                    <w:tl2br w:val="nil"/>
                    <w:tr2bl w:val="nil"/>
                  </w:tcBorders>
                  <w:noWrap w:val="0"/>
                  <w:vAlign w:val="center"/>
                </w:tcPr>
                <w:p w14:paraId="7A9E3BED">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1297" w:type="dxa"/>
                  <w:tcBorders>
                    <w:tl2br w:val="nil"/>
                    <w:tr2bl w:val="nil"/>
                  </w:tcBorders>
                  <w:noWrap w:val="0"/>
                  <w:vAlign w:val="center"/>
                </w:tcPr>
                <w:p w14:paraId="156D0105">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二甲苯</w:t>
                  </w:r>
                </w:p>
              </w:tc>
              <w:tc>
                <w:tcPr>
                  <w:tcW w:w="1017" w:type="dxa"/>
                  <w:tcBorders>
                    <w:tl2br w:val="nil"/>
                    <w:tr2bl w:val="nil"/>
                  </w:tcBorders>
                  <w:noWrap w:val="0"/>
                  <w:vAlign w:val="center"/>
                </w:tcPr>
                <w:p w14:paraId="0CE335E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5.05</w:t>
                  </w:r>
                </w:p>
              </w:tc>
              <w:tc>
                <w:tcPr>
                  <w:tcW w:w="491" w:type="pct"/>
                  <w:tcBorders>
                    <w:tl2br w:val="nil"/>
                    <w:tr2bl w:val="nil"/>
                  </w:tcBorders>
                  <w:noWrap w:val="0"/>
                  <w:vAlign w:val="center"/>
                </w:tcPr>
                <w:p w14:paraId="5FAC5C3A">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r w14:paraId="22675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5018198C">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1944" w:type="pct"/>
                  <w:vMerge w:val="continue"/>
                  <w:tcBorders>
                    <w:tl2br w:val="nil"/>
                    <w:tr2bl w:val="nil"/>
                  </w:tcBorders>
                  <w:noWrap w:val="0"/>
                  <w:vAlign w:val="center"/>
                </w:tcPr>
                <w:p w14:paraId="18DE9FFC">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p>
              </w:tc>
              <w:tc>
                <w:tcPr>
                  <w:tcW w:w="585" w:type="pct"/>
                  <w:tcBorders>
                    <w:tl2br w:val="nil"/>
                    <w:tr2bl w:val="nil"/>
                  </w:tcBorders>
                  <w:noWrap w:val="0"/>
                  <w:vAlign w:val="center"/>
                </w:tcPr>
                <w:p w14:paraId="5115B3E1">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1h</w:t>
                  </w:r>
                </w:p>
              </w:tc>
              <w:tc>
                <w:tcPr>
                  <w:tcW w:w="796" w:type="pct"/>
                  <w:tcBorders>
                    <w:tl2br w:val="nil"/>
                    <w:tr2bl w:val="nil"/>
                  </w:tcBorders>
                  <w:noWrap w:val="0"/>
                  <w:vAlign w:val="center"/>
                </w:tcPr>
                <w:p w14:paraId="3138DE4E">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甲苯</w:t>
                  </w:r>
                </w:p>
              </w:tc>
              <w:tc>
                <w:tcPr>
                  <w:tcW w:w="1017" w:type="dxa"/>
                  <w:tcBorders>
                    <w:tl2br w:val="nil"/>
                    <w:tr2bl w:val="nil"/>
                  </w:tcBorders>
                  <w:noWrap w:val="0"/>
                  <w:vAlign w:val="center"/>
                </w:tcPr>
                <w:p w14:paraId="0433A97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sz w:val="21"/>
                      <w:szCs w:val="21"/>
                      <w:highlight w:val="none"/>
                      <w:u w:val="none"/>
                      <w:lang w:val="en-US" w:eastAsia="zh-CN"/>
                    </w:rPr>
                  </w:pPr>
                  <w:r>
                    <w:rPr>
                      <w:rFonts w:hint="eastAsia" w:cs="Times New Roman"/>
                      <w:b w:val="0"/>
                      <w:bCs/>
                      <w:color w:val="auto"/>
                      <w:spacing w:val="0"/>
                      <w:w w:val="100"/>
                      <w:sz w:val="21"/>
                      <w:szCs w:val="21"/>
                      <w:highlight w:val="none"/>
                      <w:u w:val="none"/>
                      <w:lang w:val="en-US" w:eastAsia="zh-CN"/>
                    </w:rPr>
                    <w:t>2.02</w:t>
                  </w:r>
                </w:p>
              </w:tc>
              <w:tc>
                <w:tcPr>
                  <w:tcW w:w="491" w:type="pct"/>
                  <w:tcBorders>
                    <w:tl2br w:val="nil"/>
                    <w:tr2bl w:val="nil"/>
                  </w:tcBorders>
                  <w:noWrap w:val="0"/>
                  <w:vAlign w:val="center"/>
                </w:tcPr>
                <w:p w14:paraId="74E06194">
                  <w:pPr>
                    <w:pStyle w:val="41"/>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outlineLvl w:val="9"/>
                    <w:rPr>
                      <w:rFonts w:hint="default" w:ascii="Times New Roman" w:hAnsi="Times New Roman" w:cs="Times New Roman"/>
                      <w:snapToGrid w:val="0"/>
                      <w:color w:val="auto"/>
                      <w:spacing w:val="-11"/>
                      <w:sz w:val="21"/>
                      <w:szCs w:val="21"/>
                      <w:highlight w:val="none"/>
                      <w:u w:val="none"/>
                      <w:vertAlign w:val="baseline"/>
                      <w:lang w:val="en-US" w:eastAsia="zh-CN"/>
                    </w:rPr>
                  </w:pPr>
                  <w:r>
                    <w:rPr>
                      <w:rFonts w:hint="default" w:ascii="Times New Roman" w:hAnsi="Times New Roman" w:cs="Times New Roman"/>
                      <w:snapToGrid w:val="0"/>
                      <w:color w:val="auto"/>
                      <w:spacing w:val="-11"/>
                      <w:sz w:val="21"/>
                      <w:szCs w:val="21"/>
                      <w:highlight w:val="none"/>
                      <w:u w:val="none"/>
                      <w:vertAlign w:val="baseline"/>
                      <w:lang w:val="en-US" w:eastAsia="zh-CN"/>
                    </w:rPr>
                    <w:t>否</w:t>
                  </w:r>
                </w:p>
              </w:tc>
            </w:tr>
          </w:tbl>
          <w:p w14:paraId="12FB025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为防止生产废气非正常工况排放，企业必须加强废气处理设施的管理，定期检修，确保废气处理设施正常运行。为杜绝废气非正常排放，应采取以下措施确保废气达标排放：</w:t>
            </w:r>
          </w:p>
          <w:p w14:paraId="360C80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①安排专人负责环保设备的日常维护和管理，</w:t>
            </w:r>
            <w:r>
              <w:rPr>
                <w:rFonts w:hint="default" w:ascii="Times New Roman" w:hAnsi="Times New Roman" w:cs="Times New Roman"/>
                <w:bCs/>
                <w:color w:val="auto"/>
                <w:sz w:val="24"/>
                <w:highlight w:val="none"/>
                <w:u w:val="none" w:color="auto"/>
                <w:lang w:eastAsia="zh-CN"/>
              </w:rPr>
              <w:t>每隔</w:t>
            </w:r>
            <w:r>
              <w:rPr>
                <w:rFonts w:hint="default" w:ascii="Times New Roman" w:hAnsi="Times New Roman" w:cs="Times New Roman"/>
                <w:bCs/>
                <w:color w:val="auto"/>
                <w:sz w:val="24"/>
                <w:highlight w:val="none"/>
                <w:u w:val="none" w:color="auto"/>
              </w:rPr>
              <w:t>固定时间检查、汇报情况，及时发现废气处理设备的隐患，确保废气处理系统正常运行；</w:t>
            </w:r>
          </w:p>
          <w:p w14:paraId="29A988C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②建立健全的环保管理机构，对环保管理人员和技术人员进行岗位培训，委托具有专业资质的环境检测单位对项目排放的各类污染物进行定期检测；</w:t>
            </w:r>
          </w:p>
          <w:p w14:paraId="50CD60D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③应定期维护、检修废气净化装置，以保持废气处理装置的净化能力和净化容量。</w:t>
            </w:r>
          </w:p>
          <w:p w14:paraId="3456E15A">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cs="Times New Roman"/>
                <w:b w:val="0"/>
                <w:bCs w:val="0"/>
                <w:color w:val="auto"/>
                <w:kern w:val="24"/>
                <w:sz w:val="24"/>
                <w:highlight w:val="none"/>
                <w:u w:val="none" w:color="auto"/>
              </w:rPr>
            </w:pPr>
            <w:r>
              <w:rPr>
                <w:rFonts w:hint="default" w:ascii="Times New Roman" w:hAnsi="Times New Roman" w:cs="Times New Roman"/>
                <w:bCs/>
                <w:color w:val="auto"/>
                <w:spacing w:val="-10"/>
                <w:sz w:val="24"/>
                <w:highlight w:val="none"/>
                <w:u w:val="none" w:color="auto"/>
              </w:rPr>
              <w:t>（</w:t>
            </w:r>
            <w:r>
              <w:rPr>
                <w:rFonts w:hint="default" w:ascii="Times New Roman" w:hAnsi="Times New Roman" w:cs="Times New Roman"/>
                <w:bCs/>
                <w:color w:val="auto"/>
                <w:spacing w:val="-10"/>
                <w:sz w:val="24"/>
                <w:highlight w:val="none"/>
                <w:u w:val="none" w:color="auto"/>
                <w:lang w:val="en-US" w:eastAsia="zh-CN"/>
              </w:rPr>
              <w:t>3</w:t>
            </w:r>
            <w:r>
              <w:rPr>
                <w:rFonts w:hint="default" w:ascii="Times New Roman" w:hAnsi="Times New Roman" w:cs="Times New Roman"/>
                <w:bCs/>
                <w:color w:val="auto"/>
                <w:spacing w:val="-10"/>
                <w:sz w:val="24"/>
                <w:highlight w:val="none"/>
                <w:u w:val="none" w:color="auto"/>
              </w:rPr>
              <w:t>）</w:t>
            </w:r>
            <w:r>
              <w:rPr>
                <w:rFonts w:hint="default" w:ascii="Times New Roman" w:hAnsi="Times New Roman" w:cs="Times New Roman"/>
                <w:b w:val="0"/>
                <w:bCs w:val="0"/>
                <w:color w:val="auto"/>
                <w:kern w:val="24"/>
                <w:sz w:val="24"/>
                <w:highlight w:val="none"/>
                <w:u w:val="none" w:color="auto"/>
                <w:lang w:eastAsia="zh-CN"/>
              </w:rPr>
              <w:t>废气处理措施</w:t>
            </w:r>
            <w:r>
              <w:rPr>
                <w:rFonts w:hint="default" w:ascii="Times New Roman" w:hAnsi="Times New Roman" w:cs="Times New Roman"/>
                <w:b w:val="0"/>
                <w:bCs w:val="0"/>
                <w:color w:val="auto"/>
                <w:kern w:val="24"/>
                <w:sz w:val="24"/>
                <w:highlight w:val="none"/>
                <w:u w:val="none" w:color="auto"/>
              </w:rPr>
              <w:t>可行性分析</w:t>
            </w:r>
          </w:p>
          <w:p w14:paraId="2070CAE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b w:val="0"/>
                <w:bCs w:val="0"/>
                <w:color w:val="auto"/>
                <w:kern w:val="0"/>
                <w:sz w:val="24"/>
                <w:szCs w:val="24"/>
                <w:highlight w:val="none"/>
                <w:u w:val="none" w:color="auto"/>
                <w:lang w:val="en-US" w:eastAsia="zh-CN" w:bidi="ar-SA"/>
              </w:rPr>
              <w:t>项目</w:t>
            </w:r>
            <w:r>
              <w:rPr>
                <w:rFonts w:hint="eastAsia" w:cs="Times New Roman"/>
                <w:b w:val="0"/>
                <w:bCs w:val="0"/>
                <w:color w:val="auto"/>
                <w:kern w:val="0"/>
                <w:sz w:val="24"/>
                <w:szCs w:val="24"/>
                <w:highlight w:val="none"/>
                <w:u w:val="none" w:color="auto"/>
                <w:lang w:val="en-US" w:eastAsia="zh-CN" w:bidi="ar-SA"/>
              </w:rPr>
              <w:t>刷漆房产生的有机废气（非甲烷总烃、甲苯、二甲苯）</w:t>
            </w:r>
            <w:r>
              <w:rPr>
                <w:rFonts w:hint="default" w:ascii="Times New Roman" w:hAnsi="Times New Roman" w:eastAsia="宋体" w:cs="Times New Roman"/>
                <w:b w:val="0"/>
                <w:bCs w:val="0"/>
                <w:color w:val="auto"/>
                <w:kern w:val="0"/>
                <w:sz w:val="24"/>
                <w:szCs w:val="24"/>
                <w:highlight w:val="none"/>
                <w:u w:val="none" w:color="auto"/>
                <w:lang w:val="en-US" w:eastAsia="zh-CN" w:bidi="ar-SA"/>
              </w:rPr>
              <w:t>拟采用</w:t>
            </w:r>
            <w:r>
              <w:rPr>
                <w:rFonts w:hint="default" w:ascii="Times New Roman" w:hAnsi="Times New Roman" w:cs="Times New Roman"/>
                <w:color w:val="auto"/>
                <w:sz w:val="24"/>
                <w:szCs w:val="24"/>
                <w:highlight w:val="none"/>
                <w:u w:val="none" w:color="auto"/>
                <w:lang w:eastAsia="zh-CN"/>
              </w:rPr>
              <w:t>引风机</w:t>
            </w:r>
            <w:r>
              <w:rPr>
                <w:rFonts w:hint="default" w:ascii="Times New Roman" w:hAnsi="Times New Roman" w:eastAsia="宋体" w:cs="Times New Roman"/>
                <w:b w:val="0"/>
                <w:bCs w:val="0"/>
                <w:color w:val="auto"/>
                <w:kern w:val="0"/>
                <w:sz w:val="24"/>
                <w:szCs w:val="24"/>
                <w:highlight w:val="none"/>
                <w:u w:val="none" w:color="auto"/>
                <w:lang w:val="en-US" w:eastAsia="zh-CN" w:bidi="ar-SA"/>
              </w:rPr>
              <w:t>收集，经</w:t>
            </w:r>
            <w:r>
              <w:rPr>
                <w:rFonts w:hint="eastAsia" w:cs="Times New Roman"/>
                <w:b w:val="0"/>
                <w:bCs w:val="0"/>
                <w:color w:val="auto"/>
                <w:kern w:val="0"/>
                <w:sz w:val="24"/>
                <w:szCs w:val="24"/>
                <w:highlight w:val="none"/>
                <w:u w:val="none" w:color="auto"/>
                <w:lang w:val="en-US" w:eastAsia="zh-CN" w:bidi="ar-SA"/>
              </w:rPr>
              <w:t>二级</w:t>
            </w:r>
            <w:r>
              <w:rPr>
                <w:rFonts w:hint="default" w:ascii="Times New Roman" w:hAnsi="Times New Roman" w:eastAsia="宋体" w:cs="Times New Roman"/>
                <w:b w:val="0"/>
                <w:bCs w:val="0"/>
                <w:color w:val="auto"/>
                <w:kern w:val="0"/>
                <w:sz w:val="24"/>
                <w:szCs w:val="24"/>
                <w:highlight w:val="none"/>
                <w:u w:val="none" w:color="auto"/>
                <w:lang w:val="en-US" w:eastAsia="zh-CN" w:bidi="ar-SA"/>
              </w:rPr>
              <w:t>活性炭吸附装置吸附后</w:t>
            </w:r>
            <w:r>
              <w:rPr>
                <w:rFonts w:hint="default" w:ascii="Times New Roman" w:hAnsi="Times New Roman" w:cs="Times New Roman"/>
                <w:b w:val="0"/>
                <w:bCs w:val="0"/>
                <w:color w:val="auto"/>
                <w:kern w:val="0"/>
                <w:sz w:val="24"/>
                <w:szCs w:val="24"/>
                <w:highlight w:val="none"/>
                <w:u w:val="none" w:color="auto"/>
                <w:lang w:val="en-US" w:eastAsia="zh-CN" w:bidi="ar-SA"/>
              </w:rPr>
              <w:t>分别</w:t>
            </w:r>
            <w:r>
              <w:rPr>
                <w:rFonts w:hint="default" w:ascii="Times New Roman" w:hAnsi="Times New Roman" w:eastAsia="宋体" w:cs="Times New Roman"/>
                <w:b w:val="0"/>
                <w:bCs w:val="0"/>
                <w:color w:val="auto"/>
                <w:kern w:val="0"/>
                <w:sz w:val="24"/>
                <w:szCs w:val="24"/>
                <w:highlight w:val="none"/>
                <w:u w:val="none" w:color="auto"/>
                <w:lang w:val="en-US" w:eastAsia="zh-CN" w:bidi="ar-SA"/>
              </w:rPr>
              <w:t>通过15m高的排气筒（DA001）排放</w:t>
            </w:r>
            <w:r>
              <w:rPr>
                <w:rFonts w:hint="default" w:ascii="Times New Roman" w:hAnsi="Times New Roman" w:cs="Times New Roman"/>
                <w:b w:val="0"/>
                <w:bCs w:val="0"/>
                <w:color w:val="auto"/>
                <w:kern w:val="0"/>
                <w:sz w:val="24"/>
                <w:szCs w:val="24"/>
                <w:highlight w:val="none"/>
                <w:u w:val="none" w:color="auto"/>
                <w:lang w:val="en-US" w:eastAsia="zh-CN" w:bidi="ar-SA"/>
              </w:rPr>
              <w:t>。</w:t>
            </w:r>
            <w:r>
              <w:rPr>
                <w:rFonts w:hint="default" w:ascii="Times New Roman" w:hAnsi="Times New Roman" w:cs="Times New Roman"/>
                <w:color w:val="auto"/>
                <w:sz w:val="24"/>
                <w:szCs w:val="24"/>
                <w:highlight w:val="none"/>
                <w:u w:val="none" w:color="auto"/>
              </w:rPr>
              <w:t>“活性炭吸附”有机废气净化原理主要是利用活性炭的吸附作用，其机理是因其表面有很多大小不一的微细孔，具有一定的范德华力，能使气液中不同分子半径的物质被粘吸在微细孔当中。吸附能力的强弱，取决于活性炭微细孔比表面积的大小和吸附温度。最好活性炭的比表面积可达1000m</w:t>
            </w:r>
            <w:r>
              <w:rPr>
                <w:rFonts w:hint="default" w:ascii="Times New Roman" w:hAnsi="Times New Roman" w:cs="Times New Roman"/>
                <w:color w:val="auto"/>
                <w:sz w:val="24"/>
                <w:szCs w:val="24"/>
                <w:highlight w:val="none"/>
                <w:u w:val="none" w:color="auto"/>
                <w:vertAlign w:val="superscript"/>
                <w:lang w:val="en-US" w:eastAsia="zh-CN"/>
              </w:rPr>
              <w:t>2</w:t>
            </w:r>
            <w:r>
              <w:rPr>
                <w:rFonts w:hint="default" w:ascii="Times New Roman" w:hAnsi="Times New Roman"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rPr>
              <w:t>(g炭</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以上，20℃常温下的吸附能力</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以碘值表示</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可达1000mg/g，一般气用活性炭的常温吸附碘值</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800mg/</w:t>
            </w:r>
            <w:r>
              <w:rPr>
                <w:rFonts w:hint="default" w:ascii="Times New Roman" w:hAnsi="Times New Roman" w:eastAsia="宋体" w:cs="Times New Roman"/>
                <w:color w:val="auto"/>
                <w:sz w:val="24"/>
                <w:szCs w:val="24"/>
                <w:highlight w:val="none"/>
                <w:u w:val="none" w:color="auto"/>
              </w:rPr>
              <w:t>(g炭</w:t>
            </w:r>
            <w:r>
              <w:rPr>
                <w:rFonts w:hint="eastAsia"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，活性炭对有机废气吸附效率约为30~50%。</w:t>
            </w:r>
          </w:p>
          <w:p w14:paraId="2C33E77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吸附法</w:t>
            </w:r>
            <w:r>
              <w:rPr>
                <w:rFonts w:hint="eastAsia" w:ascii="宋体" w:hAnsi="宋体" w:eastAsia="宋体" w:cs="宋体"/>
                <w:color w:val="auto"/>
                <w:sz w:val="24"/>
                <w:szCs w:val="24"/>
                <w:highlight w:val="none"/>
              </w:rPr>
              <w:t>主要适用于处理低浓度的有机废气及恶臭气体。在处理有机废气及恶臭气体的方法中，吸附法应用极为广泛，与其它方法相比具有去除效率高，净化彻底，能耗低，工艺成熟易于推广实用的优点，</w:t>
            </w:r>
            <w:r>
              <w:rPr>
                <w:rFonts w:hint="eastAsia" w:ascii="宋体" w:hAnsi="宋体" w:eastAsia="宋体" w:cs="宋体"/>
                <w:color w:val="auto"/>
                <w:sz w:val="24"/>
                <w:highlight w:val="none"/>
              </w:rPr>
              <w:t>具有很好的环境和经济效益。吸附法处理废气效率的关键是吸附剂，对吸附剂的要求是具有密集的细孔结构，内表面积大，吸附性能好，化学性质稳定，耐酸碱、耐水、耐高温高压，不易破碎，对空气阻力小。常用的吸附材料为活性炭，其缺点是废活性炭属于危险废物，需再次处置。</w:t>
            </w:r>
          </w:p>
          <w:p w14:paraId="34C0F1D4">
            <w:pPr>
              <w:keepNext w:val="0"/>
              <w:keepLines w:val="0"/>
              <w:suppressLineNumbers w:val="0"/>
              <w:adjustRightInd w:val="0"/>
              <w:spacing w:before="0" w:beforeAutospacing="0" w:after="0" w:afterAutospacing="0" w:line="360" w:lineRule="auto"/>
              <w:ind w:left="0" w:right="0" w:firstLine="480" w:firstLineChars="200"/>
              <w:rPr>
                <w:rFonts w:hint="default" w:ascii="宋体" w:hAnsi="宋体"/>
                <w:color w:val="auto"/>
                <w:sz w:val="24"/>
                <w:highlight w:val="none"/>
                <w:u w:val="none"/>
              </w:rPr>
            </w:pPr>
            <w:r>
              <w:rPr>
                <w:rFonts w:hint="eastAsia" w:ascii="宋体" w:hAnsi="宋体" w:cs="宋体"/>
                <w:b w:val="0"/>
                <w:bCs w:val="0"/>
                <w:snapToGrid w:val="0"/>
                <w:color w:val="auto"/>
                <w:sz w:val="24"/>
                <w:szCs w:val="24"/>
                <w:highlight w:val="none"/>
                <w:lang w:val="en-US" w:eastAsia="zh-CN"/>
              </w:rPr>
              <w:t>根据前文核算结果，经净化后非甲烷总烃、二甲苯、甲苯的排放浓度、排放速率可满足</w:t>
            </w:r>
            <w:r>
              <w:rPr>
                <w:rFonts w:hint="eastAsia" w:ascii="宋体" w:hAnsi="宋体"/>
                <w:b w:val="0"/>
                <w:bCs w:val="0"/>
                <w:color w:val="auto"/>
                <w:sz w:val="24"/>
                <w:highlight w:val="none"/>
                <w:u w:val="none"/>
                <w:lang w:val="en-US" w:eastAsia="zh-CN"/>
              </w:rPr>
              <w:t>《大气污染物综合排放标准》(GB16297-1996)表2中二级标准要求</w:t>
            </w:r>
            <w:r>
              <w:rPr>
                <w:rFonts w:hint="eastAsia" w:ascii="宋体" w:hAnsi="宋体" w:cs="宋体"/>
                <w:b w:val="0"/>
                <w:bCs w:val="0"/>
                <w:snapToGrid w:val="0"/>
                <w:color w:val="auto"/>
                <w:sz w:val="24"/>
                <w:szCs w:val="24"/>
                <w:highlight w:val="none"/>
                <w:lang w:val="en-US" w:eastAsia="zh-CN"/>
              </w:rPr>
              <w:t>，措施可行</w:t>
            </w:r>
            <w:r>
              <w:rPr>
                <w:rFonts w:hint="eastAsia" w:ascii="宋体" w:hAnsi="宋体"/>
                <w:color w:val="auto"/>
                <w:sz w:val="24"/>
                <w:highlight w:val="none"/>
                <w:u w:val="none"/>
              </w:rPr>
              <w:t>。</w:t>
            </w:r>
          </w:p>
          <w:p w14:paraId="59C88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（4）排气筒设置合理性分析</w:t>
            </w:r>
          </w:p>
          <w:p w14:paraId="345556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kern w:val="0"/>
                <w:sz w:val="24"/>
                <w:szCs w:val="28"/>
                <w:highlight w:val="none"/>
                <w:u w:val="none" w:color="auto"/>
                <w:lang w:eastAsia="zh-CN"/>
              </w:rPr>
            </w:pPr>
            <w:r>
              <w:rPr>
                <w:rFonts w:hint="default" w:ascii="Times New Roman" w:hAnsi="Times New Roman" w:cs="Times New Roman"/>
                <w:b w:val="0"/>
                <w:bCs w:val="0"/>
                <w:color w:val="auto"/>
                <w:kern w:val="0"/>
                <w:sz w:val="24"/>
                <w:szCs w:val="28"/>
                <w:highlight w:val="none"/>
                <w:u w:val="none" w:color="auto"/>
                <w:lang w:eastAsia="zh-CN"/>
              </w:rPr>
              <w:t>根据本项目相关污染源执行标准情况，项目排气筒设置与相关标准要求对比情况见下表。</w:t>
            </w:r>
          </w:p>
          <w:p w14:paraId="1B79430C">
            <w:pPr>
              <w:pStyle w:val="5"/>
              <w:suppressLineNumbers w:val="0"/>
              <w:tabs>
                <w:tab w:val="left" w:pos="1589"/>
              </w:tabs>
              <w:adjustRightInd w:val="0"/>
              <w:snapToGrid w:val="0"/>
              <w:spacing w:before="0" w:after="0" w:line="240" w:lineRule="auto"/>
              <w:ind w:left="0" w:right="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表</w:t>
            </w:r>
            <w:r>
              <w:rPr>
                <w:rFonts w:hint="default" w:ascii="Times New Roman" w:hAnsi="Times New Roman" w:eastAsia="宋体" w:cs="Times New Roman"/>
                <w:color w:val="auto"/>
                <w:sz w:val="24"/>
                <w:highlight w:val="none"/>
                <w:u w:val="none" w:color="auto"/>
                <w:lang w:val="en-US" w:eastAsia="zh-CN"/>
              </w:rPr>
              <w:t>4-</w:t>
            </w:r>
            <w:r>
              <w:rPr>
                <w:rFonts w:hint="eastAsia" w:ascii="Times New Roman" w:hAnsi="Times New Roman" w:eastAsia="宋体" w:cs="Times New Roman"/>
                <w:color w:val="auto"/>
                <w:sz w:val="24"/>
                <w:highlight w:val="none"/>
                <w:u w:val="none" w:color="auto"/>
                <w:lang w:val="en-US" w:eastAsia="zh-CN"/>
              </w:rPr>
              <w:t>9</w:t>
            </w:r>
            <w:r>
              <w:rPr>
                <w:rFonts w:hint="default" w:ascii="Times New Roman" w:hAnsi="Times New Roman" w:eastAsia="宋体" w:cs="Times New Roman"/>
                <w:color w:val="auto"/>
                <w:sz w:val="24"/>
                <w:highlight w:val="none"/>
                <w:u w:val="none" w:color="auto"/>
              </w:rPr>
              <w:t>排气筒设置与相关标准要求对比情况表</w:t>
            </w:r>
          </w:p>
          <w:tbl>
            <w:tblPr>
              <w:tblStyle w:val="46"/>
              <w:tblW w:w="81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075"/>
              <w:gridCol w:w="1005"/>
              <w:gridCol w:w="1849"/>
              <w:gridCol w:w="1075"/>
            </w:tblGrid>
            <w:tr w14:paraId="565D4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dxa"/>
                  <w:tcBorders>
                    <w:left w:val="single" w:color="auto" w:sz="12" w:space="0"/>
                  </w:tcBorders>
                  <w:noWrap w:val="0"/>
                  <w:vAlign w:val="center"/>
                </w:tcPr>
                <w:p w14:paraId="3289A8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执行标准</w:t>
                  </w:r>
                </w:p>
              </w:tc>
              <w:tc>
                <w:tcPr>
                  <w:tcW w:w="3075" w:type="dxa"/>
                  <w:noWrap w:val="0"/>
                  <w:vAlign w:val="center"/>
                </w:tcPr>
                <w:p w14:paraId="4F5C8F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标准相关要求</w:t>
                  </w:r>
                </w:p>
              </w:tc>
              <w:tc>
                <w:tcPr>
                  <w:tcW w:w="1005" w:type="dxa"/>
                  <w:noWrap w:val="0"/>
                  <w:vAlign w:val="center"/>
                </w:tcPr>
                <w:p w14:paraId="49DA18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本项目排气筒</w:t>
                  </w:r>
                </w:p>
              </w:tc>
              <w:tc>
                <w:tcPr>
                  <w:tcW w:w="1849" w:type="dxa"/>
                  <w:noWrap w:val="0"/>
                  <w:vAlign w:val="center"/>
                </w:tcPr>
                <w:p w14:paraId="535798E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本项目建设情况</w:t>
                  </w:r>
                </w:p>
              </w:tc>
              <w:tc>
                <w:tcPr>
                  <w:tcW w:w="1075" w:type="dxa"/>
                  <w:tcBorders>
                    <w:right w:val="single" w:color="auto" w:sz="12" w:space="0"/>
                  </w:tcBorders>
                  <w:noWrap w:val="0"/>
                  <w:vAlign w:val="center"/>
                </w:tcPr>
                <w:p w14:paraId="5249E89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是否符合标准要求</w:t>
                  </w:r>
                </w:p>
              </w:tc>
            </w:tr>
            <w:tr w14:paraId="44412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1163" w:type="dxa"/>
                  <w:tcBorders>
                    <w:left w:val="single" w:color="auto" w:sz="12" w:space="0"/>
                  </w:tcBorders>
                  <w:noWrap w:val="0"/>
                  <w:vAlign w:val="center"/>
                </w:tcPr>
                <w:p w14:paraId="60706F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《大气污染物综合排放标准》（GB16297-1996）</w:t>
                  </w:r>
                </w:p>
              </w:tc>
              <w:tc>
                <w:tcPr>
                  <w:tcW w:w="3075" w:type="dxa"/>
                  <w:noWrap w:val="0"/>
                  <w:vAlign w:val="center"/>
                </w:tcPr>
                <w:p w14:paraId="309A15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新污染源的排</w:t>
                  </w:r>
                  <w:r>
                    <w:rPr>
                      <w:rFonts w:hint="eastAsia" w:cs="Times New Roman"/>
                      <w:color w:val="auto"/>
                      <w:sz w:val="21"/>
                      <w:szCs w:val="21"/>
                      <w:highlight w:val="none"/>
                      <w:u w:val="none" w:color="auto"/>
                      <w:lang w:val="en-US" w:eastAsia="zh-CN"/>
                    </w:rPr>
                    <w:t>气筒</w:t>
                  </w:r>
                  <w:r>
                    <w:rPr>
                      <w:rFonts w:hint="default" w:ascii="Times New Roman" w:hAnsi="Times New Roman" w:eastAsia="宋体" w:cs="Times New Roman"/>
                      <w:color w:val="auto"/>
                      <w:sz w:val="21"/>
                      <w:szCs w:val="21"/>
                      <w:highlight w:val="none"/>
                      <w:u w:val="none" w:color="auto"/>
                      <w:lang w:val="en-US" w:eastAsia="zh-CN"/>
                    </w:rPr>
                    <w:t>一般不应低于15m</w:t>
                  </w:r>
                  <w:r>
                    <w:rPr>
                      <w:rFonts w:hint="default" w:ascii="Times New Roman" w:hAnsi="Times New Roman" w:cs="Times New Roman"/>
                      <w:color w:val="auto"/>
                      <w:sz w:val="21"/>
                      <w:szCs w:val="21"/>
                      <w:highlight w:val="none"/>
                      <w:u w:val="none" w:color="auto"/>
                      <w:lang w:val="en-US" w:eastAsia="zh-CN"/>
                    </w:rPr>
                    <w:t>，排气筒高度除须遵守表列排放速率标准值外，还应高出周围200m半径范围的建筑5m以上，不能达到该要求的排气筒，应按其高度对应的表列排放速率标准值严格50%执行。</w:t>
                  </w:r>
                </w:p>
              </w:tc>
              <w:tc>
                <w:tcPr>
                  <w:tcW w:w="1005" w:type="dxa"/>
                  <w:noWrap w:val="0"/>
                  <w:vAlign w:val="center"/>
                </w:tcPr>
                <w:p w14:paraId="6DD158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DA001</w:t>
                  </w:r>
                </w:p>
              </w:tc>
              <w:tc>
                <w:tcPr>
                  <w:tcW w:w="1849" w:type="dxa"/>
                  <w:noWrap w:val="0"/>
                  <w:vAlign w:val="center"/>
                </w:tcPr>
                <w:p w14:paraId="1D0F42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项目设置的排气筒高度为</w:t>
                  </w:r>
                  <w:r>
                    <w:rPr>
                      <w:rFonts w:hint="default" w:ascii="Times New Roman" w:hAnsi="Times New Roman" w:cs="Times New Roman"/>
                      <w:color w:val="auto"/>
                      <w:sz w:val="21"/>
                      <w:szCs w:val="21"/>
                      <w:highlight w:val="none"/>
                      <w:u w:val="none" w:color="auto"/>
                      <w:lang w:val="en-US" w:eastAsia="zh-CN"/>
                    </w:rPr>
                    <w:t>15</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且</w:t>
                  </w:r>
                  <w:r>
                    <w:rPr>
                      <w:rFonts w:hint="default" w:ascii="Times New Roman" w:hAnsi="Times New Roman" w:cs="Times New Roman"/>
                      <w:color w:val="auto"/>
                      <w:sz w:val="21"/>
                      <w:szCs w:val="21"/>
                      <w:highlight w:val="none"/>
                      <w:u w:val="none" w:color="auto"/>
                      <w:lang w:val="en-US" w:eastAsia="zh-CN"/>
                    </w:rPr>
                    <w:t>高出</w:t>
                  </w:r>
                  <w:r>
                    <w:rPr>
                      <w:rFonts w:hint="eastAsia" w:cs="Times New Roman"/>
                      <w:color w:val="auto"/>
                      <w:sz w:val="21"/>
                      <w:szCs w:val="21"/>
                      <w:highlight w:val="none"/>
                      <w:u w:val="none" w:color="auto"/>
                      <w:lang w:val="en-US" w:eastAsia="zh-CN"/>
                    </w:rPr>
                    <w:t>周围</w:t>
                  </w:r>
                  <w:r>
                    <w:rPr>
                      <w:rFonts w:hint="default" w:ascii="Times New Roman" w:hAnsi="Times New Roman" w:cs="Times New Roman"/>
                      <w:color w:val="auto"/>
                      <w:sz w:val="21"/>
                      <w:szCs w:val="21"/>
                      <w:highlight w:val="none"/>
                      <w:u w:val="none" w:color="auto"/>
                      <w:lang w:val="en-US" w:eastAsia="zh-CN"/>
                    </w:rPr>
                    <w:t>200m半径范围的建筑5m以上，</w:t>
                  </w:r>
                  <w:r>
                    <w:rPr>
                      <w:rFonts w:hint="default" w:ascii="Times New Roman" w:hAnsi="Times New Roman" w:eastAsia="宋体" w:cs="Times New Roman"/>
                      <w:color w:val="auto"/>
                      <w:sz w:val="21"/>
                      <w:szCs w:val="21"/>
                      <w:highlight w:val="none"/>
                      <w:u w:val="none" w:color="auto"/>
                      <w:lang w:val="en-US" w:eastAsia="zh-CN"/>
                    </w:rPr>
                    <w:t>可达标排放</w:t>
                  </w:r>
                  <w:r>
                    <w:rPr>
                      <w:rFonts w:hint="default" w:ascii="Times New Roman" w:hAnsi="Times New Roman" w:cs="Times New Roman"/>
                      <w:color w:val="auto"/>
                      <w:sz w:val="21"/>
                      <w:szCs w:val="21"/>
                      <w:highlight w:val="none"/>
                      <w:u w:val="none" w:color="auto"/>
                      <w:lang w:val="en-US" w:eastAsia="zh-CN"/>
                    </w:rPr>
                    <w:t>。</w:t>
                  </w:r>
                </w:p>
              </w:tc>
              <w:tc>
                <w:tcPr>
                  <w:tcW w:w="1075" w:type="dxa"/>
                  <w:tcBorders>
                    <w:right w:val="single" w:color="auto" w:sz="12" w:space="0"/>
                  </w:tcBorders>
                  <w:noWrap w:val="0"/>
                  <w:vAlign w:val="center"/>
                </w:tcPr>
                <w:p w14:paraId="287A67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符合</w:t>
                  </w:r>
                </w:p>
              </w:tc>
            </w:tr>
          </w:tbl>
          <w:p w14:paraId="13721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bCs/>
                <w:color w:val="auto"/>
                <w:sz w:val="24"/>
                <w:highlight w:val="none"/>
                <w:lang w:val="en-US" w:eastAsia="zh-CN"/>
              </w:rPr>
              <w:t>2、废水污染源</w:t>
            </w:r>
            <w:r>
              <w:rPr>
                <w:rFonts w:hint="default" w:ascii="Times New Roman" w:hAnsi="Times New Roman" w:cs="Times New Roman"/>
                <w:b/>
                <w:color w:val="auto"/>
                <w:sz w:val="24"/>
                <w:highlight w:val="none"/>
                <w:lang w:eastAsia="zh-CN"/>
              </w:rPr>
              <w:t>环境影响分析及保护措施</w:t>
            </w:r>
          </w:p>
          <w:p w14:paraId="3FCF1EDE">
            <w:pPr>
              <w:keepNext w:val="0"/>
              <w:keepLines w:val="0"/>
              <w:suppressLineNumbers w:val="0"/>
              <w:snapToGrid w:val="0"/>
              <w:spacing w:before="0" w:beforeAutospacing="0" w:after="0" w:afterAutospacing="0" w:line="500" w:lineRule="exact"/>
              <w:ind w:left="0" w:right="0" w:firstLine="480" w:firstLineChars="20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rPr>
              <w:t>项目新增</w:t>
            </w:r>
            <w:r>
              <w:rPr>
                <w:rFonts w:hint="default" w:ascii="Times New Roman" w:hAnsi="Times New Roman" w:eastAsia="宋体" w:cs="Times New Roman"/>
                <w:caps w:val="0"/>
                <w:color w:val="auto"/>
                <w:sz w:val="24"/>
                <w:szCs w:val="24"/>
                <w:highlight w:val="none"/>
                <w:u w:val="none"/>
                <w:lang w:val="en-US" w:eastAsia="zh-CN"/>
              </w:rPr>
              <w:t>劳动人员12人</w:t>
            </w:r>
            <w:r>
              <w:rPr>
                <w:rFonts w:hint="default" w:ascii="Times New Roman" w:hAnsi="Times New Roman" w:eastAsia="宋体" w:cs="Times New Roman"/>
                <w:caps w:val="0"/>
                <w:color w:val="auto"/>
                <w:sz w:val="24"/>
                <w:szCs w:val="24"/>
                <w:highlight w:val="none"/>
                <w:u w:val="none"/>
              </w:rPr>
              <w:t>，</w:t>
            </w:r>
            <w:r>
              <w:rPr>
                <w:rFonts w:hint="default" w:ascii="Times New Roman" w:hAnsi="Times New Roman" w:eastAsia="宋体" w:cs="Times New Roman"/>
                <w:caps w:val="0"/>
                <w:color w:val="auto"/>
                <w:sz w:val="24"/>
                <w:szCs w:val="24"/>
                <w:highlight w:val="none"/>
                <w:u w:val="none"/>
                <w:lang w:val="en-US" w:eastAsia="zh-CN"/>
              </w:rPr>
              <w:t>均不在厂区食宿，</w:t>
            </w:r>
            <w:r>
              <w:rPr>
                <w:rFonts w:hint="default" w:ascii="Times New Roman" w:hAnsi="Times New Roman" w:eastAsia="宋体" w:cs="Times New Roman"/>
                <w:caps w:val="0"/>
                <w:color w:val="auto"/>
                <w:sz w:val="24"/>
                <w:szCs w:val="24"/>
                <w:highlight w:val="none"/>
                <w:u w:val="none"/>
              </w:rPr>
              <w:t>员工生活废水</w:t>
            </w:r>
            <w:r>
              <w:rPr>
                <w:rFonts w:hint="default" w:ascii="Times New Roman" w:hAnsi="Times New Roman" w:eastAsia="宋体" w:cs="Times New Roman"/>
                <w:bCs/>
                <w:caps w:val="0"/>
                <w:color w:val="auto"/>
                <w:spacing w:val="-10"/>
                <w:sz w:val="24"/>
                <w:szCs w:val="24"/>
                <w:highlight w:val="none"/>
                <w:u w:val="none"/>
              </w:rPr>
              <w:t>主要污染物为</w:t>
            </w:r>
            <w:r>
              <w:rPr>
                <w:rFonts w:hint="default" w:ascii="Times New Roman" w:hAnsi="Times New Roman" w:eastAsia="宋体" w:cs="Times New Roman"/>
                <w:caps w:val="0"/>
                <w:color w:val="auto"/>
                <w:sz w:val="24"/>
                <w:szCs w:val="24"/>
                <w:highlight w:val="none"/>
                <w:u w:val="none"/>
              </w:rPr>
              <w:t>SS、COD、BOD</w:t>
            </w:r>
            <w:r>
              <w:rPr>
                <w:rFonts w:hint="default" w:ascii="Times New Roman" w:hAnsi="Times New Roman" w:eastAsia="宋体" w:cs="Times New Roman"/>
                <w:caps w:val="0"/>
                <w:color w:val="auto"/>
                <w:sz w:val="24"/>
                <w:szCs w:val="24"/>
                <w:highlight w:val="none"/>
                <w:u w:val="none"/>
                <w:vertAlign w:val="subscript"/>
              </w:rPr>
              <w:t>5</w:t>
            </w:r>
            <w:r>
              <w:rPr>
                <w:rFonts w:hint="default" w:ascii="Times New Roman" w:hAnsi="Times New Roman" w:eastAsia="宋体" w:cs="Times New Roman"/>
                <w:caps w:val="0"/>
                <w:color w:val="auto"/>
                <w:sz w:val="24"/>
                <w:szCs w:val="24"/>
                <w:highlight w:val="none"/>
                <w:u w:val="none"/>
              </w:rPr>
              <w:t>、NH</w:t>
            </w:r>
            <w:r>
              <w:rPr>
                <w:rFonts w:hint="default" w:ascii="Times New Roman" w:hAnsi="Times New Roman" w:eastAsia="宋体" w:cs="Times New Roman"/>
                <w:caps w:val="0"/>
                <w:color w:val="auto"/>
                <w:sz w:val="24"/>
                <w:szCs w:val="24"/>
                <w:highlight w:val="none"/>
                <w:u w:val="none"/>
                <w:vertAlign w:val="subscript"/>
              </w:rPr>
              <w:t>3</w:t>
            </w:r>
            <w:r>
              <w:rPr>
                <w:rFonts w:hint="default" w:ascii="Times New Roman" w:hAnsi="Times New Roman" w:eastAsia="宋体" w:cs="Times New Roman"/>
                <w:caps w:val="0"/>
                <w:color w:val="auto"/>
                <w:sz w:val="24"/>
                <w:szCs w:val="24"/>
                <w:highlight w:val="none"/>
                <w:u w:val="none"/>
              </w:rPr>
              <w:t>-N等。根据2021年6月9日中华人民共和国生态环境部发布的《排放源统计调查产排污核算方法和系数手册》中的《生活源产排污核算方法和系数手册》，广西地理分区属于其中的“五区”。建设项目位于</w:t>
            </w:r>
            <w:r>
              <w:rPr>
                <w:rFonts w:hint="default" w:ascii="Times New Roman" w:hAnsi="Times New Roman" w:eastAsia="宋体" w:cs="Times New Roman"/>
                <w:caps w:val="0"/>
                <w:color w:val="auto"/>
                <w:sz w:val="24"/>
                <w:szCs w:val="24"/>
                <w:highlight w:val="none"/>
                <w:u w:val="none"/>
                <w:lang w:val="en-US" w:eastAsia="zh-CN"/>
              </w:rPr>
              <w:t>钦州市</w:t>
            </w:r>
            <w:r>
              <w:rPr>
                <w:rFonts w:hint="default" w:ascii="Times New Roman" w:hAnsi="Times New Roman" w:eastAsia="宋体" w:cs="Times New Roman"/>
                <w:caps w:val="0"/>
                <w:color w:val="auto"/>
                <w:sz w:val="24"/>
                <w:szCs w:val="24"/>
                <w:highlight w:val="none"/>
                <w:u w:val="none"/>
              </w:rPr>
              <w:t>，生活污水中污染物产生系数及产生量详见下表。</w:t>
            </w:r>
          </w:p>
          <w:p w14:paraId="32FB702B">
            <w:pPr>
              <w:pStyle w:val="124"/>
              <w:keepNext w:val="0"/>
              <w:keepLines w:val="0"/>
              <w:numPr>
                <w:ilvl w:val="0"/>
                <w:numId w:val="0"/>
              </w:numPr>
              <w:suppressLineNumbers w:val="0"/>
              <w:snapToGrid w:val="0"/>
              <w:spacing w:before="0" w:beforeAutospacing="0" w:after="0" w:afterAutospacing="0" w:line="500" w:lineRule="exact"/>
              <w:ind w:left="0" w:leftChars="0" w:right="0"/>
              <w:jc w:val="center"/>
              <w:rPr>
                <w:rFonts w:hint="default" w:ascii="Times New Roman" w:hAnsi="Times New Roman" w:eastAsia="宋体" w:cs="Times New Roman"/>
                <w:b/>
                <w:caps w:val="0"/>
                <w:color w:val="auto"/>
                <w:sz w:val="24"/>
                <w:szCs w:val="24"/>
                <w:highlight w:val="none"/>
                <w:u w:val="none"/>
              </w:rPr>
            </w:pPr>
            <w:r>
              <w:rPr>
                <w:rFonts w:hint="default" w:ascii="Times New Roman" w:hAnsi="Times New Roman" w:eastAsia="宋体" w:cs="Times New Roman"/>
                <w:b/>
                <w:caps w:val="0"/>
                <w:color w:val="auto"/>
                <w:sz w:val="24"/>
                <w:szCs w:val="24"/>
                <w:highlight w:val="none"/>
                <w:u w:val="none"/>
                <w:lang w:val="en-US" w:eastAsia="zh-CN"/>
              </w:rPr>
              <w:t>表</w:t>
            </w:r>
            <w:r>
              <w:rPr>
                <w:rFonts w:hint="eastAsia" w:ascii="Times New Roman" w:hAnsi="Times New Roman" w:cs="Times New Roman"/>
                <w:b/>
                <w:caps w:val="0"/>
                <w:color w:val="auto"/>
                <w:sz w:val="24"/>
                <w:szCs w:val="24"/>
                <w:highlight w:val="none"/>
                <w:u w:val="none"/>
                <w:lang w:val="en-US" w:eastAsia="zh-CN"/>
              </w:rPr>
              <w:t>4</w:t>
            </w:r>
            <w:r>
              <w:rPr>
                <w:rFonts w:hint="default" w:ascii="Times New Roman" w:hAnsi="Times New Roman" w:eastAsia="宋体" w:cs="Times New Roman"/>
                <w:b/>
                <w:caps w:val="0"/>
                <w:color w:val="auto"/>
                <w:sz w:val="24"/>
                <w:szCs w:val="24"/>
                <w:highlight w:val="none"/>
                <w:u w:val="none"/>
                <w:lang w:val="en-US" w:eastAsia="zh-CN"/>
              </w:rPr>
              <w:t>-</w:t>
            </w:r>
            <w:r>
              <w:rPr>
                <w:rFonts w:hint="eastAsia" w:ascii="Times New Roman" w:hAnsi="Times New Roman" w:cs="Times New Roman"/>
                <w:b/>
                <w:caps w:val="0"/>
                <w:color w:val="auto"/>
                <w:sz w:val="24"/>
                <w:szCs w:val="24"/>
                <w:highlight w:val="none"/>
                <w:u w:val="none"/>
                <w:lang w:val="en-US" w:eastAsia="zh-CN"/>
              </w:rPr>
              <w:t>10</w:t>
            </w:r>
            <w:r>
              <w:rPr>
                <w:rFonts w:hint="default" w:ascii="Times New Roman" w:hAnsi="Times New Roman" w:eastAsia="宋体" w:cs="Times New Roman"/>
                <w:b/>
                <w:caps w:val="0"/>
                <w:color w:val="auto"/>
                <w:sz w:val="24"/>
                <w:szCs w:val="24"/>
                <w:highlight w:val="none"/>
                <w:u w:val="none"/>
              </w:rPr>
              <w:t>城镇生活源水污染物产生系数表（五区）</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2707"/>
              <w:gridCol w:w="2707"/>
            </w:tblGrid>
            <w:tr w14:paraId="6632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blHeader/>
              </w:trPr>
              <w:tc>
                <w:tcPr>
                  <w:tcW w:w="2705" w:type="dxa"/>
                  <w:tcBorders>
                    <w:tl2br w:val="nil"/>
                    <w:tr2bl w:val="nil"/>
                  </w:tcBorders>
                  <w:noWrap w:val="0"/>
                  <w:vAlign w:val="center"/>
                </w:tcPr>
                <w:p w14:paraId="4557E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指标名称</w:t>
                  </w:r>
                </w:p>
              </w:tc>
              <w:tc>
                <w:tcPr>
                  <w:tcW w:w="2707" w:type="dxa"/>
                  <w:tcBorders>
                    <w:tl2br w:val="nil"/>
                    <w:tr2bl w:val="nil"/>
                  </w:tcBorders>
                  <w:noWrap w:val="0"/>
                  <w:vAlign w:val="center"/>
                </w:tcPr>
                <w:p w14:paraId="483A5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单位</w:t>
                  </w:r>
                </w:p>
              </w:tc>
              <w:tc>
                <w:tcPr>
                  <w:tcW w:w="2707" w:type="dxa"/>
                  <w:tcBorders>
                    <w:tl2br w:val="nil"/>
                    <w:tr2bl w:val="nil"/>
                  </w:tcBorders>
                  <w:noWrap w:val="0"/>
                  <w:vAlign w:val="center"/>
                </w:tcPr>
                <w:p w14:paraId="4D8D5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none"/>
                    </w:rPr>
                  </w:pPr>
                  <w:r>
                    <w:rPr>
                      <w:rFonts w:hint="default" w:ascii="Times New Roman" w:hAnsi="Times New Roman" w:eastAsia="宋体" w:cs="Times New Roman"/>
                      <w:b/>
                      <w:bCs/>
                      <w:caps w:val="0"/>
                      <w:color w:val="auto"/>
                      <w:sz w:val="21"/>
                      <w:szCs w:val="21"/>
                      <w:highlight w:val="none"/>
                      <w:u w:val="none"/>
                    </w:rPr>
                    <w:t>产生系数</w:t>
                  </w:r>
                </w:p>
              </w:tc>
            </w:tr>
            <w:tr w14:paraId="38E2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705" w:type="dxa"/>
                  <w:tcBorders>
                    <w:tl2br w:val="nil"/>
                    <w:tr2bl w:val="nil"/>
                  </w:tcBorders>
                  <w:noWrap w:val="0"/>
                  <w:vAlign w:val="center"/>
                </w:tcPr>
                <w:p w14:paraId="0F3E3C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人均生活用水量</w:t>
                  </w:r>
                </w:p>
              </w:tc>
              <w:tc>
                <w:tcPr>
                  <w:tcW w:w="2707" w:type="dxa"/>
                  <w:tcBorders>
                    <w:tl2br w:val="nil"/>
                    <w:tr2bl w:val="nil"/>
                  </w:tcBorders>
                  <w:noWrap w:val="0"/>
                  <w:vAlign w:val="center"/>
                </w:tcPr>
                <w:p w14:paraId="7070F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L/（人·d）</w:t>
                  </w:r>
                </w:p>
              </w:tc>
              <w:tc>
                <w:tcPr>
                  <w:tcW w:w="2707" w:type="dxa"/>
                  <w:tcBorders>
                    <w:tl2br w:val="nil"/>
                    <w:tr2bl w:val="nil"/>
                  </w:tcBorders>
                  <w:noWrap w:val="0"/>
                  <w:vAlign w:val="center"/>
                </w:tcPr>
                <w:p w14:paraId="6E46A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240</w:t>
                  </w:r>
                </w:p>
              </w:tc>
            </w:tr>
            <w:tr w14:paraId="3FCC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705" w:type="dxa"/>
                  <w:tcBorders>
                    <w:tl2br w:val="nil"/>
                    <w:tr2bl w:val="nil"/>
                  </w:tcBorders>
                  <w:noWrap w:val="0"/>
                  <w:vAlign w:val="center"/>
                </w:tcPr>
                <w:p w14:paraId="51F9D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折污系数</w:t>
                  </w:r>
                </w:p>
              </w:tc>
              <w:tc>
                <w:tcPr>
                  <w:tcW w:w="2707" w:type="dxa"/>
                  <w:tcBorders>
                    <w:tl2br w:val="nil"/>
                    <w:tr2bl w:val="nil"/>
                  </w:tcBorders>
                  <w:noWrap w:val="0"/>
                  <w:vAlign w:val="center"/>
                </w:tcPr>
                <w:p w14:paraId="26AF8A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无量纲</w:t>
                  </w:r>
                </w:p>
              </w:tc>
              <w:tc>
                <w:tcPr>
                  <w:tcW w:w="2707" w:type="dxa"/>
                  <w:tcBorders>
                    <w:tl2br w:val="nil"/>
                    <w:tr2bl w:val="nil"/>
                  </w:tcBorders>
                  <w:noWrap w:val="0"/>
                  <w:vAlign w:val="center"/>
                </w:tcPr>
                <w:p w14:paraId="092BE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0.8</w:t>
                  </w:r>
                </w:p>
              </w:tc>
            </w:tr>
            <w:tr w14:paraId="01BD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44C91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COD</w:t>
                  </w:r>
                </w:p>
              </w:tc>
              <w:tc>
                <w:tcPr>
                  <w:tcW w:w="2707" w:type="dxa"/>
                  <w:tcBorders>
                    <w:tl2br w:val="nil"/>
                    <w:tr2bl w:val="nil"/>
                  </w:tcBorders>
                  <w:noWrap w:val="0"/>
                  <w:vAlign w:val="center"/>
                </w:tcPr>
                <w:p w14:paraId="4800B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107AC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285</w:t>
                  </w:r>
                </w:p>
              </w:tc>
            </w:tr>
            <w:tr w14:paraId="3BFE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02BA5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vertAlign w:val="superscript"/>
                    </w:rPr>
                  </w:pPr>
                  <w:r>
                    <w:rPr>
                      <w:rFonts w:hint="default" w:ascii="Times New Roman" w:hAnsi="Times New Roman" w:eastAsia="宋体" w:cs="Times New Roman"/>
                      <w:caps w:val="0"/>
                      <w:color w:val="auto"/>
                      <w:sz w:val="21"/>
                      <w:szCs w:val="21"/>
                      <w:highlight w:val="none"/>
                      <w:u w:val="none"/>
                    </w:rPr>
                    <w:t>BOD</w:t>
                  </w:r>
                  <w:r>
                    <w:rPr>
                      <w:rFonts w:hint="default" w:ascii="Times New Roman" w:hAnsi="Times New Roman" w:eastAsia="宋体" w:cs="Times New Roman"/>
                      <w:caps w:val="0"/>
                      <w:color w:val="auto"/>
                      <w:sz w:val="21"/>
                      <w:szCs w:val="21"/>
                      <w:highlight w:val="none"/>
                      <w:u w:val="none"/>
                      <w:vertAlign w:val="subscript"/>
                    </w:rPr>
                    <w:t>5</w:t>
                  </w:r>
                  <w:r>
                    <w:rPr>
                      <w:rFonts w:hint="default" w:ascii="Times New Roman" w:hAnsi="Times New Roman" w:eastAsia="宋体" w:cs="Times New Roman"/>
                      <w:caps w:val="0"/>
                      <w:color w:val="auto"/>
                      <w:sz w:val="21"/>
                      <w:szCs w:val="21"/>
                      <w:highlight w:val="none"/>
                      <w:u w:val="none"/>
                      <w:vertAlign w:val="superscript"/>
                    </w:rPr>
                    <w:t>a</w:t>
                  </w:r>
                </w:p>
              </w:tc>
              <w:tc>
                <w:tcPr>
                  <w:tcW w:w="2707" w:type="dxa"/>
                  <w:tcBorders>
                    <w:tl2br w:val="nil"/>
                    <w:tr2bl w:val="nil"/>
                  </w:tcBorders>
                  <w:noWrap w:val="0"/>
                  <w:vAlign w:val="center"/>
                </w:tcPr>
                <w:p w14:paraId="3AA380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5EF63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123</w:t>
                  </w:r>
                </w:p>
              </w:tc>
            </w:tr>
            <w:tr w14:paraId="44C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04D8A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NH</w:t>
                  </w:r>
                  <w:r>
                    <w:rPr>
                      <w:rFonts w:hint="default" w:ascii="Times New Roman" w:hAnsi="Times New Roman" w:eastAsia="宋体" w:cs="Times New Roman"/>
                      <w:caps w:val="0"/>
                      <w:color w:val="auto"/>
                      <w:sz w:val="21"/>
                      <w:szCs w:val="21"/>
                      <w:highlight w:val="none"/>
                      <w:u w:val="none"/>
                      <w:vertAlign w:val="subscript"/>
                    </w:rPr>
                    <w:t>3</w:t>
                  </w:r>
                  <w:r>
                    <w:rPr>
                      <w:rFonts w:hint="default" w:ascii="Times New Roman" w:hAnsi="Times New Roman" w:eastAsia="宋体" w:cs="Times New Roman"/>
                      <w:caps w:val="0"/>
                      <w:color w:val="auto"/>
                      <w:sz w:val="21"/>
                      <w:szCs w:val="21"/>
                      <w:highlight w:val="none"/>
                      <w:u w:val="none"/>
                    </w:rPr>
                    <w:t>-N</w:t>
                  </w:r>
                </w:p>
              </w:tc>
              <w:tc>
                <w:tcPr>
                  <w:tcW w:w="2707" w:type="dxa"/>
                  <w:tcBorders>
                    <w:tl2br w:val="nil"/>
                    <w:tr2bl w:val="nil"/>
                  </w:tcBorders>
                  <w:noWrap w:val="0"/>
                  <w:vAlign w:val="center"/>
                </w:tcPr>
                <w:p w14:paraId="78825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69746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28.3</w:t>
                  </w:r>
                </w:p>
              </w:tc>
            </w:tr>
            <w:tr w14:paraId="0DD7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05" w:type="dxa"/>
                  <w:tcBorders>
                    <w:tl2br w:val="nil"/>
                    <w:tr2bl w:val="nil"/>
                  </w:tcBorders>
                  <w:noWrap w:val="0"/>
                  <w:vAlign w:val="center"/>
                </w:tcPr>
                <w:p w14:paraId="7C90D9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vertAlign w:val="superscript"/>
                    </w:rPr>
                  </w:pPr>
                  <w:r>
                    <w:rPr>
                      <w:rFonts w:hint="default" w:ascii="Times New Roman" w:hAnsi="Times New Roman" w:eastAsia="宋体" w:cs="Times New Roman"/>
                      <w:caps w:val="0"/>
                      <w:color w:val="auto"/>
                      <w:sz w:val="21"/>
                      <w:szCs w:val="21"/>
                      <w:highlight w:val="none"/>
                      <w:u w:val="none"/>
                    </w:rPr>
                    <w:t>SS</w:t>
                  </w:r>
                  <w:r>
                    <w:rPr>
                      <w:rFonts w:hint="default" w:ascii="Times New Roman" w:hAnsi="Times New Roman" w:eastAsia="宋体" w:cs="Times New Roman"/>
                      <w:caps w:val="0"/>
                      <w:color w:val="auto"/>
                      <w:sz w:val="21"/>
                      <w:szCs w:val="21"/>
                      <w:highlight w:val="none"/>
                      <w:u w:val="none"/>
                      <w:vertAlign w:val="superscript"/>
                    </w:rPr>
                    <w:t>b</w:t>
                  </w:r>
                </w:p>
              </w:tc>
              <w:tc>
                <w:tcPr>
                  <w:tcW w:w="2707" w:type="dxa"/>
                  <w:tcBorders>
                    <w:tl2br w:val="nil"/>
                    <w:tr2bl w:val="nil"/>
                  </w:tcBorders>
                  <w:noWrap w:val="0"/>
                  <w:vAlign w:val="center"/>
                </w:tcPr>
                <w:p w14:paraId="5B0EA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mg/L</w:t>
                  </w:r>
                </w:p>
              </w:tc>
              <w:tc>
                <w:tcPr>
                  <w:tcW w:w="2707" w:type="dxa"/>
                  <w:tcBorders>
                    <w:tl2br w:val="nil"/>
                    <w:tr2bl w:val="nil"/>
                  </w:tcBorders>
                  <w:noWrap w:val="0"/>
                  <w:vAlign w:val="center"/>
                </w:tcPr>
                <w:p w14:paraId="6B560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150</w:t>
                  </w:r>
                </w:p>
              </w:tc>
            </w:tr>
            <w:tr w14:paraId="3B2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119" w:type="dxa"/>
                  <w:gridSpan w:val="3"/>
                  <w:tcBorders>
                    <w:tl2br w:val="nil"/>
                    <w:tr2bl w:val="nil"/>
                  </w:tcBorders>
                  <w:noWrap w:val="0"/>
                  <w:vAlign w:val="center"/>
                </w:tcPr>
                <w:p w14:paraId="17153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注：a</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五日生化需氧量参考《第二次全国污染源普查产排污核算系数手册—生活污染源产排污系数手册》中的“五区-镇区”的产污系数平均值。</w:t>
                  </w:r>
                  <w:r>
                    <w:rPr>
                      <w:rFonts w:hint="default" w:ascii="Times New Roman" w:hAnsi="Times New Roman" w:eastAsia="宋体" w:cs="Times New Roman"/>
                      <w:caps w:val="0"/>
                      <w:color w:val="auto"/>
                      <w:sz w:val="21"/>
                      <w:szCs w:val="21"/>
                      <w:highlight w:val="none"/>
                      <w:u w:val="none"/>
                      <w:lang w:val="en-US" w:eastAsia="zh-CN"/>
                    </w:rPr>
                    <w:t>b</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悬浮物为类比其他同类项目。</w:t>
                  </w:r>
                </w:p>
              </w:tc>
            </w:tr>
          </w:tbl>
          <w:p w14:paraId="03CFD4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rPr>
            </w:pPr>
            <w:r>
              <w:rPr>
                <w:rFonts w:hint="default" w:ascii="Times New Roman" w:hAnsi="Times New Roman" w:eastAsia="宋体" w:cs="Times New Roman"/>
                <w:caps w:val="0"/>
                <w:color w:val="auto"/>
                <w:sz w:val="24"/>
                <w:szCs w:val="24"/>
                <w:highlight w:val="none"/>
                <w:u w:val="none"/>
                <w:lang w:val="en-US" w:eastAsia="zh-CN"/>
              </w:rPr>
              <w:t>本项目新增职工不在厂区食宿，</w:t>
            </w:r>
            <w:r>
              <w:rPr>
                <w:rFonts w:hint="default" w:ascii="Times New Roman" w:hAnsi="Times New Roman" w:eastAsia="宋体" w:cs="Times New Roman"/>
                <w:caps w:val="0"/>
                <w:color w:val="auto"/>
                <w:sz w:val="24"/>
                <w:szCs w:val="24"/>
                <w:highlight w:val="none"/>
                <w:u w:val="none"/>
              </w:rPr>
              <w:t>按日用水量50L/人·d计，则生活用水量为0.</w:t>
            </w:r>
            <w:r>
              <w:rPr>
                <w:rFonts w:hint="default" w:ascii="Times New Roman" w:hAnsi="Times New Roman" w:eastAsia="宋体" w:cs="Times New Roman"/>
                <w:caps w:val="0"/>
                <w:color w:val="auto"/>
                <w:sz w:val="24"/>
                <w:szCs w:val="24"/>
                <w:highlight w:val="none"/>
                <w:u w:val="none"/>
                <w:lang w:val="en-US" w:eastAsia="zh-CN"/>
              </w:rPr>
              <w:t>6</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/d（</w:t>
            </w:r>
            <w:r>
              <w:rPr>
                <w:rFonts w:hint="default" w:ascii="Times New Roman" w:hAnsi="Times New Roman" w:eastAsia="宋体" w:cs="Times New Roman"/>
                <w:caps w:val="0"/>
                <w:color w:val="auto"/>
                <w:sz w:val="24"/>
                <w:szCs w:val="24"/>
                <w:highlight w:val="none"/>
                <w:u w:val="none"/>
                <w:lang w:val="en-US" w:eastAsia="zh-CN"/>
              </w:rPr>
              <w:t>198</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/a），排放系数取0.8，则生活污水产生量为</w:t>
            </w:r>
            <w:r>
              <w:rPr>
                <w:rFonts w:hint="default" w:ascii="Times New Roman" w:hAnsi="Times New Roman" w:eastAsia="宋体" w:cs="Times New Roman"/>
                <w:caps w:val="0"/>
                <w:color w:val="auto"/>
                <w:sz w:val="24"/>
                <w:szCs w:val="24"/>
                <w:highlight w:val="none"/>
                <w:u w:val="none"/>
                <w:lang w:val="en-US" w:eastAsia="zh-CN"/>
              </w:rPr>
              <w:t>0.48</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/d（</w:t>
            </w:r>
            <w:r>
              <w:rPr>
                <w:rFonts w:hint="default" w:ascii="Times New Roman" w:hAnsi="Times New Roman" w:eastAsia="宋体" w:cs="Times New Roman"/>
                <w:caps w:val="0"/>
                <w:color w:val="auto"/>
                <w:sz w:val="24"/>
                <w:szCs w:val="24"/>
                <w:highlight w:val="none"/>
                <w:u w:val="none"/>
                <w:lang w:val="en-US" w:eastAsia="zh-CN"/>
              </w:rPr>
              <w:t>158.4</w:t>
            </w:r>
            <w:r>
              <w:rPr>
                <w:rFonts w:hint="default" w:ascii="Times New Roman" w:hAnsi="Times New Roman" w:eastAsia="宋体" w:cs="Times New Roman"/>
                <w:caps w:val="0"/>
                <w:color w:val="auto"/>
                <w:sz w:val="24"/>
                <w:szCs w:val="24"/>
                <w:highlight w:val="none"/>
                <w:u w:val="none"/>
              </w:rPr>
              <w:t>m</w:t>
            </w:r>
            <w:r>
              <w:rPr>
                <w:rFonts w:hint="default" w:ascii="Times New Roman" w:hAnsi="Times New Roman" w:eastAsia="宋体" w:cs="Times New Roman"/>
                <w:caps w:val="0"/>
                <w:color w:val="auto"/>
                <w:sz w:val="24"/>
                <w:szCs w:val="24"/>
                <w:highlight w:val="none"/>
                <w:u w:val="none"/>
                <w:vertAlign w:val="superscript"/>
              </w:rPr>
              <w:t>3</w:t>
            </w:r>
            <w:r>
              <w:rPr>
                <w:rFonts w:hint="default" w:ascii="Times New Roman" w:hAnsi="Times New Roman" w:eastAsia="宋体" w:cs="Times New Roman"/>
                <w:caps w:val="0"/>
                <w:color w:val="auto"/>
                <w:sz w:val="24"/>
                <w:szCs w:val="24"/>
                <w:highlight w:val="none"/>
                <w:u w:val="none"/>
              </w:rPr>
              <w:t>/a）。码头区域分散设置少量厕所，该类生活污水经化粪池收集后定期</w:t>
            </w:r>
            <w:r>
              <w:rPr>
                <w:rFonts w:hint="default" w:ascii="Times New Roman" w:hAnsi="Times New Roman" w:eastAsia="宋体" w:cs="Times New Roman"/>
                <w:caps w:val="0"/>
                <w:color w:val="auto"/>
                <w:sz w:val="24"/>
                <w:szCs w:val="24"/>
                <w:highlight w:val="none"/>
                <w:u w:val="none"/>
                <w:lang w:val="en-US" w:eastAsia="zh-CN"/>
              </w:rPr>
              <w:t>采用</w:t>
            </w:r>
            <w:r>
              <w:rPr>
                <w:rFonts w:hint="default" w:ascii="Times New Roman" w:hAnsi="Times New Roman" w:eastAsia="宋体" w:cs="Times New Roman"/>
                <w:caps w:val="0"/>
                <w:color w:val="auto"/>
                <w:sz w:val="24"/>
                <w:szCs w:val="24"/>
                <w:highlight w:val="none"/>
                <w:u w:val="none"/>
              </w:rPr>
              <w:t>吸粪车抽吸运输至6#泊位后方</w:t>
            </w:r>
            <w:r>
              <w:rPr>
                <w:rFonts w:hint="default" w:ascii="Times New Roman" w:hAnsi="Times New Roman" w:eastAsia="宋体" w:cs="Times New Roman"/>
                <w:caps w:val="0"/>
                <w:color w:val="auto"/>
                <w:sz w:val="24"/>
                <w:szCs w:val="24"/>
                <w:highlight w:val="none"/>
                <w:u w:val="none"/>
                <w:lang w:val="en-US" w:eastAsia="zh-CN"/>
              </w:rPr>
              <w:t>污水井（15m</w:t>
            </w:r>
            <w:r>
              <w:rPr>
                <w:rFonts w:hint="default" w:ascii="Times New Roman" w:hAnsi="Times New Roman" w:eastAsia="宋体" w:cs="Times New Roman"/>
                <w:caps w:val="0"/>
                <w:color w:val="auto"/>
                <w:sz w:val="24"/>
                <w:szCs w:val="24"/>
                <w:highlight w:val="none"/>
                <w:u w:val="none"/>
                <w:vertAlign w:val="superscript"/>
                <w:lang w:val="en-US" w:eastAsia="zh-CN"/>
              </w:rPr>
              <w:t>3</w:t>
            </w:r>
            <w:r>
              <w:rPr>
                <w:rFonts w:hint="default" w:ascii="Times New Roman" w:hAnsi="Times New Roman" w:eastAsia="宋体" w:cs="Times New Roman"/>
                <w:caps w:val="0"/>
                <w:color w:val="auto"/>
                <w:sz w:val="24"/>
                <w:szCs w:val="24"/>
                <w:highlight w:val="none"/>
                <w:u w:val="none"/>
                <w:lang w:val="en-US" w:eastAsia="zh-CN"/>
              </w:rPr>
              <w:t>），</w:t>
            </w:r>
            <w:r>
              <w:rPr>
                <w:rFonts w:hint="default" w:ascii="Times New Roman" w:hAnsi="Times New Roman" w:eastAsia="宋体" w:cs="Times New Roman"/>
                <w:caps w:val="0"/>
                <w:color w:val="auto"/>
                <w:sz w:val="24"/>
                <w:szCs w:val="24"/>
                <w:highlight w:val="none"/>
                <w:u w:val="none"/>
              </w:rPr>
              <w:t>接入市政污水管道，排入大榄坪污水处理厂</w:t>
            </w:r>
            <w:r>
              <w:rPr>
                <w:rFonts w:hint="default" w:ascii="Times New Roman" w:hAnsi="Times New Roman" w:eastAsia="宋体" w:cs="Times New Roman"/>
                <w:caps w:val="0"/>
                <w:color w:val="auto"/>
                <w:sz w:val="24"/>
                <w:szCs w:val="24"/>
                <w:highlight w:val="none"/>
                <w:u w:val="none"/>
                <w:lang w:val="en-US" w:eastAsia="zh-CN"/>
              </w:rPr>
              <w:t>。</w:t>
            </w:r>
            <w:r>
              <w:rPr>
                <w:rFonts w:hint="default" w:ascii="Times New Roman" w:hAnsi="Times New Roman" w:eastAsia="宋体" w:cs="Times New Roman"/>
                <w:caps w:val="0"/>
                <w:color w:val="auto"/>
                <w:sz w:val="24"/>
                <w:szCs w:val="24"/>
                <w:highlight w:val="none"/>
                <w:u w:val="none"/>
              </w:rPr>
              <w:t>6#泊位后方现有宿舍楼生活污水经化粪池收集后</w:t>
            </w:r>
            <w:r>
              <w:rPr>
                <w:rFonts w:hint="default" w:ascii="Times New Roman" w:hAnsi="Times New Roman" w:eastAsia="宋体" w:cs="Times New Roman"/>
                <w:caps w:val="0"/>
                <w:color w:val="auto"/>
                <w:sz w:val="24"/>
                <w:szCs w:val="24"/>
                <w:highlight w:val="none"/>
                <w:u w:val="none"/>
                <w:lang w:eastAsia="zh-CN"/>
              </w:rPr>
              <w:t>，</w:t>
            </w:r>
            <w:r>
              <w:rPr>
                <w:rFonts w:hint="default" w:ascii="Times New Roman" w:hAnsi="Times New Roman" w:eastAsia="宋体" w:cs="Times New Roman"/>
                <w:caps w:val="0"/>
                <w:color w:val="auto"/>
                <w:sz w:val="24"/>
                <w:szCs w:val="24"/>
                <w:highlight w:val="none"/>
                <w:u w:val="none"/>
              </w:rPr>
              <w:t>接入市政污水管道，排入大榄坪污水处理厂</w:t>
            </w:r>
            <w:r>
              <w:rPr>
                <w:rFonts w:hint="default" w:ascii="Times New Roman" w:hAnsi="Times New Roman" w:eastAsia="宋体" w:cs="Times New Roman"/>
                <w:bCs/>
                <w:caps w:val="0"/>
                <w:color w:val="auto"/>
                <w:sz w:val="24"/>
                <w:szCs w:val="24"/>
                <w:highlight w:val="none"/>
                <w:u w:val="none"/>
              </w:rPr>
              <w:t>。</w:t>
            </w:r>
            <w:r>
              <w:rPr>
                <w:rFonts w:hint="default" w:ascii="Times New Roman" w:hAnsi="Times New Roman" w:eastAsia="宋体" w:cs="Times New Roman"/>
                <w:bCs/>
                <w:caps w:val="0"/>
                <w:color w:val="auto"/>
                <w:sz w:val="24"/>
                <w:szCs w:val="24"/>
                <w:highlight w:val="none"/>
                <w:u w:val="none"/>
                <w:lang w:val="en-US" w:eastAsia="zh-CN"/>
              </w:rPr>
              <w:t>项目</w:t>
            </w:r>
            <w:r>
              <w:rPr>
                <w:rFonts w:hint="default" w:ascii="Times New Roman" w:hAnsi="Times New Roman" w:eastAsia="宋体" w:cs="Times New Roman"/>
                <w:caps w:val="0"/>
                <w:color w:val="auto"/>
                <w:sz w:val="24"/>
                <w:szCs w:val="24"/>
                <w:highlight w:val="none"/>
                <w:u w:val="none"/>
              </w:rPr>
              <w:t>生活污水产生及排放情况下表。</w:t>
            </w:r>
          </w:p>
          <w:p w14:paraId="06386E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color w:val="auto"/>
                <w:sz w:val="24"/>
                <w:szCs w:val="24"/>
                <w:highlight w:val="none"/>
                <w:u w:val="none"/>
              </w:rPr>
            </w:pPr>
            <w:r>
              <w:rPr>
                <w:rFonts w:hint="default" w:ascii="Times New Roman" w:hAnsi="Times New Roman" w:eastAsia="宋体" w:cs="Times New Roman"/>
                <w:b/>
                <w:bCs/>
                <w:caps w:val="0"/>
                <w:color w:val="auto"/>
                <w:sz w:val="24"/>
                <w:szCs w:val="24"/>
                <w:highlight w:val="none"/>
                <w:u w:val="none"/>
              </w:rPr>
              <w:t>表</w:t>
            </w:r>
            <w:r>
              <w:rPr>
                <w:rFonts w:hint="eastAsia" w:ascii="Times New Roman" w:hAnsi="Times New Roman" w:cs="Times New Roman"/>
                <w:b/>
                <w:bCs/>
                <w:caps w:val="0"/>
                <w:color w:val="auto"/>
                <w:sz w:val="24"/>
                <w:szCs w:val="24"/>
                <w:highlight w:val="none"/>
                <w:u w:val="none"/>
                <w:lang w:val="en-US" w:eastAsia="zh-CN"/>
              </w:rPr>
              <w:t>4</w:t>
            </w:r>
            <w:r>
              <w:rPr>
                <w:rFonts w:hint="default" w:ascii="Times New Roman" w:hAnsi="Times New Roman" w:eastAsia="宋体" w:cs="Times New Roman"/>
                <w:b/>
                <w:bCs/>
                <w:caps w:val="0"/>
                <w:color w:val="auto"/>
                <w:sz w:val="24"/>
                <w:szCs w:val="24"/>
                <w:highlight w:val="none"/>
                <w:u w:val="none"/>
              </w:rPr>
              <w:t>-</w:t>
            </w:r>
            <w:r>
              <w:rPr>
                <w:rFonts w:hint="eastAsia" w:ascii="Times New Roman" w:hAnsi="Times New Roman" w:cs="Times New Roman"/>
                <w:b/>
                <w:bCs/>
                <w:caps w:val="0"/>
                <w:color w:val="auto"/>
                <w:sz w:val="24"/>
                <w:szCs w:val="24"/>
                <w:highlight w:val="none"/>
                <w:u w:val="none"/>
                <w:lang w:val="en-US" w:eastAsia="zh-CN"/>
              </w:rPr>
              <w:t>11</w:t>
            </w:r>
            <w:r>
              <w:rPr>
                <w:rFonts w:hint="default" w:ascii="Times New Roman" w:hAnsi="Times New Roman" w:eastAsia="宋体" w:cs="Times New Roman"/>
                <w:b/>
                <w:bCs/>
                <w:caps w:val="0"/>
                <w:color w:val="auto"/>
                <w:sz w:val="24"/>
                <w:szCs w:val="24"/>
                <w:highlight w:val="none"/>
                <w:u w:val="none"/>
                <w:lang w:val="en-US" w:eastAsia="zh-CN"/>
              </w:rPr>
              <w:t>项目新增</w:t>
            </w:r>
            <w:r>
              <w:rPr>
                <w:rFonts w:hint="default" w:ascii="Times New Roman" w:hAnsi="Times New Roman" w:eastAsia="宋体" w:cs="Times New Roman"/>
                <w:b/>
                <w:bCs/>
                <w:caps w:val="0"/>
                <w:color w:val="auto"/>
                <w:sz w:val="24"/>
                <w:szCs w:val="24"/>
                <w:highlight w:val="none"/>
                <w:u w:val="none"/>
              </w:rPr>
              <w:t>生活污水产排情况一览表</w:t>
            </w:r>
          </w:p>
          <w:tbl>
            <w:tblPr>
              <w:tblStyle w:val="46"/>
              <w:tblW w:w="82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91"/>
              <w:gridCol w:w="1670"/>
              <w:gridCol w:w="914"/>
              <w:gridCol w:w="1014"/>
              <w:gridCol w:w="832"/>
              <w:gridCol w:w="980"/>
              <w:gridCol w:w="682"/>
              <w:gridCol w:w="1233"/>
            </w:tblGrid>
            <w:tr w14:paraId="346D7A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891" w:type="dxa"/>
                  <w:noWrap w:val="0"/>
                  <w:vAlign w:val="center"/>
                </w:tcPr>
                <w:p w14:paraId="784AA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污水量</w:t>
                  </w:r>
                </w:p>
              </w:tc>
              <w:tc>
                <w:tcPr>
                  <w:tcW w:w="1670" w:type="dxa"/>
                  <w:noWrap w:val="0"/>
                  <w:vAlign w:val="center"/>
                </w:tcPr>
                <w:p w14:paraId="01A811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污染物</w:t>
                  </w:r>
                </w:p>
              </w:tc>
              <w:tc>
                <w:tcPr>
                  <w:tcW w:w="914" w:type="dxa"/>
                  <w:noWrap w:val="0"/>
                  <w:vAlign w:val="center"/>
                </w:tcPr>
                <w:p w14:paraId="6D3D0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COD</w:t>
                  </w:r>
                  <w:r>
                    <w:rPr>
                      <w:rFonts w:hint="default" w:ascii="Times New Roman" w:hAnsi="Times New Roman" w:eastAsia="宋体" w:cs="Times New Roman"/>
                      <w:b/>
                      <w:caps w:val="0"/>
                      <w:color w:val="auto"/>
                      <w:sz w:val="21"/>
                      <w:szCs w:val="21"/>
                      <w:highlight w:val="none"/>
                      <w:u w:val="none"/>
                      <w:vertAlign w:val="subscript"/>
                    </w:rPr>
                    <w:t>cr</w:t>
                  </w:r>
                </w:p>
              </w:tc>
              <w:tc>
                <w:tcPr>
                  <w:tcW w:w="1014" w:type="dxa"/>
                  <w:noWrap w:val="0"/>
                  <w:vAlign w:val="center"/>
                </w:tcPr>
                <w:p w14:paraId="6E8F49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BOD</w:t>
                  </w:r>
                  <w:r>
                    <w:rPr>
                      <w:rFonts w:hint="default" w:ascii="Times New Roman" w:hAnsi="Times New Roman" w:eastAsia="宋体" w:cs="Times New Roman"/>
                      <w:b/>
                      <w:caps w:val="0"/>
                      <w:color w:val="auto"/>
                      <w:sz w:val="21"/>
                      <w:szCs w:val="21"/>
                      <w:highlight w:val="none"/>
                      <w:u w:val="none"/>
                      <w:vertAlign w:val="subscript"/>
                    </w:rPr>
                    <w:t>5</w:t>
                  </w:r>
                </w:p>
              </w:tc>
              <w:tc>
                <w:tcPr>
                  <w:tcW w:w="832" w:type="dxa"/>
                  <w:noWrap w:val="0"/>
                  <w:vAlign w:val="center"/>
                </w:tcPr>
                <w:p w14:paraId="7B5C90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SS</w:t>
                  </w:r>
                </w:p>
              </w:tc>
              <w:tc>
                <w:tcPr>
                  <w:tcW w:w="980" w:type="dxa"/>
                  <w:noWrap w:val="0"/>
                  <w:vAlign w:val="center"/>
                </w:tcPr>
                <w:p w14:paraId="11AFD0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NH</w:t>
                  </w:r>
                  <w:r>
                    <w:rPr>
                      <w:rFonts w:hint="default" w:ascii="Times New Roman" w:hAnsi="Times New Roman" w:eastAsia="宋体" w:cs="Times New Roman"/>
                      <w:b/>
                      <w:caps w:val="0"/>
                      <w:color w:val="auto"/>
                      <w:sz w:val="21"/>
                      <w:szCs w:val="21"/>
                      <w:highlight w:val="none"/>
                      <w:u w:val="none"/>
                      <w:vertAlign w:val="subscript"/>
                    </w:rPr>
                    <w:t>3</w:t>
                  </w:r>
                  <w:r>
                    <w:rPr>
                      <w:rFonts w:hint="default" w:ascii="Times New Roman" w:hAnsi="Times New Roman" w:eastAsia="宋体" w:cs="Times New Roman"/>
                      <w:b/>
                      <w:caps w:val="0"/>
                      <w:color w:val="auto"/>
                      <w:sz w:val="21"/>
                      <w:szCs w:val="21"/>
                      <w:highlight w:val="none"/>
                      <w:u w:val="none"/>
                    </w:rPr>
                    <w:t>-N</w:t>
                  </w:r>
                </w:p>
              </w:tc>
              <w:tc>
                <w:tcPr>
                  <w:tcW w:w="682" w:type="dxa"/>
                  <w:noWrap w:val="0"/>
                  <w:vAlign w:val="center"/>
                </w:tcPr>
                <w:p w14:paraId="5BA9FA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治理措施</w:t>
                  </w:r>
                </w:p>
              </w:tc>
              <w:tc>
                <w:tcPr>
                  <w:tcW w:w="1233" w:type="dxa"/>
                  <w:noWrap w:val="0"/>
                  <w:vAlign w:val="center"/>
                </w:tcPr>
                <w:p w14:paraId="510A8C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color w:val="auto"/>
                      <w:sz w:val="21"/>
                      <w:szCs w:val="21"/>
                      <w:highlight w:val="none"/>
                      <w:u w:val="none"/>
                    </w:rPr>
                  </w:pPr>
                  <w:r>
                    <w:rPr>
                      <w:rFonts w:hint="default" w:ascii="Times New Roman" w:hAnsi="Times New Roman" w:eastAsia="宋体" w:cs="Times New Roman"/>
                      <w:b/>
                      <w:caps w:val="0"/>
                      <w:color w:val="auto"/>
                      <w:sz w:val="21"/>
                      <w:szCs w:val="21"/>
                      <w:highlight w:val="none"/>
                      <w:u w:val="none"/>
                    </w:rPr>
                    <w:t>排放方式</w:t>
                  </w:r>
                </w:p>
              </w:tc>
            </w:tr>
            <w:tr w14:paraId="6D0AE1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restart"/>
                  <w:noWrap w:val="0"/>
                  <w:vAlign w:val="center"/>
                </w:tcPr>
                <w:p w14:paraId="14886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158.4</w:t>
                  </w:r>
                  <w:r>
                    <w:rPr>
                      <w:rFonts w:hint="default" w:ascii="Times New Roman" w:hAnsi="Times New Roman" w:eastAsia="宋体" w:cs="Times New Roman"/>
                      <w:caps w:val="0"/>
                      <w:color w:val="auto"/>
                      <w:sz w:val="21"/>
                      <w:szCs w:val="21"/>
                      <w:highlight w:val="none"/>
                      <w:u w:val="none"/>
                    </w:rPr>
                    <w:t>m</w:t>
                  </w:r>
                  <w:r>
                    <w:rPr>
                      <w:rFonts w:hint="default" w:ascii="Times New Roman" w:hAnsi="Times New Roman" w:eastAsia="宋体" w:cs="Times New Roman"/>
                      <w:caps w:val="0"/>
                      <w:color w:val="auto"/>
                      <w:sz w:val="21"/>
                      <w:szCs w:val="21"/>
                      <w:highlight w:val="none"/>
                      <w:u w:val="none"/>
                      <w:vertAlign w:val="superscript"/>
                    </w:rPr>
                    <w:t>3</w:t>
                  </w:r>
                  <w:r>
                    <w:rPr>
                      <w:rFonts w:hint="default" w:ascii="Times New Roman" w:hAnsi="Times New Roman" w:eastAsia="宋体" w:cs="Times New Roman"/>
                      <w:caps w:val="0"/>
                      <w:color w:val="auto"/>
                      <w:sz w:val="21"/>
                      <w:szCs w:val="21"/>
                      <w:highlight w:val="none"/>
                      <w:u w:val="none"/>
                    </w:rPr>
                    <w:t>/a</w:t>
                  </w:r>
                </w:p>
              </w:tc>
              <w:tc>
                <w:tcPr>
                  <w:tcW w:w="1670" w:type="dxa"/>
                  <w:noWrap w:val="0"/>
                  <w:vAlign w:val="center"/>
                </w:tcPr>
                <w:p w14:paraId="585798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产生浓度</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mg/L</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224E7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285</w:t>
                  </w:r>
                </w:p>
              </w:tc>
              <w:tc>
                <w:tcPr>
                  <w:tcW w:w="1014" w:type="dxa"/>
                  <w:noWrap w:val="0"/>
                  <w:vAlign w:val="center"/>
                </w:tcPr>
                <w:p w14:paraId="6D29F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123</w:t>
                  </w:r>
                </w:p>
              </w:tc>
              <w:tc>
                <w:tcPr>
                  <w:tcW w:w="832" w:type="dxa"/>
                  <w:noWrap w:val="0"/>
                  <w:vAlign w:val="center"/>
                </w:tcPr>
                <w:p w14:paraId="7C0AF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150</w:t>
                  </w:r>
                </w:p>
              </w:tc>
              <w:tc>
                <w:tcPr>
                  <w:tcW w:w="980" w:type="dxa"/>
                  <w:noWrap w:val="0"/>
                  <w:vAlign w:val="center"/>
                </w:tcPr>
                <w:p w14:paraId="6162DB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28.3</w:t>
                  </w:r>
                </w:p>
              </w:tc>
              <w:tc>
                <w:tcPr>
                  <w:tcW w:w="682" w:type="dxa"/>
                  <w:vMerge w:val="restart"/>
                  <w:noWrap w:val="0"/>
                  <w:vAlign w:val="center"/>
                </w:tcPr>
                <w:p w14:paraId="33E1DE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三级化粪池</w:t>
                  </w:r>
                </w:p>
              </w:tc>
              <w:tc>
                <w:tcPr>
                  <w:tcW w:w="1233" w:type="dxa"/>
                  <w:vMerge w:val="restart"/>
                  <w:noWrap w:val="0"/>
                  <w:vAlign w:val="center"/>
                </w:tcPr>
                <w:p w14:paraId="7FAD3F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排入大榄坪污水处理厂</w:t>
                  </w:r>
                </w:p>
              </w:tc>
            </w:tr>
            <w:tr w14:paraId="768BC1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439C4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1117C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产生量</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t/a</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2FE0B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0.0451</w:t>
                  </w:r>
                </w:p>
              </w:tc>
              <w:tc>
                <w:tcPr>
                  <w:tcW w:w="1014" w:type="dxa"/>
                  <w:noWrap w:val="0"/>
                  <w:vAlign w:val="center"/>
                </w:tcPr>
                <w:p w14:paraId="501954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0.0195</w:t>
                  </w:r>
                </w:p>
              </w:tc>
              <w:tc>
                <w:tcPr>
                  <w:tcW w:w="832" w:type="dxa"/>
                  <w:noWrap w:val="0"/>
                  <w:vAlign w:val="center"/>
                </w:tcPr>
                <w:p w14:paraId="207A7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0.0238</w:t>
                  </w:r>
                </w:p>
              </w:tc>
              <w:tc>
                <w:tcPr>
                  <w:tcW w:w="980" w:type="dxa"/>
                  <w:noWrap w:val="0"/>
                  <w:vAlign w:val="center"/>
                </w:tcPr>
                <w:p w14:paraId="29BCD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0.0045</w:t>
                  </w:r>
                </w:p>
              </w:tc>
              <w:tc>
                <w:tcPr>
                  <w:tcW w:w="682" w:type="dxa"/>
                  <w:vMerge w:val="continue"/>
                  <w:noWrap w:val="0"/>
                  <w:vAlign w:val="center"/>
                </w:tcPr>
                <w:p w14:paraId="66B3C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7699B1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3E4881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24790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59659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排放浓度</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mg/L</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17E00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191</w:t>
                  </w:r>
                </w:p>
              </w:tc>
              <w:tc>
                <w:tcPr>
                  <w:tcW w:w="1014" w:type="dxa"/>
                  <w:noWrap w:val="0"/>
                  <w:vAlign w:val="center"/>
                </w:tcPr>
                <w:p w14:paraId="26B6F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82</w:t>
                  </w:r>
                </w:p>
              </w:tc>
              <w:tc>
                <w:tcPr>
                  <w:tcW w:w="832" w:type="dxa"/>
                  <w:noWrap w:val="0"/>
                  <w:vAlign w:val="center"/>
                </w:tcPr>
                <w:p w14:paraId="1BC1C5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45</w:t>
                  </w:r>
                </w:p>
              </w:tc>
              <w:tc>
                <w:tcPr>
                  <w:tcW w:w="980" w:type="dxa"/>
                  <w:noWrap w:val="0"/>
                  <w:vAlign w:val="center"/>
                </w:tcPr>
                <w:p w14:paraId="257E4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w:t>
                  </w:r>
                </w:p>
              </w:tc>
              <w:tc>
                <w:tcPr>
                  <w:tcW w:w="682" w:type="dxa"/>
                  <w:vMerge w:val="continue"/>
                  <w:noWrap w:val="0"/>
                  <w:vAlign w:val="center"/>
                </w:tcPr>
                <w:p w14:paraId="19B55F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5D3547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08B7AE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91" w:type="dxa"/>
                  <w:vMerge w:val="continue"/>
                  <w:noWrap w:val="0"/>
                  <w:vAlign w:val="center"/>
                </w:tcPr>
                <w:p w14:paraId="0DF2D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670" w:type="dxa"/>
                  <w:noWrap w:val="0"/>
                  <w:vAlign w:val="center"/>
                </w:tcPr>
                <w:p w14:paraId="690846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排放量</w:t>
                  </w:r>
                  <w:r>
                    <w:rPr>
                      <w:rFonts w:hint="eastAsia" w:ascii="Times New Roman" w:hAnsi="Times New Roman"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rPr>
                    <w:t>t/a</w:t>
                  </w:r>
                  <w:r>
                    <w:rPr>
                      <w:rFonts w:hint="eastAsia" w:ascii="Times New Roman" w:hAnsi="Times New Roman" w:cs="Times New Roman"/>
                      <w:caps w:val="0"/>
                      <w:color w:val="auto"/>
                      <w:sz w:val="21"/>
                      <w:szCs w:val="21"/>
                      <w:highlight w:val="none"/>
                      <w:u w:val="none"/>
                      <w:lang w:eastAsia="zh-CN"/>
                    </w:rPr>
                    <w:t>）</w:t>
                  </w:r>
                </w:p>
              </w:tc>
              <w:tc>
                <w:tcPr>
                  <w:tcW w:w="914" w:type="dxa"/>
                  <w:noWrap w:val="0"/>
                  <w:vAlign w:val="center"/>
                </w:tcPr>
                <w:p w14:paraId="384BA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0.0303</w:t>
                  </w:r>
                </w:p>
              </w:tc>
              <w:tc>
                <w:tcPr>
                  <w:tcW w:w="1014" w:type="dxa"/>
                  <w:noWrap w:val="0"/>
                  <w:vAlign w:val="center"/>
                </w:tcPr>
                <w:p w14:paraId="5157F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p>
              </w:tc>
              <w:tc>
                <w:tcPr>
                  <w:tcW w:w="832" w:type="dxa"/>
                  <w:noWrap w:val="0"/>
                  <w:vAlign w:val="center"/>
                </w:tcPr>
                <w:p w14:paraId="4FDB1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p>
              </w:tc>
              <w:tc>
                <w:tcPr>
                  <w:tcW w:w="980" w:type="dxa"/>
                  <w:noWrap w:val="0"/>
                  <w:vAlign w:val="center"/>
                </w:tcPr>
                <w:p w14:paraId="3E393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0.0044</w:t>
                  </w:r>
                </w:p>
              </w:tc>
              <w:tc>
                <w:tcPr>
                  <w:tcW w:w="682" w:type="dxa"/>
                  <w:vMerge w:val="continue"/>
                  <w:noWrap w:val="0"/>
                  <w:vAlign w:val="center"/>
                </w:tcPr>
                <w:p w14:paraId="7F027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c>
                <w:tcPr>
                  <w:tcW w:w="1233" w:type="dxa"/>
                  <w:vMerge w:val="continue"/>
                  <w:noWrap w:val="0"/>
                  <w:vAlign w:val="center"/>
                </w:tcPr>
                <w:p w14:paraId="1FE37F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p>
              </w:tc>
            </w:tr>
            <w:tr w14:paraId="130315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561" w:type="dxa"/>
                  <w:gridSpan w:val="2"/>
                  <w:noWrap w:val="0"/>
                  <w:vAlign w:val="center"/>
                </w:tcPr>
                <w:p w14:paraId="3898C3E8">
                  <w:pPr>
                    <w:keepNext w:val="0"/>
                    <w:keepLines w:val="0"/>
                    <w:pageBreakBefore w:val="0"/>
                    <w:suppressLineNumbers w:val="0"/>
                    <w:tabs>
                      <w:tab w:val="left" w:pos="5184"/>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《污水综合排放标准》（GB8978-1996）三级标准（mg/l）</w:t>
                  </w:r>
                </w:p>
              </w:tc>
              <w:tc>
                <w:tcPr>
                  <w:tcW w:w="914" w:type="dxa"/>
                  <w:noWrap w:val="0"/>
                  <w:vAlign w:val="center"/>
                </w:tcPr>
                <w:p w14:paraId="7BF72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5</w:t>
                  </w:r>
                  <w:r>
                    <w:rPr>
                      <w:rFonts w:hint="default" w:ascii="Times New Roman" w:hAnsi="Times New Roman" w:eastAsia="宋体" w:cs="Times New Roman"/>
                      <w:caps w:val="0"/>
                      <w:color w:val="auto"/>
                      <w:sz w:val="21"/>
                      <w:szCs w:val="21"/>
                      <w:highlight w:val="none"/>
                      <w:u w:val="none"/>
                    </w:rPr>
                    <w:t>00</w:t>
                  </w:r>
                </w:p>
              </w:tc>
              <w:tc>
                <w:tcPr>
                  <w:tcW w:w="1014" w:type="dxa"/>
                  <w:noWrap w:val="0"/>
                  <w:vAlign w:val="center"/>
                </w:tcPr>
                <w:p w14:paraId="556B92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3</w:t>
                  </w:r>
                  <w:r>
                    <w:rPr>
                      <w:rFonts w:hint="default" w:ascii="Times New Roman" w:hAnsi="Times New Roman" w:eastAsia="宋体" w:cs="Times New Roman"/>
                      <w:caps w:val="0"/>
                      <w:color w:val="auto"/>
                      <w:sz w:val="21"/>
                      <w:szCs w:val="21"/>
                      <w:highlight w:val="none"/>
                      <w:u w:val="none"/>
                    </w:rPr>
                    <w:t>00</w:t>
                  </w:r>
                </w:p>
              </w:tc>
              <w:tc>
                <w:tcPr>
                  <w:tcW w:w="832" w:type="dxa"/>
                  <w:noWrap w:val="0"/>
                  <w:vAlign w:val="center"/>
                </w:tcPr>
                <w:p w14:paraId="54B3D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lang w:val="en-US" w:eastAsia="zh-CN"/>
                    </w:rPr>
                    <w:t>4</w:t>
                  </w:r>
                  <w:r>
                    <w:rPr>
                      <w:rFonts w:hint="default" w:ascii="Times New Roman" w:hAnsi="Times New Roman" w:eastAsia="宋体" w:cs="Times New Roman"/>
                      <w:caps w:val="0"/>
                      <w:color w:val="auto"/>
                      <w:sz w:val="21"/>
                      <w:szCs w:val="21"/>
                      <w:highlight w:val="none"/>
                      <w:u w:val="none"/>
                    </w:rPr>
                    <w:t>00</w:t>
                  </w:r>
                </w:p>
              </w:tc>
              <w:tc>
                <w:tcPr>
                  <w:tcW w:w="980" w:type="dxa"/>
                  <w:noWrap w:val="0"/>
                  <w:vAlign w:val="center"/>
                </w:tcPr>
                <w:p w14:paraId="00655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c>
                <w:tcPr>
                  <w:tcW w:w="682" w:type="dxa"/>
                  <w:noWrap w:val="0"/>
                  <w:vAlign w:val="center"/>
                </w:tcPr>
                <w:p w14:paraId="263079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c>
                <w:tcPr>
                  <w:tcW w:w="1233" w:type="dxa"/>
                  <w:noWrap w:val="0"/>
                  <w:vAlign w:val="center"/>
                </w:tcPr>
                <w:p w14:paraId="6A1DA7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z w:val="21"/>
                      <w:szCs w:val="21"/>
                      <w:highlight w:val="none"/>
                      <w:u w:val="none"/>
                    </w:rPr>
                  </w:pPr>
                  <w:r>
                    <w:rPr>
                      <w:rFonts w:hint="default" w:ascii="Times New Roman" w:hAnsi="Times New Roman" w:eastAsia="宋体" w:cs="Times New Roman"/>
                      <w:caps w:val="0"/>
                      <w:color w:val="auto"/>
                      <w:sz w:val="21"/>
                      <w:szCs w:val="21"/>
                      <w:highlight w:val="none"/>
                      <w:u w:val="none"/>
                    </w:rPr>
                    <w:t>—</w:t>
                  </w:r>
                </w:p>
              </w:tc>
            </w:tr>
          </w:tbl>
          <w:p w14:paraId="01C7B3C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u w:val="none"/>
              </w:rPr>
              <w:t>项目</w:t>
            </w:r>
            <w:r>
              <w:rPr>
                <w:rFonts w:hint="default" w:ascii="Times New Roman" w:hAnsi="Times New Roman" w:eastAsia="宋体" w:cs="Times New Roman"/>
                <w:caps w:val="0"/>
                <w:color w:val="auto"/>
                <w:sz w:val="24"/>
                <w:szCs w:val="24"/>
                <w:highlight w:val="none"/>
                <w:u w:val="none"/>
                <w:lang w:val="en-US" w:eastAsia="zh-CN"/>
              </w:rPr>
              <w:t>新增生活污水</w:t>
            </w:r>
            <w:r>
              <w:rPr>
                <w:rFonts w:hint="default" w:ascii="Times New Roman" w:hAnsi="Times New Roman" w:eastAsia="宋体" w:cs="Times New Roman"/>
                <w:caps w:val="0"/>
                <w:color w:val="auto"/>
                <w:sz w:val="24"/>
                <w:szCs w:val="24"/>
                <w:highlight w:val="none"/>
                <w:u w:val="none"/>
              </w:rPr>
              <w:t>拟经项目</w:t>
            </w:r>
            <w:r>
              <w:rPr>
                <w:rFonts w:hint="default" w:ascii="Times New Roman" w:hAnsi="Times New Roman" w:eastAsia="宋体" w:cs="Times New Roman"/>
                <w:caps w:val="0"/>
                <w:color w:val="auto"/>
                <w:sz w:val="24"/>
                <w:szCs w:val="24"/>
                <w:highlight w:val="none"/>
                <w:u w:val="none"/>
                <w:lang w:val="en-US" w:eastAsia="zh-CN"/>
              </w:rPr>
              <w:t>现有三级化粪池预处理</w:t>
            </w:r>
            <w:r>
              <w:rPr>
                <w:rFonts w:hint="default" w:ascii="Times New Roman" w:hAnsi="Times New Roman" w:eastAsia="宋体" w:cs="Times New Roman"/>
                <w:caps w:val="0"/>
                <w:color w:val="auto"/>
                <w:sz w:val="24"/>
                <w:szCs w:val="24"/>
                <w:highlight w:val="none"/>
                <w:u w:val="none"/>
              </w:rPr>
              <w:t>达《污水综合排放标准》（GB8978-1996）三级标准</w:t>
            </w:r>
            <w:r>
              <w:rPr>
                <w:rFonts w:hint="default"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u w:val="none"/>
                <w:lang w:val="en-US" w:eastAsia="zh-CN"/>
              </w:rPr>
              <w:t>接入</w:t>
            </w:r>
            <w:r>
              <w:rPr>
                <w:rFonts w:hint="default" w:ascii="Times New Roman" w:hAnsi="Times New Roman" w:eastAsia="宋体" w:cs="Times New Roman"/>
                <w:caps w:val="0"/>
                <w:color w:val="auto"/>
                <w:sz w:val="24"/>
                <w:szCs w:val="24"/>
                <w:highlight w:val="none"/>
              </w:rPr>
              <w:t>大榄坪污水处理厂</w:t>
            </w:r>
            <w:r>
              <w:rPr>
                <w:rFonts w:hint="default" w:ascii="Times New Roman" w:hAnsi="Times New Roman" w:eastAsia="宋体" w:cs="Times New Roman"/>
                <w:caps w:val="0"/>
                <w:color w:val="auto"/>
                <w:sz w:val="24"/>
                <w:szCs w:val="24"/>
                <w:highlight w:val="none"/>
                <w:lang w:val="en-US" w:eastAsia="zh-CN"/>
              </w:rPr>
              <w:t>进一步处理。</w:t>
            </w:r>
          </w:p>
          <w:p w14:paraId="7FAF8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380" w:firstLineChars="200"/>
              <w:jc w:val="both"/>
              <w:textAlignment w:val="auto"/>
              <w:rPr>
                <w:rFonts w:hint="default" w:ascii="Times New Roman" w:hAnsi="Times New Roman" w:cs="Times New Roman"/>
                <w:bCs/>
                <w:color w:val="auto"/>
                <w:spacing w:val="-10"/>
                <w:szCs w:val="21"/>
                <w:highlight w:val="none"/>
              </w:rPr>
            </w:pPr>
          </w:p>
        </w:tc>
      </w:tr>
    </w:tbl>
    <w:p w14:paraId="547A867C">
      <w:pPr>
        <w:pStyle w:val="41"/>
        <w:jc w:val="center"/>
        <w:outlineLvl w:val="0"/>
        <w:rPr>
          <w:rFonts w:hint="default" w:ascii="Times New Roman" w:hAnsi="Times New Roman" w:eastAsia="黑体" w:cs="Times New Roman"/>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4" w:type="dxa"/>
          <w:bottom w:w="0" w:type="dxa"/>
          <w:right w:w="74" w:type="dxa"/>
        </w:tblCellMar>
      </w:tblPr>
      <w:tblGrid>
        <w:gridCol w:w="522"/>
        <w:gridCol w:w="12638"/>
      </w:tblGrid>
      <w:tr w14:paraId="586A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421" w:hRule="atLeast"/>
        </w:trPr>
        <w:tc>
          <w:tcPr>
            <w:tcW w:w="545" w:type="dxa"/>
            <w:vAlign w:val="center"/>
          </w:tcPr>
          <w:p w14:paraId="36975D4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vertAlign w:val="baseline"/>
                <w:lang w:val="en-US" w:eastAsia="zh-CN" w:bidi="ar-SA"/>
              </w:rPr>
            </w:pPr>
            <w:r>
              <w:rPr>
                <w:rFonts w:hint="default" w:ascii="Times New Roman" w:hAnsi="Times New Roman" w:eastAsia="宋体" w:cs="Times New Roman"/>
                <w:color w:val="auto"/>
                <w:sz w:val="24"/>
                <w:szCs w:val="24"/>
                <w:highlight w:val="none"/>
                <w:u w:val="none"/>
                <w:vertAlign w:val="baseline"/>
                <w:lang w:val="en-US" w:eastAsia="zh-CN" w:bidi="ar-SA"/>
              </w:rPr>
              <w:t>运营期环境影响和环境保护措施</w:t>
            </w:r>
          </w:p>
        </w:tc>
        <w:tc>
          <w:tcPr>
            <w:tcW w:w="13743" w:type="dxa"/>
            <w:vAlign w:val="center"/>
          </w:tcPr>
          <w:p w14:paraId="14FB2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4-1</w:t>
            </w:r>
            <w:r>
              <w:rPr>
                <w:rFonts w:hint="eastAsia" w:cs="Times New Roman"/>
                <w:b/>
                <w:color w:val="auto"/>
                <w:w w:val="100"/>
                <w:sz w:val="24"/>
                <w:szCs w:val="24"/>
                <w:highlight w:val="none"/>
                <w:u w:val="none"/>
                <w:lang w:val="en-US" w:eastAsia="zh-CN"/>
              </w:rPr>
              <w:t>2</w:t>
            </w:r>
            <w:r>
              <w:rPr>
                <w:rFonts w:hint="default" w:ascii="Times New Roman" w:hAnsi="Times New Roman" w:eastAsia="宋体" w:cs="Times New Roman"/>
                <w:b/>
                <w:color w:val="auto"/>
                <w:w w:val="100"/>
                <w:sz w:val="24"/>
                <w:szCs w:val="24"/>
                <w:highlight w:val="none"/>
                <w:u w:val="none"/>
              </w:rPr>
              <w:t>项目废</w:t>
            </w:r>
            <w:r>
              <w:rPr>
                <w:rFonts w:hint="default" w:ascii="Times New Roman" w:hAnsi="Times New Roman" w:eastAsia="宋体" w:cs="Times New Roman"/>
                <w:b/>
                <w:color w:val="auto"/>
                <w:w w:val="100"/>
                <w:sz w:val="24"/>
                <w:szCs w:val="24"/>
                <w:highlight w:val="none"/>
                <w:u w:val="none"/>
                <w:lang w:val="en-US" w:eastAsia="zh-CN"/>
              </w:rPr>
              <w:t>水</w:t>
            </w:r>
            <w:r>
              <w:rPr>
                <w:rFonts w:hint="default" w:ascii="Times New Roman" w:hAnsi="Times New Roman" w:eastAsia="宋体" w:cs="Times New Roman"/>
                <w:b/>
                <w:color w:val="auto"/>
                <w:w w:val="100"/>
                <w:sz w:val="24"/>
                <w:szCs w:val="24"/>
                <w:highlight w:val="none"/>
                <w:u w:val="none"/>
              </w:rPr>
              <w:t>污染物产生、治理及排放情况汇总一览表</w:t>
            </w:r>
          </w:p>
          <w:tbl>
            <w:tblPr>
              <w:tblStyle w:val="46"/>
              <w:tblW w:w="4997"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1" w:type="dxa"/>
                <w:bottom w:w="0" w:type="dxa"/>
                <w:right w:w="11" w:type="dxa"/>
              </w:tblCellMar>
            </w:tblPr>
            <w:tblGrid>
              <w:gridCol w:w="1047"/>
              <w:gridCol w:w="1245"/>
              <w:gridCol w:w="422"/>
              <w:gridCol w:w="786"/>
              <w:gridCol w:w="1130"/>
              <w:gridCol w:w="1245"/>
              <w:gridCol w:w="1631"/>
              <w:gridCol w:w="988"/>
              <w:gridCol w:w="948"/>
              <w:gridCol w:w="1053"/>
              <w:gridCol w:w="1105"/>
              <w:gridCol w:w="863"/>
            </w:tblGrid>
            <w:tr w14:paraId="6AA922C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restart"/>
                  <w:vAlign w:val="center"/>
                </w:tcPr>
                <w:p w14:paraId="006FE0C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产排污环节</w:t>
                  </w:r>
                </w:p>
              </w:tc>
              <w:tc>
                <w:tcPr>
                  <w:tcW w:w="499" w:type="pct"/>
                  <w:vMerge w:val="restart"/>
                  <w:vAlign w:val="center"/>
                </w:tcPr>
                <w:p w14:paraId="7F8300F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污染物名称</w:t>
                  </w:r>
                </w:p>
              </w:tc>
              <w:tc>
                <w:tcPr>
                  <w:tcW w:w="169" w:type="pct"/>
                  <w:vMerge w:val="restart"/>
                  <w:vAlign w:val="center"/>
                </w:tcPr>
                <w:p w14:paraId="7868A28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排放形式</w:t>
                  </w:r>
                </w:p>
              </w:tc>
              <w:tc>
                <w:tcPr>
                  <w:tcW w:w="1267" w:type="pct"/>
                  <w:gridSpan w:val="3"/>
                  <w:vAlign w:val="center"/>
                </w:tcPr>
                <w:p w14:paraId="0FED0A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rPr>
                    <w:t>产生情况</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预处理后</w:t>
                  </w:r>
                  <w:r>
                    <w:rPr>
                      <w:rFonts w:hint="eastAsia" w:cs="Times New Roman"/>
                      <w:b w:val="0"/>
                      <w:bCs/>
                      <w:color w:val="auto"/>
                      <w:spacing w:val="-10"/>
                      <w:w w:val="100"/>
                      <w:sz w:val="21"/>
                      <w:szCs w:val="21"/>
                      <w:highlight w:val="none"/>
                      <w:u w:val="none"/>
                      <w:lang w:val="en-US" w:eastAsia="zh-CN"/>
                    </w:rPr>
                    <w:t>）</w:t>
                  </w:r>
                </w:p>
              </w:tc>
              <w:tc>
                <w:tcPr>
                  <w:tcW w:w="1430" w:type="pct"/>
                  <w:gridSpan w:val="3"/>
                  <w:vAlign w:val="center"/>
                </w:tcPr>
                <w:p w14:paraId="5BE9E2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治理措施及效果</w:t>
                  </w:r>
                </w:p>
              </w:tc>
              <w:tc>
                <w:tcPr>
                  <w:tcW w:w="1211" w:type="pct"/>
                  <w:gridSpan w:val="3"/>
                  <w:vAlign w:val="center"/>
                </w:tcPr>
                <w:p w14:paraId="7C046C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排放情况</w:t>
                  </w:r>
                </w:p>
              </w:tc>
            </w:tr>
            <w:tr w14:paraId="61F0797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continue"/>
                  <w:vAlign w:val="center"/>
                </w:tcPr>
                <w:p w14:paraId="27072E9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Merge w:val="continue"/>
                  <w:vAlign w:val="center"/>
                </w:tcPr>
                <w:p w14:paraId="067114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169" w:type="pct"/>
                  <w:vMerge w:val="continue"/>
                  <w:vAlign w:val="center"/>
                </w:tcPr>
                <w:p w14:paraId="286E4A9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15" w:type="pct"/>
                  <w:vAlign w:val="center"/>
                </w:tcPr>
                <w:p w14:paraId="51EF8AB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废水量</w:t>
                  </w:r>
                  <w:r>
                    <w:rPr>
                      <w:rFonts w:hint="eastAsia" w:cs="Times New Roman"/>
                      <w:b w:val="0"/>
                      <w:bCs/>
                      <w:color w:val="auto"/>
                      <w:spacing w:val="-10"/>
                      <w:w w:val="100"/>
                      <w:sz w:val="21"/>
                      <w:szCs w:val="21"/>
                      <w:highlight w:val="none"/>
                      <w:u w:val="none"/>
                      <w:lang w:val="en-US"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m</w:t>
                  </w:r>
                  <w:r>
                    <w:rPr>
                      <w:rFonts w:hint="default" w:ascii="Times New Roman" w:hAnsi="Times New Roman" w:eastAsia="宋体" w:cs="Times New Roman"/>
                      <w:b w:val="0"/>
                      <w:bCs/>
                      <w:color w:val="auto"/>
                      <w:spacing w:val="-10"/>
                      <w:w w:val="100"/>
                      <w:sz w:val="21"/>
                      <w:szCs w:val="21"/>
                      <w:highlight w:val="none"/>
                      <w:u w:val="none"/>
                      <w:vertAlign w:val="superscript"/>
                      <w:lang w:val="en-US" w:eastAsia="zh-CN"/>
                    </w:rPr>
                    <w:t>3</w:t>
                  </w:r>
                  <w:r>
                    <w:rPr>
                      <w:rFonts w:hint="default" w:ascii="Times New Roman" w:hAnsi="Times New Roman" w:eastAsia="宋体" w:cs="Times New Roman"/>
                      <w:b w:val="0"/>
                      <w:bCs/>
                      <w:color w:val="auto"/>
                      <w:spacing w:val="-10"/>
                      <w:w w:val="100"/>
                      <w:sz w:val="21"/>
                      <w:szCs w:val="21"/>
                      <w:highlight w:val="none"/>
                      <w:u w:val="none"/>
                      <w:lang w:val="en-US" w:eastAsia="zh-CN"/>
                    </w:rPr>
                    <w:t>/d</w:t>
                  </w:r>
                  <w:r>
                    <w:rPr>
                      <w:rFonts w:hint="eastAsia" w:cs="Times New Roman"/>
                      <w:b w:val="0"/>
                      <w:bCs/>
                      <w:color w:val="auto"/>
                      <w:spacing w:val="-10"/>
                      <w:w w:val="100"/>
                      <w:sz w:val="21"/>
                      <w:szCs w:val="21"/>
                      <w:highlight w:val="none"/>
                      <w:u w:val="none"/>
                      <w:lang w:val="en-US" w:eastAsia="zh-CN"/>
                    </w:rPr>
                    <w:t>）</w:t>
                  </w:r>
                </w:p>
              </w:tc>
              <w:tc>
                <w:tcPr>
                  <w:tcW w:w="453" w:type="pct"/>
                  <w:vAlign w:val="center"/>
                </w:tcPr>
                <w:p w14:paraId="3D56336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产生浓度</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mg/</w:t>
                  </w:r>
                  <w:r>
                    <w:rPr>
                      <w:rFonts w:hint="default" w:ascii="Times New Roman" w:hAnsi="Times New Roman" w:eastAsia="宋体" w:cs="Times New Roman"/>
                      <w:b w:val="0"/>
                      <w:bCs/>
                      <w:color w:val="auto"/>
                      <w:spacing w:val="-10"/>
                      <w:w w:val="100"/>
                      <w:sz w:val="21"/>
                      <w:szCs w:val="21"/>
                      <w:highlight w:val="none"/>
                      <w:u w:val="none"/>
                      <w:lang w:val="en-US" w:eastAsia="zh-CN"/>
                    </w:rPr>
                    <w:t>L</w:t>
                  </w:r>
                  <w:r>
                    <w:rPr>
                      <w:rFonts w:hint="eastAsia" w:cs="Times New Roman"/>
                      <w:b w:val="0"/>
                      <w:bCs/>
                      <w:color w:val="auto"/>
                      <w:spacing w:val="-10"/>
                      <w:w w:val="100"/>
                      <w:sz w:val="21"/>
                      <w:szCs w:val="21"/>
                      <w:highlight w:val="none"/>
                      <w:u w:val="none"/>
                      <w:lang w:val="en-US" w:eastAsia="zh-CN"/>
                    </w:rPr>
                    <w:t>）</w:t>
                  </w:r>
                </w:p>
              </w:tc>
              <w:tc>
                <w:tcPr>
                  <w:tcW w:w="499" w:type="pct"/>
                  <w:vAlign w:val="center"/>
                </w:tcPr>
                <w:p w14:paraId="4E4614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产生量</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t/a</w:t>
                  </w:r>
                  <w:r>
                    <w:rPr>
                      <w:rFonts w:hint="eastAsia" w:cs="Times New Roman"/>
                      <w:b w:val="0"/>
                      <w:bCs/>
                      <w:color w:val="auto"/>
                      <w:spacing w:val="-10"/>
                      <w:w w:val="100"/>
                      <w:sz w:val="21"/>
                      <w:szCs w:val="21"/>
                      <w:highlight w:val="none"/>
                      <w:u w:val="none"/>
                      <w:lang w:eastAsia="zh-CN"/>
                    </w:rPr>
                    <w:t>）</w:t>
                  </w:r>
                </w:p>
              </w:tc>
              <w:tc>
                <w:tcPr>
                  <w:tcW w:w="654" w:type="pct"/>
                  <w:vAlign w:val="center"/>
                </w:tcPr>
                <w:p w14:paraId="2E6EA01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处理措施</w:t>
                  </w:r>
                </w:p>
              </w:tc>
              <w:tc>
                <w:tcPr>
                  <w:tcW w:w="396" w:type="pct"/>
                  <w:vAlign w:val="center"/>
                </w:tcPr>
                <w:p w14:paraId="5355F61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治理</w:t>
                  </w:r>
                  <w:r>
                    <w:rPr>
                      <w:rFonts w:hint="default" w:ascii="Times New Roman" w:hAnsi="Times New Roman" w:eastAsia="宋体" w:cs="Times New Roman"/>
                      <w:b w:val="0"/>
                      <w:bCs/>
                      <w:color w:val="auto"/>
                      <w:spacing w:val="-10"/>
                      <w:w w:val="100"/>
                      <w:sz w:val="21"/>
                      <w:szCs w:val="21"/>
                      <w:highlight w:val="none"/>
                      <w:u w:val="none"/>
                    </w:rPr>
                    <w:t>效率</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lang w:val="en-US" w:eastAsia="zh-CN"/>
                    </w:rPr>
                    <w:t>%</w:t>
                  </w:r>
                  <w:r>
                    <w:rPr>
                      <w:rFonts w:hint="eastAsia" w:cs="Times New Roman"/>
                      <w:b w:val="0"/>
                      <w:bCs/>
                      <w:color w:val="auto"/>
                      <w:spacing w:val="-10"/>
                      <w:w w:val="100"/>
                      <w:sz w:val="21"/>
                      <w:szCs w:val="21"/>
                      <w:highlight w:val="none"/>
                      <w:u w:val="none"/>
                      <w:lang w:val="en-US" w:eastAsia="zh-CN"/>
                    </w:rPr>
                    <w:t>）</w:t>
                  </w:r>
                </w:p>
              </w:tc>
              <w:tc>
                <w:tcPr>
                  <w:tcW w:w="380" w:type="pct"/>
                  <w:vAlign w:val="center"/>
                </w:tcPr>
                <w:p w14:paraId="072F63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是否为可行技术</w:t>
                  </w:r>
                </w:p>
              </w:tc>
              <w:tc>
                <w:tcPr>
                  <w:tcW w:w="422" w:type="pct"/>
                  <w:vAlign w:val="center"/>
                </w:tcPr>
                <w:p w14:paraId="786EB6E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排放浓度</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mg/</w:t>
                  </w:r>
                  <w:r>
                    <w:rPr>
                      <w:rFonts w:hint="default" w:ascii="Times New Roman" w:hAnsi="Times New Roman" w:eastAsia="宋体" w:cs="Times New Roman"/>
                      <w:b w:val="0"/>
                      <w:bCs/>
                      <w:color w:val="auto"/>
                      <w:spacing w:val="-10"/>
                      <w:w w:val="100"/>
                      <w:sz w:val="21"/>
                      <w:szCs w:val="21"/>
                      <w:highlight w:val="none"/>
                      <w:u w:val="none"/>
                      <w:lang w:val="en-US" w:eastAsia="zh-CN"/>
                    </w:rPr>
                    <w:t>L</w:t>
                  </w:r>
                  <w:r>
                    <w:rPr>
                      <w:rFonts w:hint="eastAsia" w:cs="Times New Roman"/>
                      <w:b w:val="0"/>
                      <w:bCs/>
                      <w:color w:val="auto"/>
                      <w:spacing w:val="-10"/>
                      <w:w w:val="100"/>
                      <w:sz w:val="21"/>
                      <w:szCs w:val="21"/>
                      <w:highlight w:val="none"/>
                      <w:u w:val="none"/>
                      <w:lang w:val="en-US" w:eastAsia="zh-CN"/>
                    </w:rPr>
                    <w:t>）</w:t>
                  </w:r>
                </w:p>
              </w:tc>
              <w:tc>
                <w:tcPr>
                  <w:tcW w:w="443" w:type="pct"/>
                  <w:vAlign w:val="center"/>
                </w:tcPr>
                <w:p w14:paraId="1533532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eastAsia="zh-CN"/>
                    </w:rPr>
                  </w:pPr>
                  <w:r>
                    <w:rPr>
                      <w:rFonts w:hint="default" w:ascii="Times New Roman" w:hAnsi="Times New Roman" w:eastAsia="宋体" w:cs="Times New Roman"/>
                      <w:b w:val="0"/>
                      <w:bCs/>
                      <w:color w:val="auto"/>
                      <w:spacing w:val="-10"/>
                      <w:w w:val="100"/>
                      <w:sz w:val="21"/>
                      <w:szCs w:val="21"/>
                      <w:highlight w:val="none"/>
                      <w:u w:val="none"/>
                    </w:rPr>
                    <w:t>排放量</w:t>
                  </w:r>
                  <w:r>
                    <w:rPr>
                      <w:rFonts w:hint="eastAsia" w:cs="Times New Roman"/>
                      <w:b w:val="0"/>
                      <w:bCs/>
                      <w:color w:val="auto"/>
                      <w:spacing w:val="-10"/>
                      <w:w w:val="100"/>
                      <w:sz w:val="21"/>
                      <w:szCs w:val="21"/>
                      <w:highlight w:val="none"/>
                      <w:u w:val="none"/>
                      <w:lang w:eastAsia="zh-CN"/>
                    </w:rPr>
                    <w:t>（</w:t>
                  </w:r>
                  <w:r>
                    <w:rPr>
                      <w:rFonts w:hint="default" w:ascii="Times New Roman" w:hAnsi="Times New Roman" w:eastAsia="宋体" w:cs="Times New Roman"/>
                      <w:b w:val="0"/>
                      <w:bCs/>
                      <w:color w:val="auto"/>
                      <w:spacing w:val="-10"/>
                      <w:w w:val="100"/>
                      <w:sz w:val="21"/>
                      <w:szCs w:val="21"/>
                      <w:highlight w:val="none"/>
                      <w:u w:val="none"/>
                    </w:rPr>
                    <w:t>t/a</w:t>
                  </w:r>
                  <w:r>
                    <w:rPr>
                      <w:rFonts w:hint="eastAsia" w:cs="Times New Roman"/>
                      <w:b w:val="0"/>
                      <w:bCs/>
                      <w:color w:val="auto"/>
                      <w:spacing w:val="-10"/>
                      <w:w w:val="100"/>
                      <w:sz w:val="21"/>
                      <w:szCs w:val="21"/>
                      <w:highlight w:val="none"/>
                      <w:u w:val="none"/>
                      <w:lang w:eastAsia="zh-CN"/>
                    </w:rPr>
                    <w:t>）</w:t>
                  </w:r>
                </w:p>
              </w:tc>
              <w:tc>
                <w:tcPr>
                  <w:tcW w:w="346" w:type="pct"/>
                  <w:vAlign w:val="center"/>
                </w:tcPr>
                <w:p w14:paraId="465605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rPr>
                    <w:t>排</w:t>
                  </w:r>
                  <w:r>
                    <w:rPr>
                      <w:rFonts w:hint="default" w:ascii="Times New Roman" w:hAnsi="Times New Roman" w:eastAsia="宋体" w:cs="Times New Roman"/>
                      <w:b w:val="0"/>
                      <w:bCs/>
                      <w:color w:val="auto"/>
                      <w:spacing w:val="-10"/>
                      <w:w w:val="100"/>
                      <w:sz w:val="21"/>
                      <w:szCs w:val="21"/>
                      <w:highlight w:val="none"/>
                      <w:u w:val="none"/>
                      <w:lang w:val="en-US" w:eastAsia="zh-CN"/>
                    </w:rPr>
                    <w:t>放口</w:t>
                  </w:r>
                  <w:r>
                    <w:rPr>
                      <w:rFonts w:hint="default" w:ascii="Times New Roman" w:hAnsi="Times New Roman" w:eastAsia="宋体" w:cs="Times New Roman"/>
                      <w:b w:val="0"/>
                      <w:bCs/>
                      <w:color w:val="auto"/>
                      <w:spacing w:val="-10"/>
                      <w:w w:val="100"/>
                      <w:sz w:val="21"/>
                      <w:szCs w:val="21"/>
                      <w:highlight w:val="none"/>
                      <w:u w:val="none"/>
                    </w:rPr>
                    <w:t>编号</w:t>
                  </w:r>
                </w:p>
              </w:tc>
            </w:tr>
            <w:tr w14:paraId="2028AC0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20" w:type="pct"/>
                  <w:vMerge w:val="restart"/>
                  <w:vAlign w:val="center"/>
                </w:tcPr>
                <w:p w14:paraId="2EA470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职工生活污水</w:t>
                  </w:r>
                </w:p>
              </w:tc>
              <w:tc>
                <w:tcPr>
                  <w:tcW w:w="499" w:type="pct"/>
                  <w:vAlign w:val="center"/>
                </w:tcPr>
                <w:p w14:paraId="1402D8C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COD</w:t>
                  </w:r>
                </w:p>
              </w:tc>
              <w:tc>
                <w:tcPr>
                  <w:tcW w:w="169" w:type="pct"/>
                  <w:vMerge w:val="restart"/>
                  <w:vAlign w:val="center"/>
                </w:tcPr>
                <w:p w14:paraId="25463AA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cs="Times New Roman"/>
                      <w:b w:val="0"/>
                      <w:bCs/>
                      <w:color w:val="auto"/>
                      <w:spacing w:val="-10"/>
                      <w:w w:val="100"/>
                      <w:sz w:val="21"/>
                      <w:szCs w:val="21"/>
                      <w:highlight w:val="none"/>
                      <w:u w:val="none"/>
                      <w:lang w:val="en-US" w:eastAsia="zh-CN"/>
                    </w:rPr>
                    <w:t>间接排放</w:t>
                  </w:r>
                </w:p>
              </w:tc>
              <w:tc>
                <w:tcPr>
                  <w:tcW w:w="315" w:type="pct"/>
                  <w:vMerge w:val="restart"/>
                  <w:vAlign w:val="center"/>
                </w:tcPr>
                <w:p w14:paraId="62BCBB3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eastAsia" w:cs="Times New Roman"/>
                      <w:b w:val="0"/>
                      <w:bCs/>
                      <w:color w:val="auto"/>
                      <w:spacing w:val="-10"/>
                      <w:w w:val="100"/>
                      <w:kern w:val="2"/>
                      <w:sz w:val="21"/>
                      <w:szCs w:val="21"/>
                      <w:highlight w:val="none"/>
                      <w:u w:val="none"/>
                      <w:lang w:val="en-US" w:eastAsia="zh-CN" w:bidi="ar-SA"/>
                    </w:rPr>
                    <w:t>0.48</w:t>
                  </w:r>
                </w:p>
              </w:tc>
              <w:tc>
                <w:tcPr>
                  <w:tcW w:w="453" w:type="pct"/>
                  <w:vAlign w:val="center"/>
                </w:tcPr>
                <w:p w14:paraId="691D7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285</w:t>
                  </w:r>
                </w:p>
              </w:tc>
              <w:tc>
                <w:tcPr>
                  <w:tcW w:w="499" w:type="pct"/>
                  <w:shd w:val="clear" w:color="auto" w:fill="auto"/>
                  <w:vAlign w:val="center"/>
                </w:tcPr>
                <w:p w14:paraId="0238B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color w:val="auto"/>
                      <w:kern w:val="2"/>
                      <w:sz w:val="21"/>
                      <w:szCs w:val="21"/>
                      <w:highlight w:val="none"/>
                      <w:u w:val="none"/>
                      <w:lang w:val="en-US" w:eastAsia="zh-CN" w:bidi="ar-SA"/>
                    </w:rPr>
                  </w:pPr>
                  <w:r>
                    <w:rPr>
                      <w:rFonts w:hint="default" w:ascii="Times New Roman" w:hAnsi="Times New Roman" w:eastAsia="宋体" w:cs="Times New Roman"/>
                      <w:caps w:val="0"/>
                      <w:color w:val="auto"/>
                      <w:sz w:val="21"/>
                      <w:szCs w:val="21"/>
                      <w:highlight w:val="none"/>
                      <w:u w:val="none"/>
                      <w:lang w:val="en-US" w:eastAsia="zh-CN"/>
                    </w:rPr>
                    <w:t>0.0451</w:t>
                  </w:r>
                </w:p>
              </w:tc>
              <w:tc>
                <w:tcPr>
                  <w:tcW w:w="654" w:type="pct"/>
                  <w:vMerge w:val="restart"/>
                  <w:vAlign w:val="center"/>
                </w:tcPr>
                <w:p w14:paraId="66EC1B8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化粪池</w:t>
                  </w:r>
                </w:p>
              </w:tc>
              <w:tc>
                <w:tcPr>
                  <w:tcW w:w="396" w:type="pct"/>
                  <w:vAlign w:val="center"/>
                </w:tcPr>
                <w:p w14:paraId="13BAF9C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33</w:t>
                  </w:r>
                </w:p>
              </w:tc>
              <w:tc>
                <w:tcPr>
                  <w:tcW w:w="380" w:type="pct"/>
                  <w:vMerge w:val="restart"/>
                  <w:vAlign w:val="center"/>
                </w:tcPr>
                <w:p w14:paraId="7B4827E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是</w:t>
                  </w:r>
                </w:p>
              </w:tc>
              <w:tc>
                <w:tcPr>
                  <w:tcW w:w="422" w:type="pct"/>
                  <w:vAlign w:val="center"/>
                </w:tcPr>
                <w:p w14:paraId="36365B8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191</w:t>
                  </w:r>
                </w:p>
              </w:tc>
              <w:tc>
                <w:tcPr>
                  <w:tcW w:w="443" w:type="pct"/>
                  <w:vAlign w:val="center"/>
                </w:tcPr>
                <w:p w14:paraId="7B7DDBB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0.0303</w:t>
                  </w:r>
                </w:p>
              </w:tc>
              <w:tc>
                <w:tcPr>
                  <w:tcW w:w="346" w:type="pct"/>
                  <w:vMerge w:val="restart"/>
                  <w:vAlign w:val="center"/>
                </w:tcPr>
                <w:p w14:paraId="42E7C1E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DW001</w:t>
                  </w:r>
                </w:p>
              </w:tc>
            </w:tr>
            <w:tr w14:paraId="4A36C1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7C68D79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476E48A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BOD</w:t>
                  </w:r>
                  <w:r>
                    <w:rPr>
                      <w:rFonts w:hint="default" w:ascii="Times New Roman" w:hAnsi="Times New Roman" w:eastAsia="宋体" w:cs="Times New Roman"/>
                      <w:b w:val="0"/>
                      <w:bCs/>
                      <w:color w:val="auto"/>
                      <w:spacing w:val="0"/>
                      <w:w w:val="100"/>
                      <w:sz w:val="21"/>
                      <w:szCs w:val="21"/>
                      <w:highlight w:val="none"/>
                      <w:u w:val="none"/>
                      <w:vertAlign w:val="subscript"/>
                      <w:lang w:val="en-US" w:eastAsia="zh-CN"/>
                    </w:rPr>
                    <w:t>5</w:t>
                  </w:r>
                </w:p>
              </w:tc>
              <w:tc>
                <w:tcPr>
                  <w:tcW w:w="169" w:type="pct"/>
                  <w:vMerge w:val="continue"/>
                  <w:vAlign w:val="center"/>
                </w:tcPr>
                <w:p w14:paraId="27309D0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4FB0E6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B50A8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123</w:t>
                  </w:r>
                </w:p>
              </w:tc>
              <w:tc>
                <w:tcPr>
                  <w:tcW w:w="499" w:type="pct"/>
                  <w:vAlign w:val="center"/>
                </w:tcPr>
                <w:p w14:paraId="65D2E49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0.0195</w:t>
                  </w:r>
                </w:p>
              </w:tc>
              <w:tc>
                <w:tcPr>
                  <w:tcW w:w="654" w:type="pct"/>
                  <w:vMerge w:val="continue"/>
                  <w:vAlign w:val="center"/>
                </w:tcPr>
                <w:p w14:paraId="081019F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1AF6A7E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33</w:t>
                  </w:r>
                </w:p>
              </w:tc>
              <w:tc>
                <w:tcPr>
                  <w:tcW w:w="380" w:type="pct"/>
                  <w:vMerge w:val="continue"/>
                  <w:vAlign w:val="center"/>
                </w:tcPr>
                <w:p w14:paraId="530BFAD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444F730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82</w:t>
                  </w:r>
                </w:p>
              </w:tc>
              <w:tc>
                <w:tcPr>
                  <w:tcW w:w="443" w:type="pct"/>
                  <w:vAlign w:val="center"/>
                </w:tcPr>
                <w:p w14:paraId="4FD5190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p>
              </w:tc>
              <w:tc>
                <w:tcPr>
                  <w:tcW w:w="346" w:type="pct"/>
                  <w:vMerge w:val="continue"/>
                  <w:vAlign w:val="center"/>
                </w:tcPr>
                <w:p w14:paraId="0ABB5E4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3529238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57C5F7A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7CCCA4A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SS</w:t>
                  </w:r>
                </w:p>
              </w:tc>
              <w:tc>
                <w:tcPr>
                  <w:tcW w:w="169" w:type="pct"/>
                  <w:vMerge w:val="continue"/>
                  <w:vAlign w:val="center"/>
                </w:tcPr>
                <w:p w14:paraId="2685603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1CE2AF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83A5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150</w:t>
                  </w:r>
                </w:p>
              </w:tc>
              <w:tc>
                <w:tcPr>
                  <w:tcW w:w="499" w:type="pct"/>
                  <w:vAlign w:val="center"/>
                </w:tcPr>
                <w:p w14:paraId="0BCD097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0.0238</w:t>
                  </w:r>
                </w:p>
              </w:tc>
              <w:tc>
                <w:tcPr>
                  <w:tcW w:w="654" w:type="pct"/>
                  <w:vMerge w:val="continue"/>
                  <w:vAlign w:val="center"/>
                </w:tcPr>
                <w:p w14:paraId="3291CE2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2A4B63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70</w:t>
                  </w:r>
                </w:p>
              </w:tc>
              <w:tc>
                <w:tcPr>
                  <w:tcW w:w="380" w:type="pct"/>
                  <w:vMerge w:val="continue"/>
                  <w:vAlign w:val="center"/>
                </w:tcPr>
                <w:p w14:paraId="131BBDC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0ED4E0F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45</w:t>
                  </w:r>
                </w:p>
              </w:tc>
              <w:tc>
                <w:tcPr>
                  <w:tcW w:w="443" w:type="pct"/>
                  <w:vAlign w:val="center"/>
                </w:tcPr>
                <w:p w14:paraId="004EB34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p>
              </w:tc>
              <w:tc>
                <w:tcPr>
                  <w:tcW w:w="346" w:type="pct"/>
                  <w:vMerge w:val="continue"/>
                  <w:vAlign w:val="center"/>
                </w:tcPr>
                <w:p w14:paraId="301B83F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66C7372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20" w:type="pct"/>
                  <w:vMerge w:val="continue"/>
                  <w:vAlign w:val="center"/>
                </w:tcPr>
                <w:p w14:paraId="4D3DE4A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499" w:type="pct"/>
                  <w:vAlign w:val="center"/>
                </w:tcPr>
                <w:p w14:paraId="1358F0B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氨氮</w:t>
                  </w:r>
                </w:p>
              </w:tc>
              <w:tc>
                <w:tcPr>
                  <w:tcW w:w="169" w:type="pct"/>
                  <w:vMerge w:val="continue"/>
                  <w:vAlign w:val="center"/>
                </w:tcPr>
                <w:p w14:paraId="72BDEC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315" w:type="pct"/>
                  <w:vMerge w:val="continue"/>
                  <w:vAlign w:val="center"/>
                </w:tcPr>
                <w:p w14:paraId="1D63421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p>
              </w:tc>
              <w:tc>
                <w:tcPr>
                  <w:tcW w:w="453" w:type="pct"/>
                  <w:vAlign w:val="center"/>
                </w:tcPr>
                <w:p w14:paraId="0E2E9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rPr>
                    <w:t>28.3</w:t>
                  </w:r>
                </w:p>
              </w:tc>
              <w:tc>
                <w:tcPr>
                  <w:tcW w:w="499" w:type="pct"/>
                  <w:vAlign w:val="center"/>
                </w:tcPr>
                <w:p w14:paraId="03D431C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0.0045</w:t>
                  </w:r>
                </w:p>
              </w:tc>
              <w:tc>
                <w:tcPr>
                  <w:tcW w:w="654" w:type="pct"/>
                  <w:vMerge w:val="continue"/>
                  <w:vAlign w:val="center"/>
                </w:tcPr>
                <w:p w14:paraId="03B9887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396" w:type="pct"/>
                  <w:vAlign w:val="center"/>
                </w:tcPr>
                <w:p w14:paraId="26E0EF6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eastAsia" w:cs="Times New Roman"/>
                      <w:b w:val="0"/>
                      <w:bCs/>
                      <w:color w:val="auto"/>
                      <w:spacing w:val="-10"/>
                      <w:w w:val="100"/>
                      <w:sz w:val="21"/>
                      <w:szCs w:val="21"/>
                      <w:highlight w:val="none"/>
                      <w:u w:val="none"/>
                      <w:lang w:val="en-US" w:eastAsia="zh-CN"/>
                    </w:rPr>
                    <w:t>0</w:t>
                  </w:r>
                </w:p>
              </w:tc>
              <w:tc>
                <w:tcPr>
                  <w:tcW w:w="380" w:type="pct"/>
                  <w:vMerge w:val="continue"/>
                  <w:vAlign w:val="center"/>
                </w:tcPr>
                <w:p w14:paraId="085D60A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22" w:type="pct"/>
                  <w:vAlign w:val="center"/>
                </w:tcPr>
                <w:p w14:paraId="1839958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28</w:t>
                  </w:r>
                </w:p>
              </w:tc>
              <w:tc>
                <w:tcPr>
                  <w:tcW w:w="443" w:type="pct"/>
                  <w:vAlign w:val="center"/>
                </w:tcPr>
                <w:p w14:paraId="53EED44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0.0044</w:t>
                  </w:r>
                </w:p>
              </w:tc>
              <w:tc>
                <w:tcPr>
                  <w:tcW w:w="346" w:type="pct"/>
                  <w:vMerge w:val="continue"/>
                  <w:vAlign w:val="center"/>
                </w:tcPr>
                <w:p w14:paraId="218B7D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bl>
          <w:p w14:paraId="714EB3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color w:val="auto"/>
                <w:w w:val="100"/>
                <w:sz w:val="24"/>
                <w:szCs w:val="24"/>
                <w:highlight w:val="none"/>
                <w:u w:val="none"/>
              </w:rPr>
            </w:pPr>
            <w:r>
              <w:rPr>
                <w:rFonts w:hint="default" w:ascii="Times New Roman" w:hAnsi="Times New Roman" w:eastAsia="宋体" w:cs="Times New Roman"/>
                <w:b/>
                <w:color w:val="auto"/>
                <w:w w:val="100"/>
                <w:sz w:val="24"/>
                <w:szCs w:val="24"/>
                <w:highlight w:val="none"/>
                <w:u w:val="none"/>
              </w:rPr>
              <w:t>表</w:t>
            </w:r>
            <w:r>
              <w:rPr>
                <w:rFonts w:hint="default" w:ascii="Times New Roman" w:hAnsi="Times New Roman" w:cs="Times New Roman"/>
                <w:b/>
                <w:color w:val="auto"/>
                <w:w w:val="100"/>
                <w:sz w:val="24"/>
                <w:szCs w:val="24"/>
                <w:highlight w:val="none"/>
                <w:u w:val="none"/>
                <w:lang w:val="en-US" w:eastAsia="zh-CN"/>
              </w:rPr>
              <w:t>4-1</w:t>
            </w:r>
            <w:r>
              <w:rPr>
                <w:rFonts w:hint="eastAsia" w:cs="Times New Roman"/>
                <w:b/>
                <w:color w:val="auto"/>
                <w:w w:val="100"/>
                <w:sz w:val="24"/>
                <w:szCs w:val="24"/>
                <w:highlight w:val="none"/>
                <w:u w:val="none"/>
                <w:lang w:val="en-US" w:eastAsia="zh-CN"/>
              </w:rPr>
              <w:t>3</w:t>
            </w:r>
            <w:r>
              <w:rPr>
                <w:rFonts w:hint="default" w:ascii="Times New Roman" w:hAnsi="Times New Roman" w:eastAsia="宋体" w:cs="Times New Roman"/>
                <w:b/>
                <w:color w:val="auto"/>
                <w:w w:val="100"/>
                <w:sz w:val="24"/>
                <w:szCs w:val="24"/>
                <w:highlight w:val="none"/>
                <w:u w:val="none"/>
              </w:rPr>
              <w:t>项目废</w:t>
            </w:r>
            <w:r>
              <w:rPr>
                <w:rFonts w:hint="default" w:ascii="Times New Roman" w:hAnsi="Times New Roman" w:eastAsia="宋体" w:cs="Times New Roman"/>
                <w:b/>
                <w:color w:val="auto"/>
                <w:w w:val="100"/>
                <w:sz w:val="24"/>
                <w:szCs w:val="24"/>
                <w:highlight w:val="none"/>
                <w:u w:val="none"/>
                <w:lang w:val="en-US" w:eastAsia="zh-CN"/>
              </w:rPr>
              <w:t>水排放口基本情况信息</w:t>
            </w:r>
            <w:r>
              <w:rPr>
                <w:rFonts w:hint="default" w:ascii="Times New Roman" w:hAnsi="Times New Roman" w:eastAsia="宋体" w:cs="Times New Roman"/>
                <w:b/>
                <w:color w:val="auto"/>
                <w:w w:val="100"/>
                <w:sz w:val="24"/>
                <w:szCs w:val="24"/>
                <w:highlight w:val="none"/>
                <w:u w:val="none"/>
              </w:rPr>
              <w:t>一览表</w:t>
            </w:r>
          </w:p>
          <w:tbl>
            <w:tblPr>
              <w:tblStyle w:val="46"/>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28" w:type="dxa"/>
                <w:bottom w:w="0" w:type="dxa"/>
                <w:right w:w="28" w:type="dxa"/>
              </w:tblCellMar>
            </w:tblPr>
            <w:tblGrid>
              <w:gridCol w:w="975"/>
              <w:gridCol w:w="1285"/>
              <w:gridCol w:w="1335"/>
              <w:gridCol w:w="1414"/>
              <w:gridCol w:w="1362"/>
              <w:gridCol w:w="1469"/>
              <w:gridCol w:w="1075"/>
              <w:gridCol w:w="3550"/>
            </w:tblGrid>
            <w:tr w14:paraId="1FFD4E2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restart"/>
                  <w:vAlign w:val="center"/>
                </w:tcPr>
                <w:p w14:paraId="3243C5D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r>
                    <w:rPr>
                      <w:rFonts w:hint="default" w:ascii="Times New Roman" w:hAnsi="Times New Roman" w:eastAsia="宋体" w:cs="Times New Roman"/>
                      <w:b w:val="0"/>
                      <w:bCs/>
                      <w:color w:val="auto"/>
                      <w:spacing w:val="-10"/>
                      <w:w w:val="100"/>
                      <w:sz w:val="21"/>
                      <w:szCs w:val="21"/>
                      <w:highlight w:val="none"/>
                      <w:u w:val="none"/>
                      <w:lang w:val="en-US" w:eastAsia="zh-CN"/>
                    </w:rPr>
                    <w:t>排放口</w:t>
                  </w:r>
                  <w:r>
                    <w:rPr>
                      <w:rFonts w:hint="default" w:ascii="Times New Roman" w:hAnsi="Times New Roman" w:eastAsia="宋体" w:cs="Times New Roman"/>
                      <w:b w:val="0"/>
                      <w:bCs/>
                      <w:color w:val="auto"/>
                      <w:spacing w:val="-10"/>
                      <w:w w:val="100"/>
                      <w:sz w:val="21"/>
                      <w:szCs w:val="21"/>
                      <w:highlight w:val="none"/>
                      <w:u w:val="none"/>
                    </w:rPr>
                    <w:t>编号</w:t>
                  </w:r>
                </w:p>
              </w:tc>
              <w:tc>
                <w:tcPr>
                  <w:tcW w:w="515" w:type="pct"/>
                  <w:vMerge w:val="restart"/>
                  <w:vAlign w:val="center"/>
                </w:tcPr>
                <w:p w14:paraId="735F640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排放口名称</w:t>
                  </w:r>
                </w:p>
              </w:tc>
              <w:tc>
                <w:tcPr>
                  <w:tcW w:w="1102" w:type="pct"/>
                  <w:gridSpan w:val="2"/>
                  <w:vAlign w:val="center"/>
                </w:tcPr>
                <w:p w14:paraId="1620BE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排放口地理坐标</w:t>
                  </w:r>
                </w:p>
              </w:tc>
              <w:tc>
                <w:tcPr>
                  <w:tcW w:w="546" w:type="pct"/>
                  <w:vMerge w:val="restart"/>
                  <w:vAlign w:val="center"/>
                </w:tcPr>
                <w:p w14:paraId="4DADEE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排放规律</w:t>
                  </w:r>
                </w:p>
              </w:tc>
              <w:tc>
                <w:tcPr>
                  <w:tcW w:w="589" w:type="pct"/>
                  <w:vMerge w:val="restart"/>
                  <w:vAlign w:val="center"/>
                </w:tcPr>
                <w:p w14:paraId="1E6958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排放去向</w:t>
                  </w:r>
                </w:p>
              </w:tc>
              <w:tc>
                <w:tcPr>
                  <w:tcW w:w="431" w:type="pct"/>
                  <w:vMerge w:val="restart"/>
                  <w:vAlign w:val="center"/>
                </w:tcPr>
                <w:p w14:paraId="658D35F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类型</w:t>
                  </w:r>
                </w:p>
              </w:tc>
              <w:tc>
                <w:tcPr>
                  <w:tcW w:w="1423" w:type="pct"/>
                  <w:vMerge w:val="restart"/>
                  <w:vAlign w:val="center"/>
                </w:tcPr>
                <w:p w14:paraId="0C6EC4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执行标准</w:t>
                  </w:r>
                </w:p>
              </w:tc>
            </w:tr>
            <w:tr w14:paraId="6B6E750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continue"/>
                  <w:vAlign w:val="center"/>
                </w:tcPr>
                <w:p w14:paraId="3404F01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15" w:type="pct"/>
                  <w:vMerge w:val="continue"/>
                  <w:vAlign w:val="center"/>
                </w:tcPr>
                <w:p w14:paraId="65657BB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35" w:type="pct"/>
                  <w:vAlign w:val="center"/>
                </w:tcPr>
                <w:p w14:paraId="47316C7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经度</w:t>
                  </w:r>
                </w:p>
              </w:tc>
              <w:tc>
                <w:tcPr>
                  <w:tcW w:w="567" w:type="pct"/>
                  <w:vAlign w:val="center"/>
                </w:tcPr>
                <w:p w14:paraId="63B9B90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r>
                    <w:rPr>
                      <w:rFonts w:hint="default" w:ascii="Times New Roman" w:hAnsi="Times New Roman" w:eastAsia="宋体" w:cs="Times New Roman"/>
                      <w:b w:val="0"/>
                      <w:bCs/>
                      <w:color w:val="auto"/>
                      <w:spacing w:val="-10"/>
                      <w:w w:val="100"/>
                      <w:sz w:val="21"/>
                      <w:szCs w:val="21"/>
                      <w:highlight w:val="none"/>
                      <w:u w:val="none"/>
                      <w:lang w:val="en-US" w:eastAsia="zh-CN"/>
                    </w:rPr>
                    <w:t>纬度</w:t>
                  </w:r>
                </w:p>
              </w:tc>
              <w:tc>
                <w:tcPr>
                  <w:tcW w:w="546" w:type="pct"/>
                  <w:vMerge w:val="continue"/>
                  <w:vAlign w:val="center"/>
                </w:tcPr>
                <w:p w14:paraId="4ABAD72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589" w:type="pct"/>
                  <w:vMerge w:val="continue"/>
                  <w:vAlign w:val="center"/>
                </w:tcPr>
                <w:p w14:paraId="45329B6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lang w:val="en-US" w:eastAsia="zh-CN"/>
                    </w:rPr>
                  </w:pPr>
                </w:p>
              </w:tc>
              <w:tc>
                <w:tcPr>
                  <w:tcW w:w="431" w:type="pct"/>
                  <w:vMerge w:val="continue"/>
                  <w:vAlign w:val="center"/>
                </w:tcPr>
                <w:p w14:paraId="7D81A0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c>
                <w:tcPr>
                  <w:tcW w:w="1423" w:type="pct"/>
                  <w:vMerge w:val="continue"/>
                  <w:vAlign w:val="center"/>
                </w:tcPr>
                <w:p w14:paraId="6F9D52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sz w:val="21"/>
                      <w:szCs w:val="21"/>
                      <w:highlight w:val="none"/>
                      <w:u w:val="none"/>
                    </w:rPr>
                  </w:pPr>
                </w:p>
              </w:tc>
            </w:tr>
            <w:tr w14:paraId="63446B1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Align w:val="center"/>
                </w:tcPr>
                <w:p w14:paraId="115DDE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DW00</w:t>
                  </w:r>
                  <w:r>
                    <w:rPr>
                      <w:rFonts w:hint="default" w:ascii="Times New Roman" w:hAnsi="Times New Roman" w:eastAsia="宋体" w:cs="Times New Roman"/>
                      <w:b w:val="0"/>
                      <w:bCs/>
                      <w:color w:val="auto"/>
                      <w:spacing w:val="-10"/>
                      <w:w w:val="100"/>
                      <w:sz w:val="21"/>
                      <w:szCs w:val="21"/>
                      <w:highlight w:val="none"/>
                      <w:u w:val="none"/>
                    </w:rPr>
                    <w:t>1</w:t>
                  </w:r>
                </w:p>
              </w:tc>
              <w:tc>
                <w:tcPr>
                  <w:tcW w:w="515" w:type="pct"/>
                  <w:vAlign w:val="center"/>
                </w:tcPr>
                <w:p w14:paraId="01864D0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污水排放口</w:t>
                  </w:r>
                </w:p>
              </w:tc>
              <w:tc>
                <w:tcPr>
                  <w:tcW w:w="1446" w:type="dxa"/>
                  <w:vAlign w:val="center"/>
                </w:tcPr>
                <w:p w14:paraId="4586D267">
                  <w:pPr>
                    <w:keepNext w:val="0"/>
                    <w:keepLines w:val="0"/>
                    <w:pageBreakBefore w:val="0"/>
                    <w:widowControl w:val="0"/>
                    <w:suppressLineNumbers w:val="0"/>
                    <w:kinsoku/>
                    <w:wordWrap/>
                    <w:overflowPunct/>
                    <w:topLinePunct w:val="0"/>
                    <w:autoSpaceDE/>
                    <w:autoSpaceDN/>
                    <w:bidi w:val="0"/>
                    <w:adjustRightInd/>
                    <w:snapToGrid/>
                    <w:spacing w:before="40" w:beforeAutospacing="0" w:after="4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108.649508°</w:t>
                  </w:r>
                </w:p>
              </w:tc>
              <w:tc>
                <w:tcPr>
                  <w:tcW w:w="1532" w:type="dxa"/>
                  <w:vAlign w:val="center"/>
                </w:tcPr>
                <w:p w14:paraId="483C571B">
                  <w:pPr>
                    <w:keepNext w:val="0"/>
                    <w:keepLines w:val="0"/>
                    <w:pageBreakBefore w:val="0"/>
                    <w:widowControl w:val="0"/>
                    <w:suppressLineNumbers w:val="0"/>
                    <w:kinsoku/>
                    <w:wordWrap/>
                    <w:overflowPunct/>
                    <w:topLinePunct w:val="0"/>
                    <w:autoSpaceDE/>
                    <w:autoSpaceDN/>
                    <w:bidi w:val="0"/>
                    <w:adjustRightInd/>
                    <w:snapToGrid/>
                    <w:spacing w:before="40" w:beforeAutospacing="0" w:after="4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0"/>
                      <w:w w:val="100"/>
                      <w:sz w:val="21"/>
                      <w:szCs w:val="21"/>
                      <w:highlight w:val="none"/>
                      <w:u w:val="none"/>
                      <w:lang w:val="en-US" w:eastAsia="zh-CN"/>
                    </w:rPr>
                    <w:t>21.682588°</w:t>
                  </w:r>
                </w:p>
              </w:tc>
              <w:tc>
                <w:tcPr>
                  <w:tcW w:w="546" w:type="pct"/>
                  <w:vAlign w:val="center"/>
                </w:tcPr>
                <w:p w14:paraId="2569F72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流量不稳定，但有周期性规律</w:t>
                  </w:r>
                </w:p>
              </w:tc>
              <w:tc>
                <w:tcPr>
                  <w:tcW w:w="589" w:type="pct"/>
                  <w:vAlign w:val="center"/>
                </w:tcPr>
                <w:p w14:paraId="0B2B86A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cs="Times New Roman"/>
                      <w:b w:val="0"/>
                      <w:bCs/>
                      <w:color w:val="auto"/>
                      <w:spacing w:val="-10"/>
                      <w:w w:val="100"/>
                      <w:sz w:val="21"/>
                      <w:szCs w:val="21"/>
                      <w:highlight w:val="none"/>
                      <w:u w:val="none"/>
                      <w:lang w:val="en-US" w:eastAsia="zh-CN"/>
                    </w:rPr>
                    <w:t>大榄坪污水处理厂</w:t>
                  </w:r>
                </w:p>
              </w:tc>
              <w:tc>
                <w:tcPr>
                  <w:tcW w:w="431" w:type="pct"/>
                  <w:vAlign w:val="center"/>
                </w:tcPr>
                <w:p w14:paraId="5E81292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sz w:val="21"/>
                      <w:szCs w:val="21"/>
                      <w:highlight w:val="none"/>
                      <w:u w:val="none"/>
                      <w:lang w:val="en-US" w:eastAsia="zh-CN"/>
                    </w:rPr>
                    <w:t>一般排放口</w:t>
                  </w:r>
                </w:p>
              </w:tc>
              <w:tc>
                <w:tcPr>
                  <w:tcW w:w="1423" w:type="pct"/>
                  <w:vAlign w:val="center"/>
                </w:tcPr>
                <w:p w14:paraId="4B74F9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 w:val="0"/>
                      <w:bCs/>
                      <w:color w:val="auto"/>
                      <w:spacing w:val="-10"/>
                      <w:w w:val="100"/>
                      <w:kern w:val="2"/>
                      <w:sz w:val="21"/>
                      <w:szCs w:val="21"/>
                      <w:highlight w:val="none"/>
                      <w:u w:val="none"/>
                      <w:lang w:val="en-US" w:eastAsia="zh-CN" w:bidi="ar-SA"/>
                    </w:rPr>
                  </w:pP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《污水综合排放标准》</w:t>
                  </w:r>
                  <w:r>
                    <w:rPr>
                      <w:rFonts w:hint="default" w:ascii="Times New Roman" w:hAnsi="Times New Roman" w:cs="Times New Roman"/>
                      <w:b w:val="0"/>
                      <w:bCs/>
                      <w:color w:val="auto"/>
                      <w:spacing w:val="-1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GB8978-1996</w:t>
                  </w:r>
                  <w:r>
                    <w:rPr>
                      <w:rFonts w:hint="eastAsia" w:cs="Times New Roman"/>
                      <w:b w:val="0"/>
                      <w:bCs/>
                      <w:color w:val="auto"/>
                      <w:spacing w:val="-10"/>
                      <w:w w:val="100"/>
                      <w:kern w:val="2"/>
                      <w:sz w:val="21"/>
                      <w:szCs w:val="21"/>
                      <w:highlight w:val="none"/>
                      <w:u w:val="none"/>
                      <w:lang w:val="en-US" w:eastAsia="zh-CN" w:bidi="ar-SA"/>
                    </w:rPr>
                    <w:t>）</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三级标准及满足</w:t>
                  </w:r>
                  <w:r>
                    <w:rPr>
                      <w:rFonts w:hint="default" w:ascii="Times New Roman" w:hAnsi="Times New Roman" w:cs="Times New Roman"/>
                      <w:b w:val="0"/>
                      <w:bCs/>
                      <w:color w:val="auto"/>
                      <w:spacing w:val="-10"/>
                      <w:w w:val="100"/>
                      <w:kern w:val="2"/>
                      <w:sz w:val="21"/>
                      <w:szCs w:val="21"/>
                      <w:highlight w:val="none"/>
                      <w:u w:val="none"/>
                      <w:lang w:val="en-US" w:eastAsia="zh-CN" w:bidi="ar-SA"/>
                    </w:rPr>
                    <w:t>大榄坪污水处理厂</w:t>
                  </w:r>
                  <w:r>
                    <w:rPr>
                      <w:rFonts w:hint="default" w:ascii="Times New Roman" w:hAnsi="Times New Roman" w:eastAsia="宋体" w:cs="Times New Roman"/>
                      <w:b w:val="0"/>
                      <w:bCs/>
                      <w:color w:val="auto"/>
                      <w:spacing w:val="-10"/>
                      <w:w w:val="100"/>
                      <w:kern w:val="2"/>
                      <w:sz w:val="21"/>
                      <w:szCs w:val="21"/>
                      <w:highlight w:val="none"/>
                      <w:u w:val="none"/>
                      <w:lang w:val="en-US" w:eastAsia="zh-CN" w:bidi="ar-SA"/>
                    </w:rPr>
                    <w:t>进水水质要求。</w:t>
                  </w:r>
                </w:p>
              </w:tc>
            </w:tr>
          </w:tbl>
          <w:p w14:paraId="17854FB9">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vertAlign w:val="baseline"/>
                <w:lang w:val="en-US" w:eastAsia="zh-CN" w:bidi="ar-SA"/>
              </w:rPr>
            </w:pPr>
          </w:p>
        </w:tc>
      </w:tr>
    </w:tbl>
    <w:p w14:paraId="7A42A430">
      <w:pPr>
        <w:pStyle w:val="41"/>
        <w:jc w:val="center"/>
        <w:outlineLvl w:val="0"/>
        <w:rPr>
          <w:rFonts w:hint="default" w:ascii="Times New Roman" w:hAnsi="Times New Roman" w:eastAsia="黑体" w:cs="Times New Roman"/>
          <w:snapToGrid w:val="0"/>
          <w:color w:val="auto"/>
          <w:sz w:val="36"/>
          <w:szCs w:val="36"/>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9"/>
        <w:gridCol w:w="8712"/>
      </w:tblGrid>
      <w:tr w14:paraId="286EE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80" w:hRule="atLeast"/>
          <w:jc w:val="center"/>
        </w:trPr>
        <w:tc>
          <w:tcPr>
            <w:tcW w:w="269" w:type="dxa"/>
            <w:noWrap w:val="0"/>
            <w:tcMar>
              <w:left w:w="28" w:type="dxa"/>
              <w:right w:w="28" w:type="dxa"/>
            </w:tcMar>
            <w:vAlign w:val="center"/>
          </w:tcPr>
          <w:p w14:paraId="273EFA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782AA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4D1C1A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63C1C1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2B8E45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71608F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712" w:type="dxa"/>
            <w:noWrap w:val="0"/>
            <w:vAlign w:val="center"/>
          </w:tcPr>
          <w:p w14:paraId="71E41E76">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highlight w:val="none"/>
                <w:u w:val="none"/>
                <w:lang w:val="en-US"/>
              </w:rPr>
            </w:pPr>
            <w:r>
              <w:rPr>
                <w:rFonts w:hint="default" w:ascii="Times New Roman" w:hAnsi="Times New Roman" w:cs="Times New Roman"/>
                <w:b/>
                <w:bCs/>
                <w:color w:val="auto"/>
                <w:sz w:val="24"/>
                <w:highlight w:val="none"/>
                <w:u w:val="none"/>
                <w:lang w:val="en-US" w:eastAsia="zh-CN"/>
              </w:rPr>
              <w:t>2、环保措施可行性分析</w:t>
            </w:r>
          </w:p>
          <w:p w14:paraId="5B35DC9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生活污水水质较为简单，经化粪池</w:t>
            </w:r>
            <w:r>
              <w:rPr>
                <w:rFonts w:hint="default" w:ascii="Times New Roman" w:hAnsi="Times New Roman" w:cs="Times New Roman"/>
                <w:b w:val="0"/>
                <w:bCs w:val="0"/>
                <w:color w:val="auto"/>
                <w:sz w:val="24"/>
                <w:highlight w:val="none"/>
                <w:u w:val="none"/>
                <w:lang w:val="en-US" w:eastAsia="zh-CN"/>
              </w:rPr>
              <w:t>处理</w:t>
            </w:r>
            <w:r>
              <w:rPr>
                <w:rFonts w:hint="default" w:ascii="Times New Roman" w:hAnsi="Times New Roman" w:cs="Times New Roman"/>
                <w:b w:val="0"/>
                <w:bCs w:val="0"/>
                <w:color w:val="auto"/>
                <w:sz w:val="24"/>
                <w:highlight w:val="none"/>
                <w:u w:val="none"/>
              </w:rPr>
              <w:t>后出水水质能满足《污水综合排放标准》</w:t>
            </w:r>
            <w:r>
              <w:rPr>
                <w:rFonts w:hint="default" w:ascii="Times New Roman" w:hAnsi="Times New Roman"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rPr>
              <w:t>GB8978-1996</w:t>
            </w:r>
            <w:r>
              <w:rPr>
                <w:rFonts w:hint="eastAsia"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rPr>
              <w:t>表4中三级标准，同时满足</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进水水质要求，措施可行。</w:t>
            </w:r>
          </w:p>
          <w:p w14:paraId="6670DFE2">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lang w:val="en-US" w:eastAsia="zh-CN"/>
              </w:rPr>
              <w:t>3、</w:t>
            </w:r>
            <w:r>
              <w:rPr>
                <w:rFonts w:hint="default" w:ascii="Times New Roman" w:hAnsi="Times New Roman" w:cs="Times New Roman"/>
                <w:b/>
                <w:bCs/>
                <w:color w:val="auto"/>
                <w:sz w:val="24"/>
                <w:highlight w:val="none"/>
                <w:u w:val="none"/>
              </w:rPr>
              <w:t>依托集中污水处理厂的可行性</w:t>
            </w:r>
          </w:p>
          <w:p w14:paraId="2930B47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cs="Times New Roman"/>
                <w:b w:val="0"/>
                <w:bCs w:val="0"/>
                <w:color w:val="auto"/>
                <w:sz w:val="24"/>
                <w:highlight w:val="none"/>
                <w:u w:val="none"/>
                <w:lang w:eastAsia="zh-CN"/>
              </w:rPr>
              <w:t>大榄坪污水处理厂污水收集范围西起规划的金鼓江航道，东至鹿耳环江，北至规划环珠东大街，南至规划第八大街，配套新DN300-DN2000污水管，总</w:t>
            </w:r>
            <w:r>
              <w:rPr>
                <w:rFonts w:hint="default" w:ascii="Times New Roman" w:hAnsi="Times New Roman" w:cs="Times New Roman"/>
                <w:b w:val="0"/>
                <w:bCs w:val="0"/>
                <w:color w:val="auto"/>
                <w:sz w:val="24"/>
                <w:highlight w:val="none"/>
                <w:u w:val="none"/>
                <w:lang w:val="en-US" w:eastAsia="zh-CN"/>
              </w:rPr>
              <w:t>长</w:t>
            </w:r>
            <w:r>
              <w:rPr>
                <w:rFonts w:hint="default" w:ascii="Times New Roman" w:hAnsi="Times New Roman" w:cs="Times New Roman"/>
                <w:b w:val="0"/>
                <w:bCs w:val="0"/>
                <w:color w:val="auto"/>
                <w:sz w:val="24"/>
                <w:highlight w:val="none"/>
                <w:u w:val="none"/>
                <w:lang w:eastAsia="zh-CN"/>
              </w:rPr>
              <w:t>67.70km。大榄坪污水处理厂采用“</w:t>
            </w:r>
            <w:r>
              <w:rPr>
                <w:rFonts w:hint="default" w:ascii="Times New Roman" w:hAnsi="Times New Roman" w:cs="Times New Roman"/>
                <w:b w:val="0"/>
                <w:bCs w:val="0"/>
                <w:color w:val="auto"/>
                <w:sz w:val="24"/>
                <w:highlight w:val="none"/>
                <w:u w:val="none"/>
                <w:lang w:val="en-US" w:eastAsia="zh-CN"/>
              </w:rPr>
              <w:t>三级处理+消毒</w:t>
            </w:r>
            <w:r>
              <w:rPr>
                <w:rFonts w:hint="default" w:ascii="Times New Roman" w:hAnsi="Times New Roman" w:cs="Times New Roman"/>
                <w:b w:val="0"/>
                <w:bCs w:val="0"/>
                <w:color w:val="auto"/>
                <w:sz w:val="24"/>
                <w:highlight w:val="none"/>
                <w:u w:val="none"/>
                <w:lang w:eastAsia="zh-CN"/>
              </w:rPr>
              <w:t>”工艺，设计出水水质满足《城镇污水处理厂污染物排放标准》(GB18918-2002</w:t>
            </w:r>
            <w:r>
              <w:rPr>
                <w:rFonts w:hint="eastAsia" w:cs="Times New Roman"/>
                <w:b w:val="0"/>
                <w:bCs w:val="0"/>
                <w:color w:val="auto"/>
                <w:sz w:val="24"/>
                <w:highlight w:val="none"/>
                <w:u w:val="none"/>
                <w:lang w:eastAsia="zh-CN"/>
              </w:rPr>
              <w:t>）</w:t>
            </w:r>
            <w:r>
              <w:rPr>
                <w:rFonts w:hint="default" w:ascii="Times New Roman" w:hAnsi="Times New Roman" w:cs="Times New Roman"/>
                <w:b w:val="0"/>
                <w:bCs w:val="0"/>
                <w:color w:val="auto"/>
                <w:sz w:val="24"/>
                <w:highlight w:val="none"/>
                <w:u w:val="none"/>
                <w:lang w:eastAsia="zh-CN"/>
              </w:rPr>
              <w:t>的一级A标准，</w:t>
            </w:r>
            <w:r>
              <w:rPr>
                <w:rFonts w:hint="default" w:ascii="Times New Roman" w:hAnsi="Times New Roman" w:cs="Times New Roman"/>
                <w:b w:val="0"/>
                <w:bCs w:val="0"/>
                <w:color w:val="auto"/>
                <w:sz w:val="24"/>
                <w:highlight w:val="none"/>
                <w:u w:val="none"/>
                <w:lang w:val="en-US" w:eastAsia="zh-CN"/>
              </w:rPr>
              <w:t>最终深海排放</w:t>
            </w:r>
            <w:r>
              <w:rPr>
                <w:rFonts w:hint="default" w:ascii="Times New Roman" w:hAnsi="Times New Roman" w:cs="Times New Roman"/>
                <w:b w:val="0"/>
                <w:bCs w:val="0"/>
                <w:color w:val="auto"/>
                <w:sz w:val="24"/>
                <w:highlight w:val="none"/>
                <w:u w:val="none"/>
                <w:lang w:eastAsia="zh-CN"/>
              </w:rPr>
              <w:t>。污水厂自正式投入运行以来，污水处理设备运转良好</w:t>
            </w:r>
            <w:r>
              <w:rPr>
                <w:rFonts w:hint="default" w:ascii="Times New Roman" w:hAnsi="Times New Roman" w:cs="Times New Roman"/>
                <w:b w:val="0"/>
                <w:bCs w:val="0"/>
                <w:color w:val="auto"/>
                <w:sz w:val="24"/>
                <w:highlight w:val="none"/>
                <w:u w:val="none"/>
              </w:rPr>
              <w:t>。</w:t>
            </w:r>
            <w:r>
              <w:rPr>
                <w:rFonts w:hint="default" w:ascii="Times New Roman" w:hAnsi="Times New Roman" w:cs="Times New Roman"/>
                <w:b w:val="0"/>
                <w:bCs w:val="0"/>
                <w:color w:val="auto"/>
                <w:sz w:val="24"/>
                <w:highlight w:val="none"/>
                <w:u w:val="none"/>
                <w:lang w:val="en-US" w:eastAsia="zh-CN"/>
              </w:rPr>
              <w:t>本项目当前还未配套污水管网，远期将实现覆盖。</w:t>
            </w:r>
          </w:p>
          <w:p w14:paraId="3804323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进水水质要求为COD</w:t>
            </w:r>
            <w:r>
              <w:rPr>
                <w:rFonts w:hint="default" w:ascii="Times New Roman" w:hAnsi="Times New Roman" w:cs="Times New Roman"/>
                <w:b w:val="0"/>
                <w:bCs w:val="0"/>
                <w:color w:val="auto"/>
                <w:sz w:val="24"/>
                <w:highlight w:val="none"/>
                <w:u w:val="none"/>
                <w:lang w:val="en-US" w:eastAsia="zh-CN"/>
              </w:rPr>
              <w:t>5</w:t>
            </w:r>
            <w:r>
              <w:rPr>
                <w:rFonts w:hint="default" w:ascii="Times New Roman" w:hAnsi="Times New Roman" w:cs="Times New Roman"/>
                <w:b w:val="0"/>
                <w:bCs w:val="0"/>
                <w:color w:val="auto"/>
                <w:sz w:val="24"/>
                <w:highlight w:val="none"/>
                <w:u w:val="none"/>
              </w:rPr>
              <w:t>00mg/L、BOD</w:t>
            </w:r>
            <w:r>
              <w:rPr>
                <w:rFonts w:hint="default" w:ascii="Times New Roman" w:hAnsi="Times New Roman" w:cs="Times New Roman"/>
                <w:b w:val="0"/>
                <w:bCs w:val="0"/>
                <w:color w:val="auto"/>
                <w:sz w:val="24"/>
                <w:highlight w:val="none"/>
                <w:u w:val="none"/>
                <w:vertAlign w:val="subscript"/>
              </w:rPr>
              <w:t>5</w:t>
            </w:r>
            <w:r>
              <w:rPr>
                <w:rFonts w:hint="default" w:ascii="Times New Roman" w:hAnsi="Times New Roman" w:cs="Times New Roman"/>
                <w:b w:val="0"/>
                <w:bCs w:val="0"/>
                <w:color w:val="auto"/>
                <w:sz w:val="24"/>
                <w:highlight w:val="none"/>
                <w:u w:val="none"/>
              </w:rPr>
              <w:t>2</w:t>
            </w:r>
            <w:r>
              <w:rPr>
                <w:rFonts w:hint="default" w:ascii="Times New Roman" w:hAnsi="Times New Roman" w:cs="Times New Roman"/>
                <w:b w:val="0"/>
                <w:bCs w:val="0"/>
                <w:color w:val="auto"/>
                <w:sz w:val="24"/>
                <w:highlight w:val="none"/>
                <w:u w:val="none"/>
                <w:lang w:val="en-US" w:eastAsia="zh-CN"/>
              </w:rPr>
              <w:t>0</w:t>
            </w:r>
            <w:r>
              <w:rPr>
                <w:rFonts w:hint="default" w:ascii="Times New Roman" w:hAnsi="Times New Roman" w:cs="Times New Roman"/>
                <w:b w:val="0"/>
                <w:bCs w:val="0"/>
                <w:color w:val="auto"/>
                <w:sz w:val="24"/>
                <w:highlight w:val="none"/>
                <w:u w:val="none"/>
              </w:rPr>
              <w:t>0mg/L、SS</w:t>
            </w:r>
            <w:r>
              <w:rPr>
                <w:rFonts w:hint="default" w:ascii="Times New Roman" w:hAnsi="Times New Roman" w:cs="Times New Roman"/>
                <w:b w:val="0"/>
                <w:bCs w:val="0"/>
                <w:color w:val="auto"/>
                <w:sz w:val="24"/>
                <w:highlight w:val="none"/>
                <w:u w:val="none"/>
                <w:lang w:val="en-US" w:eastAsia="zh-CN"/>
              </w:rPr>
              <w:t>30</w:t>
            </w:r>
            <w:r>
              <w:rPr>
                <w:rFonts w:hint="default" w:ascii="Times New Roman" w:hAnsi="Times New Roman" w:cs="Times New Roman"/>
                <w:b w:val="0"/>
                <w:bCs w:val="0"/>
                <w:color w:val="auto"/>
                <w:sz w:val="24"/>
                <w:highlight w:val="none"/>
                <w:u w:val="none"/>
              </w:rPr>
              <w:t>0mg/L、氨氮</w:t>
            </w:r>
            <w:r>
              <w:rPr>
                <w:rFonts w:hint="default" w:ascii="Times New Roman" w:hAnsi="Times New Roman" w:cs="Times New Roman"/>
                <w:b w:val="0"/>
                <w:bCs w:val="0"/>
                <w:color w:val="auto"/>
                <w:sz w:val="24"/>
                <w:highlight w:val="none"/>
                <w:u w:val="none"/>
                <w:lang w:val="en-US" w:eastAsia="zh-CN"/>
              </w:rPr>
              <w:t>35</w:t>
            </w:r>
            <w:r>
              <w:rPr>
                <w:rFonts w:hint="default" w:ascii="Times New Roman" w:hAnsi="Times New Roman" w:cs="Times New Roman"/>
                <w:b w:val="0"/>
                <w:bCs w:val="0"/>
                <w:color w:val="auto"/>
                <w:sz w:val="24"/>
                <w:highlight w:val="none"/>
                <w:u w:val="none"/>
              </w:rPr>
              <w:t>mg/L，本项目外排</w:t>
            </w:r>
            <w:r>
              <w:rPr>
                <w:rFonts w:hint="eastAsia" w:cs="Times New Roman"/>
                <w:b w:val="0"/>
                <w:bCs w:val="0"/>
                <w:color w:val="auto"/>
                <w:sz w:val="24"/>
                <w:highlight w:val="none"/>
                <w:u w:val="none"/>
                <w:lang w:val="en-US" w:eastAsia="zh-CN"/>
              </w:rPr>
              <w:t>生活污水</w:t>
            </w:r>
            <w:r>
              <w:rPr>
                <w:rFonts w:hint="default" w:ascii="Times New Roman" w:hAnsi="Times New Roman" w:cs="Times New Roman"/>
                <w:b w:val="0"/>
                <w:bCs w:val="0"/>
                <w:color w:val="auto"/>
                <w:sz w:val="24"/>
                <w:highlight w:val="none"/>
                <w:u w:val="none"/>
              </w:rPr>
              <w:t>污染物浓度为COD</w:t>
            </w:r>
            <w:r>
              <w:rPr>
                <w:rFonts w:hint="eastAsia" w:cs="Times New Roman"/>
                <w:b w:val="0"/>
                <w:bCs w:val="0"/>
                <w:color w:val="auto"/>
                <w:sz w:val="24"/>
                <w:highlight w:val="none"/>
                <w:u w:val="none"/>
                <w:lang w:val="en-US" w:eastAsia="zh-CN"/>
              </w:rPr>
              <w:t>191</w:t>
            </w:r>
            <w:r>
              <w:rPr>
                <w:rFonts w:hint="default" w:ascii="Times New Roman" w:hAnsi="Times New Roman" w:cs="Times New Roman"/>
                <w:b w:val="0"/>
                <w:bCs w:val="0"/>
                <w:color w:val="auto"/>
                <w:sz w:val="24"/>
                <w:highlight w:val="none"/>
                <w:u w:val="none"/>
              </w:rPr>
              <w:t>mg/L、BOD</w:t>
            </w:r>
            <w:r>
              <w:rPr>
                <w:rFonts w:hint="default" w:ascii="Times New Roman" w:hAnsi="Times New Roman" w:cs="Times New Roman"/>
                <w:b w:val="0"/>
                <w:bCs w:val="0"/>
                <w:color w:val="auto"/>
                <w:sz w:val="24"/>
                <w:highlight w:val="none"/>
                <w:u w:val="none"/>
                <w:vertAlign w:val="subscript"/>
              </w:rPr>
              <w:t>5</w:t>
            </w:r>
            <w:r>
              <w:rPr>
                <w:rFonts w:hint="eastAsia" w:cs="Times New Roman"/>
                <w:b w:val="0"/>
                <w:bCs w:val="0"/>
                <w:color w:val="auto"/>
                <w:sz w:val="24"/>
                <w:highlight w:val="none"/>
                <w:u w:val="none"/>
                <w:lang w:val="en-US" w:eastAsia="zh-CN"/>
              </w:rPr>
              <w:t>82</w:t>
            </w:r>
            <w:r>
              <w:rPr>
                <w:rFonts w:hint="default" w:ascii="Times New Roman" w:hAnsi="Times New Roman" w:cs="Times New Roman"/>
                <w:b w:val="0"/>
                <w:bCs w:val="0"/>
                <w:color w:val="auto"/>
                <w:sz w:val="24"/>
                <w:highlight w:val="none"/>
                <w:u w:val="none"/>
              </w:rPr>
              <w:t>mg/L、SS</w:t>
            </w:r>
            <w:r>
              <w:rPr>
                <w:rFonts w:hint="eastAsia" w:cs="Times New Roman"/>
                <w:b w:val="0"/>
                <w:bCs w:val="0"/>
                <w:color w:val="auto"/>
                <w:sz w:val="24"/>
                <w:highlight w:val="none"/>
                <w:u w:val="none"/>
                <w:lang w:val="en-US" w:eastAsia="zh-CN"/>
              </w:rPr>
              <w:t>45</w:t>
            </w:r>
            <w:r>
              <w:rPr>
                <w:rFonts w:hint="default" w:ascii="Times New Roman" w:hAnsi="Times New Roman" w:cs="Times New Roman"/>
                <w:b w:val="0"/>
                <w:bCs w:val="0"/>
                <w:color w:val="auto"/>
                <w:sz w:val="24"/>
                <w:highlight w:val="none"/>
                <w:u w:val="none"/>
              </w:rPr>
              <w:t>mg/L、氨氮</w:t>
            </w:r>
            <w:r>
              <w:rPr>
                <w:rFonts w:hint="eastAsia" w:cs="Times New Roman"/>
                <w:b w:val="0"/>
                <w:bCs w:val="0"/>
                <w:color w:val="auto"/>
                <w:sz w:val="24"/>
                <w:highlight w:val="none"/>
                <w:u w:val="none"/>
                <w:lang w:val="en-US" w:eastAsia="zh-CN"/>
              </w:rPr>
              <w:t>28</w:t>
            </w:r>
            <w:r>
              <w:rPr>
                <w:rFonts w:hint="default" w:ascii="Times New Roman" w:hAnsi="Times New Roman" w:cs="Times New Roman"/>
                <w:b w:val="0"/>
                <w:bCs w:val="0"/>
                <w:color w:val="auto"/>
                <w:sz w:val="24"/>
                <w:highlight w:val="none"/>
                <w:u w:val="none"/>
              </w:rPr>
              <w:t>mg/L，满足污水处理厂进水水质要求。本项目排水量较小，占</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剩余处理能力的</w:t>
            </w:r>
            <w:r>
              <w:rPr>
                <w:rFonts w:hint="default" w:ascii="Times New Roman" w:hAnsi="Times New Roman" w:cs="Times New Roman"/>
                <w:b w:val="0"/>
                <w:bCs w:val="0"/>
                <w:color w:val="auto"/>
                <w:sz w:val="24"/>
                <w:highlight w:val="none"/>
                <w:u w:val="none"/>
                <w:lang w:val="en-US" w:eastAsia="zh-CN"/>
              </w:rPr>
              <w:t>比例较小</w:t>
            </w:r>
            <w:r>
              <w:rPr>
                <w:rFonts w:hint="default" w:ascii="Times New Roman" w:hAnsi="Times New Roman" w:cs="Times New Roman"/>
                <w:b w:val="0"/>
                <w:bCs w:val="0"/>
                <w:color w:val="auto"/>
                <w:sz w:val="24"/>
                <w:highlight w:val="none"/>
                <w:u w:val="none"/>
              </w:rPr>
              <w:t>。且本项目水质简单，</w:t>
            </w:r>
            <w:r>
              <w:rPr>
                <w:rFonts w:hint="default" w:ascii="Times New Roman" w:hAnsi="Times New Roman" w:cs="Times New Roman"/>
                <w:b w:val="0"/>
                <w:bCs w:val="0"/>
                <w:color w:val="auto"/>
                <w:sz w:val="24"/>
                <w:highlight w:val="none"/>
                <w:u w:val="none"/>
                <w:lang w:val="en-US" w:eastAsia="zh-CN"/>
              </w:rPr>
              <w:t>不含有毒有害物质，</w:t>
            </w:r>
            <w:r>
              <w:rPr>
                <w:rFonts w:hint="default" w:ascii="Times New Roman" w:hAnsi="Times New Roman" w:cs="Times New Roman"/>
                <w:b w:val="0"/>
                <w:bCs w:val="0"/>
                <w:color w:val="auto"/>
                <w:sz w:val="24"/>
                <w:highlight w:val="none"/>
                <w:u w:val="none"/>
              </w:rPr>
              <w:t>不会对其运行造成冲击。</w:t>
            </w:r>
          </w:p>
          <w:p w14:paraId="76D3C86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因此，本项目废水</w:t>
            </w:r>
            <w:r>
              <w:rPr>
                <w:rFonts w:hint="default" w:ascii="Times New Roman" w:hAnsi="Times New Roman" w:cs="Times New Roman"/>
                <w:b w:val="0"/>
                <w:bCs w:val="0"/>
                <w:color w:val="auto"/>
                <w:sz w:val="24"/>
                <w:highlight w:val="none"/>
                <w:u w:val="none"/>
                <w:lang w:val="en-US" w:eastAsia="zh-CN"/>
              </w:rPr>
              <w:t>最终由</w:t>
            </w:r>
            <w:r>
              <w:rPr>
                <w:rFonts w:hint="default" w:ascii="Times New Roman" w:hAnsi="Times New Roman" w:cs="Times New Roman"/>
                <w:b w:val="0"/>
                <w:bCs w:val="0"/>
                <w:color w:val="auto"/>
                <w:sz w:val="24"/>
                <w:highlight w:val="none"/>
                <w:u w:val="none"/>
                <w:lang w:eastAsia="zh-CN"/>
              </w:rPr>
              <w:t>大榄坪污水处理厂</w:t>
            </w:r>
            <w:r>
              <w:rPr>
                <w:rFonts w:hint="default" w:ascii="Times New Roman" w:hAnsi="Times New Roman" w:cs="Times New Roman"/>
                <w:b w:val="0"/>
                <w:bCs w:val="0"/>
                <w:color w:val="auto"/>
                <w:sz w:val="24"/>
                <w:highlight w:val="none"/>
                <w:u w:val="none"/>
              </w:rPr>
              <w:t>可行。本项目无废水直接排入地表水，结合污水处理厂环评结论，不会对地表水产生影响。</w:t>
            </w:r>
          </w:p>
          <w:p w14:paraId="693651C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highlight w:val="none"/>
                <w:u w:val="none"/>
              </w:rPr>
              <w:t>考虑本项目排水特点，不再提出废水监测计划。</w:t>
            </w:r>
          </w:p>
          <w:p w14:paraId="3C511B57">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b/>
                <w:bCs/>
                <w:color w:val="auto"/>
                <w:sz w:val="24"/>
                <w:highlight w:val="none"/>
                <w:u w:val="none"/>
                <w:lang w:val="en-US" w:eastAsia="zh-CN"/>
              </w:rPr>
              <w:t>三</w:t>
            </w:r>
            <w:r>
              <w:rPr>
                <w:rFonts w:hint="default" w:ascii="Times New Roman" w:hAnsi="Times New Roman" w:cs="Times New Roman"/>
                <w:b/>
                <w:bCs/>
                <w:color w:val="auto"/>
                <w:sz w:val="24"/>
                <w:highlight w:val="none"/>
                <w:u w:val="none"/>
              </w:rPr>
              <w:t>、噪声环境影响和保护措施</w:t>
            </w:r>
          </w:p>
          <w:p w14:paraId="40D09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cs="Times New Roman"/>
                <w:b/>
                <w:bCs/>
                <w:snapToGrid w:val="0"/>
                <w:color w:val="auto"/>
                <w:kern w:val="0"/>
                <w:sz w:val="24"/>
                <w:szCs w:val="20"/>
                <w:highlight w:val="none"/>
                <w:u w:val="none"/>
              </w:rPr>
            </w:pPr>
            <w:r>
              <w:rPr>
                <w:rFonts w:hint="default" w:ascii="Times New Roman" w:hAnsi="Times New Roman" w:cs="Times New Roman"/>
                <w:b/>
                <w:bCs/>
                <w:snapToGrid w:val="0"/>
                <w:color w:val="auto"/>
                <w:kern w:val="0"/>
                <w:sz w:val="24"/>
                <w:szCs w:val="20"/>
                <w:highlight w:val="none"/>
                <w:u w:val="none"/>
                <w:lang w:val="en-US" w:eastAsia="zh-CN"/>
              </w:rPr>
              <w:t>1、</w:t>
            </w:r>
            <w:r>
              <w:rPr>
                <w:rFonts w:hint="default" w:ascii="Times New Roman" w:hAnsi="Times New Roman" w:cs="Times New Roman"/>
                <w:b/>
                <w:bCs/>
                <w:snapToGrid w:val="0"/>
                <w:color w:val="auto"/>
                <w:kern w:val="0"/>
                <w:sz w:val="24"/>
                <w:szCs w:val="20"/>
                <w:highlight w:val="none"/>
                <w:u w:val="none"/>
              </w:rPr>
              <w:t>噪声源产生及排放情况</w:t>
            </w:r>
          </w:p>
          <w:p w14:paraId="5CC3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cs="Times New Roman"/>
                <w:snapToGrid w:val="0"/>
                <w:color w:val="auto"/>
                <w:kern w:val="0"/>
                <w:sz w:val="24"/>
                <w:szCs w:val="20"/>
                <w:highlight w:val="none"/>
                <w:u w:val="none"/>
              </w:rPr>
            </w:pPr>
            <w:r>
              <w:rPr>
                <w:rFonts w:hint="default" w:ascii="Times New Roman" w:hAnsi="Times New Roman" w:cs="Times New Roman"/>
                <w:snapToGrid w:val="0"/>
                <w:color w:val="auto"/>
                <w:kern w:val="0"/>
                <w:sz w:val="24"/>
                <w:szCs w:val="20"/>
                <w:highlight w:val="none"/>
                <w:u w:val="none"/>
              </w:rPr>
              <w:t>本项目</w:t>
            </w:r>
            <w:r>
              <w:rPr>
                <w:rFonts w:hint="default" w:ascii="Times New Roman" w:hAnsi="Times New Roman" w:cs="Times New Roman"/>
                <w:snapToGrid w:val="0"/>
                <w:color w:val="auto"/>
                <w:kern w:val="0"/>
                <w:sz w:val="24"/>
                <w:szCs w:val="20"/>
                <w:highlight w:val="none"/>
                <w:u w:val="none"/>
                <w:lang w:val="en-US" w:eastAsia="zh-CN"/>
              </w:rPr>
              <w:t>室内</w:t>
            </w:r>
            <w:r>
              <w:rPr>
                <w:rFonts w:hint="default" w:ascii="Times New Roman" w:hAnsi="Times New Roman" w:cs="Times New Roman"/>
                <w:snapToGrid w:val="0"/>
                <w:color w:val="auto"/>
                <w:kern w:val="0"/>
                <w:sz w:val="24"/>
                <w:szCs w:val="20"/>
                <w:highlight w:val="none"/>
                <w:u w:val="none"/>
              </w:rPr>
              <w:t>噪声源</w:t>
            </w:r>
            <w:r>
              <w:rPr>
                <w:rFonts w:hint="default" w:ascii="Times New Roman" w:hAnsi="Times New Roman" w:cs="Times New Roman"/>
                <w:snapToGrid w:val="0"/>
                <w:color w:val="auto"/>
                <w:kern w:val="0"/>
                <w:sz w:val="24"/>
                <w:szCs w:val="20"/>
                <w:highlight w:val="none"/>
                <w:u w:val="none"/>
                <w:lang w:val="en-US" w:eastAsia="zh-CN"/>
              </w:rPr>
              <w:t>情况</w:t>
            </w:r>
            <w:r>
              <w:rPr>
                <w:rFonts w:hint="default" w:ascii="Times New Roman" w:hAnsi="Times New Roman" w:cs="Times New Roman"/>
                <w:snapToGrid w:val="0"/>
                <w:color w:val="auto"/>
                <w:kern w:val="0"/>
                <w:sz w:val="24"/>
                <w:szCs w:val="20"/>
                <w:highlight w:val="none"/>
                <w:u w:val="none"/>
              </w:rPr>
              <w:t>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4</w:t>
            </w:r>
            <w:r>
              <w:rPr>
                <w:rFonts w:hint="default" w:ascii="Times New Roman" w:hAnsi="Times New Roman" w:cs="Times New Roman"/>
                <w:snapToGrid w:val="0"/>
                <w:color w:val="auto"/>
                <w:kern w:val="0"/>
                <w:sz w:val="24"/>
                <w:szCs w:val="20"/>
                <w:highlight w:val="none"/>
                <w:u w:val="none"/>
                <w:lang w:val="en-US" w:eastAsia="zh-CN"/>
              </w:rPr>
              <w:t>，室外</w:t>
            </w:r>
            <w:r>
              <w:rPr>
                <w:rFonts w:hint="default" w:ascii="Times New Roman" w:hAnsi="Times New Roman" w:cs="Times New Roman"/>
                <w:snapToGrid w:val="0"/>
                <w:color w:val="auto"/>
                <w:kern w:val="0"/>
                <w:sz w:val="24"/>
                <w:szCs w:val="20"/>
                <w:highlight w:val="none"/>
                <w:u w:val="none"/>
              </w:rPr>
              <w:t>噪声源</w:t>
            </w:r>
            <w:r>
              <w:rPr>
                <w:rFonts w:hint="default" w:ascii="Times New Roman" w:hAnsi="Times New Roman" w:cs="Times New Roman"/>
                <w:snapToGrid w:val="0"/>
                <w:color w:val="auto"/>
                <w:kern w:val="0"/>
                <w:sz w:val="24"/>
                <w:szCs w:val="20"/>
                <w:highlight w:val="none"/>
                <w:u w:val="none"/>
                <w:lang w:val="en-US" w:eastAsia="zh-CN"/>
              </w:rPr>
              <w:t>情况</w:t>
            </w:r>
            <w:r>
              <w:rPr>
                <w:rFonts w:hint="default" w:ascii="Times New Roman" w:hAnsi="Times New Roman" w:cs="Times New Roman"/>
                <w:snapToGrid w:val="0"/>
                <w:color w:val="auto"/>
                <w:kern w:val="0"/>
                <w:sz w:val="24"/>
                <w:szCs w:val="20"/>
                <w:highlight w:val="none"/>
                <w:u w:val="none"/>
              </w:rPr>
              <w:t>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5</w:t>
            </w:r>
            <w:r>
              <w:rPr>
                <w:rFonts w:hint="default" w:ascii="Times New Roman" w:hAnsi="Times New Roman" w:cs="Times New Roman"/>
                <w:snapToGrid w:val="0"/>
                <w:color w:val="auto"/>
                <w:kern w:val="0"/>
                <w:sz w:val="24"/>
                <w:szCs w:val="20"/>
                <w:highlight w:val="none"/>
                <w:u w:val="none"/>
              </w:rPr>
              <w:t>。</w:t>
            </w:r>
          </w:p>
          <w:p w14:paraId="11B5AE2E">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表</w:t>
            </w:r>
            <w:r>
              <w:rPr>
                <w:rFonts w:hint="default" w:ascii="Times New Roman" w:hAnsi="Times New Roman" w:cs="Times New Roman"/>
                <w:b/>
                <w:bCs/>
                <w:color w:val="auto"/>
                <w:sz w:val="24"/>
                <w:highlight w:val="none"/>
                <w:u w:val="none"/>
                <w:lang w:val="en-US" w:eastAsia="zh-CN"/>
              </w:rPr>
              <w:t>4-1</w:t>
            </w:r>
            <w:r>
              <w:rPr>
                <w:rFonts w:hint="eastAsia" w:cs="Times New Roman"/>
                <w:b/>
                <w:bCs/>
                <w:color w:val="auto"/>
                <w:sz w:val="24"/>
                <w:highlight w:val="none"/>
                <w:u w:val="none"/>
                <w:lang w:val="en-US" w:eastAsia="zh-CN"/>
              </w:rPr>
              <w:t>4</w:t>
            </w:r>
            <w:r>
              <w:rPr>
                <w:rFonts w:hint="default" w:ascii="Times New Roman" w:hAnsi="Times New Roman" w:cs="Times New Roman"/>
                <w:b/>
                <w:bCs/>
                <w:color w:val="auto"/>
                <w:sz w:val="24"/>
                <w:highlight w:val="none"/>
                <w:u w:val="none"/>
              </w:rPr>
              <w:t>本项目噪声源信息表</w:t>
            </w:r>
            <w:r>
              <w:rPr>
                <w:rFonts w:hint="eastAsia" w:cs="Times New Roman"/>
                <w:b/>
                <w:bCs/>
                <w:color w:val="auto"/>
                <w:sz w:val="24"/>
                <w:highlight w:val="none"/>
                <w:u w:val="none"/>
                <w:lang w:eastAsia="zh-CN"/>
              </w:rPr>
              <w:t>（</w:t>
            </w:r>
            <w:r>
              <w:rPr>
                <w:rFonts w:hint="default" w:ascii="Times New Roman" w:hAnsi="Times New Roman" w:eastAsia="宋体" w:cs="Times New Roman"/>
                <w:b/>
                <w:bCs/>
                <w:color w:val="auto"/>
                <w:sz w:val="24"/>
                <w:szCs w:val="24"/>
                <w:highlight w:val="none"/>
              </w:rPr>
              <w:t>室外声源</w:t>
            </w:r>
            <w:r>
              <w:rPr>
                <w:rFonts w:hint="eastAsia" w:cs="Times New Roman"/>
                <w:b/>
                <w:bCs/>
                <w:color w:val="auto"/>
                <w:sz w:val="24"/>
                <w:szCs w:val="24"/>
                <w:highlight w:val="none"/>
                <w:lang w:eastAsia="zh-CN"/>
              </w:rPr>
              <w:t>）</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7"/>
              <w:gridCol w:w="1407"/>
              <w:gridCol w:w="812"/>
              <w:gridCol w:w="510"/>
              <w:gridCol w:w="582"/>
              <w:gridCol w:w="419"/>
              <w:gridCol w:w="443"/>
              <w:gridCol w:w="582"/>
              <w:gridCol w:w="667"/>
              <w:gridCol w:w="463"/>
              <w:gridCol w:w="674"/>
              <w:gridCol w:w="827"/>
              <w:gridCol w:w="639"/>
            </w:tblGrid>
            <w:tr w14:paraId="283F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269" w:type="pct"/>
                  <w:vMerge w:val="restart"/>
                  <w:noWrap w:val="0"/>
                  <w:vAlign w:val="center"/>
                </w:tcPr>
                <w:p w14:paraId="04F9E3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建筑物名称</w:t>
                  </w:r>
                </w:p>
              </w:tc>
              <w:tc>
                <w:tcPr>
                  <w:tcW w:w="829" w:type="pct"/>
                  <w:vMerge w:val="restart"/>
                  <w:noWrap w:val="0"/>
                  <w:vAlign w:val="center"/>
                </w:tcPr>
                <w:p w14:paraId="2D016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声源名称</w:t>
                  </w:r>
                </w:p>
              </w:tc>
              <w:tc>
                <w:tcPr>
                  <w:tcW w:w="478" w:type="pct"/>
                  <w:vMerge w:val="restart"/>
                  <w:noWrap w:val="0"/>
                  <w:vAlign w:val="center"/>
                </w:tcPr>
                <w:p w14:paraId="2A566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单台</w:t>
                  </w:r>
                  <w:r>
                    <w:rPr>
                      <w:rFonts w:hint="default" w:ascii="Times New Roman" w:hAnsi="Times New Roman" w:eastAsia="宋体" w:cs="Times New Roman"/>
                      <w:color w:val="auto"/>
                      <w:highlight w:val="none"/>
                      <w:u w:val="none"/>
                    </w:rPr>
                    <w:t>声源源强</w:t>
                  </w:r>
                  <w:r>
                    <w:rPr>
                      <w:rFonts w:hint="eastAsia" w:cs="Times New Roman"/>
                      <w:color w:val="auto"/>
                      <w:highlight w:val="none"/>
                      <w:u w:val="none"/>
                      <w:lang w:eastAsia="zh-CN"/>
                    </w:rPr>
                    <w:t>（</w:t>
                  </w:r>
                  <w:r>
                    <w:rPr>
                      <w:rFonts w:hint="default" w:ascii="Times New Roman" w:hAnsi="Times New Roman" w:eastAsia="宋体" w:cs="Times New Roman"/>
                      <w:color w:val="auto"/>
                      <w:highlight w:val="none"/>
                      <w:u w:val="none"/>
                    </w:rPr>
                    <w:t>dB(A)/m</w:t>
                  </w:r>
                  <w:r>
                    <w:rPr>
                      <w:rFonts w:hint="default" w:ascii="Times New Roman" w:hAnsi="Times New Roman" w:cs="Times New Roman"/>
                      <w:color w:val="auto"/>
                      <w:highlight w:val="none"/>
                      <w:u w:val="none"/>
                      <w:lang w:eastAsia="zh-CN"/>
                    </w:rPr>
                    <w:t>)</w:t>
                  </w:r>
                </w:p>
              </w:tc>
              <w:tc>
                <w:tcPr>
                  <w:tcW w:w="300" w:type="pct"/>
                  <w:vMerge w:val="restart"/>
                  <w:noWrap w:val="0"/>
                  <w:vAlign w:val="center"/>
                </w:tcPr>
                <w:p w14:paraId="0B88C0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控制措施</w:t>
                  </w:r>
                </w:p>
              </w:tc>
              <w:tc>
                <w:tcPr>
                  <w:tcW w:w="851" w:type="pct"/>
                  <w:gridSpan w:val="3"/>
                  <w:noWrap w:val="0"/>
                  <w:vAlign w:val="center"/>
                </w:tcPr>
                <w:p w14:paraId="27B00B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空间相对位置</w:t>
                  </w:r>
                </w:p>
              </w:tc>
              <w:tc>
                <w:tcPr>
                  <w:tcW w:w="343" w:type="pct"/>
                  <w:vMerge w:val="restart"/>
                  <w:noWrap w:val="0"/>
                  <w:vAlign w:val="center"/>
                </w:tcPr>
                <w:p w14:paraId="00097B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距室内边界距离/m</w:t>
                  </w:r>
                </w:p>
              </w:tc>
              <w:tc>
                <w:tcPr>
                  <w:tcW w:w="393" w:type="pct"/>
                  <w:vMerge w:val="restart"/>
                  <w:noWrap w:val="0"/>
                  <w:vAlign w:val="center"/>
                </w:tcPr>
                <w:p w14:paraId="111BA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室内边界声级/dB(A)</w:t>
                  </w:r>
                </w:p>
              </w:tc>
              <w:tc>
                <w:tcPr>
                  <w:tcW w:w="272" w:type="pct"/>
                  <w:vMerge w:val="restart"/>
                  <w:noWrap w:val="0"/>
                  <w:vAlign w:val="center"/>
                </w:tcPr>
                <w:p w14:paraId="14FA7B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运行时段</w:t>
                  </w:r>
                </w:p>
              </w:tc>
              <w:tc>
                <w:tcPr>
                  <w:tcW w:w="397" w:type="pct"/>
                  <w:vMerge w:val="restart"/>
                  <w:noWrap w:val="0"/>
                  <w:vAlign w:val="center"/>
                </w:tcPr>
                <w:p w14:paraId="1CFBB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插入损失/dB(A)</w:t>
                  </w:r>
                </w:p>
              </w:tc>
              <w:tc>
                <w:tcPr>
                  <w:tcW w:w="864" w:type="pct"/>
                  <w:gridSpan w:val="2"/>
                  <w:noWrap w:val="0"/>
                  <w:vAlign w:val="center"/>
                </w:tcPr>
                <w:p w14:paraId="7724C25F">
                  <w:pPr>
                    <w:keepNext w:val="0"/>
                    <w:keepLines w:val="0"/>
                    <w:suppressLineNumbers w:val="0"/>
                    <w:spacing w:before="0" w:beforeAutospacing="0" w:after="0" w:afterAutospacing="0"/>
                    <w:ind w:left="0" w:right="-105" w:rightChars="-5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建筑物外噪声</w:t>
                  </w:r>
                </w:p>
              </w:tc>
            </w:tr>
            <w:tr w14:paraId="28C6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269" w:type="pct"/>
                  <w:vMerge w:val="continue"/>
                  <w:noWrap w:val="0"/>
                  <w:vAlign w:val="center"/>
                </w:tcPr>
                <w:p w14:paraId="43896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829" w:type="pct"/>
                  <w:vMerge w:val="continue"/>
                  <w:noWrap w:val="0"/>
                  <w:vAlign w:val="center"/>
                </w:tcPr>
                <w:p w14:paraId="261ACB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478" w:type="pct"/>
                  <w:vMerge w:val="continue"/>
                  <w:noWrap w:val="0"/>
                  <w:vAlign w:val="center"/>
                </w:tcPr>
                <w:p w14:paraId="6E0CA3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00" w:type="pct"/>
                  <w:vMerge w:val="continue"/>
                  <w:noWrap w:val="0"/>
                  <w:vAlign w:val="center"/>
                </w:tcPr>
                <w:p w14:paraId="687D7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48BC1F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X</w:t>
                  </w:r>
                </w:p>
              </w:tc>
              <w:tc>
                <w:tcPr>
                  <w:tcW w:w="246" w:type="pct"/>
                  <w:noWrap w:val="0"/>
                  <w:vAlign w:val="center"/>
                </w:tcPr>
                <w:p w14:paraId="6A9724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Y</w:t>
                  </w:r>
                </w:p>
              </w:tc>
              <w:tc>
                <w:tcPr>
                  <w:tcW w:w="261" w:type="pct"/>
                  <w:noWrap w:val="0"/>
                  <w:vAlign w:val="center"/>
                </w:tcPr>
                <w:p w14:paraId="359B7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Z</w:t>
                  </w:r>
                </w:p>
              </w:tc>
              <w:tc>
                <w:tcPr>
                  <w:tcW w:w="343" w:type="pct"/>
                  <w:vMerge w:val="continue"/>
                  <w:noWrap w:val="0"/>
                  <w:vAlign w:val="center"/>
                </w:tcPr>
                <w:p w14:paraId="5C2783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93" w:type="pct"/>
                  <w:vMerge w:val="continue"/>
                  <w:noWrap w:val="0"/>
                  <w:vAlign w:val="center"/>
                </w:tcPr>
                <w:p w14:paraId="3EA5B5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272" w:type="pct"/>
                  <w:vMerge w:val="continue"/>
                  <w:noWrap w:val="0"/>
                  <w:vAlign w:val="center"/>
                </w:tcPr>
                <w:p w14:paraId="4E9710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97" w:type="pct"/>
                  <w:vMerge w:val="continue"/>
                  <w:noWrap w:val="0"/>
                  <w:vAlign w:val="center"/>
                </w:tcPr>
                <w:p w14:paraId="2107BC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487" w:type="pct"/>
                  <w:noWrap w:val="0"/>
                  <w:vAlign w:val="center"/>
                </w:tcPr>
                <w:p w14:paraId="25382B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噪声值/dB(A)</w:t>
                  </w:r>
                </w:p>
              </w:tc>
              <w:tc>
                <w:tcPr>
                  <w:tcW w:w="376" w:type="pct"/>
                  <w:noWrap w:val="0"/>
                  <w:vAlign w:val="center"/>
                </w:tcPr>
                <w:p w14:paraId="20EE2B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建筑物</w:t>
                  </w:r>
                </w:p>
                <w:p w14:paraId="1C0EC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外距离</w:t>
                  </w:r>
                </w:p>
              </w:tc>
            </w:tr>
            <w:tr w14:paraId="48C7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restart"/>
                  <w:noWrap w:val="0"/>
                  <w:vAlign w:val="center"/>
                </w:tcPr>
                <w:p w14:paraId="739D0E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修箱厂房</w:t>
                  </w:r>
                </w:p>
              </w:tc>
              <w:tc>
                <w:tcPr>
                  <w:tcW w:w="829" w:type="pct"/>
                  <w:noWrap w:val="0"/>
                  <w:vAlign w:val="center"/>
                </w:tcPr>
                <w:p w14:paraId="04AEC1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二氧保护焊机</w:t>
                  </w:r>
                </w:p>
              </w:tc>
              <w:tc>
                <w:tcPr>
                  <w:tcW w:w="478" w:type="pct"/>
                  <w:noWrap w:val="0"/>
                  <w:vAlign w:val="center"/>
                </w:tcPr>
                <w:p w14:paraId="0C7ABD5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80</w:t>
                  </w:r>
                  <w:r>
                    <w:rPr>
                      <w:rFonts w:hint="default" w:ascii="Times New Roman" w:hAnsi="Times New Roman" w:cs="Times New Roman"/>
                      <w:color w:val="auto"/>
                      <w:szCs w:val="21"/>
                      <w:highlight w:val="none"/>
                      <w:u w:val="none"/>
                      <w:lang w:val="en-US" w:eastAsia="zh-CN"/>
                    </w:rPr>
                    <w:t>/1</w:t>
                  </w:r>
                </w:p>
              </w:tc>
              <w:tc>
                <w:tcPr>
                  <w:tcW w:w="300" w:type="pct"/>
                  <w:vMerge w:val="restart"/>
                  <w:noWrap w:val="0"/>
                  <w:vAlign w:val="center"/>
                </w:tcPr>
                <w:p w14:paraId="33DCBF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rPr>
                    <w:t>基础减振</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厂房隔声</w:t>
                  </w:r>
                </w:p>
              </w:tc>
              <w:tc>
                <w:tcPr>
                  <w:tcW w:w="343" w:type="pct"/>
                  <w:noWrap w:val="0"/>
                  <w:vAlign w:val="center"/>
                </w:tcPr>
                <w:p w14:paraId="2CD22DF9">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46" w:type="pct"/>
                  <w:noWrap w:val="0"/>
                  <w:vAlign w:val="center"/>
                </w:tcPr>
                <w:p w14:paraId="799662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-8</w:t>
                  </w:r>
                </w:p>
              </w:tc>
              <w:tc>
                <w:tcPr>
                  <w:tcW w:w="261" w:type="pct"/>
                  <w:noWrap w:val="0"/>
                  <w:vAlign w:val="center"/>
                </w:tcPr>
                <w:p w14:paraId="6BCFD0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6493E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2</w:t>
                  </w:r>
                </w:p>
              </w:tc>
              <w:tc>
                <w:tcPr>
                  <w:tcW w:w="393" w:type="pct"/>
                  <w:noWrap w:val="0"/>
                  <w:vAlign w:val="center"/>
                </w:tcPr>
                <w:p w14:paraId="4FCB2C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51</w:t>
                  </w:r>
                </w:p>
              </w:tc>
              <w:tc>
                <w:tcPr>
                  <w:tcW w:w="272" w:type="pct"/>
                  <w:noWrap w:val="0"/>
                  <w:vAlign w:val="center"/>
                </w:tcPr>
                <w:p w14:paraId="2E60B6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3E6AD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69C485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31</w:t>
                  </w:r>
                </w:p>
              </w:tc>
              <w:tc>
                <w:tcPr>
                  <w:tcW w:w="376" w:type="pct"/>
                  <w:noWrap w:val="0"/>
                  <w:vAlign w:val="center"/>
                </w:tcPr>
                <w:p w14:paraId="48C090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45F9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369A56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10B694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二氧保护焊机（切割）</w:t>
                  </w:r>
                </w:p>
              </w:tc>
              <w:tc>
                <w:tcPr>
                  <w:tcW w:w="478" w:type="pct"/>
                  <w:noWrap w:val="0"/>
                  <w:vAlign w:val="center"/>
                </w:tcPr>
                <w:p w14:paraId="5D9DD99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85</w:t>
                  </w:r>
                  <w:r>
                    <w:rPr>
                      <w:rFonts w:hint="default" w:ascii="Times New Roman" w:hAnsi="Times New Roman" w:cs="Times New Roman"/>
                      <w:color w:val="auto"/>
                      <w:szCs w:val="21"/>
                      <w:highlight w:val="none"/>
                      <w:u w:val="none"/>
                      <w:lang w:val="en-US" w:eastAsia="zh-CN"/>
                    </w:rPr>
                    <w:t>/1</w:t>
                  </w:r>
                </w:p>
              </w:tc>
              <w:tc>
                <w:tcPr>
                  <w:tcW w:w="300" w:type="pct"/>
                  <w:vMerge w:val="continue"/>
                  <w:noWrap w:val="0"/>
                  <w:vAlign w:val="center"/>
                </w:tcPr>
                <w:p w14:paraId="22561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6B61AC94">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w:t>
                  </w:r>
                </w:p>
              </w:tc>
              <w:tc>
                <w:tcPr>
                  <w:tcW w:w="246" w:type="pct"/>
                  <w:noWrap w:val="0"/>
                  <w:vAlign w:val="center"/>
                </w:tcPr>
                <w:p w14:paraId="20DBAF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-8</w:t>
                  </w:r>
                </w:p>
              </w:tc>
              <w:tc>
                <w:tcPr>
                  <w:tcW w:w="261" w:type="pct"/>
                  <w:noWrap w:val="0"/>
                  <w:vAlign w:val="center"/>
                </w:tcPr>
                <w:p w14:paraId="6B5B6F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6510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5</w:t>
                  </w:r>
                </w:p>
              </w:tc>
              <w:tc>
                <w:tcPr>
                  <w:tcW w:w="393" w:type="pct"/>
                  <w:noWrap w:val="0"/>
                  <w:vAlign w:val="center"/>
                </w:tcPr>
                <w:p w14:paraId="1AEB28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50.4</w:t>
                  </w:r>
                </w:p>
              </w:tc>
              <w:tc>
                <w:tcPr>
                  <w:tcW w:w="272" w:type="pct"/>
                  <w:noWrap w:val="0"/>
                  <w:vAlign w:val="center"/>
                </w:tcPr>
                <w:p w14:paraId="3E5A7E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69E8FA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173F14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30.4</w:t>
                  </w:r>
                </w:p>
              </w:tc>
              <w:tc>
                <w:tcPr>
                  <w:tcW w:w="376" w:type="pct"/>
                  <w:noWrap w:val="0"/>
                  <w:vAlign w:val="center"/>
                </w:tcPr>
                <w:p w14:paraId="3DAE06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437A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BC3A5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50817C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氩弧焊机</w:t>
                  </w:r>
                </w:p>
              </w:tc>
              <w:tc>
                <w:tcPr>
                  <w:tcW w:w="478" w:type="pct"/>
                  <w:noWrap w:val="0"/>
                  <w:vAlign w:val="center"/>
                </w:tcPr>
                <w:p w14:paraId="66B180D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95/1</w:t>
                  </w:r>
                </w:p>
              </w:tc>
              <w:tc>
                <w:tcPr>
                  <w:tcW w:w="300" w:type="pct"/>
                  <w:vMerge w:val="continue"/>
                  <w:noWrap w:val="0"/>
                  <w:vAlign w:val="center"/>
                </w:tcPr>
                <w:p w14:paraId="1FA66E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331CC33F">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4</w:t>
                  </w:r>
                </w:p>
              </w:tc>
              <w:tc>
                <w:tcPr>
                  <w:tcW w:w="246" w:type="pct"/>
                  <w:noWrap w:val="0"/>
                  <w:vAlign w:val="center"/>
                </w:tcPr>
                <w:p w14:paraId="7244C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-7</w:t>
                  </w:r>
                </w:p>
              </w:tc>
              <w:tc>
                <w:tcPr>
                  <w:tcW w:w="261" w:type="pct"/>
                  <w:noWrap w:val="0"/>
                  <w:vAlign w:val="center"/>
                </w:tcPr>
                <w:p w14:paraId="75EA1F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051E6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8</w:t>
                  </w:r>
                </w:p>
              </w:tc>
              <w:tc>
                <w:tcPr>
                  <w:tcW w:w="393" w:type="pct"/>
                  <w:noWrap w:val="0"/>
                  <w:vAlign w:val="center"/>
                </w:tcPr>
                <w:p w14:paraId="05994A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56.4</w:t>
                  </w:r>
                </w:p>
              </w:tc>
              <w:tc>
                <w:tcPr>
                  <w:tcW w:w="272" w:type="pct"/>
                  <w:noWrap w:val="0"/>
                  <w:vAlign w:val="center"/>
                </w:tcPr>
                <w:p w14:paraId="3D5505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7755B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44C8B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36.4</w:t>
                  </w:r>
                </w:p>
              </w:tc>
              <w:tc>
                <w:tcPr>
                  <w:tcW w:w="376" w:type="pct"/>
                  <w:noWrap w:val="0"/>
                  <w:vAlign w:val="center"/>
                </w:tcPr>
                <w:p w14:paraId="1AB485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12B1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AA026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0282CC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电动扳手</w:t>
                  </w:r>
                </w:p>
              </w:tc>
              <w:tc>
                <w:tcPr>
                  <w:tcW w:w="478" w:type="pct"/>
                  <w:noWrap w:val="0"/>
                  <w:vAlign w:val="center"/>
                </w:tcPr>
                <w:p w14:paraId="7607CF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rPr>
                  </w:pPr>
                  <w:r>
                    <w:rPr>
                      <w:rFonts w:hint="default" w:ascii="Times New Roman" w:hAnsi="Times New Roman" w:cs="Times New Roman"/>
                      <w:color w:val="auto"/>
                      <w:szCs w:val="21"/>
                      <w:highlight w:val="none"/>
                      <w:u w:val="none"/>
                      <w:lang w:val="en-US" w:eastAsia="zh-CN"/>
                    </w:rPr>
                    <w:t>90/1</w:t>
                  </w:r>
                </w:p>
              </w:tc>
              <w:tc>
                <w:tcPr>
                  <w:tcW w:w="300" w:type="pct"/>
                  <w:vMerge w:val="continue"/>
                  <w:noWrap w:val="0"/>
                  <w:vAlign w:val="center"/>
                </w:tcPr>
                <w:p w14:paraId="6922C9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025981E6">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4</w:t>
                  </w:r>
                </w:p>
              </w:tc>
              <w:tc>
                <w:tcPr>
                  <w:tcW w:w="246" w:type="pct"/>
                  <w:noWrap w:val="0"/>
                  <w:vAlign w:val="center"/>
                </w:tcPr>
                <w:p w14:paraId="67385C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-7</w:t>
                  </w:r>
                </w:p>
              </w:tc>
              <w:tc>
                <w:tcPr>
                  <w:tcW w:w="261" w:type="pct"/>
                  <w:noWrap w:val="0"/>
                  <w:vAlign w:val="center"/>
                </w:tcPr>
                <w:p w14:paraId="48667D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66CC6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8</w:t>
                  </w:r>
                </w:p>
              </w:tc>
              <w:tc>
                <w:tcPr>
                  <w:tcW w:w="393" w:type="pct"/>
                  <w:noWrap w:val="0"/>
                  <w:vAlign w:val="center"/>
                </w:tcPr>
                <w:p w14:paraId="16460D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51.9</w:t>
                  </w:r>
                </w:p>
              </w:tc>
              <w:tc>
                <w:tcPr>
                  <w:tcW w:w="272" w:type="pct"/>
                  <w:noWrap w:val="0"/>
                  <w:vAlign w:val="center"/>
                </w:tcPr>
                <w:p w14:paraId="668624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197F34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18038C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31.9</w:t>
                  </w:r>
                </w:p>
              </w:tc>
              <w:tc>
                <w:tcPr>
                  <w:tcW w:w="376" w:type="pct"/>
                  <w:noWrap w:val="0"/>
                  <w:vAlign w:val="center"/>
                </w:tcPr>
                <w:p w14:paraId="5E4733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7883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477719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306353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电锯</w:t>
                  </w:r>
                </w:p>
              </w:tc>
              <w:tc>
                <w:tcPr>
                  <w:tcW w:w="478" w:type="pct"/>
                  <w:noWrap w:val="0"/>
                  <w:vAlign w:val="center"/>
                </w:tcPr>
                <w:p w14:paraId="2A47CFE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80/1</w:t>
                  </w:r>
                </w:p>
              </w:tc>
              <w:tc>
                <w:tcPr>
                  <w:tcW w:w="300" w:type="pct"/>
                  <w:vMerge w:val="continue"/>
                  <w:noWrap w:val="0"/>
                  <w:vAlign w:val="center"/>
                </w:tcPr>
                <w:p w14:paraId="61630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61B84004">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-2</w:t>
                  </w:r>
                </w:p>
              </w:tc>
              <w:tc>
                <w:tcPr>
                  <w:tcW w:w="246" w:type="pct"/>
                  <w:noWrap w:val="0"/>
                  <w:vAlign w:val="center"/>
                </w:tcPr>
                <w:p w14:paraId="69C922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61" w:type="pct"/>
                  <w:noWrap w:val="0"/>
                  <w:vAlign w:val="center"/>
                </w:tcPr>
                <w:p w14:paraId="4E41B6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1527D1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6</w:t>
                  </w:r>
                </w:p>
              </w:tc>
              <w:tc>
                <w:tcPr>
                  <w:tcW w:w="393" w:type="pct"/>
                  <w:noWrap w:val="0"/>
                  <w:vAlign w:val="center"/>
                </w:tcPr>
                <w:p w14:paraId="763B77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45.8</w:t>
                  </w:r>
                </w:p>
              </w:tc>
              <w:tc>
                <w:tcPr>
                  <w:tcW w:w="272" w:type="pct"/>
                  <w:noWrap w:val="0"/>
                  <w:vAlign w:val="center"/>
                </w:tcPr>
                <w:p w14:paraId="286373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2ABE01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52C39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25.8</w:t>
                  </w:r>
                </w:p>
              </w:tc>
              <w:tc>
                <w:tcPr>
                  <w:tcW w:w="376" w:type="pct"/>
                  <w:noWrap w:val="0"/>
                  <w:vAlign w:val="center"/>
                </w:tcPr>
                <w:p w14:paraId="3CF547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538F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47DCC2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086C2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手电钻</w:t>
                  </w:r>
                </w:p>
              </w:tc>
              <w:tc>
                <w:tcPr>
                  <w:tcW w:w="478" w:type="pct"/>
                  <w:noWrap w:val="0"/>
                  <w:vAlign w:val="center"/>
                </w:tcPr>
                <w:p w14:paraId="5514C2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szCs w:val="21"/>
                      <w:highlight w:val="none"/>
                      <w:u w:val="none"/>
                      <w:lang w:val="en-US" w:eastAsia="zh-CN"/>
                    </w:rPr>
                    <w:t>80/1</w:t>
                  </w:r>
                </w:p>
              </w:tc>
              <w:tc>
                <w:tcPr>
                  <w:tcW w:w="300" w:type="pct"/>
                  <w:vMerge w:val="continue"/>
                  <w:noWrap w:val="0"/>
                  <w:vAlign w:val="center"/>
                </w:tcPr>
                <w:p w14:paraId="43837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2E6F5C57">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-3</w:t>
                  </w:r>
                </w:p>
              </w:tc>
              <w:tc>
                <w:tcPr>
                  <w:tcW w:w="246" w:type="pct"/>
                  <w:noWrap w:val="0"/>
                  <w:vAlign w:val="center"/>
                </w:tcPr>
                <w:p w14:paraId="3029AD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p>
              </w:tc>
              <w:tc>
                <w:tcPr>
                  <w:tcW w:w="261" w:type="pct"/>
                  <w:noWrap w:val="0"/>
                  <w:vAlign w:val="center"/>
                </w:tcPr>
                <w:p w14:paraId="454F86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12EBB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6</w:t>
                  </w:r>
                </w:p>
              </w:tc>
              <w:tc>
                <w:tcPr>
                  <w:tcW w:w="393" w:type="pct"/>
                  <w:noWrap w:val="0"/>
                  <w:vAlign w:val="center"/>
                </w:tcPr>
                <w:p w14:paraId="04598A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4</w:t>
                  </w:r>
                  <w:r>
                    <w:rPr>
                      <w:rFonts w:hint="eastAsia" w:cs="Times New Roman"/>
                      <w:color w:val="auto"/>
                      <w:highlight w:val="none"/>
                      <w:u w:val="none"/>
                      <w:lang w:val="en-US" w:eastAsia="zh-CN"/>
                    </w:rPr>
                    <w:t>5</w:t>
                  </w:r>
                  <w:r>
                    <w:rPr>
                      <w:rFonts w:hint="default" w:ascii="Times New Roman" w:hAnsi="Times New Roman" w:cs="Times New Roman"/>
                      <w:color w:val="auto"/>
                      <w:highlight w:val="none"/>
                      <w:u w:val="none"/>
                      <w:lang w:val="en-US" w:eastAsia="zh-CN"/>
                    </w:rPr>
                    <w:t>.9</w:t>
                  </w:r>
                </w:p>
              </w:tc>
              <w:tc>
                <w:tcPr>
                  <w:tcW w:w="272" w:type="pct"/>
                  <w:noWrap w:val="0"/>
                  <w:vAlign w:val="center"/>
                </w:tcPr>
                <w:p w14:paraId="4A2324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3D30C4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676BEA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25</w:t>
                  </w:r>
                  <w:r>
                    <w:rPr>
                      <w:rFonts w:hint="default" w:ascii="Times New Roman" w:hAnsi="Times New Roman" w:eastAsia="宋体" w:cs="Times New Roman"/>
                      <w:color w:val="auto"/>
                      <w:highlight w:val="none"/>
                      <w:u w:val="none"/>
                      <w:lang w:val="en-US" w:eastAsia="zh-CN"/>
                    </w:rPr>
                    <w:t>.9</w:t>
                  </w:r>
                </w:p>
              </w:tc>
              <w:tc>
                <w:tcPr>
                  <w:tcW w:w="376" w:type="pct"/>
                  <w:noWrap w:val="0"/>
                  <w:vAlign w:val="center"/>
                </w:tcPr>
                <w:p w14:paraId="370868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14:paraId="651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9" w:type="pct"/>
                  <w:vMerge w:val="continue"/>
                  <w:noWrap w:val="0"/>
                  <w:vAlign w:val="center"/>
                </w:tcPr>
                <w:p w14:paraId="7BB9AA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p>
              </w:tc>
              <w:tc>
                <w:tcPr>
                  <w:tcW w:w="829" w:type="pct"/>
                  <w:noWrap w:val="0"/>
                  <w:vAlign w:val="center"/>
                </w:tcPr>
                <w:p w14:paraId="25580E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sz w:val="21"/>
                      <w:szCs w:val="21"/>
                      <w:highlight w:val="none"/>
                    </w:rPr>
                    <w:t>往复锯</w:t>
                  </w:r>
                </w:p>
              </w:tc>
              <w:tc>
                <w:tcPr>
                  <w:tcW w:w="478" w:type="pct"/>
                  <w:noWrap w:val="0"/>
                  <w:vAlign w:val="center"/>
                </w:tcPr>
                <w:p w14:paraId="3026B34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szCs w:val="21"/>
                      <w:highlight w:val="none"/>
                      <w:u w:val="none"/>
                      <w:lang w:val="en-US" w:eastAsia="zh-CN"/>
                    </w:rPr>
                    <w:t>85</w:t>
                  </w:r>
                  <w:r>
                    <w:rPr>
                      <w:rFonts w:hint="default" w:ascii="Times New Roman" w:hAnsi="Times New Roman" w:cs="Times New Roman"/>
                      <w:color w:val="auto"/>
                      <w:szCs w:val="21"/>
                      <w:highlight w:val="none"/>
                      <w:u w:val="none"/>
                      <w:lang w:val="en-US" w:eastAsia="zh-CN"/>
                    </w:rPr>
                    <w:t>/1</w:t>
                  </w:r>
                </w:p>
              </w:tc>
              <w:tc>
                <w:tcPr>
                  <w:tcW w:w="300" w:type="pct"/>
                  <w:vMerge w:val="continue"/>
                  <w:noWrap w:val="0"/>
                  <w:vAlign w:val="center"/>
                </w:tcPr>
                <w:p w14:paraId="192CF1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p>
              </w:tc>
              <w:tc>
                <w:tcPr>
                  <w:tcW w:w="343" w:type="pct"/>
                  <w:noWrap w:val="0"/>
                  <w:vAlign w:val="center"/>
                </w:tcPr>
                <w:p w14:paraId="2681BA27">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cs="Times New Roman"/>
                      <w:color w:val="auto"/>
                      <w:sz w:val="21"/>
                      <w:szCs w:val="21"/>
                      <w:highlight w:val="none"/>
                      <w:u w:val="none"/>
                      <w:lang w:val="en-US" w:eastAsia="zh-CN" w:bidi="he-IL"/>
                    </w:rPr>
                    <w:t>-5</w:t>
                  </w:r>
                </w:p>
              </w:tc>
              <w:tc>
                <w:tcPr>
                  <w:tcW w:w="246" w:type="pct"/>
                  <w:noWrap w:val="0"/>
                  <w:vAlign w:val="center"/>
                </w:tcPr>
                <w:p w14:paraId="0A46E3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-6</w:t>
                  </w:r>
                </w:p>
              </w:tc>
              <w:tc>
                <w:tcPr>
                  <w:tcW w:w="261" w:type="pct"/>
                  <w:noWrap w:val="0"/>
                  <w:vAlign w:val="center"/>
                </w:tcPr>
                <w:p w14:paraId="6066E0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343" w:type="pct"/>
                  <w:noWrap w:val="0"/>
                  <w:vAlign w:val="center"/>
                </w:tcPr>
                <w:p w14:paraId="4F010A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u w:val="none"/>
                      <w:lang w:val="en-US" w:eastAsia="zh-CN"/>
                    </w:rPr>
                  </w:pPr>
                  <w:r>
                    <w:rPr>
                      <w:rFonts w:hint="eastAsia" w:cs="Times New Roman"/>
                      <w:color w:val="auto"/>
                      <w:kern w:val="0"/>
                      <w:highlight w:val="none"/>
                      <w:u w:val="none"/>
                      <w:lang w:val="en-US" w:eastAsia="zh-CN"/>
                    </w:rPr>
                    <w:t>4</w:t>
                  </w:r>
                </w:p>
              </w:tc>
              <w:tc>
                <w:tcPr>
                  <w:tcW w:w="393" w:type="pct"/>
                  <w:noWrap w:val="0"/>
                  <w:vAlign w:val="center"/>
                </w:tcPr>
                <w:p w14:paraId="1CAB92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48.9</w:t>
                  </w:r>
                </w:p>
              </w:tc>
              <w:tc>
                <w:tcPr>
                  <w:tcW w:w="272" w:type="pct"/>
                  <w:noWrap w:val="0"/>
                  <w:vAlign w:val="center"/>
                </w:tcPr>
                <w:p w14:paraId="751895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昼夜</w:t>
                  </w:r>
                </w:p>
              </w:tc>
              <w:tc>
                <w:tcPr>
                  <w:tcW w:w="397" w:type="pct"/>
                  <w:noWrap w:val="0"/>
                  <w:vAlign w:val="center"/>
                </w:tcPr>
                <w:p w14:paraId="77551D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20</w:t>
                  </w:r>
                </w:p>
              </w:tc>
              <w:tc>
                <w:tcPr>
                  <w:tcW w:w="487" w:type="pct"/>
                  <w:noWrap w:val="0"/>
                  <w:vAlign w:val="center"/>
                </w:tcPr>
                <w:p w14:paraId="7B051A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28.9</w:t>
                  </w:r>
                </w:p>
              </w:tc>
              <w:tc>
                <w:tcPr>
                  <w:tcW w:w="376" w:type="pct"/>
                  <w:noWrap w:val="0"/>
                  <w:vAlign w:val="center"/>
                </w:tcPr>
                <w:p w14:paraId="1E7327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bl>
          <w:p w14:paraId="427910BB">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highlight w:val="none"/>
              </w:rPr>
              <w:t>本项目噪声源信息表</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szCs w:val="24"/>
                <w:highlight w:val="none"/>
              </w:rPr>
              <w:t>室外声源</w:t>
            </w:r>
            <w:r>
              <w:rPr>
                <w:rFonts w:hint="eastAsia" w:cs="Times New Roman"/>
                <w:b/>
                <w:bCs/>
                <w:color w:val="auto"/>
                <w:sz w:val="24"/>
                <w:szCs w:val="24"/>
                <w:highlight w:val="none"/>
                <w:lang w:eastAsia="zh-CN"/>
              </w:rPr>
              <w:t>）</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3"/>
              <w:gridCol w:w="1369"/>
              <w:gridCol w:w="689"/>
              <w:gridCol w:w="650"/>
              <w:gridCol w:w="748"/>
              <w:gridCol w:w="1591"/>
              <w:gridCol w:w="1675"/>
              <w:gridCol w:w="1228"/>
            </w:tblGrid>
            <w:tr w14:paraId="43F0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314" w:type="pct"/>
                  <w:vMerge w:val="restart"/>
                  <w:shd w:val="clear" w:color="auto" w:fill="auto"/>
                  <w:tcMar>
                    <w:top w:w="15" w:type="dxa"/>
                    <w:left w:w="15" w:type="dxa"/>
                    <w:right w:w="15" w:type="dxa"/>
                  </w:tcMar>
                  <w:vAlign w:val="center"/>
                </w:tcPr>
                <w:p w14:paraId="08495CB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序号</w:t>
                  </w:r>
                </w:p>
              </w:tc>
              <w:tc>
                <w:tcPr>
                  <w:tcW w:w="806" w:type="pct"/>
                  <w:vMerge w:val="restart"/>
                  <w:shd w:val="clear" w:color="auto" w:fill="auto"/>
                  <w:tcMar>
                    <w:top w:w="15" w:type="dxa"/>
                    <w:left w:w="15" w:type="dxa"/>
                    <w:right w:w="15" w:type="dxa"/>
                  </w:tcMar>
                  <w:vAlign w:val="center"/>
                </w:tcPr>
                <w:p w14:paraId="2F17CF76">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污染源</w:t>
                  </w:r>
                </w:p>
              </w:tc>
              <w:tc>
                <w:tcPr>
                  <w:tcW w:w="1230" w:type="pct"/>
                  <w:gridSpan w:val="3"/>
                  <w:shd w:val="clear" w:color="auto" w:fill="auto"/>
                  <w:tcMar>
                    <w:top w:w="15" w:type="dxa"/>
                    <w:left w:w="15" w:type="dxa"/>
                    <w:right w:w="15" w:type="dxa"/>
                  </w:tcMar>
                  <w:vAlign w:val="center"/>
                </w:tcPr>
                <w:p w14:paraId="5E9A1053">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空间相对位置/m</w:t>
                  </w:r>
                </w:p>
              </w:tc>
              <w:tc>
                <w:tcPr>
                  <w:tcW w:w="937" w:type="pct"/>
                  <w:vMerge w:val="restart"/>
                  <w:shd w:val="clear" w:color="auto" w:fill="auto"/>
                  <w:noWrap/>
                  <w:tcMar>
                    <w:top w:w="15" w:type="dxa"/>
                    <w:left w:w="15" w:type="dxa"/>
                    <w:right w:w="15" w:type="dxa"/>
                  </w:tcMar>
                  <w:vAlign w:val="center"/>
                </w:tcPr>
                <w:p w14:paraId="003C926C">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声源源强/dB(A)</w:t>
                  </w:r>
                </w:p>
              </w:tc>
              <w:tc>
                <w:tcPr>
                  <w:tcW w:w="987" w:type="pct"/>
                  <w:vMerge w:val="restart"/>
                  <w:shd w:val="clear" w:color="auto" w:fill="auto"/>
                  <w:tcMar>
                    <w:top w:w="15" w:type="dxa"/>
                    <w:left w:w="15" w:type="dxa"/>
                    <w:right w:w="15" w:type="dxa"/>
                  </w:tcMar>
                  <w:vAlign w:val="center"/>
                </w:tcPr>
                <w:p w14:paraId="3B7D5AF1">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声源控制措施</w:t>
                  </w:r>
                </w:p>
              </w:tc>
              <w:tc>
                <w:tcPr>
                  <w:tcW w:w="723" w:type="pct"/>
                  <w:vMerge w:val="restart"/>
                  <w:shd w:val="clear" w:color="auto" w:fill="auto"/>
                  <w:tcMar>
                    <w:top w:w="15" w:type="dxa"/>
                    <w:left w:w="15" w:type="dxa"/>
                    <w:right w:w="15" w:type="dxa"/>
                  </w:tcMar>
                  <w:vAlign w:val="center"/>
                </w:tcPr>
                <w:p w14:paraId="21E7AD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运行时段</w:t>
                  </w:r>
                </w:p>
              </w:tc>
            </w:tr>
            <w:tr w14:paraId="4544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314" w:type="pct"/>
                  <w:vMerge w:val="continue"/>
                  <w:shd w:val="clear" w:color="auto" w:fill="auto"/>
                  <w:tcMar>
                    <w:top w:w="15" w:type="dxa"/>
                    <w:left w:w="15" w:type="dxa"/>
                    <w:right w:w="15" w:type="dxa"/>
                  </w:tcMar>
                  <w:vAlign w:val="center"/>
                </w:tcPr>
                <w:p w14:paraId="37A2BDCC">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4"/>
                      <w:highlight w:val="none"/>
                    </w:rPr>
                  </w:pPr>
                </w:p>
              </w:tc>
              <w:tc>
                <w:tcPr>
                  <w:tcW w:w="806" w:type="pct"/>
                  <w:vMerge w:val="continue"/>
                  <w:shd w:val="clear" w:color="auto" w:fill="auto"/>
                  <w:tcMar>
                    <w:top w:w="15" w:type="dxa"/>
                    <w:left w:w="15" w:type="dxa"/>
                    <w:right w:w="15" w:type="dxa"/>
                  </w:tcMar>
                  <w:vAlign w:val="center"/>
                </w:tcPr>
                <w:p w14:paraId="28390AC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4"/>
                      <w:highlight w:val="none"/>
                    </w:rPr>
                  </w:pPr>
                </w:p>
              </w:tc>
              <w:tc>
                <w:tcPr>
                  <w:tcW w:w="406" w:type="pct"/>
                  <w:shd w:val="clear" w:color="auto" w:fill="auto"/>
                  <w:tcMar>
                    <w:top w:w="15" w:type="dxa"/>
                    <w:left w:w="15" w:type="dxa"/>
                    <w:right w:w="15" w:type="dxa"/>
                  </w:tcMar>
                  <w:vAlign w:val="center"/>
                </w:tcPr>
                <w:p w14:paraId="176E8E5A">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X</w:t>
                  </w:r>
                </w:p>
              </w:tc>
              <w:tc>
                <w:tcPr>
                  <w:tcW w:w="383" w:type="pct"/>
                  <w:shd w:val="clear" w:color="auto" w:fill="auto"/>
                  <w:tcMar>
                    <w:top w:w="15" w:type="dxa"/>
                    <w:left w:w="15" w:type="dxa"/>
                    <w:right w:w="15" w:type="dxa"/>
                  </w:tcMar>
                  <w:vAlign w:val="center"/>
                </w:tcPr>
                <w:p w14:paraId="029C44E4">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Y</w:t>
                  </w:r>
                </w:p>
              </w:tc>
              <w:tc>
                <w:tcPr>
                  <w:tcW w:w="440" w:type="pct"/>
                  <w:shd w:val="clear" w:color="auto" w:fill="auto"/>
                  <w:tcMar>
                    <w:top w:w="15" w:type="dxa"/>
                    <w:left w:w="15" w:type="dxa"/>
                    <w:right w:w="15" w:type="dxa"/>
                  </w:tcMar>
                  <w:vAlign w:val="center"/>
                </w:tcPr>
                <w:p w14:paraId="670812B5">
                  <w:pPr>
                    <w:keepNext w:val="0"/>
                    <w:keepLines w:val="0"/>
                    <w:widowControl/>
                    <w:suppressLineNumbers w:val="0"/>
                    <w:spacing w:before="40" w:beforeAutospacing="0" w:after="40" w:afterAutospacing="0" w:line="240" w:lineRule="exact"/>
                    <w:ind w:left="0" w:right="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Z</w:t>
                  </w:r>
                </w:p>
              </w:tc>
              <w:tc>
                <w:tcPr>
                  <w:tcW w:w="937" w:type="pct"/>
                  <w:vMerge w:val="continue"/>
                  <w:shd w:val="clear" w:color="auto" w:fill="auto"/>
                  <w:noWrap/>
                  <w:tcMar>
                    <w:top w:w="15" w:type="dxa"/>
                    <w:left w:w="15" w:type="dxa"/>
                    <w:right w:w="15" w:type="dxa"/>
                  </w:tcMar>
                  <w:vAlign w:val="center"/>
                </w:tcPr>
                <w:p w14:paraId="5BCF68A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c>
                <w:tcPr>
                  <w:tcW w:w="987" w:type="pct"/>
                  <w:vMerge w:val="continue"/>
                  <w:shd w:val="clear" w:color="auto" w:fill="auto"/>
                  <w:tcMar>
                    <w:top w:w="15" w:type="dxa"/>
                    <w:left w:w="15" w:type="dxa"/>
                    <w:right w:w="15" w:type="dxa"/>
                  </w:tcMar>
                  <w:vAlign w:val="center"/>
                </w:tcPr>
                <w:p w14:paraId="2DA7C45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c>
                <w:tcPr>
                  <w:tcW w:w="723" w:type="pct"/>
                  <w:vMerge w:val="continue"/>
                  <w:shd w:val="clear" w:color="auto" w:fill="auto"/>
                  <w:tcMar>
                    <w:top w:w="15" w:type="dxa"/>
                    <w:left w:w="15" w:type="dxa"/>
                    <w:right w:w="15" w:type="dxa"/>
                  </w:tcMar>
                  <w:vAlign w:val="center"/>
                </w:tcPr>
                <w:p w14:paraId="1A3ABAE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val="0"/>
                      <w:bCs w:val="0"/>
                      <w:color w:val="auto"/>
                      <w:sz w:val="21"/>
                      <w:szCs w:val="21"/>
                      <w:highlight w:val="none"/>
                    </w:rPr>
                  </w:pPr>
                </w:p>
              </w:tc>
            </w:tr>
            <w:tr w14:paraId="3A3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shd w:val="clear" w:color="auto" w:fill="auto"/>
                  <w:tcMar>
                    <w:top w:w="15" w:type="dxa"/>
                    <w:left w:w="15" w:type="dxa"/>
                    <w:right w:w="15" w:type="dxa"/>
                  </w:tcMar>
                  <w:vAlign w:val="center"/>
                </w:tcPr>
                <w:p w14:paraId="5430AAE2">
                  <w:pPr>
                    <w:keepNext w:val="0"/>
                    <w:keepLines w:val="0"/>
                    <w:widowControl w:val="0"/>
                    <w:suppressLineNumbers w:val="0"/>
                    <w:spacing w:before="0" w:beforeAutospacing="0" w:after="0" w:afterAutospacing="0"/>
                    <w:ind w:left="420" w:right="0" w:hanging="420" w:hangingChars="20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806" w:type="pct"/>
                  <w:shd w:val="clear" w:color="auto" w:fill="auto"/>
                  <w:tcMar>
                    <w:top w:w="15" w:type="dxa"/>
                    <w:left w:w="15" w:type="dxa"/>
                    <w:right w:w="15" w:type="dxa"/>
                  </w:tcMar>
                  <w:vAlign w:val="center"/>
                </w:tcPr>
                <w:p w14:paraId="0BFE3066">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风机</w:t>
                  </w:r>
                </w:p>
              </w:tc>
              <w:tc>
                <w:tcPr>
                  <w:tcW w:w="406" w:type="pct"/>
                  <w:shd w:val="clear" w:color="auto" w:fill="auto"/>
                  <w:tcMar>
                    <w:top w:w="15" w:type="dxa"/>
                    <w:left w:w="15" w:type="dxa"/>
                    <w:right w:w="15" w:type="dxa"/>
                  </w:tcMar>
                  <w:vAlign w:val="center"/>
                </w:tcPr>
                <w:p w14:paraId="7730F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383" w:type="pct"/>
                  <w:shd w:val="clear" w:color="auto" w:fill="auto"/>
                  <w:tcMar>
                    <w:top w:w="15" w:type="dxa"/>
                    <w:left w:w="15" w:type="dxa"/>
                    <w:right w:w="15" w:type="dxa"/>
                  </w:tcMar>
                  <w:vAlign w:val="center"/>
                </w:tcPr>
                <w:p w14:paraId="216E2A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40" w:type="pct"/>
                  <w:shd w:val="clear" w:color="auto" w:fill="auto"/>
                  <w:tcMar>
                    <w:top w:w="15" w:type="dxa"/>
                    <w:left w:w="15" w:type="dxa"/>
                    <w:right w:w="15" w:type="dxa"/>
                  </w:tcMar>
                  <w:vAlign w:val="center"/>
                </w:tcPr>
                <w:p w14:paraId="6321E3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37" w:type="pct"/>
                  <w:shd w:val="clear" w:color="auto" w:fill="auto"/>
                  <w:tcMar>
                    <w:top w:w="15" w:type="dxa"/>
                    <w:left w:w="15" w:type="dxa"/>
                    <w:right w:w="15" w:type="dxa"/>
                  </w:tcMar>
                  <w:vAlign w:val="center"/>
                </w:tcPr>
                <w:p w14:paraId="25A20E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987" w:type="pct"/>
                  <w:shd w:val="clear" w:color="auto" w:fill="auto"/>
                  <w:tcMar>
                    <w:top w:w="15" w:type="dxa"/>
                    <w:left w:w="15" w:type="dxa"/>
                    <w:right w:w="15" w:type="dxa"/>
                  </w:tcMar>
                  <w:vAlign w:val="center"/>
                </w:tcPr>
                <w:p w14:paraId="02E05F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设置隔声罩</w:t>
                  </w:r>
                </w:p>
              </w:tc>
              <w:tc>
                <w:tcPr>
                  <w:tcW w:w="723" w:type="pct"/>
                  <w:shd w:val="clear" w:color="auto" w:fill="auto"/>
                  <w:noWrap/>
                  <w:tcMar>
                    <w:top w:w="15" w:type="dxa"/>
                    <w:left w:w="15" w:type="dxa"/>
                    <w:right w:w="15" w:type="dxa"/>
                  </w:tcMar>
                  <w:vAlign w:val="center"/>
                </w:tcPr>
                <w:p w14:paraId="67A2BEF0">
                  <w:pPr>
                    <w:keepNext w:val="0"/>
                    <w:keepLines w:val="0"/>
                    <w:widowControl/>
                    <w:suppressLineNumbers w:val="0"/>
                    <w:spacing w:before="60" w:beforeAutospacing="0" w:after="6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w:t>
                  </w:r>
                  <w:r>
                    <w:rPr>
                      <w:rFonts w:hint="default" w:ascii="Times New Roman" w:hAnsi="Times New Roman" w:eastAsia="宋体" w:cs="Times New Roman"/>
                      <w:color w:val="auto"/>
                      <w:sz w:val="21"/>
                      <w:szCs w:val="21"/>
                      <w:highlight w:val="none"/>
                      <w:lang w:val="en-US" w:eastAsia="zh-CN"/>
                    </w:rPr>
                    <w:t>夜</w:t>
                  </w:r>
                </w:p>
              </w:tc>
            </w:tr>
          </w:tbl>
          <w:p w14:paraId="74DAE923">
            <w:pPr>
              <w:keepNext w:val="0"/>
              <w:keepLines w:val="0"/>
              <w:suppressLineNumbers w:val="0"/>
              <w:adjustRightInd w:val="0"/>
              <w:snapToGrid w:val="0"/>
              <w:spacing w:before="0" w:beforeAutospacing="0" w:after="0" w:afterAutospacing="0" w:line="500" w:lineRule="exact"/>
              <w:ind w:left="0" w:right="0" w:firstLine="446"/>
              <w:rPr>
                <w:rFonts w:hint="default" w:ascii="Times New Roman" w:hAnsi="Times New Roman" w:cs="Times New Roman"/>
                <w:b/>
                <w:bCs/>
                <w:snapToGrid w:val="0"/>
                <w:color w:val="auto"/>
                <w:kern w:val="0"/>
                <w:sz w:val="24"/>
                <w:szCs w:val="20"/>
                <w:highlight w:val="none"/>
                <w:u w:val="none"/>
              </w:rPr>
            </w:pPr>
            <w:r>
              <w:rPr>
                <w:rFonts w:hint="default" w:ascii="Times New Roman" w:hAnsi="Times New Roman" w:cs="Times New Roman"/>
                <w:b/>
                <w:bCs/>
                <w:snapToGrid w:val="0"/>
                <w:color w:val="auto"/>
                <w:kern w:val="0"/>
                <w:sz w:val="24"/>
                <w:szCs w:val="20"/>
                <w:highlight w:val="none"/>
                <w:u w:val="none"/>
                <w:lang w:val="en-US" w:eastAsia="zh-CN"/>
              </w:rPr>
              <w:t>2、</w:t>
            </w:r>
            <w:r>
              <w:rPr>
                <w:rFonts w:hint="default" w:ascii="Times New Roman" w:hAnsi="Times New Roman" w:cs="Times New Roman"/>
                <w:b/>
                <w:bCs/>
                <w:snapToGrid w:val="0"/>
                <w:color w:val="auto"/>
                <w:kern w:val="0"/>
                <w:sz w:val="24"/>
                <w:szCs w:val="20"/>
                <w:highlight w:val="none"/>
                <w:u w:val="none"/>
              </w:rPr>
              <w:t>声环境影响分析</w:t>
            </w:r>
          </w:p>
          <w:p w14:paraId="0DEB107B">
            <w:pPr>
              <w:keepNext w:val="0"/>
              <w:keepLines w:val="0"/>
              <w:suppressLineNumbers w:val="0"/>
              <w:adjustRightInd w:val="0"/>
              <w:snapToGrid w:val="0"/>
              <w:spacing w:before="0" w:beforeAutospacing="0" w:after="0" w:afterAutospacing="0" w:line="500" w:lineRule="exact"/>
              <w:ind w:left="0" w:right="0" w:firstLine="446"/>
              <w:rPr>
                <w:rFonts w:hint="default" w:ascii="Times New Roman" w:hAnsi="Times New Roman" w:cs="Times New Roman"/>
                <w:snapToGrid w:val="0"/>
                <w:color w:val="auto"/>
                <w:kern w:val="0"/>
                <w:sz w:val="24"/>
                <w:szCs w:val="20"/>
                <w:highlight w:val="none"/>
                <w:u w:val="none"/>
              </w:rPr>
            </w:pPr>
            <w:r>
              <w:rPr>
                <w:rFonts w:hint="default" w:ascii="Times New Roman" w:hAnsi="Times New Roman" w:cs="Times New Roman"/>
                <w:snapToGrid w:val="0"/>
                <w:color w:val="auto"/>
                <w:kern w:val="0"/>
                <w:sz w:val="24"/>
                <w:szCs w:val="20"/>
                <w:highlight w:val="none"/>
                <w:u w:val="none"/>
                <w:lang w:val="en-US" w:eastAsia="zh-CN"/>
              </w:rPr>
              <w:t>采用室内噪声源模式和室外噪声源模式进行预测</w:t>
            </w:r>
            <w:r>
              <w:rPr>
                <w:rFonts w:hint="default" w:ascii="Times New Roman" w:hAnsi="Times New Roman" w:cs="Times New Roman"/>
                <w:snapToGrid w:val="0"/>
                <w:color w:val="auto"/>
                <w:kern w:val="0"/>
                <w:sz w:val="24"/>
                <w:szCs w:val="20"/>
                <w:highlight w:val="none"/>
                <w:u w:val="none"/>
              </w:rPr>
              <w:t>。</w:t>
            </w:r>
          </w:p>
          <w:p w14:paraId="7B50DC4B">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val="en-US" w:eastAsia="zh-CN"/>
              </w:rPr>
            </w:pP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1</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室内外声压的计算</w:t>
            </w:r>
          </w:p>
          <w:p w14:paraId="7E3012EA">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室内声源可采用等效室外声源声功率级法进行计算。设靠近开口处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室内、室外某倍频带的声压级或A声级分别为L</w:t>
            </w:r>
            <w:r>
              <w:rPr>
                <w:rFonts w:hint="default" w:ascii="Times New Roman" w:hAnsi="Times New Roman" w:eastAsia="宋体" w:cs="Times New Roman"/>
                <w:bCs/>
                <w:color w:val="auto"/>
                <w:w w:val="100"/>
                <w:sz w:val="24"/>
                <w:szCs w:val="24"/>
                <w:highlight w:val="none"/>
                <w:u w:val="none"/>
                <w:vertAlign w:val="subscript"/>
              </w:rPr>
              <w:t>p1</w:t>
            </w:r>
            <w:r>
              <w:rPr>
                <w:rFonts w:hint="default" w:ascii="Times New Roman" w:hAnsi="Times New Roman" w:eastAsia="宋体" w:cs="Times New Roman"/>
                <w:bCs/>
                <w:color w:val="auto"/>
                <w:w w:val="100"/>
                <w:sz w:val="24"/>
                <w:szCs w:val="24"/>
                <w:highlight w:val="none"/>
                <w:u w:val="none"/>
              </w:rPr>
              <w:t>和L</w:t>
            </w:r>
            <w:r>
              <w:rPr>
                <w:rFonts w:hint="default" w:ascii="Times New Roman" w:hAnsi="Times New Roman" w:eastAsia="宋体" w:cs="Times New Roman"/>
                <w:bCs/>
                <w:color w:val="auto"/>
                <w:w w:val="100"/>
                <w:sz w:val="24"/>
                <w:szCs w:val="24"/>
                <w:highlight w:val="none"/>
                <w:u w:val="none"/>
                <w:vertAlign w:val="subscript"/>
              </w:rPr>
              <w:t>p2</w:t>
            </w:r>
            <w:r>
              <w:rPr>
                <w:rFonts w:hint="default" w:ascii="Times New Roman" w:hAnsi="Times New Roman" w:eastAsia="宋体" w:cs="Times New Roman"/>
                <w:bCs/>
                <w:color w:val="auto"/>
                <w:w w:val="100"/>
                <w:sz w:val="24"/>
                <w:szCs w:val="24"/>
                <w:highlight w:val="none"/>
                <w:u w:val="none"/>
              </w:rPr>
              <w:t>。若声源所在室内声场为近似扩散声场，则室外的倍频带声压级可按式</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B.1</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近似求出：</w:t>
            </w:r>
          </w:p>
          <w:p w14:paraId="3732727A">
            <w:pPr>
              <w:keepNext w:val="0"/>
              <w:keepLines w:val="0"/>
              <w:suppressLineNumbers w:val="0"/>
              <w:adjustRightInd w:val="0"/>
              <w:snapToGrid w:val="0"/>
              <w:spacing w:before="0" w:beforeAutospacing="0" w:after="0" w:afterAutospacing="0" w:line="480" w:lineRule="exact"/>
              <w:ind w:left="0" w:right="0" w:firstLine="480" w:firstLineChars="200"/>
              <w:jc w:val="center"/>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lang w:val="en-US" w:eastAsia="zh-CN"/>
              </w:rPr>
              <w:t>P</w:t>
            </w:r>
            <w:r>
              <w:rPr>
                <w:rFonts w:hint="default" w:ascii="Times New Roman" w:hAnsi="Times New Roman" w:eastAsia="宋体" w:cs="Times New Roman"/>
                <w:bCs/>
                <w:color w:val="auto"/>
                <w:w w:val="100"/>
                <w:sz w:val="24"/>
                <w:szCs w:val="24"/>
                <w:highlight w:val="none"/>
                <w:u w:val="none"/>
                <w:vertAlign w:val="subscript"/>
              </w:rPr>
              <w:t>2</w:t>
            </w:r>
            <w:r>
              <w:rPr>
                <w:rFonts w:hint="default" w:ascii="Times New Roman" w:hAnsi="Times New Roman" w:eastAsia="宋体"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lang w:val="en-US" w:eastAsia="zh-CN"/>
              </w:rPr>
              <w:t>P1</w:t>
            </w:r>
            <w:r>
              <w:rPr>
                <w:rFonts w:hint="default" w:ascii="Times New Roman" w:hAnsi="Times New Roman" w:eastAsia="宋体" w:cs="Times New Roman"/>
                <w:bCs/>
                <w:color w:val="auto"/>
                <w:w w:val="100"/>
                <w:sz w:val="24"/>
                <w:szCs w:val="24"/>
                <w:highlight w:val="none"/>
                <w:u w:val="none"/>
                <w:lang w:val="en-US" w:eastAsia="zh-CN"/>
              </w:rPr>
              <w:t>-(6+</w:t>
            </w:r>
            <w:r>
              <w:rPr>
                <w:rFonts w:hint="default" w:ascii="Times New Roman" w:hAnsi="Times New Roman" w:eastAsia="宋体" w:cs="Times New Roman"/>
                <w:bCs/>
                <w:color w:val="auto"/>
                <w:w w:val="100"/>
                <w:sz w:val="24"/>
                <w:szCs w:val="24"/>
                <w:highlight w:val="none"/>
                <w:u w:val="none"/>
              </w:rPr>
              <w:t>TL</w:t>
            </w:r>
            <w:r>
              <w:rPr>
                <w:rFonts w:hint="default" w:ascii="Times New Roman" w:hAnsi="Times New Roman" w:eastAsia="宋体"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w:t>
            </w:r>
            <w:r>
              <w:rPr>
                <w:rFonts w:hint="default" w:ascii="Times New Roman" w:hAnsi="Times New Roman" w:eastAsia="宋体"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B.1</w:t>
            </w:r>
            <w:r>
              <w:rPr>
                <w:rFonts w:hint="default" w:ascii="Times New Roman" w:hAnsi="Times New Roman" w:eastAsia="宋体" w:cs="Times New Roman"/>
                <w:bCs/>
                <w:color w:val="auto"/>
                <w:w w:val="100"/>
                <w:sz w:val="24"/>
                <w:szCs w:val="24"/>
                <w:highlight w:val="none"/>
                <w:u w:val="none"/>
                <w:lang w:eastAsia="zh-CN"/>
              </w:rPr>
              <w:t>)</w:t>
            </w:r>
          </w:p>
          <w:p w14:paraId="763A464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bCs/>
                <w:color w:val="auto"/>
                <w:w w:val="100"/>
                <w:sz w:val="24"/>
                <w:szCs w:val="24"/>
                <w:highlight w:val="none"/>
                <w:u w:val="none"/>
              </w:rPr>
              <w:t>式中：L</w:t>
            </w:r>
            <w:r>
              <w:rPr>
                <w:rFonts w:hint="default" w:ascii="Times New Roman" w:hAnsi="Times New Roman" w:eastAsia="宋体" w:cs="Times New Roman"/>
                <w:bCs/>
                <w:color w:val="auto"/>
                <w:w w:val="100"/>
                <w:sz w:val="24"/>
                <w:szCs w:val="24"/>
                <w:highlight w:val="none"/>
                <w:u w:val="none"/>
                <w:vertAlign w:val="subscript"/>
                <w:lang w:val="en-US" w:eastAsia="zh-CN"/>
              </w:rPr>
              <w:t>p</w:t>
            </w:r>
            <w:r>
              <w:rPr>
                <w:rFonts w:hint="default" w:ascii="Times New Roman" w:hAnsi="Times New Roman" w:eastAsia="宋体" w:cs="Times New Roman"/>
                <w:bCs/>
                <w:color w:val="auto"/>
                <w:w w:val="100"/>
                <w:sz w:val="24"/>
                <w:szCs w:val="24"/>
                <w:highlight w:val="none"/>
                <w:u w:val="none"/>
                <w:vertAlign w:val="subscript"/>
              </w:rPr>
              <w:t>1</w:t>
            </w:r>
            <w:r>
              <w:rPr>
                <w:rFonts w:hint="default" w:ascii="Times New Roman" w:hAnsi="Times New Roman" w:eastAsia="宋体" w:cs="Times New Roman"/>
                <w:bCs/>
                <w:color w:val="auto"/>
                <w:w w:val="100"/>
                <w:sz w:val="24"/>
                <w:szCs w:val="24"/>
                <w:highlight w:val="none"/>
                <w:u w:val="none"/>
              </w:rPr>
              <w:t>——靠近开口处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室内某倍频带的声压级或A声级，dB；</w:t>
            </w:r>
          </w:p>
          <w:p w14:paraId="740B652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L</w:t>
            </w:r>
            <w:r>
              <w:rPr>
                <w:rFonts w:hint="default" w:ascii="Times New Roman" w:hAnsi="Times New Roman" w:eastAsia="宋体" w:cs="Times New Roman"/>
                <w:bCs/>
                <w:color w:val="auto"/>
                <w:w w:val="100"/>
                <w:sz w:val="24"/>
                <w:szCs w:val="24"/>
                <w:highlight w:val="none"/>
                <w:u w:val="none"/>
                <w:vertAlign w:val="subscript"/>
              </w:rPr>
              <w:t>p2</w:t>
            </w:r>
            <w:r>
              <w:rPr>
                <w:rFonts w:hint="default" w:ascii="Times New Roman" w:hAnsi="Times New Roman" w:eastAsia="宋体" w:cs="Times New Roman"/>
                <w:bCs/>
                <w:color w:val="auto"/>
                <w:w w:val="100"/>
                <w:sz w:val="24"/>
                <w:szCs w:val="24"/>
                <w:highlight w:val="none"/>
                <w:u w:val="none"/>
              </w:rPr>
              <w:t>——靠近开口处</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室外某倍频带的声压级或A声级，dB；</w:t>
            </w:r>
          </w:p>
          <w:p w14:paraId="0260D71B">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rPr>
              <w:t>TL——隔墙</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或窗户</w:t>
            </w:r>
            <w:r>
              <w:rPr>
                <w:rFonts w:hint="eastAsia" w:cs="Times New Roman"/>
                <w:bCs/>
                <w:color w:val="auto"/>
                <w:w w:val="100"/>
                <w:sz w:val="24"/>
                <w:szCs w:val="24"/>
                <w:highlight w:val="none"/>
                <w:u w:val="none"/>
                <w:lang w:eastAsia="zh-CN"/>
              </w:rPr>
              <w:t>）</w:t>
            </w:r>
            <w:r>
              <w:rPr>
                <w:rFonts w:hint="default" w:ascii="Times New Roman" w:hAnsi="Times New Roman" w:eastAsia="宋体" w:cs="Times New Roman"/>
                <w:bCs/>
                <w:color w:val="auto"/>
                <w:w w:val="100"/>
                <w:sz w:val="24"/>
                <w:szCs w:val="24"/>
                <w:highlight w:val="none"/>
                <w:u w:val="none"/>
              </w:rPr>
              <w:t>倍频带或A声级的隔声量，dB。</w:t>
            </w:r>
          </w:p>
          <w:p w14:paraId="57D5374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rPr>
            </w:pPr>
            <w:r>
              <w:rPr>
                <w:rFonts w:hint="default" w:ascii="Times New Roman" w:hAnsi="Times New Roman" w:eastAsia="宋体" w:cs="Times New Roman"/>
                <w:bCs/>
                <w:color w:val="auto"/>
                <w:w w:val="100"/>
                <w:sz w:val="24"/>
                <w:szCs w:val="24"/>
                <w:highlight w:val="none"/>
                <w:u w:val="none"/>
                <w:lang w:val="en-US" w:eastAsia="zh-CN"/>
              </w:rPr>
              <w:t>2</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rPr>
              <w:t>计算总声压级</w:t>
            </w:r>
          </w:p>
          <w:p w14:paraId="227B7D56">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bCs/>
                <w:color w:val="auto"/>
                <w:w w:val="100"/>
                <w:sz w:val="24"/>
                <w:szCs w:val="24"/>
                <w:highlight w:val="none"/>
                <w:u w:val="none"/>
                <w:lang w:val="en-US" w:eastAsia="zh-CN"/>
              </w:rPr>
            </w:pPr>
            <w:r>
              <w:rPr>
                <w:rFonts w:hint="default" w:ascii="Times New Roman" w:hAnsi="Times New Roman" w:eastAsia="宋体" w:cs="Times New Roman"/>
                <w:bCs/>
                <w:color w:val="auto"/>
                <w:w w:val="100"/>
                <w:sz w:val="24"/>
                <w:szCs w:val="24"/>
                <w:highlight w:val="none"/>
                <w:u w:val="none"/>
                <w:lang w:val="en-US" w:eastAsia="zh-CN"/>
              </w:rPr>
              <w:t>通过室内声源模式得到靠近开口处</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或窗户</w:t>
            </w:r>
            <w:r>
              <w:rPr>
                <w:rFonts w:hint="eastAsia" w:cs="Times New Roman"/>
                <w:bCs/>
                <w:color w:val="auto"/>
                <w:w w:val="100"/>
                <w:sz w:val="24"/>
                <w:szCs w:val="24"/>
                <w:highlight w:val="none"/>
                <w:u w:val="none"/>
                <w:lang w:val="en-US" w:eastAsia="zh-CN"/>
              </w:rPr>
              <w:t>）</w:t>
            </w:r>
            <w:r>
              <w:rPr>
                <w:rFonts w:hint="default" w:ascii="Times New Roman" w:hAnsi="Times New Roman" w:eastAsia="宋体" w:cs="Times New Roman"/>
                <w:bCs/>
                <w:color w:val="auto"/>
                <w:w w:val="100"/>
                <w:sz w:val="24"/>
                <w:szCs w:val="24"/>
                <w:highlight w:val="none"/>
                <w:u w:val="none"/>
                <w:lang w:val="en-US" w:eastAsia="zh-CN"/>
              </w:rPr>
              <w:t>室外声压级后即采用室外模式，计算各个室外声源经过距离衰减和空气吸收等衰减后到达预测点的贡献值，对各个贡献值进行叠加。</w:t>
            </w:r>
          </w:p>
          <w:p w14:paraId="5A1E9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lang w:val="en-US" w:eastAsia="zh-CN"/>
              </w:rPr>
              <w:t>①</w:t>
            </w:r>
            <w:r>
              <w:rPr>
                <w:rFonts w:hint="default" w:ascii="Times New Roman" w:hAnsi="Times New Roman" w:eastAsia="宋体" w:cs="Times New Roman"/>
                <w:color w:val="auto"/>
                <w:spacing w:val="-2"/>
                <w:kern w:val="0"/>
                <w:sz w:val="24"/>
                <w:szCs w:val="24"/>
                <w:highlight w:val="none"/>
                <w:u w:val="none"/>
              </w:rPr>
              <w:t>多点源声压级的计算模式</w:t>
            </w:r>
          </w:p>
          <w:p w14:paraId="58740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rPr>
                <w:rFonts w:hint="default" w:ascii="Times New Roman" w:hAnsi="Times New Roman" w:eastAsia="宋体" w:cs="Times New Roman"/>
                <w:i/>
                <w:color w:val="auto"/>
                <w:spacing w:val="-2"/>
                <w:kern w:val="0"/>
                <w:sz w:val="24"/>
                <w:szCs w:val="24"/>
                <w:highlight w:val="none"/>
                <w:u w:val="none"/>
                <w:lang w:val="en-US" w:eastAsia="zh-CN" w:bidi="ar-SA"/>
              </w:rPr>
            </w:pPr>
            <w:r>
              <w:rPr>
                <w:rFonts w:hint="default" w:ascii="Times New Roman" w:hAnsi="Times New Roman" w:eastAsia="宋体" w:cs="Times New Roman"/>
                <w:i/>
                <w:color w:val="auto"/>
                <w:spacing w:val="-2"/>
                <w:kern w:val="0"/>
                <w:sz w:val="24"/>
                <w:szCs w:val="24"/>
                <w:highlight w:val="none"/>
                <w:u w:val="none"/>
                <w:lang w:val="en-US" w:eastAsia="zh-CN" w:bidi="ar-SA"/>
              </w:rPr>
              <w:t>L</w:t>
            </w:r>
            <w:r>
              <w:rPr>
                <w:rFonts w:hint="default" w:ascii="Times New Roman" w:hAnsi="Times New Roman" w:eastAsia="宋体" w:cs="Times New Roman"/>
                <w:i/>
                <w:color w:val="auto"/>
                <w:spacing w:val="-2"/>
                <w:kern w:val="0"/>
                <w:sz w:val="24"/>
                <w:szCs w:val="24"/>
                <w:highlight w:val="none"/>
                <w:u w:val="none"/>
                <w:vertAlign w:val="subscript"/>
                <w:lang w:val="en-US" w:eastAsia="zh-CN" w:bidi="ar-SA"/>
              </w:rPr>
              <w:t>eq</w:t>
            </w:r>
            <w:r>
              <w:rPr>
                <w:rFonts w:hint="default" w:ascii="Times New Roman" w:hAnsi="Times New Roman" w:eastAsia="宋体" w:cs="Times New Roman"/>
                <w:i/>
                <w:color w:val="auto"/>
                <w:spacing w:val="-2"/>
                <w:kern w:val="0"/>
                <w:sz w:val="24"/>
                <w:szCs w:val="24"/>
                <w:highlight w:val="none"/>
                <w:u w:val="none"/>
                <w:lang w:val="en-US" w:eastAsia="zh-CN" w:bidi="ar-SA"/>
              </w:rPr>
              <w:t>=10Log(</w:t>
            </w:r>
            <w:r>
              <w:rPr>
                <w:rFonts w:hint="default" w:ascii="Times New Roman" w:hAnsi="Times New Roman" w:eastAsia="宋体" w:cs="Times New Roman"/>
                <w:i/>
                <w:color w:val="auto"/>
                <w:spacing w:val="-2"/>
                <w:kern w:val="0"/>
                <w:sz w:val="24"/>
                <w:szCs w:val="24"/>
                <w:highlight w:val="none"/>
                <w:u w:val="none"/>
                <w:lang w:val="en-US" w:eastAsia="zh-CN" w:bidi="ar-SA"/>
              </w:rPr>
              <w:sym w:font="Symbol" w:char="F0E5"/>
            </w:r>
            <w:r>
              <w:rPr>
                <w:rFonts w:hint="default" w:ascii="Times New Roman" w:hAnsi="Times New Roman" w:eastAsia="宋体" w:cs="Times New Roman"/>
                <w:i/>
                <w:color w:val="auto"/>
                <w:spacing w:val="-2"/>
                <w:kern w:val="0"/>
                <w:sz w:val="24"/>
                <w:szCs w:val="24"/>
                <w:highlight w:val="none"/>
                <w:u w:val="none"/>
                <w:lang w:val="en-US" w:eastAsia="zh-CN" w:bidi="ar-SA"/>
              </w:rPr>
              <w:t>10</w:t>
            </w:r>
            <w:r>
              <w:rPr>
                <w:rFonts w:hint="default" w:ascii="Times New Roman" w:hAnsi="Times New Roman" w:eastAsia="宋体" w:cs="Times New Roman"/>
                <w:i/>
                <w:color w:val="auto"/>
                <w:spacing w:val="-2"/>
                <w:kern w:val="0"/>
                <w:sz w:val="24"/>
                <w:szCs w:val="24"/>
                <w:highlight w:val="none"/>
                <w:u w:val="none"/>
                <w:vertAlign w:val="superscript"/>
                <w:lang w:val="en-US" w:eastAsia="zh-CN" w:bidi="ar-SA"/>
              </w:rPr>
              <w:t>0.1Li</w:t>
            </w:r>
            <w:r>
              <w:rPr>
                <w:rFonts w:hint="default" w:ascii="Times New Roman" w:hAnsi="Times New Roman" w:eastAsia="宋体" w:cs="Times New Roman"/>
                <w:i/>
                <w:color w:val="auto"/>
                <w:spacing w:val="-2"/>
                <w:kern w:val="0"/>
                <w:sz w:val="24"/>
                <w:szCs w:val="24"/>
                <w:highlight w:val="none"/>
                <w:u w:val="none"/>
                <w:lang w:val="en-US" w:eastAsia="zh-CN" w:bidi="ar-SA"/>
              </w:rPr>
              <w:t>)</w:t>
            </w:r>
          </w:p>
          <w:p w14:paraId="0E200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rPr>
                <w:rFonts w:hint="default" w:ascii="Times New Roman" w:hAnsi="Times New Roman" w:eastAsia="宋体" w:cs="Times New Roman"/>
                <w:color w:val="auto"/>
                <w:spacing w:val="-2"/>
                <w:kern w:val="0"/>
                <w:sz w:val="24"/>
                <w:szCs w:val="24"/>
                <w:highlight w:val="none"/>
                <w:u w:val="none"/>
                <w:lang w:val="en-US" w:eastAsia="zh-CN" w:bidi="ar-SA"/>
              </w:rPr>
            </w:pPr>
            <w:r>
              <w:rPr>
                <w:rFonts w:hint="default" w:ascii="Times New Roman" w:hAnsi="Times New Roman" w:eastAsia="宋体" w:cs="Times New Roman"/>
                <w:color w:val="auto"/>
                <w:spacing w:val="-2"/>
                <w:kern w:val="0"/>
                <w:sz w:val="24"/>
                <w:szCs w:val="24"/>
                <w:highlight w:val="none"/>
                <w:u w:val="none"/>
                <w:lang w:val="en-US" w:eastAsia="zh-CN" w:bidi="ar-SA"/>
              </w:rPr>
              <w:t>式中：L</w:t>
            </w:r>
            <w:r>
              <w:rPr>
                <w:rFonts w:hint="default" w:ascii="Times New Roman" w:hAnsi="Times New Roman" w:eastAsia="宋体" w:cs="Times New Roman"/>
                <w:color w:val="auto"/>
                <w:spacing w:val="-2"/>
                <w:kern w:val="0"/>
                <w:sz w:val="24"/>
                <w:szCs w:val="24"/>
                <w:highlight w:val="none"/>
                <w:u w:val="none"/>
                <w:vertAlign w:val="subscript"/>
                <w:lang w:val="en-US" w:eastAsia="zh-CN" w:bidi="ar-SA"/>
              </w:rPr>
              <w:t>eq</w:t>
            </w:r>
            <w:r>
              <w:rPr>
                <w:rFonts w:hint="default" w:ascii="Times New Roman" w:hAnsi="Times New Roman" w:eastAsia="宋体" w:cs="Times New Roman"/>
                <w:color w:val="auto"/>
                <w:spacing w:val="-2"/>
                <w:kern w:val="0"/>
                <w:sz w:val="24"/>
                <w:szCs w:val="24"/>
                <w:highlight w:val="none"/>
                <w:u w:val="none"/>
                <w:lang w:val="en-US" w:eastAsia="zh-CN" w:bidi="ar-SA"/>
              </w:rPr>
              <w:t>——预测点的总等效声级，dB(A)；</w:t>
            </w:r>
          </w:p>
          <w:p w14:paraId="42D73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rPr>
                <w:rFonts w:hint="default" w:ascii="Times New Roman" w:hAnsi="Times New Roman" w:eastAsia="宋体" w:cs="Times New Roman"/>
                <w:color w:val="auto"/>
                <w:spacing w:val="-2"/>
                <w:kern w:val="0"/>
                <w:sz w:val="24"/>
                <w:szCs w:val="24"/>
                <w:highlight w:val="none"/>
                <w:u w:val="none"/>
                <w:lang w:val="en-US" w:eastAsia="zh-CN" w:bidi="ar-SA"/>
              </w:rPr>
            </w:pPr>
            <w:r>
              <w:rPr>
                <w:rFonts w:hint="default" w:ascii="Times New Roman" w:hAnsi="Times New Roman" w:eastAsia="宋体" w:cs="Times New Roman"/>
                <w:color w:val="auto"/>
                <w:spacing w:val="-2"/>
                <w:kern w:val="0"/>
                <w:sz w:val="24"/>
                <w:szCs w:val="24"/>
                <w:highlight w:val="none"/>
                <w:u w:val="none"/>
                <w:lang w:val="en-US" w:eastAsia="zh-CN" w:bidi="ar-SA"/>
              </w:rPr>
              <w:t>L</w:t>
            </w:r>
            <w:r>
              <w:rPr>
                <w:rFonts w:hint="default" w:ascii="Times New Roman" w:hAnsi="Times New Roman" w:eastAsia="宋体" w:cs="Times New Roman"/>
                <w:color w:val="auto"/>
                <w:spacing w:val="-2"/>
                <w:kern w:val="0"/>
                <w:sz w:val="24"/>
                <w:szCs w:val="24"/>
                <w:highlight w:val="none"/>
                <w:u w:val="none"/>
                <w:vertAlign w:val="subscript"/>
                <w:lang w:val="en-US" w:eastAsia="zh-CN" w:bidi="ar-SA"/>
              </w:rPr>
              <w:t>i</w:t>
            </w:r>
            <w:r>
              <w:rPr>
                <w:rFonts w:hint="default" w:ascii="Times New Roman" w:hAnsi="Times New Roman" w:eastAsia="宋体" w:cs="Times New Roman"/>
                <w:color w:val="auto"/>
                <w:spacing w:val="-2"/>
                <w:kern w:val="0"/>
                <w:sz w:val="24"/>
                <w:szCs w:val="24"/>
                <w:highlight w:val="none"/>
                <w:u w:val="none"/>
                <w:lang w:val="en-US" w:eastAsia="zh-CN" w:bidi="ar-SA"/>
              </w:rPr>
              <w:t>——第i个声源对预测点的声级影响，dB(A)。</w:t>
            </w:r>
          </w:p>
          <w:p w14:paraId="5F3C4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lang w:val="en-US" w:eastAsia="zh-CN"/>
              </w:rPr>
              <w:t>②</w:t>
            </w:r>
            <w:r>
              <w:rPr>
                <w:rFonts w:hint="default" w:ascii="Times New Roman" w:hAnsi="Times New Roman" w:eastAsia="宋体" w:cs="Times New Roman"/>
                <w:color w:val="auto"/>
                <w:spacing w:val="-2"/>
                <w:kern w:val="0"/>
                <w:sz w:val="24"/>
                <w:szCs w:val="24"/>
                <w:highlight w:val="none"/>
                <w:u w:val="none"/>
              </w:rPr>
              <w:t>噪声随距离衰减的一般规律和计算模式</w:t>
            </w:r>
          </w:p>
          <w:p w14:paraId="0D0A6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center"/>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position w:val="-30"/>
                <w:sz w:val="24"/>
                <w:szCs w:val="24"/>
                <w:highlight w:val="none"/>
                <w:u w:val="none"/>
              </w:rPr>
              <w:pict>
                <v:shape id="_x0000_s1027" o:spid="_x0000_s1027" o:spt="75" type="#_x0000_t75" style="position:absolute;left:0pt;margin-left:159.05pt;margin-top:-3.3pt;height:37.5pt;width:121.5pt;z-index:251662336;mso-width-relative:page;mso-height-relative:page;" o:ole="t" filled="f" o:preferrelative="t" stroked="f" coordsize="21600,21600">
                  <v:path/>
                  <v:fill on="f" focussize="0,0"/>
                  <v:stroke on="f"/>
                  <v:imagedata r:id="rId19" o:title=""/>
                  <o:lock v:ext="edit" aspectratio="t"/>
                </v:shape>
                <o:OLEObject Type="Embed" ProgID="Equation.3" ShapeID="_x0000_s1027" DrawAspect="Content" ObjectID="_1468075725" r:id="rId18">
                  <o:LockedField>false</o:LockedField>
                </o:OLEObject>
              </w:pict>
            </w:r>
          </w:p>
          <w:p w14:paraId="35030E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color w:val="auto"/>
                <w:spacing w:val="-2"/>
                <w:kern w:val="0"/>
                <w:sz w:val="24"/>
                <w:szCs w:val="24"/>
                <w:highlight w:val="none"/>
                <w:u w:val="none"/>
              </w:rPr>
              <w:t>式中：</w:t>
            </w: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vertAlign w:val="subscript"/>
              </w:rPr>
              <w:t>2</w:t>
            </w:r>
            <w:r>
              <w:rPr>
                <w:rFonts w:hint="default" w:ascii="Times New Roman" w:hAnsi="Times New Roman" w:eastAsia="宋体" w:cs="Times New Roman"/>
                <w:color w:val="auto"/>
                <w:spacing w:val="-2"/>
                <w:kern w:val="0"/>
                <w:sz w:val="24"/>
                <w:szCs w:val="24"/>
                <w:highlight w:val="none"/>
                <w:u w:val="none"/>
              </w:rPr>
              <w:t>——点声源在预测点产生的声压级；</w:t>
            </w:r>
          </w:p>
          <w:p w14:paraId="1190B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vertAlign w:val="subscript"/>
              </w:rPr>
              <w:t>1</w:t>
            </w:r>
            <w:r>
              <w:rPr>
                <w:rFonts w:hint="default" w:ascii="Times New Roman" w:hAnsi="Times New Roman" w:eastAsia="宋体" w:cs="Times New Roman"/>
                <w:color w:val="auto"/>
                <w:spacing w:val="-2"/>
                <w:kern w:val="0"/>
                <w:sz w:val="24"/>
                <w:szCs w:val="24"/>
                <w:highlight w:val="none"/>
                <w:u w:val="none"/>
              </w:rPr>
              <w:t>——点声源在参考点产生的声压级；</w:t>
            </w:r>
          </w:p>
          <w:p w14:paraId="0FE77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180" w:firstLineChars="500"/>
              <w:jc w:val="left"/>
              <w:rPr>
                <w:rFonts w:hint="default" w:ascii="Times New Roman" w:hAnsi="Times New Roman" w:eastAsia="宋体" w:cs="Times New Roman"/>
                <w:color w:val="auto"/>
                <w:spacing w:val="-2"/>
                <w:kern w:val="0"/>
                <w:sz w:val="24"/>
                <w:szCs w:val="24"/>
                <w:highlight w:val="none"/>
                <w:u w:val="none"/>
              </w:rPr>
            </w:pPr>
            <w:r>
              <w:rPr>
                <w:rFonts w:hint="default" w:ascii="Times New Roman" w:hAnsi="Times New Roman" w:eastAsia="宋体" w:cs="Times New Roman"/>
                <w:i/>
                <w:color w:val="auto"/>
                <w:spacing w:val="-2"/>
                <w:kern w:val="0"/>
                <w:sz w:val="24"/>
                <w:szCs w:val="24"/>
                <w:highlight w:val="none"/>
                <w:u w:val="none"/>
              </w:rPr>
              <w:t>r</w:t>
            </w:r>
            <w:r>
              <w:rPr>
                <w:rFonts w:hint="default" w:ascii="Times New Roman" w:hAnsi="Times New Roman" w:eastAsia="宋体" w:cs="Times New Roman"/>
                <w:color w:val="auto"/>
                <w:spacing w:val="-2"/>
                <w:kern w:val="0"/>
                <w:sz w:val="24"/>
                <w:szCs w:val="24"/>
                <w:highlight w:val="none"/>
                <w:u w:val="none"/>
                <w:vertAlign w:val="subscript"/>
              </w:rPr>
              <w:t>2</w:t>
            </w:r>
            <w:r>
              <w:rPr>
                <w:rFonts w:hint="default" w:ascii="Times New Roman" w:hAnsi="Times New Roman" w:eastAsia="宋体" w:cs="Times New Roman"/>
                <w:color w:val="auto"/>
                <w:spacing w:val="-2"/>
                <w:kern w:val="0"/>
                <w:sz w:val="24"/>
                <w:szCs w:val="24"/>
                <w:highlight w:val="none"/>
                <w:u w:val="none"/>
              </w:rPr>
              <w:t>——参考点与声源的距离；</w:t>
            </w:r>
          </w:p>
          <w:p w14:paraId="00699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72" w:firstLineChars="200"/>
              <w:textAlignment w:val="baseline"/>
              <w:rPr>
                <w:rFonts w:hint="default" w:ascii="Times New Roman" w:hAnsi="Times New Roman" w:eastAsia="宋体" w:cs="Times New Roman"/>
                <w:bCs/>
                <w:color w:val="auto"/>
                <w:w w:val="100"/>
                <w:sz w:val="24"/>
                <w:szCs w:val="24"/>
                <w:highlight w:val="none"/>
                <w:u w:val="none"/>
                <w:lang w:eastAsia="zh-CN"/>
              </w:rPr>
            </w:pPr>
            <w:r>
              <w:rPr>
                <w:rFonts w:hint="default" w:ascii="Times New Roman" w:hAnsi="Times New Roman" w:eastAsia="宋体" w:cs="Times New Roman"/>
                <w:i/>
                <w:color w:val="auto"/>
                <w:spacing w:val="-2"/>
                <w:kern w:val="0"/>
                <w:sz w:val="24"/>
                <w:szCs w:val="24"/>
                <w:highlight w:val="none"/>
                <w:u w:val="none"/>
              </w:rPr>
              <w:t>△L——</w:t>
            </w:r>
            <w:r>
              <w:rPr>
                <w:rFonts w:hint="default" w:ascii="Times New Roman" w:hAnsi="Times New Roman" w:eastAsia="宋体" w:cs="Times New Roman"/>
                <w:color w:val="auto"/>
                <w:spacing w:val="-2"/>
                <w:kern w:val="0"/>
                <w:sz w:val="24"/>
                <w:szCs w:val="24"/>
                <w:highlight w:val="none"/>
                <w:u w:val="none"/>
              </w:rPr>
              <w:t>各种因素引起的衰减量</w:t>
            </w:r>
            <w:r>
              <w:rPr>
                <w:rFonts w:hint="eastAsia" w:cs="Times New Roman"/>
                <w:color w:val="auto"/>
                <w:spacing w:val="-2"/>
                <w:kern w:val="0"/>
                <w:sz w:val="24"/>
                <w:szCs w:val="24"/>
                <w:highlight w:val="none"/>
                <w:u w:val="none"/>
                <w:lang w:eastAsia="zh-CN"/>
              </w:rPr>
              <w:t>（</w:t>
            </w:r>
            <w:r>
              <w:rPr>
                <w:rFonts w:hint="default" w:ascii="Times New Roman" w:hAnsi="Times New Roman" w:eastAsia="宋体" w:cs="Times New Roman"/>
                <w:color w:val="auto"/>
                <w:spacing w:val="-2"/>
                <w:kern w:val="0"/>
                <w:sz w:val="24"/>
                <w:szCs w:val="24"/>
                <w:highlight w:val="none"/>
                <w:u w:val="none"/>
              </w:rPr>
              <w:t>包括声屏障、空气吸收等引起的衰减量</w:t>
            </w:r>
            <w:r>
              <w:rPr>
                <w:rFonts w:hint="eastAsia" w:cs="Times New Roman"/>
                <w:color w:val="auto"/>
                <w:spacing w:val="-2"/>
                <w:kern w:val="0"/>
                <w:sz w:val="24"/>
                <w:szCs w:val="24"/>
                <w:highlight w:val="none"/>
                <w:u w:val="none"/>
                <w:lang w:eastAsia="zh-CN"/>
              </w:rPr>
              <w:t>）</w:t>
            </w:r>
          </w:p>
          <w:p w14:paraId="12B11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2</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rPr>
              <w:t>室外声源在预测点产生的声级计算模型</w:t>
            </w:r>
          </w:p>
          <w:p w14:paraId="165311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各声源对预测点的贡献值按下式计算：</w:t>
            </w:r>
          </w:p>
          <w:p w14:paraId="03F6F4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lang w:eastAsia="zh-CN"/>
              </w:rPr>
            </w:pPr>
            <w:r>
              <w:rPr>
                <w:rFonts w:hint="default" w:ascii="Times New Roman" w:hAnsi="Times New Roman" w:eastAsia="宋体" w:cs="Times New Roman"/>
                <w:snapToGrid w:val="0"/>
                <w:color w:val="auto"/>
                <w:kern w:val="0"/>
                <w:sz w:val="24"/>
                <w:szCs w:val="20"/>
                <w:highlight w:val="none"/>
                <w:u w:val="none"/>
              </w:rPr>
              <w:t>Lp</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r</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=Lw+Dc－</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Adiv+Aatm+Agr+Abar+Aminc</w:t>
            </w:r>
            <w:r>
              <w:rPr>
                <w:rFonts w:hint="default" w:ascii="Times New Roman" w:hAnsi="Times New Roman" w:cs="Times New Roman"/>
                <w:snapToGrid w:val="0"/>
                <w:color w:val="auto"/>
                <w:kern w:val="0"/>
                <w:sz w:val="24"/>
                <w:szCs w:val="20"/>
                <w:highlight w:val="none"/>
                <w:u w:val="none"/>
                <w:lang w:eastAsia="zh-CN"/>
              </w:rPr>
              <w:t>)</w:t>
            </w:r>
          </w:p>
          <w:p w14:paraId="7387C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式中：LA</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r</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—预测点处声压级，dB；</w:t>
            </w:r>
          </w:p>
          <w:p w14:paraId="293DF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Lw—由点声源产生的声功率级</w:t>
            </w:r>
            <w:r>
              <w:rPr>
                <w:rFonts w:hint="eastAsia"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A计权或倍频带</w:t>
            </w:r>
            <w:r>
              <w:rPr>
                <w:rFonts w:hint="eastAsia" w:cs="Times New Roman"/>
                <w:snapToGrid w:val="0"/>
                <w:color w:val="auto"/>
                <w:kern w:val="0"/>
                <w:sz w:val="24"/>
                <w:szCs w:val="20"/>
                <w:highlight w:val="none"/>
                <w:u w:val="none"/>
                <w:lang w:eastAsia="zh-CN"/>
              </w:rPr>
              <w:t>）</w:t>
            </w:r>
            <w:r>
              <w:rPr>
                <w:rFonts w:hint="default" w:ascii="Times New Roman" w:hAnsi="Times New Roman" w:eastAsia="宋体" w:cs="Times New Roman"/>
                <w:snapToGrid w:val="0"/>
                <w:color w:val="auto"/>
                <w:kern w:val="0"/>
                <w:sz w:val="24"/>
                <w:szCs w:val="20"/>
                <w:highlight w:val="none"/>
                <w:u w:val="none"/>
              </w:rPr>
              <w:t>，dB；</w:t>
            </w:r>
          </w:p>
          <w:p w14:paraId="56F9D2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Dc—指向性校正，它描述点声源的等效连续声压级与产生声功率级Lw的全向点声源在规定方向的声级的偏差程度，dB；</w:t>
            </w:r>
          </w:p>
          <w:p w14:paraId="6F174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Adiv—几何发散引起的衰减，dB；</w:t>
            </w:r>
          </w:p>
          <w:p w14:paraId="5D5A6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Aatm—大气吸收引起的衰减，dB；</w:t>
            </w:r>
          </w:p>
          <w:p w14:paraId="26829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Agr—地面效应引起的衰减，dB；</w:t>
            </w:r>
          </w:p>
          <w:p w14:paraId="08A406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Abar—障碍物屏蔽引起的衰减，dB；</w:t>
            </w:r>
          </w:p>
          <w:p w14:paraId="2E59C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Aminc—其他多方面效应引起的衰减，dB。</w:t>
            </w:r>
          </w:p>
          <w:p w14:paraId="11D9F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4</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rPr>
              <w:t>噪声预测点位</w:t>
            </w:r>
          </w:p>
          <w:p w14:paraId="793A99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以厂区中心为坐标原点，本评价预测项目噪声源对四周厂界噪声贡献值。</w:t>
            </w:r>
          </w:p>
          <w:p w14:paraId="527B0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eastAsia="宋体" w:cs="Times New Roman"/>
                <w:snapToGrid w:val="0"/>
                <w:color w:val="auto"/>
                <w:kern w:val="0"/>
                <w:sz w:val="24"/>
                <w:szCs w:val="20"/>
                <w:highlight w:val="none"/>
                <w:u w:val="none"/>
                <w:lang w:val="en-US" w:eastAsia="zh-CN"/>
              </w:rPr>
            </w:pPr>
            <w:r>
              <w:rPr>
                <w:rFonts w:hint="eastAsia" w:cs="Times New Roman"/>
                <w:snapToGrid w:val="0"/>
                <w:color w:val="auto"/>
                <w:kern w:val="0"/>
                <w:sz w:val="24"/>
                <w:szCs w:val="20"/>
                <w:highlight w:val="none"/>
                <w:u w:val="none"/>
                <w:lang w:val="en-US" w:eastAsia="zh-CN"/>
              </w:rPr>
              <w:t>（</w:t>
            </w:r>
            <w:r>
              <w:rPr>
                <w:rFonts w:hint="default" w:ascii="Times New Roman" w:hAnsi="Times New Roman" w:cs="Times New Roman"/>
                <w:snapToGrid w:val="0"/>
                <w:color w:val="auto"/>
                <w:kern w:val="0"/>
                <w:sz w:val="24"/>
                <w:szCs w:val="20"/>
                <w:highlight w:val="none"/>
                <w:u w:val="none"/>
                <w:lang w:val="en-US" w:eastAsia="zh-CN"/>
              </w:rPr>
              <w:t>5</w:t>
            </w:r>
            <w:r>
              <w:rPr>
                <w:rFonts w:hint="eastAsia" w:cs="Times New Roman"/>
                <w:snapToGrid w:val="0"/>
                <w:color w:val="auto"/>
                <w:kern w:val="0"/>
                <w:sz w:val="24"/>
                <w:szCs w:val="20"/>
                <w:highlight w:val="none"/>
                <w:u w:val="none"/>
                <w:lang w:val="en-US" w:eastAsia="zh-CN"/>
              </w:rPr>
              <w:t>）</w:t>
            </w:r>
            <w:r>
              <w:rPr>
                <w:rFonts w:hint="default" w:ascii="Times New Roman" w:hAnsi="Times New Roman" w:eastAsia="宋体" w:cs="Times New Roman"/>
                <w:snapToGrid w:val="0"/>
                <w:color w:val="auto"/>
                <w:kern w:val="0"/>
                <w:sz w:val="24"/>
                <w:szCs w:val="20"/>
                <w:highlight w:val="none"/>
                <w:u w:val="none"/>
                <w:lang w:val="en-US" w:eastAsia="zh-CN"/>
              </w:rPr>
              <w:t>预测结果</w:t>
            </w:r>
          </w:p>
          <w:p w14:paraId="5ADDAB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rPr>
                <w:rFonts w:hint="default" w:ascii="Times New Roman" w:hAnsi="Times New Roman" w:cs="Times New Roman"/>
                <w:snapToGrid w:val="0"/>
                <w:color w:val="auto"/>
                <w:kern w:val="0"/>
                <w:sz w:val="24"/>
                <w:szCs w:val="20"/>
                <w:highlight w:val="none"/>
                <w:u w:val="none"/>
              </w:rPr>
            </w:pPr>
            <w:r>
              <w:rPr>
                <w:rFonts w:hint="eastAsia" w:cs="Times New Roman"/>
                <w:snapToGrid w:val="0"/>
                <w:color w:val="auto"/>
                <w:kern w:val="0"/>
                <w:sz w:val="24"/>
                <w:szCs w:val="20"/>
                <w:highlight w:val="none"/>
                <w:u w:val="none"/>
                <w:lang w:val="en-US" w:eastAsia="zh-CN"/>
              </w:rPr>
              <w:t>本项目扩建</w:t>
            </w:r>
            <w:r>
              <w:rPr>
                <w:rFonts w:hint="default" w:ascii="Times New Roman" w:hAnsi="Times New Roman" w:cs="Times New Roman"/>
                <w:snapToGrid w:val="0"/>
                <w:color w:val="auto"/>
                <w:kern w:val="0"/>
                <w:sz w:val="24"/>
                <w:szCs w:val="20"/>
                <w:highlight w:val="none"/>
                <w:u w:val="none"/>
              </w:rPr>
              <w:t>厂界噪声预测结果见表</w:t>
            </w:r>
            <w:r>
              <w:rPr>
                <w:rFonts w:hint="default" w:ascii="Times New Roman" w:hAnsi="Times New Roman" w:cs="Times New Roman"/>
                <w:snapToGrid w:val="0"/>
                <w:color w:val="auto"/>
                <w:kern w:val="0"/>
                <w:sz w:val="24"/>
                <w:szCs w:val="20"/>
                <w:highlight w:val="none"/>
                <w:u w:val="none"/>
                <w:lang w:val="en-US" w:eastAsia="zh-CN"/>
              </w:rPr>
              <w:t>4-1</w:t>
            </w:r>
            <w:r>
              <w:rPr>
                <w:rFonts w:hint="eastAsia" w:cs="Times New Roman"/>
                <w:snapToGrid w:val="0"/>
                <w:color w:val="auto"/>
                <w:kern w:val="0"/>
                <w:sz w:val="24"/>
                <w:szCs w:val="20"/>
                <w:highlight w:val="none"/>
                <w:u w:val="none"/>
                <w:lang w:val="en-US" w:eastAsia="zh-CN"/>
              </w:rPr>
              <w:t>6</w:t>
            </w:r>
            <w:r>
              <w:rPr>
                <w:rFonts w:hint="default" w:ascii="Times New Roman" w:hAnsi="Times New Roman" w:cs="Times New Roman"/>
                <w:snapToGrid w:val="0"/>
                <w:color w:val="auto"/>
                <w:kern w:val="0"/>
                <w:sz w:val="24"/>
                <w:szCs w:val="20"/>
                <w:highlight w:val="none"/>
                <w:u w:val="none"/>
              </w:rPr>
              <w:t>。</w:t>
            </w:r>
          </w:p>
          <w:p w14:paraId="7B3BE056">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表</w:t>
            </w:r>
            <w:r>
              <w:rPr>
                <w:rFonts w:hint="default" w:ascii="Times New Roman" w:hAnsi="Times New Roman" w:cs="Times New Roman"/>
                <w:b/>
                <w:bCs/>
                <w:color w:val="auto"/>
                <w:sz w:val="24"/>
                <w:highlight w:val="none"/>
                <w:u w:val="none"/>
                <w:lang w:val="en-US" w:eastAsia="zh-CN"/>
              </w:rPr>
              <w:t>4-1</w:t>
            </w:r>
            <w:r>
              <w:rPr>
                <w:rFonts w:hint="eastAsia" w:cs="Times New Roman"/>
                <w:b/>
                <w:bCs/>
                <w:color w:val="auto"/>
                <w:sz w:val="24"/>
                <w:highlight w:val="none"/>
                <w:u w:val="none"/>
                <w:lang w:val="en-US" w:eastAsia="zh-CN"/>
              </w:rPr>
              <w:t>6</w:t>
            </w:r>
            <w:r>
              <w:rPr>
                <w:rFonts w:hint="default" w:ascii="Times New Roman" w:hAnsi="Times New Roman" w:cs="Times New Roman"/>
                <w:b/>
                <w:bCs/>
                <w:color w:val="auto"/>
                <w:sz w:val="24"/>
                <w:highlight w:val="none"/>
                <w:u w:val="none"/>
              </w:rPr>
              <w:t>项目厂界噪声</w:t>
            </w:r>
            <w:r>
              <w:rPr>
                <w:rFonts w:hint="default" w:ascii="Times New Roman" w:hAnsi="Times New Roman" w:cs="Times New Roman"/>
                <w:b/>
                <w:bCs/>
                <w:color w:val="auto"/>
                <w:sz w:val="24"/>
                <w:highlight w:val="none"/>
                <w:u w:val="none"/>
                <w:lang w:val="en-US" w:eastAsia="zh-CN"/>
              </w:rPr>
              <w:t>贡献值</w:t>
            </w:r>
            <w:r>
              <w:rPr>
                <w:rFonts w:hint="default" w:ascii="Times New Roman" w:hAnsi="Times New Roman" w:cs="Times New Roman"/>
                <w:b/>
                <w:bCs/>
                <w:color w:val="auto"/>
                <w:sz w:val="24"/>
                <w:highlight w:val="none"/>
                <w:u w:val="none"/>
              </w:rPr>
              <w:t>预测</w:t>
            </w:r>
            <w:r>
              <w:rPr>
                <w:rFonts w:hint="default" w:ascii="Times New Roman" w:hAnsi="Times New Roman" w:cs="Times New Roman"/>
                <w:b/>
                <w:bCs/>
                <w:color w:val="auto"/>
                <w:sz w:val="24"/>
                <w:highlight w:val="none"/>
                <w:u w:val="none"/>
                <w:lang w:val="en-US" w:eastAsia="zh-CN"/>
              </w:rPr>
              <w:t>结果</w:t>
            </w:r>
            <w:r>
              <w:rPr>
                <w:rFonts w:hint="default" w:ascii="Times New Roman" w:hAnsi="Times New Roman" w:cs="Times New Roman"/>
                <w:b/>
                <w:bCs/>
                <w:color w:val="auto"/>
                <w:sz w:val="24"/>
                <w:highlight w:val="none"/>
                <w:u w:val="none"/>
              </w:rPr>
              <w:t>一览表单位：dB(A)</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58"/>
              <w:gridCol w:w="1490"/>
              <w:gridCol w:w="1273"/>
              <w:gridCol w:w="1608"/>
              <w:gridCol w:w="2056"/>
            </w:tblGrid>
            <w:tr w14:paraId="28AB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410F7DE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预测点</w:t>
                  </w:r>
                </w:p>
              </w:tc>
              <w:tc>
                <w:tcPr>
                  <w:tcW w:w="1395" w:type="dxa"/>
                  <w:vAlign w:val="center"/>
                </w:tcPr>
                <w:p w14:paraId="6F2520CC">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时段</w:t>
                  </w:r>
                </w:p>
              </w:tc>
              <w:tc>
                <w:tcPr>
                  <w:tcW w:w="1192" w:type="dxa"/>
                  <w:vAlign w:val="center"/>
                </w:tcPr>
                <w:p w14:paraId="190AEAA2">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贡献值</w:t>
                  </w:r>
                </w:p>
              </w:tc>
              <w:tc>
                <w:tcPr>
                  <w:tcW w:w="1505" w:type="dxa"/>
                  <w:vAlign w:val="center"/>
                </w:tcPr>
                <w:p w14:paraId="41E768D1">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标准值</w:t>
                  </w:r>
                </w:p>
              </w:tc>
              <w:tc>
                <w:tcPr>
                  <w:tcW w:w="1925" w:type="dxa"/>
                  <w:vAlign w:val="center"/>
                </w:tcPr>
                <w:p w14:paraId="2830EF30">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达标分析</w:t>
                  </w:r>
                </w:p>
              </w:tc>
            </w:tr>
            <w:tr w14:paraId="27DE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30AAD422">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北厂界</w:t>
                  </w:r>
                </w:p>
              </w:tc>
              <w:tc>
                <w:tcPr>
                  <w:tcW w:w="1395" w:type="dxa"/>
                  <w:vAlign w:val="center"/>
                </w:tcPr>
                <w:p w14:paraId="242CC539">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0606C304">
                  <w:pPr>
                    <w:keepNext w:val="0"/>
                    <w:keepLines w:val="0"/>
                    <w:pageBreakBefore w:val="0"/>
                    <w:widowControl/>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kern w:val="0"/>
                      <w:szCs w:val="21"/>
                      <w:highlight w:val="none"/>
                      <w:u w:val="none"/>
                      <w:lang w:val="en-US" w:eastAsia="zh-CN"/>
                    </w:rPr>
                  </w:pPr>
                  <w:r>
                    <w:rPr>
                      <w:rFonts w:hint="eastAsia" w:cs="Times New Roman"/>
                      <w:color w:val="auto"/>
                      <w:kern w:val="0"/>
                      <w:szCs w:val="21"/>
                      <w:highlight w:val="none"/>
                      <w:u w:val="none"/>
                      <w:lang w:val="en-US" w:eastAsia="zh-CN"/>
                    </w:rPr>
                    <w:t>36.95</w:t>
                  </w:r>
                </w:p>
              </w:tc>
              <w:tc>
                <w:tcPr>
                  <w:tcW w:w="1505" w:type="dxa"/>
                  <w:vAlign w:val="center"/>
                </w:tcPr>
                <w:p w14:paraId="5068DD4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14B80E41">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2E34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6A28332B">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东厂界</w:t>
                  </w:r>
                </w:p>
              </w:tc>
              <w:tc>
                <w:tcPr>
                  <w:tcW w:w="1395" w:type="dxa"/>
                </w:tcPr>
                <w:p w14:paraId="78AF3290">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25D6AC1A">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45.53</w:t>
                  </w:r>
                </w:p>
              </w:tc>
              <w:tc>
                <w:tcPr>
                  <w:tcW w:w="1505" w:type="dxa"/>
                </w:tcPr>
                <w:p w14:paraId="5E34D6DC">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昼间</w:t>
                  </w:r>
                  <w:r>
                    <w:rPr>
                      <w:rFonts w:hint="eastAsia"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1BAC521D">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65EC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1927" w:type="dxa"/>
                  <w:vAlign w:val="center"/>
                </w:tcPr>
                <w:p w14:paraId="12740D10">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南厂界</w:t>
                  </w:r>
                </w:p>
              </w:tc>
              <w:tc>
                <w:tcPr>
                  <w:tcW w:w="1395" w:type="dxa"/>
                </w:tcPr>
                <w:p w14:paraId="25CF85DB">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75EAC211">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39.47</w:t>
                  </w:r>
                </w:p>
              </w:tc>
              <w:tc>
                <w:tcPr>
                  <w:tcW w:w="1505" w:type="dxa"/>
                </w:tcPr>
                <w:p w14:paraId="3810D626">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23AB59C6">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r w14:paraId="3E57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1927" w:type="dxa"/>
                  <w:vAlign w:val="center"/>
                </w:tcPr>
                <w:p w14:paraId="481FBC53">
                  <w:pPr>
                    <w:keepNext w:val="0"/>
                    <w:keepLines w:val="0"/>
                    <w:pageBreakBefore w:val="0"/>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西厂界</w:t>
                  </w:r>
                </w:p>
              </w:tc>
              <w:tc>
                <w:tcPr>
                  <w:tcW w:w="1395" w:type="dxa"/>
                </w:tcPr>
                <w:p w14:paraId="242588F2">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w:t>
                  </w:r>
                </w:p>
              </w:tc>
              <w:tc>
                <w:tcPr>
                  <w:tcW w:w="1192" w:type="dxa"/>
                  <w:vAlign w:val="center"/>
                </w:tcPr>
                <w:p w14:paraId="38A4D81A">
                  <w:pPr>
                    <w:keepNext w:val="0"/>
                    <w:keepLines w:val="0"/>
                    <w:pageBreakBefore w:val="0"/>
                    <w:suppressLineNumbers w:val="0"/>
                    <w:kinsoku/>
                    <w:wordWrap/>
                    <w:overflowPunct/>
                    <w:topLinePunct w:val="0"/>
                    <w:autoSpaceDE/>
                    <w:autoSpaceDN/>
                    <w:bidi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29.95</w:t>
                  </w:r>
                </w:p>
              </w:tc>
              <w:tc>
                <w:tcPr>
                  <w:tcW w:w="1505" w:type="dxa"/>
                </w:tcPr>
                <w:p w14:paraId="5328884F">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color w:val="auto"/>
                      <w:szCs w:val="21"/>
                      <w:highlight w:val="none"/>
                      <w:u w:val="none"/>
                    </w:rPr>
                    <w:t>昼间</w:t>
                  </w:r>
                  <w:r>
                    <w:rPr>
                      <w:rFonts w:hint="default" w:ascii="Times New Roman" w:hAnsi="Times New Roman" w:cs="Times New Roman"/>
                      <w:color w:val="auto"/>
                      <w:szCs w:val="21"/>
                      <w:highlight w:val="none"/>
                      <w:u w:val="none"/>
                      <w:lang w:val="en-US" w:eastAsia="zh-CN"/>
                    </w:rPr>
                    <w:t>65</w:t>
                  </w:r>
                  <w:r>
                    <w:rPr>
                      <w:rFonts w:hint="default" w:ascii="Times New Roman" w:hAnsi="Times New Roman" w:cs="Times New Roman"/>
                      <w:color w:val="auto"/>
                      <w:szCs w:val="21"/>
                      <w:highlight w:val="none"/>
                      <w:u w:val="none"/>
                      <w:lang w:eastAsia="zh-CN"/>
                    </w:rPr>
                    <w:t>、</w:t>
                  </w:r>
                  <w:r>
                    <w:rPr>
                      <w:rFonts w:hint="default" w:ascii="Times New Roman" w:hAnsi="Times New Roman" w:cs="Times New Roman"/>
                      <w:color w:val="auto"/>
                      <w:szCs w:val="21"/>
                      <w:highlight w:val="none"/>
                      <w:u w:val="none"/>
                      <w:lang w:val="en-US" w:eastAsia="zh-CN"/>
                    </w:rPr>
                    <w:t>夜间55</w:t>
                  </w:r>
                </w:p>
              </w:tc>
              <w:tc>
                <w:tcPr>
                  <w:tcW w:w="1925" w:type="dxa"/>
                  <w:vAlign w:val="center"/>
                </w:tcPr>
                <w:p w14:paraId="6EE47F6A">
                  <w:pPr>
                    <w:keepNext w:val="0"/>
                    <w:keepLines w:val="0"/>
                    <w:pageBreakBefore w:val="0"/>
                    <w:widowControl/>
                    <w:suppressLineNumbers w:val="0"/>
                    <w:kinsoku/>
                    <w:wordWrap/>
                    <w:overflowPunct/>
                    <w:topLinePunct w:val="0"/>
                    <w:autoSpaceDE/>
                    <w:autoSpaceDN/>
                    <w:bidi w:val="0"/>
                    <w:adjustRightInd w:val="0"/>
                    <w:snapToGrid w:val="0"/>
                    <w:spacing w:before="60" w:beforeAutospacing="0" w:after="60" w:afterAutospacing="0" w:line="240" w:lineRule="exact"/>
                    <w:ind w:left="0" w:right="0"/>
                    <w:jc w:val="center"/>
                    <w:textAlignment w:val="auto"/>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达标</w:t>
                  </w:r>
                </w:p>
              </w:tc>
            </w:tr>
          </w:tbl>
          <w:p w14:paraId="33723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snapToGrid w:val="0"/>
                <w:color w:val="auto"/>
                <w:kern w:val="0"/>
                <w:sz w:val="24"/>
                <w:szCs w:val="20"/>
                <w:highlight w:val="none"/>
                <w:u w:val="none"/>
              </w:rPr>
            </w:pPr>
            <w:r>
              <w:rPr>
                <w:rFonts w:hint="default"/>
                <w:color w:val="auto"/>
                <w:highlight w:val="none"/>
              </w:rPr>
              <w:drawing>
                <wp:inline distT="0" distB="0" distL="114300" distR="114300">
                  <wp:extent cx="5388610" cy="3947160"/>
                  <wp:effectExtent l="0" t="0" r="2540" b="1524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20"/>
                          <a:stretch>
                            <a:fillRect/>
                          </a:stretch>
                        </pic:blipFill>
                        <pic:spPr>
                          <a:xfrm>
                            <a:off x="0" y="0"/>
                            <a:ext cx="5388610" cy="3947160"/>
                          </a:xfrm>
                          <a:prstGeom prst="rect">
                            <a:avLst/>
                          </a:prstGeom>
                          <a:noFill/>
                          <a:ln>
                            <a:noFill/>
                          </a:ln>
                        </pic:spPr>
                      </pic:pic>
                    </a:graphicData>
                  </a:graphic>
                </wp:inline>
              </w:drawing>
            </w:r>
          </w:p>
          <w:p w14:paraId="64865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snapToGrid w:val="0"/>
                <w:color w:val="auto"/>
                <w:kern w:val="0"/>
                <w:sz w:val="24"/>
                <w:szCs w:val="20"/>
                <w:highlight w:val="none"/>
                <w:u w:val="none"/>
                <w:lang w:val="en-US" w:eastAsia="zh-CN"/>
              </w:rPr>
            </w:pPr>
            <w:r>
              <w:rPr>
                <w:rFonts w:hint="eastAsia" w:cs="Times New Roman"/>
                <w:b/>
                <w:bCs/>
                <w:snapToGrid w:val="0"/>
                <w:color w:val="auto"/>
                <w:kern w:val="0"/>
                <w:sz w:val="24"/>
                <w:szCs w:val="20"/>
                <w:highlight w:val="none"/>
                <w:u w:val="none"/>
                <w:lang w:val="en-US" w:eastAsia="zh-CN"/>
              </w:rPr>
              <w:t>附图4-1 噪声预测示意图</w:t>
            </w:r>
          </w:p>
          <w:p w14:paraId="59551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snapToGrid w:val="0"/>
                <w:color w:val="auto"/>
                <w:kern w:val="0"/>
                <w:sz w:val="24"/>
                <w:szCs w:val="20"/>
                <w:highlight w:val="none"/>
                <w:u w:val="none"/>
              </w:rPr>
              <w:t>由上表可知，运营期噪声源</w:t>
            </w:r>
            <w:r>
              <w:rPr>
                <w:rFonts w:hint="eastAsia" w:cs="Times New Roman"/>
                <w:snapToGrid w:val="0"/>
                <w:color w:val="auto"/>
                <w:kern w:val="0"/>
                <w:sz w:val="24"/>
                <w:szCs w:val="20"/>
                <w:highlight w:val="none"/>
                <w:u w:val="none"/>
                <w:lang w:val="en-US" w:eastAsia="zh-CN"/>
              </w:rPr>
              <w:t>四周扩建项目</w:t>
            </w:r>
            <w:r>
              <w:rPr>
                <w:rFonts w:hint="default" w:ascii="Times New Roman" w:hAnsi="Times New Roman" w:cs="Times New Roman"/>
                <w:snapToGrid w:val="0"/>
                <w:color w:val="auto"/>
                <w:kern w:val="0"/>
                <w:sz w:val="24"/>
                <w:szCs w:val="20"/>
                <w:highlight w:val="none"/>
                <w:u w:val="none"/>
                <w:lang w:eastAsia="zh-CN"/>
              </w:rPr>
              <w:t>厂界贡献值约为</w:t>
            </w:r>
            <w:r>
              <w:rPr>
                <w:rFonts w:hint="eastAsia" w:cs="Times New Roman"/>
                <w:snapToGrid w:val="0"/>
                <w:color w:val="auto"/>
                <w:kern w:val="0"/>
                <w:sz w:val="24"/>
                <w:szCs w:val="20"/>
                <w:highlight w:val="none"/>
                <w:u w:val="none"/>
                <w:lang w:val="en-US" w:eastAsia="zh-CN"/>
              </w:rPr>
              <w:t>49.8</w:t>
            </w:r>
            <w:r>
              <w:rPr>
                <w:rFonts w:hint="default" w:ascii="Times New Roman" w:hAnsi="Times New Roman" w:cs="Times New Roman"/>
                <w:snapToGrid w:val="0"/>
                <w:color w:val="auto"/>
                <w:kern w:val="0"/>
                <w:sz w:val="24"/>
                <w:szCs w:val="20"/>
                <w:highlight w:val="none"/>
                <w:u w:val="none"/>
                <w:lang w:eastAsia="zh-CN"/>
              </w:rPr>
              <w:t>-</w:t>
            </w:r>
            <w:r>
              <w:rPr>
                <w:rFonts w:hint="eastAsia" w:cs="Times New Roman"/>
                <w:snapToGrid w:val="0"/>
                <w:color w:val="auto"/>
                <w:kern w:val="0"/>
                <w:sz w:val="24"/>
                <w:szCs w:val="20"/>
                <w:highlight w:val="none"/>
                <w:u w:val="none"/>
                <w:lang w:val="en-US" w:eastAsia="zh-CN"/>
              </w:rPr>
              <w:t>54.7</w:t>
            </w:r>
            <w:r>
              <w:rPr>
                <w:rFonts w:hint="default" w:ascii="Times New Roman" w:hAnsi="Times New Roman" w:cs="Times New Roman"/>
                <w:snapToGrid w:val="0"/>
                <w:color w:val="auto"/>
                <w:kern w:val="0"/>
                <w:sz w:val="24"/>
                <w:szCs w:val="20"/>
                <w:highlight w:val="none"/>
                <w:u w:val="none"/>
                <w:lang w:eastAsia="zh-CN"/>
              </w:rPr>
              <w:t>dB(A</w:t>
            </w:r>
            <w:r>
              <w:rPr>
                <w:rFonts w:hint="eastAsia"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eastAsia="zh-CN"/>
              </w:rPr>
              <w:t>之间，可满足《工业企业厂界环境噪声排放标准》(GB12348-2008)</w:t>
            </w:r>
            <w:r>
              <w:rPr>
                <w:rFonts w:hint="default" w:ascii="Times New Roman" w:hAnsi="Times New Roman" w:cs="Times New Roman"/>
                <w:snapToGrid w:val="0"/>
                <w:color w:val="auto"/>
                <w:kern w:val="0"/>
                <w:sz w:val="24"/>
                <w:szCs w:val="20"/>
                <w:highlight w:val="none"/>
                <w:u w:val="none"/>
                <w:lang w:val="en-US" w:eastAsia="zh-CN"/>
              </w:rPr>
              <w:t>3</w:t>
            </w:r>
            <w:r>
              <w:rPr>
                <w:rFonts w:hint="default" w:ascii="Times New Roman" w:hAnsi="Times New Roman" w:cs="Times New Roman"/>
                <w:snapToGrid w:val="0"/>
                <w:color w:val="auto"/>
                <w:kern w:val="0"/>
                <w:sz w:val="24"/>
                <w:szCs w:val="20"/>
                <w:highlight w:val="none"/>
                <w:u w:val="none"/>
                <w:lang w:eastAsia="zh-CN"/>
              </w:rPr>
              <w:t>类标准要求</w:t>
            </w:r>
            <w:r>
              <w:rPr>
                <w:rFonts w:hint="default" w:ascii="Times New Roman" w:hAnsi="Times New Roman" w:cs="Times New Roman"/>
                <w:snapToGrid w:val="0"/>
                <w:color w:val="auto"/>
                <w:kern w:val="0"/>
                <w:sz w:val="24"/>
                <w:szCs w:val="20"/>
                <w:highlight w:val="none"/>
                <w:u w:val="none"/>
                <w:lang w:val="en-US" w:eastAsia="zh-CN"/>
              </w:rPr>
              <w:t>，对周边声环境敏感目标影响较小</w:t>
            </w:r>
          </w:p>
          <w:p w14:paraId="5424F94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lang w:val="en-US" w:eastAsia="zh-CN"/>
              </w:rPr>
              <w:t>4、</w:t>
            </w:r>
            <w:r>
              <w:rPr>
                <w:rFonts w:hint="default" w:ascii="Times New Roman" w:hAnsi="Times New Roman" w:cs="Times New Roman"/>
                <w:b/>
                <w:color w:val="auto"/>
                <w:sz w:val="24"/>
                <w:highlight w:val="none"/>
                <w:u w:val="none" w:color="auto"/>
              </w:rPr>
              <w:t>固体废物</w:t>
            </w:r>
            <w:r>
              <w:rPr>
                <w:rFonts w:hint="default" w:ascii="Times New Roman" w:hAnsi="Times New Roman" w:cs="Times New Roman"/>
                <w:b/>
                <w:bCs/>
                <w:color w:val="auto"/>
                <w:sz w:val="24"/>
                <w:highlight w:val="none"/>
                <w:u w:val="none" w:color="auto"/>
                <w:lang w:val="en-US" w:eastAsia="zh-CN"/>
              </w:rPr>
              <w:t>影响分析</w:t>
            </w:r>
          </w:p>
          <w:p w14:paraId="4ABD1C67">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bookmarkStart w:id="11" w:name="_Toc322335683"/>
            <w:bookmarkStart w:id="12" w:name="_Toc322335311"/>
            <w:bookmarkStart w:id="13" w:name="_Toc322354015"/>
            <w:r>
              <w:rPr>
                <w:rFonts w:hint="default" w:ascii="Times New Roman" w:hAnsi="Times New Roman" w:cs="Times New Roman"/>
                <w:color w:val="auto"/>
                <w:spacing w:val="-1"/>
                <w:sz w:val="24"/>
                <w:szCs w:val="24"/>
                <w:highlight w:val="none"/>
              </w:rPr>
              <w:t>本项目产生的固体废物主要包括一般固废和危险废物。</w:t>
            </w:r>
          </w:p>
          <w:p w14:paraId="14DF0382">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）一般固废</w:t>
            </w:r>
          </w:p>
          <w:p w14:paraId="4ED6321A">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本项目产生的一般固废主要包括集装箱清扫废物（含清</w:t>
            </w:r>
            <w:r>
              <w:rPr>
                <w:rFonts w:hint="default" w:ascii="Times New Roman" w:hAnsi="Times New Roman" w:cs="Times New Roman"/>
                <w:color w:val="auto"/>
                <w:spacing w:val="1"/>
                <w:sz w:val="24"/>
                <w:szCs w:val="24"/>
                <w:highlight w:val="none"/>
              </w:rPr>
              <w:t>扫灰、预处理废物</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纸屑、包装袋</w:t>
            </w:r>
            <w:r>
              <w:rPr>
                <w:rFonts w:hint="default" w:ascii="Times New Roman" w:hAnsi="Times New Roman" w:cs="Times New Roman"/>
                <w:color w:val="auto"/>
                <w:spacing w:val="-2"/>
                <w:sz w:val="24"/>
                <w:szCs w:val="24"/>
                <w:highlight w:val="none"/>
              </w:rPr>
              <w:t>等）、焊接废焊丝、木板断料废木屑。</w:t>
            </w:r>
          </w:p>
          <w:p w14:paraId="3BD181C3">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集装箱清扫废物产生量为</w:t>
            </w:r>
            <w:r>
              <w:rPr>
                <w:rFonts w:hint="eastAsia" w:ascii="Times New Roman" w:hAnsi="Times New Roman" w:eastAsia="宋体" w:cs="Times New Roman"/>
                <w:color w:val="auto"/>
                <w:sz w:val="24"/>
                <w:szCs w:val="24"/>
                <w:highlight w:val="none"/>
                <w:lang w:val="en-US" w:eastAsia="zh-CN"/>
              </w:rPr>
              <w:t>36</w:t>
            </w:r>
            <w:r>
              <w:rPr>
                <w:rFonts w:hint="default" w:ascii="Times New Roman" w:hAnsi="Times New Roman" w:eastAsia="Times New Roman" w:cs="Times New Roman"/>
                <w:color w:val="auto"/>
                <w:sz w:val="24"/>
                <w:szCs w:val="24"/>
                <w:highlight w:val="none"/>
              </w:rPr>
              <w:t>t/a</w:t>
            </w:r>
            <w:r>
              <w:rPr>
                <w:rFonts w:hint="default" w:ascii="Times New Roman" w:hAnsi="Times New Roman" w:cs="Times New Roman"/>
                <w:color w:val="auto"/>
                <w:sz w:val="24"/>
                <w:szCs w:val="24"/>
                <w:highlight w:val="none"/>
              </w:rPr>
              <w:t>，主要为木料、发泡塑料、纸屑、塑料布等，交由</w:t>
            </w:r>
            <w:r>
              <w:rPr>
                <w:rFonts w:hint="default" w:ascii="Times New Roman" w:hAnsi="Times New Roman" w:cs="Times New Roman"/>
                <w:color w:val="auto"/>
                <w:spacing w:val="-1"/>
                <w:sz w:val="24"/>
                <w:szCs w:val="24"/>
                <w:highlight w:val="none"/>
              </w:rPr>
              <w:t>交由物资</w:t>
            </w:r>
            <w:r>
              <w:rPr>
                <w:rFonts w:hint="default" w:ascii="Times New Roman" w:hAnsi="Times New Roman" w:cs="Times New Roman"/>
                <w:color w:val="auto"/>
                <w:spacing w:val="-8"/>
                <w:sz w:val="24"/>
                <w:szCs w:val="24"/>
                <w:highlight w:val="none"/>
              </w:rPr>
              <w:t>回收部门清运；</w:t>
            </w:r>
          </w:p>
          <w:p w14:paraId="63B3AAB5">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焊接过程中会产生废焊丝，废焊丝产生量为</w:t>
            </w:r>
            <w:r>
              <w:rPr>
                <w:rFonts w:hint="default" w:ascii="Times New Roman" w:hAnsi="Times New Roman" w:eastAsia="Times New Roman" w:cs="Times New Roman"/>
                <w:color w:val="auto"/>
                <w:spacing w:val="-1"/>
                <w:sz w:val="24"/>
                <w:szCs w:val="24"/>
                <w:highlight w:val="none"/>
              </w:rPr>
              <w:t>0.</w:t>
            </w:r>
            <w:r>
              <w:rPr>
                <w:rFonts w:hint="eastAsia"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Times New Roman" w:cs="Times New Roman"/>
                <w:color w:val="auto"/>
                <w:spacing w:val="-1"/>
                <w:sz w:val="24"/>
                <w:szCs w:val="24"/>
                <w:highlight w:val="none"/>
              </w:rPr>
              <w:t>t/a</w:t>
            </w:r>
            <w:r>
              <w:rPr>
                <w:rFonts w:hint="default" w:ascii="Times New Roman" w:hAnsi="Times New Roman" w:cs="Times New Roman"/>
                <w:color w:val="auto"/>
                <w:spacing w:val="-1"/>
                <w:sz w:val="24"/>
                <w:szCs w:val="24"/>
                <w:highlight w:val="none"/>
              </w:rPr>
              <w:t>；</w:t>
            </w:r>
          </w:p>
          <w:p w14:paraId="1C6598D4">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color w:val="auto"/>
                <w:sz w:val="24"/>
                <w:szCs w:val="24"/>
                <w:highlight w:val="none"/>
              </w:rPr>
              <w:t>木板断料过程中会产生废木屑，根据建设单位提供资料</w:t>
            </w:r>
            <w:r>
              <w:rPr>
                <w:rFonts w:hint="default" w:ascii="Times New Roman" w:hAnsi="Times New Roman" w:cs="Times New Roman"/>
                <w:color w:val="auto"/>
                <w:spacing w:val="-1"/>
                <w:sz w:val="24"/>
                <w:szCs w:val="24"/>
                <w:highlight w:val="none"/>
              </w:rPr>
              <w:t>，废木屑产生量为</w:t>
            </w:r>
            <w:r>
              <w:rPr>
                <w:rFonts w:hint="default" w:ascii="Times New Roman" w:hAnsi="Times New Roman" w:eastAsia="Times New Roman" w:cs="Times New Roman"/>
                <w:color w:val="auto"/>
                <w:spacing w:val="-1"/>
                <w:sz w:val="24"/>
                <w:szCs w:val="24"/>
                <w:highlight w:val="none"/>
              </w:rPr>
              <w:t>0.1t/a</w:t>
            </w:r>
            <w:r>
              <w:rPr>
                <w:rFonts w:hint="default" w:ascii="Times New Roman" w:hAnsi="Times New Roman" w:cs="Times New Roman"/>
                <w:color w:val="auto"/>
                <w:spacing w:val="-1"/>
                <w:sz w:val="24"/>
                <w:szCs w:val="24"/>
                <w:highlight w:val="none"/>
              </w:rPr>
              <w:t>；</w:t>
            </w:r>
          </w:p>
          <w:p w14:paraId="5467A25C">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6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cs="Times New Roman"/>
                <w:color w:val="auto"/>
                <w:spacing w:val="-3"/>
                <w:sz w:val="24"/>
                <w:szCs w:val="24"/>
                <w:highlight w:val="none"/>
              </w:rPr>
              <w:t>）生活垃圾</w:t>
            </w:r>
          </w:p>
          <w:p w14:paraId="648A84EE">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生活垃圾：职工日常产生生活垃圾，</w:t>
            </w:r>
            <w:r>
              <w:rPr>
                <w:rFonts w:hint="default" w:ascii="Times New Roman" w:hAnsi="Times New Roman" w:cs="Times New Roman"/>
                <w:color w:val="auto"/>
                <w:sz w:val="24"/>
                <w:szCs w:val="24"/>
                <w:highlight w:val="none"/>
              </w:rPr>
              <w:t>实行一班制，</w:t>
            </w:r>
            <w:r>
              <w:rPr>
                <w:rFonts w:hint="default" w:ascii="Times New Roman" w:hAnsi="Times New Roman" w:cs="Times New Roman"/>
                <w:b w:val="0"/>
                <w:bCs w:val="0"/>
                <w:color w:val="auto"/>
                <w:sz w:val="24"/>
                <w:szCs w:val="24"/>
                <w:highlight w:val="none"/>
                <w:lang w:val="en-US" w:eastAsia="zh-CN"/>
              </w:rPr>
              <w:t>本项目新增工作人员12人</w:t>
            </w:r>
            <w:r>
              <w:rPr>
                <w:rFonts w:hint="default" w:ascii="Times New Roman" w:hAnsi="Times New Roman" w:cs="Times New Roman"/>
                <w:color w:val="auto"/>
                <w:sz w:val="24"/>
                <w:szCs w:val="24"/>
                <w:highlight w:val="none"/>
              </w:rPr>
              <w:t>，全年工作</w:t>
            </w:r>
            <w:r>
              <w:rPr>
                <w:rFonts w:hint="eastAsia" w:ascii="Times New Roman" w:hAnsi="Times New Roman" w:eastAsia="宋体" w:cs="Times New Roman"/>
                <w:color w:val="auto"/>
                <w:sz w:val="24"/>
                <w:szCs w:val="24"/>
                <w:highlight w:val="none"/>
                <w:lang w:val="en-US" w:eastAsia="zh-CN"/>
              </w:rPr>
              <w:t>330</w:t>
            </w:r>
            <w:r>
              <w:rPr>
                <w:rFonts w:hint="default" w:ascii="Times New Roman" w:hAnsi="Times New Roman" w:cs="Times New Roman"/>
                <w:color w:val="auto"/>
                <w:sz w:val="24"/>
                <w:szCs w:val="24"/>
                <w:highlight w:val="none"/>
              </w:rPr>
              <w:t>天，生活垃圾产生</w:t>
            </w:r>
            <w:r>
              <w:rPr>
                <w:rFonts w:hint="default" w:ascii="Times New Roman" w:hAnsi="Times New Roman" w:cs="Times New Roman"/>
                <w:color w:val="auto"/>
                <w:spacing w:val="-1"/>
                <w:sz w:val="24"/>
                <w:szCs w:val="24"/>
                <w:highlight w:val="none"/>
              </w:rPr>
              <w:t>量按照每人每天</w:t>
            </w:r>
            <w:r>
              <w:rPr>
                <w:rFonts w:hint="default" w:ascii="Times New Roman" w:hAnsi="Times New Roman" w:eastAsia="Times New Roman" w:cs="Times New Roman"/>
                <w:color w:val="auto"/>
                <w:spacing w:val="-1"/>
                <w:sz w:val="24"/>
                <w:szCs w:val="24"/>
                <w:highlight w:val="none"/>
              </w:rPr>
              <w:t>0.5kg</w:t>
            </w:r>
            <w:r>
              <w:rPr>
                <w:rFonts w:hint="default" w:ascii="Times New Roman" w:hAnsi="Times New Roman" w:cs="Times New Roman"/>
                <w:color w:val="auto"/>
                <w:spacing w:val="-1"/>
                <w:sz w:val="24"/>
                <w:szCs w:val="24"/>
                <w:highlight w:val="none"/>
              </w:rPr>
              <w:t>计算，</w:t>
            </w:r>
            <w:r>
              <w:rPr>
                <w:rFonts w:hint="default" w:ascii="Times New Roman" w:hAnsi="Times New Roman" w:cs="Times New Roman"/>
                <w:color w:val="auto"/>
                <w:spacing w:val="-2"/>
                <w:sz w:val="24"/>
                <w:szCs w:val="24"/>
                <w:highlight w:val="none"/>
              </w:rPr>
              <w:t>本项目年生活垃圾产生量为</w:t>
            </w:r>
            <w:r>
              <w:rPr>
                <w:rFonts w:hint="eastAsia" w:ascii="Times New Roman" w:hAnsi="Times New Roman" w:eastAsia="宋体" w:cs="Times New Roman"/>
                <w:color w:val="auto"/>
                <w:spacing w:val="-2"/>
                <w:sz w:val="24"/>
                <w:szCs w:val="24"/>
                <w:highlight w:val="none"/>
                <w:lang w:eastAsia="zh-CN"/>
              </w:rPr>
              <w:t>1.98</w:t>
            </w:r>
            <w:r>
              <w:rPr>
                <w:rFonts w:hint="default" w:ascii="Times New Roman" w:hAnsi="Times New Roman" w:eastAsia="Times New Roman" w:cs="Times New Roman"/>
                <w:color w:val="auto"/>
                <w:spacing w:val="-2"/>
                <w:sz w:val="24"/>
                <w:szCs w:val="24"/>
                <w:highlight w:val="none"/>
              </w:rPr>
              <w:t>t/a</w:t>
            </w:r>
            <w:r>
              <w:rPr>
                <w:rFonts w:hint="default" w:ascii="Times New Roman" w:hAnsi="Times New Roman" w:cs="Times New Roman"/>
                <w:color w:val="auto"/>
                <w:spacing w:val="-2"/>
                <w:sz w:val="24"/>
                <w:szCs w:val="24"/>
                <w:highlight w:val="none"/>
              </w:rPr>
              <w:t>。</w:t>
            </w:r>
          </w:p>
          <w:p w14:paraId="7F608416">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本项目一般固废和生活垃圾基本情况汇总如下表所示：</w:t>
            </w:r>
          </w:p>
          <w:p w14:paraId="60D84593">
            <w:pPr>
              <w:keepNext w:val="0"/>
              <w:keepLines w:val="0"/>
              <w:suppressLineNumbers w:val="0"/>
              <w:spacing w:before="213" w:beforeLines="68" w:beforeAutospacing="0" w:after="166" w:afterLines="53" w:afterAutospacing="0" w:line="115"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11"/>
                <w:sz w:val="24"/>
                <w:szCs w:val="24"/>
                <w:highlight w:val="none"/>
              </w:rPr>
              <w:t>表4-</w:t>
            </w:r>
            <w:r>
              <w:rPr>
                <w:rFonts w:hint="eastAsia" w:ascii="宋体" w:hAnsi="宋体" w:eastAsia="宋体" w:cs="宋体"/>
                <w:b/>
                <w:bCs/>
                <w:color w:val="auto"/>
                <w:spacing w:val="-11"/>
                <w:sz w:val="24"/>
                <w:szCs w:val="24"/>
                <w:highlight w:val="none"/>
                <w:lang w:val="en-US" w:eastAsia="zh-CN"/>
              </w:rPr>
              <w:t>17</w:t>
            </w:r>
            <w:r>
              <w:rPr>
                <w:rFonts w:hint="eastAsia" w:ascii="宋体" w:hAnsi="宋体" w:eastAsia="宋体" w:cs="宋体"/>
                <w:b/>
                <w:bCs/>
                <w:color w:val="auto"/>
                <w:spacing w:val="-11"/>
                <w:sz w:val="24"/>
                <w:szCs w:val="24"/>
                <w:highlight w:val="none"/>
              </w:rPr>
              <w:t>一般固体废物基本情况汇</w:t>
            </w:r>
            <w:r>
              <w:rPr>
                <w:rFonts w:hint="eastAsia" w:ascii="宋体" w:hAnsi="宋体" w:eastAsia="宋体" w:cs="宋体"/>
                <w:b/>
                <w:bCs/>
                <w:color w:val="auto"/>
                <w:spacing w:val="-12"/>
                <w:sz w:val="24"/>
                <w:szCs w:val="24"/>
                <w:highlight w:val="none"/>
              </w:rPr>
              <w:t>总表</w:t>
            </w:r>
          </w:p>
          <w:tbl>
            <w:tblPr>
              <w:tblStyle w:val="142"/>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562"/>
              <w:gridCol w:w="632"/>
              <w:gridCol w:w="610"/>
              <w:gridCol w:w="891"/>
              <w:gridCol w:w="684"/>
              <w:gridCol w:w="877"/>
              <w:gridCol w:w="841"/>
              <w:gridCol w:w="691"/>
              <w:gridCol w:w="804"/>
              <w:gridCol w:w="1315"/>
            </w:tblGrid>
            <w:tr w14:paraId="715B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5" w:hRule="atLeast"/>
                <w:jc w:val="center"/>
              </w:trPr>
              <w:tc>
                <w:tcPr>
                  <w:tcW w:w="525" w:type="dxa"/>
                  <w:textDirection w:val="tbRlV"/>
                  <w:vAlign w:val="center"/>
                </w:tcPr>
                <w:p w14:paraId="3BED9FC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序号</w:t>
                  </w:r>
                </w:p>
              </w:tc>
              <w:tc>
                <w:tcPr>
                  <w:tcW w:w="562" w:type="dxa"/>
                  <w:textDirection w:val="tbRlV"/>
                  <w:vAlign w:val="center"/>
                </w:tcPr>
                <w:p w14:paraId="5536437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产生环节</w:t>
                  </w:r>
                </w:p>
              </w:tc>
              <w:tc>
                <w:tcPr>
                  <w:tcW w:w="632" w:type="dxa"/>
                  <w:vAlign w:val="center"/>
                </w:tcPr>
                <w:p w14:paraId="7363303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废物名称</w:t>
                  </w:r>
                </w:p>
              </w:tc>
              <w:tc>
                <w:tcPr>
                  <w:tcW w:w="610" w:type="dxa"/>
                  <w:textDirection w:val="tbRlV"/>
                  <w:vAlign w:val="center"/>
                </w:tcPr>
                <w:p w14:paraId="3B20568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属性</w:t>
                  </w:r>
                </w:p>
              </w:tc>
              <w:tc>
                <w:tcPr>
                  <w:tcW w:w="891" w:type="dxa"/>
                  <w:vAlign w:val="center"/>
                </w:tcPr>
                <w:p w14:paraId="1646F9D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主要有</w:t>
                  </w:r>
                </w:p>
                <w:p w14:paraId="5C0111D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毒有害</w:t>
                  </w:r>
                </w:p>
                <w:p w14:paraId="41B6F3F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物质名</w:t>
                  </w:r>
                </w:p>
                <w:p w14:paraId="7A7A063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称</w:t>
                  </w:r>
                </w:p>
              </w:tc>
              <w:tc>
                <w:tcPr>
                  <w:tcW w:w="684" w:type="dxa"/>
                  <w:vAlign w:val="center"/>
                </w:tcPr>
                <w:p w14:paraId="26C2F1C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物理性状</w:t>
                  </w:r>
                </w:p>
              </w:tc>
              <w:tc>
                <w:tcPr>
                  <w:tcW w:w="877" w:type="dxa"/>
                  <w:vAlign w:val="center"/>
                </w:tcPr>
                <w:p w14:paraId="6101176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年度产</w:t>
                  </w:r>
                </w:p>
                <w:p w14:paraId="7471E73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生量</w:t>
                  </w:r>
                </w:p>
                <w:p w14:paraId="78CFC47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/(t/a)</w:t>
                  </w:r>
                </w:p>
              </w:tc>
              <w:tc>
                <w:tcPr>
                  <w:tcW w:w="841" w:type="dxa"/>
                  <w:vAlign w:val="center"/>
                </w:tcPr>
                <w:p w14:paraId="4A5C9E3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利用处置方式和去向</w:t>
                  </w:r>
                </w:p>
              </w:tc>
              <w:tc>
                <w:tcPr>
                  <w:tcW w:w="691" w:type="dxa"/>
                  <w:vAlign w:val="center"/>
                </w:tcPr>
                <w:p w14:paraId="04B8DA7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贮存方式</w:t>
                  </w:r>
                </w:p>
              </w:tc>
              <w:tc>
                <w:tcPr>
                  <w:tcW w:w="804" w:type="dxa"/>
                  <w:vAlign w:val="center"/>
                </w:tcPr>
                <w:p w14:paraId="19966E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利用或处置量</w:t>
                  </w:r>
                </w:p>
              </w:tc>
              <w:tc>
                <w:tcPr>
                  <w:tcW w:w="1315" w:type="dxa"/>
                  <w:vAlign w:val="center"/>
                </w:tcPr>
                <w:p w14:paraId="64ABB1C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环境管理要求</w:t>
                  </w:r>
                </w:p>
              </w:tc>
            </w:tr>
            <w:tr w14:paraId="3303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525" w:type="dxa"/>
                  <w:vAlign w:val="center"/>
                </w:tcPr>
                <w:p w14:paraId="208D756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c>
                <w:tcPr>
                  <w:tcW w:w="562" w:type="dxa"/>
                  <w:vMerge w:val="restart"/>
                  <w:textDirection w:val="tbRlV"/>
                  <w:vAlign w:val="center"/>
                </w:tcPr>
                <w:p w14:paraId="44C7BC9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修箱车间</w:t>
                  </w:r>
                </w:p>
              </w:tc>
              <w:tc>
                <w:tcPr>
                  <w:tcW w:w="632" w:type="dxa"/>
                  <w:vAlign w:val="center"/>
                </w:tcPr>
                <w:p w14:paraId="6F95B27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清扫废物</w:t>
                  </w:r>
                </w:p>
              </w:tc>
              <w:tc>
                <w:tcPr>
                  <w:tcW w:w="610" w:type="dxa"/>
                  <w:vMerge w:val="restart"/>
                  <w:textDirection w:val="tbRlV"/>
                  <w:vAlign w:val="center"/>
                </w:tcPr>
                <w:p w14:paraId="2C9C7EC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一般工业固体废物</w:t>
                  </w:r>
                </w:p>
              </w:tc>
              <w:tc>
                <w:tcPr>
                  <w:tcW w:w="891" w:type="dxa"/>
                  <w:vAlign w:val="center"/>
                </w:tcPr>
                <w:p w14:paraId="1D1C8A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木料、发泡塑料（属</w:t>
                  </w:r>
                </w:p>
                <w:p w14:paraId="2D89981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于内装货物包装材料）、纸屑、塑料布</w:t>
                  </w:r>
                </w:p>
              </w:tc>
              <w:tc>
                <w:tcPr>
                  <w:tcW w:w="684" w:type="dxa"/>
                  <w:vAlign w:val="center"/>
                </w:tcPr>
                <w:p w14:paraId="0859222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固态</w:t>
                  </w:r>
                </w:p>
              </w:tc>
              <w:tc>
                <w:tcPr>
                  <w:tcW w:w="877" w:type="dxa"/>
                  <w:vAlign w:val="center"/>
                </w:tcPr>
                <w:p w14:paraId="2F771F8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36</w:t>
                  </w:r>
                </w:p>
              </w:tc>
              <w:tc>
                <w:tcPr>
                  <w:tcW w:w="841" w:type="dxa"/>
                  <w:vMerge w:val="restart"/>
                  <w:vAlign w:val="center"/>
                </w:tcPr>
                <w:p w14:paraId="3748D8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p w14:paraId="65AA4C2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除清扫灰外，其他均交由物资回收部门，清扫灰交由市政定日产日</w:t>
                  </w:r>
                </w:p>
                <w:p w14:paraId="4331A1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w:t>
                  </w:r>
                </w:p>
              </w:tc>
              <w:tc>
                <w:tcPr>
                  <w:tcW w:w="691" w:type="dxa"/>
                  <w:vMerge w:val="restart"/>
                  <w:vAlign w:val="center"/>
                </w:tcPr>
                <w:p w14:paraId="6199E4B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一般</w:t>
                  </w:r>
                </w:p>
                <w:p w14:paraId="0370306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固废</w:t>
                  </w:r>
                </w:p>
                <w:p w14:paraId="2EE89BE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暂存</w:t>
                  </w:r>
                </w:p>
                <w:p w14:paraId="3F22C9F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间</w:t>
                  </w:r>
                </w:p>
              </w:tc>
              <w:tc>
                <w:tcPr>
                  <w:tcW w:w="804" w:type="dxa"/>
                  <w:vAlign w:val="center"/>
                </w:tcPr>
                <w:p w14:paraId="77DE43D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36</w:t>
                  </w:r>
                </w:p>
              </w:tc>
              <w:tc>
                <w:tcPr>
                  <w:tcW w:w="1315" w:type="dxa"/>
                  <w:vMerge w:val="restart"/>
                  <w:vAlign w:val="center"/>
                </w:tcPr>
                <w:p w14:paraId="23667255">
                  <w:pPr>
                    <w:pStyle w:val="143"/>
                    <w:spacing w:before="69" w:line="236" w:lineRule="auto"/>
                    <w:ind w:left="0" w:leftChars="0" w:right="146"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及时外运，满足《一般工业固体废</w:t>
                  </w:r>
                  <w:r>
                    <w:rPr>
                      <w:rFonts w:hint="default" w:ascii="Times New Roman" w:hAnsi="Times New Roman" w:cs="Times New Roman"/>
                      <w:color w:val="auto"/>
                      <w:spacing w:val="-3"/>
                      <w:highlight w:val="none"/>
                    </w:rPr>
                    <w:t>物贮存、处</w:t>
                  </w:r>
                  <w:r>
                    <w:rPr>
                      <w:rFonts w:hint="default" w:ascii="Times New Roman" w:hAnsi="Times New Roman" w:cs="Times New Roman"/>
                      <w:color w:val="auto"/>
                      <w:spacing w:val="-1"/>
                      <w:highlight w:val="none"/>
                    </w:rPr>
                    <w:t>置场污染控</w:t>
                  </w:r>
                </w:p>
                <w:p w14:paraId="44BEB839">
                  <w:pPr>
                    <w:pStyle w:val="143"/>
                    <w:spacing w:before="22"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制标准》</w:t>
                  </w:r>
                </w:p>
                <w:p w14:paraId="048FF3C8">
                  <w:pPr>
                    <w:pStyle w:val="143"/>
                    <w:spacing w:before="18" w:line="236" w:lineRule="auto"/>
                    <w:ind w:left="0" w:leftChars="0" w:right="146"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GB18599</w:t>
                  </w:r>
                  <w:r>
                    <w:rPr>
                      <w:rFonts w:hint="default" w:ascii="Times New Roman" w:hAnsi="Times New Roman" w:cs="Times New Roman"/>
                      <w:color w:val="auto"/>
                      <w:spacing w:val="12"/>
                      <w:highlight w:val="none"/>
                    </w:rPr>
                    <w:t>-</w:t>
                  </w:r>
                  <w:r>
                    <w:rPr>
                      <w:rFonts w:hint="default" w:ascii="Times New Roman" w:hAnsi="Times New Roman" w:eastAsia="Times New Roman" w:cs="Times New Roman"/>
                      <w:color w:val="auto"/>
                      <w:spacing w:val="12"/>
                      <w:highlight w:val="none"/>
                    </w:rPr>
                    <w:t>20</w:t>
                  </w:r>
                  <w:r>
                    <w:rPr>
                      <w:rFonts w:hint="default" w:ascii="Times New Roman" w:hAnsi="Times New Roman" w:eastAsia="宋体" w:cs="Times New Roman"/>
                      <w:color w:val="auto"/>
                      <w:spacing w:val="12"/>
                      <w:highlight w:val="none"/>
                      <w:lang w:val="en-US" w:eastAsia="zh-CN"/>
                    </w:rPr>
                    <w:t>2</w:t>
                  </w:r>
                  <w:r>
                    <w:rPr>
                      <w:rFonts w:hint="eastAsia" w:ascii="Times New Roman" w:hAnsi="Times New Roman" w:cs="Times New Roman"/>
                      <w:color w:val="auto"/>
                      <w:spacing w:val="12"/>
                      <w:highlight w:val="none"/>
                      <w:lang w:val="en-US" w:eastAsia="zh-CN"/>
                    </w:rPr>
                    <w:t>0</w:t>
                  </w:r>
                  <w:r>
                    <w:rPr>
                      <w:rFonts w:hint="default" w:ascii="Times New Roman" w:hAnsi="Times New Roman" w:cs="Times New Roman"/>
                      <w:color w:val="auto"/>
                      <w:spacing w:val="12"/>
                      <w:highlight w:val="none"/>
                    </w:rPr>
                    <w:t>）</w:t>
                  </w:r>
                  <w:r>
                    <w:rPr>
                      <w:rFonts w:hint="default" w:ascii="Times New Roman" w:hAnsi="Times New Roman" w:cs="Times New Roman"/>
                      <w:color w:val="auto"/>
                      <w:spacing w:val="-2"/>
                      <w:highlight w:val="none"/>
                    </w:rPr>
                    <w:t>要求，不对周围环境造成</w:t>
                  </w:r>
                </w:p>
                <w:p w14:paraId="3D011739">
                  <w:pPr>
                    <w:pStyle w:val="143"/>
                    <w:spacing w:before="21"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二次污染</w:t>
                  </w:r>
                </w:p>
              </w:tc>
            </w:tr>
            <w:tr w14:paraId="198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525" w:type="dxa"/>
                  <w:vAlign w:val="center"/>
                </w:tcPr>
                <w:p w14:paraId="7DD6D8F3">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562" w:type="dxa"/>
                  <w:vMerge w:val="continue"/>
                  <w:textDirection w:val="tbRlV"/>
                  <w:vAlign w:val="center"/>
                </w:tcPr>
                <w:p w14:paraId="76750BDD">
                  <w:pPr>
                    <w:spacing w:beforeAutospacing="0"/>
                    <w:ind w:left="0" w:leftChars="0" w:firstLine="0" w:firstLineChars="0"/>
                    <w:jc w:val="center"/>
                    <w:rPr>
                      <w:rFonts w:hint="default" w:ascii="Times New Roman" w:hAnsi="Times New Roman" w:cs="Times New Roman"/>
                      <w:color w:val="auto"/>
                      <w:sz w:val="21"/>
                      <w:highlight w:val="none"/>
                    </w:rPr>
                  </w:pPr>
                </w:p>
              </w:tc>
              <w:tc>
                <w:tcPr>
                  <w:tcW w:w="632" w:type="dxa"/>
                  <w:vAlign w:val="center"/>
                </w:tcPr>
                <w:p w14:paraId="14C9E5E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610" w:type="dxa"/>
                  <w:vMerge w:val="continue"/>
                  <w:textDirection w:val="tbRlV"/>
                  <w:vAlign w:val="center"/>
                </w:tcPr>
                <w:p w14:paraId="356CAFD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42361B4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684" w:type="dxa"/>
                  <w:vAlign w:val="center"/>
                </w:tcPr>
                <w:p w14:paraId="0C60AA9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固态</w:t>
                  </w:r>
                </w:p>
              </w:tc>
              <w:tc>
                <w:tcPr>
                  <w:tcW w:w="877" w:type="dxa"/>
                  <w:vAlign w:val="center"/>
                </w:tcPr>
                <w:p w14:paraId="4BF6363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p>
              </w:tc>
              <w:tc>
                <w:tcPr>
                  <w:tcW w:w="841" w:type="dxa"/>
                  <w:vMerge w:val="continue"/>
                  <w:vAlign w:val="center"/>
                </w:tcPr>
                <w:p w14:paraId="0F8E0B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691" w:type="dxa"/>
                  <w:vMerge w:val="continue"/>
                  <w:vAlign w:val="center"/>
                </w:tcPr>
                <w:p w14:paraId="47523AF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04" w:type="dxa"/>
                  <w:vAlign w:val="center"/>
                </w:tcPr>
                <w:p w14:paraId="091F8B0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p>
              </w:tc>
              <w:tc>
                <w:tcPr>
                  <w:tcW w:w="1315" w:type="dxa"/>
                  <w:vMerge w:val="continue"/>
                  <w:vAlign w:val="center"/>
                </w:tcPr>
                <w:p w14:paraId="0F3CCE04">
                  <w:pPr>
                    <w:jc w:val="center"/>
                    <w:rPr>
                      <w:rFonts w:hint="default" w:ascii="Times New Roman" w:hAnsi="Times New Roman" w:cs="Times New Roman"/>
                      <w:color w:val="auto"/>
                      <w:sz w:val="21"/>
                      <w:highlight w:val="none"/>
                    </w:rPr>
                  </w:pPr>
                </w:p>
              </w:tc>
            </w:tr>
            <w:tr w14:paraId="2B79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525" w:type="dxa"/>
                  <w:vAlign w:val="center"/>
                </w:tcPr>
                <w:p w14:paraId="39D8EFA4">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562" w:type="dxa"/>
                  <w:vMerge w:val="continue"/>
                  <w:textDirection w:val="tbRlV"/>
                  <w:vAlign w:val="center"/>
                </w:tcPr>
                <w:p w14:paraId="20B36615">
                  <w:pPr>
                    <w:spacing w:beforeAutospacing="0"/>
                    <w:ind w:left="0" w:leftChars="0" w:firstLine="0" w:firstLineChars="0"/>
                    <w:jc w:val="center"/>
                    <w:rPr>
                      <w:rFonts w:hint="default" w:ascii="Times New Roman" w:hAnsi="Times New Roman" w:cs="Times New Roman"/>
                      <w:color w:val="auto"/>
                      <w:sz w:val="21"/>
                      <w:highlight w:val="none"/>
                    </w:rPr>
                  </w:pPr>
                </w:p>
              </w:tc>
              <w:tc>
                <w:tcPr>
                  <w:tcW w:w="632" w:type="dxa"/>
                  <w:vAlign w:val="center"/>
                </w:tcPr>
                <w:p w14:paraId="1F519D7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610" w:type="dxa"/>
                  <w:vMerge w:val="continue"/>
                  <w:textDirection w:val="tbRlV"/>
                  <w:vAlign w:val="center"/>
                </w:tcPr>
                <w:p w14:paraId="4F927C9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5FD3C9C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684" w:type="dxa"/>
                  <w:vAlign w:val="center"/>
                </w:tcPr>
                <w:p w14:paraId="3A32C83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877" w:type="dxa"/>
                  <w:vAlign w:val="center"/>
                </w:tcPr>
                <w:p w14:paraId="4536496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0.1</w:t>
                  </w:r>
                </w:p>
              </w:tc>
              <w:tc>
                <w:tcPr>
                  <w:tcW w:w="841" w:type="dxa"/>
                  <w:vMerge w:val="continue"/>
                  <w:vAlign w:val="center"/>
                </w:tcPr>
                <w:p w14:paraId="16A2430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691" w:type="dxa"/>
                  <w:vMerge w:val="continue"/>
                  <w:vAlign w:val="center"/>
                </w:tcPr>
                <w:p w14:paraId="209D791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04" w:type="dxa"/>
                  <w:vAlign w:val="center"/>
                </w:tcPr>
                <w:p w14:paraId="33641D0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0.1</w:t>
                  </w:r>
                </w:p>
              </w:tc>
              <w:tc>
                <w:tcPr>
                  <w:tcW w:w="1315" w:type="dxa"/>
                  <w:vMerge w:val="continue"/>
                  <w:vAlign w:val="center"/>
                </w:tcPr>
                <w:p w14:paraId="600BB631">
                  <w:pPr>
                    <w:jc w:val="center"/>
                    <w:rPr>
                      <w:rFonts w:hint="default" w:ascii="Times New Roman" w:hAnsi="Times New Roman" w:cs="Times New Roman"/>
                      <w:color w:val="auto"/>
                      <w:sz w:val="21"/>
                      <w:highlight w:val="none"/>
                    </w:rPr>
                  </w:pPr>
                </w:p>
              </w:tc>
            </w:tr>
            <w:tr w14:paraId="343E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atLeast"/>
                <w:jc w:val="center"/>
              </w:trPr>
              <w:tc>
                <w:tcPr>
                  <w:tcW w:w="525" w:type="dxa"/>
                  <w:vAlign w:val="center"/>
                </w:tcPr>
                <w:p w14:paraId="00676FFF">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562" w:type="dxa"/>
                  <w:textDirection w:val="tbRlV"/>
                  <w:vAlign w:val="center"/>
                </w:tcPr>
                <w:p w14:paraId="7F67461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办公楼（依托）</w:t>
                  </w:r>
                </w:p>
              </w:tc>
              <w:tc>
                <w:tcPr>
                  <w:tcW w:w="632" w:type="dxa"/>
                  <w:vAlign w:val="center"/>
                </w:tcPr>
                <w:p w14:paraId="7C8E2C8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生活垃圾</w:t>
                  </w:r>
                </w:p>
              </w:tc>
              <w:tc>
                <w:tcPr>
                  <w:tcW w:w="610" w:type="dxa"/>
                  <w:vMerge w:val="continue"/>
                  <w:textDirection w:val="tbRlV"/>
                  <w:vAlign w:val="center"/>
                </w:tcPr>
                <w:p w14:paraId="6D75251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91" w:type="dxa"/>
                  <w:vAlign w:val="center"/>
                </w:tcPr>
                <w:p w14:paraId="36A090F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w:t>
                  </w:r>
                </w:p>
              </w:tc>
              <w:tc>
                <w:tcPr>
                  <w:tcW w:w="684" w:type="dxa"/>
                  <w:vAlign w:val="center"/>
                </w:tcPr>
                <w:p w14:paraId="42720E8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877" w:type="dxa"/>
                  <w:vAlign w:val="center"/>
                </w:tcPr>
                <w:p w14:paraId="7077A18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1.98</w:t>
                  </w:r>
                </w:p>
              </w:tc>
              <w:tc>
                <w:tcPr>
                  <w:tcW w:w="841" w:type="dxa"/>
                  <w:vAlign w:val="center"/>
                </w:tcPr>
                <w:p w14:paraId="367CB51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交由市政日产日清</w:t>
                  </w:r>
                </w:p>
              </w:tc>
              <w:tc>
                <w:tcPr>
                  <w:tcW w:w="691" w:type="dxa"/>
                  <w:vAlign w:val="center"/>
                </w:tcPr>
                <w:p w14:paraId="1C69293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w:t>
                  </w:r>
                </w:p>
                <w:p w14:paraId="1A22510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垃圾</w:t>
                  </w:r>
                </w:p>
                <w:p w14:paraId="695BF77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暂存</w:t>
                  </w:r>
                </w:p>
                <w:p w14:paraId="7D4E734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箱</w:t>
                  </w:r>
                </w:p>
              </w:tc>
              <w:tc>
                <w:tcPr>
                  <w:tcW w:w="804" w:type="dxa"/>
                  <w:vAlign w:val="center"/>
                </w:tcPr>
                <w:p w14:paraId="0CCE682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1.98</w:t>
                  </w:r>
                </w:p>
              </w:tc>
              <w:tc>
                <w:tcPr>
                  <w:tcW w:w="1315" w:type="dxa"/>
                  <w:vMerge w:val="continue"/>
                  <w:vAlign w:val="center"/>
                </w:tcPr>
                <w:p w14:paraId="03CC4425">
                  <w:pPr>
                    <w:jc w:val="center"/>
                    <w:rPr>
                      <w:rFonts w:hint="default" w:ascii="Times New Roman" w:hAnsi="Times New Roman" w:cs="Times New Roman"/>
                      <w:color w:val="auto"/>
                      <w:sz w:val="21"/>
                      <w:highlight w:val="none"/>
                    </w:rPr>
                  </w:pPr>
                </w:p>
              </w:tc>
            </w:tr>
          </w:tbl>
          <w:p w14:paraId="06FECDC3">
            <w:pPr>
              <w:keepNext w:val="0"/>
              <w:keepLines w:val="0"/>
              <w:suppressLineNumbers w:val="0"/>
              <w:spacing w:before="0" w:beforeAutospacing="0" w:after="0" w:afterAutospacing="0" w:line="248" w:lineRule="auto"/>
              <w:ind w:left="0" w:right="0"/>
              <w:rPr>
                <w:rFonts w:hint="default" w:ascii="Times New Roman" w:hAnsi="Times New Roman" w:cs="Times New Roman"/>
                <w:color w:val="auto"/>
                <w:sz w:val="21"/>
                <w:highlight w:val="none"/>
              </w:rPr>
            </w:pPr>
          </w:p>
          <w:p w14:paraId="746907C4">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68"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cs="Times New Roman"/>
                <w:color w:val="auto"/>
                <w:spacing w:val="-3"/>
                <w:sz w:val="24"/>
                <w:szCs w:val="24"/>
                <w:highlight w:val="none"/>
              </w:rPr>
              <w:t>）危险废物</w:t>
            </w:r>
          </w:p>
          <w:p w14:paraId="3B452DBC">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本项目产生的危险废物主要为修箱车间</w:t>
            </w:r>
            <w:r>
              <w:rPr>
                <w:rFonts w:hint="default" w:ascii="Times New Roman" w:hAnsi="Times New Roman" w:cs="Times New Roman"/>
                <w:color w:val="auto"/>
                <w:spacing w:val="-1"/>
                <w:sz w:val="24"/>
                <w:szCs w:val="24"/>
                <w:highlight w:val="none"/>
              </w:rPr>
              <w:t>产生的</w:t>
            </w:r>
            <w:r>
              <w:rPr>
                <w:rFonts w:hint="eastAsia" w:ascii="Times New Roman" w:hAnsi="Times New Roman" w:cs="Times New Roman"/>
                <w:color w:val="auto"/>
                <w:spacing w:val="-1"/>
                <w:sz w:val="24"/>
                <w:szCs w:val="24"/>
                <w:highlight w:val="none"/>
                <w:lang w:val="en-US" w:eastAsia="zh-CN"/>
              </w:rPr>
              <w:t>废滚刷、</w:t>
            </w:r>
            <w:r>
              <w:rPr>
                <w:rFonts w:hint="default" w:ascii="Times New Roman" w:hAnsi="Times New Roman" w:cs="Times New Roman"/>
                <w:color w:val="auto"/>
                <w:spacing w:val="-1"/>
                <w:sz w:val="24"/>
                <w:szCs w:val="24"/>
                <w:highlight w:val="none"/>
              </w:rPr>
              <w:t>废漆渣</w:t>
            </w:r>
            <w:r>
              <w:rPr>
                <w:rFonts w:hint="eastAsia"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油漆桶、废活性炭。堆箱区叉车、堆垛机、堆高机使用过程产生的废机油、废机油桶</w:t>
            </w:r>
            <w:r>
              <w:rPr>
                <w:rFonts w:hint="eastAsia" w:ascii="Times New Roman" w:hAnsi="Times New Roman" w:cs="Times New Roman"/>
                <w:color w:val="auto"/>
                <w:spacing w:val="-1"/>
                <w:sz w:val="24"/>
                <w:szCs w:val="24"/>
                <w:highlight w:val="none"/>
                <w:lang w:eastAsia="zh-CN"/>
              </w:rPr>
              <w:t>、</w:t>
            </w:r>
            <w:r>
              <w:rPr>
                <w:rFonts w:hint="eastAsia" w:ascii="Times New Roman" w:hAnsi="Times New Roman" w:cs="Times New Roman"/>
                <w:color w:val="auto"/>
                <w:spacing w:val="-1"/>
                <w:sz w:val="24"/>
                <w:szCs w:val="24"/>
                <w:highlight w:val="none"/>
                <w:lang w:val="en-US" w:eastAsia="zh-CN"/>
              </w:rPr>
              <w:t>含油抹布</w:t>
            </w:r>
            <w:r>
              <w:rPr>
                <w:rFonts w:hint="default" w:ascii="Times New Roman" w:hAnsi="Times New Roman" w:cs="Times New Roman"/>
                <w:color w:val="auto"/>
                <w:spacing w:val="-1"/>
                <w:sz w:val="24"/>
                <w:szCs w:val="24"/>
                <w:highlight w:val="none"/>
              </w:rPr>
              <w:t>。</w:t>
            </w:r>
          </w:p>
          <w:p w14:paraId="2C7BE273">
            <w:pPr>
              <w:pStyle w:val="159"/>
              <w:keepNext w:val="0"/>
              <w:keepLines w:val="0"/>
              <w:suppressLineNumbers w:val="0"/>
              <w:spacing w:before="0" w:beforeAutospacing="0" w:after="0" w:afterAutospacing="0" w:line="360" w:lineRule="auto"/>
              <w:ind w:left="0" w:right="0" w:firstLine="480"/>
              <w:rPr>
                <w:rFonts w:hint="default" w:ascii="宋体" w:hAnsi="宋体"/>
                <w:color w:val="auto"/>
                <w:highlight w:val="none"/>
                <w:u w:val="none"/>
                <w:lang w:val="en-US" w:eastAsia="zh-CN"/>
              </w:rPr>
            </w:pPr>
            <w:r>
              <w:rPr>
                <w:rFonts w:hint="eastAsia" w:ascii="宋体" w:hAnsi="宋体"/>
                <w:color w:val="auto"/>
                <w:highlight w:val="none"/>
                <w:u w:val="none"/>
                <w:lang w:val="en-US" w:eastAsia="zh-CN"/>
              </w:rPr>
              <w:t>①废滚刷：本项目滚涂工序采取辊涂方式，辊身表层通常用</w:t>
            </w:r>
            <w:r>
              <w:rPr>
                <w:rFonts w:hint="eastAsia" w:ascii="宋体" w:hAnsi="宋体"/>
                <w:color w:val="auto"/>
                <w:highlight w:val="none"/>
                <w:u w:val="none"/>
                <w:lang w:val="en-US" w:eastAsia="zh-CN"/>
              </w:rPr>
              <w:fldChar w:fldCharType="begin"/>
            </w:r>
            <w:r>
              <w:rPr>
                <w:rFonts w:hint="eastAsia" w:ascii="宋体" w:hAnsi="宋体"/>
                <w:color w:val="auto"/>
                <w:highlight w:val="none"/>
                <w:u w:val="non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none"/>
                <w:lang w:val="en-US" w:eastAsia="zh-CN"/>
              </w:rPr>
              <w:fldChar w:fldCharType="separate"/>
            </w:r>
            <w:r>
              <w:rPr>
                <w:rFonts w:hint="eastAsia" w:ascii="宋体" w:hAnsi="宋体"/>
                <w:color w:val="auto"/>
                <w:highlight w:val="none"/>
                <w:u w:val="none"/>
                <w:lang w:val="en-US" w:eastAsia="zh-CN"/>
              </w:rPr>
              <w:t>合成纤维</w:t>
            </w:r>
            <w:r>
              <w:rPr>
                <w:rFonts w:hint="eastAsia" w:ascii="宋体" w:hAnsi="宋体"/>
                <w:color w:val="auto"/>
                <w:highlight w:val="none"/>
                <w:u w:val="none"/>
                <w:lang w:val="en-US" w:eastAsia="zh-CN"/>
              </w:rPr>
              <w:fldChar w:fldCharType="end"/>
            </w:r>
            <w:r>
              <w:rPr>
                <w:rFonts w:hint="eastAsia" w:ascii="宋体" w:hAnsi="宋体"/>
                <w:color w:val="auto"/>
                <w:highlight w:val="none"/>
                <w:u w:val="none"/>
                <w:lang w:val="en-US" w:eastAsia="zh-CN"/>
              </w:rPr>
              <w:t>或羊毛之类吸附性强的材料，为确保滚涂效果，需日更换一次，单次更换0.004t，年更换1.32t。同时滚涂过程中约有3%油漆固态份沾染到滚辊的</w:t>
            </w:r>
            <w:r>
              <w:rPr>
                <w:rFonts w:hint="eastAsia" w:ascii="宋体" w:hAnsi="宋体"/>
                <w:color w:val="auto"/>
                <w:highlight w:val="none"/>
                <w:u w:val="none"/>
                <w:lang w:val="en-US" w:eastAsia="zh-CN"/>
              </w:rPr>
              <w:fldChar w:fldCharType="begin"/>
            </w:r>
            <w:r>
              <w:rPr>
                <w:rFonts w:hint="eastAsia" w:ascii="宋体" w:hAnsi="宋体"/>
                <w:color w:val="auto"/>
                <w:highlight w:val="none"/>
                <w:u w:val="none"/>
                <w:lang w:val="en-US" w:eastAsia="zh-CN"/>
              </w:rPr>
              <w:instrText xml:space="preserve"> HYPERLINK "https://baike.baidu.com/item/%E5%90%88%E6%88%90%E7%BA%A4%E7%BB%B4/0?fromModule=lemma_inlink" \t "https://baike.baidu.com/item/%E8%BE%8A%E6%B6%82/_blank" </w:instrText>
            </w:r>
            <w:r>
              <w:rPr>
                <w:rFonts w:hint="eastAsia" w:ascii="宋体" w:hAnsi="宋体"/>
                <w:color w:val="auto"/>
                <w:highlight w:val="none"/>
                <w:u w:val="none"/>
                <w:lang w:val="en-US" w:eastAsia="zh-CN"/>
              </w:rPr>
              <w:fldChar w:fldCharType="separate"/>
            </w:r>
            <w:r>
              <w:rPr>
                <w:rFonts w:hint="eastAsia" w:ascii="宋体" w:hAnsi="宋体"/>
                <w:color w:val="auto"/>
                <w:highlight w:val="none"/>
                <w:u w:val="none"/>
                <w:lang w:val="en-US" w:eastAsia="zh-CN"/>
              </w:rPr>
              <w:t>合成纤维</w:t>
            </w:r>
            <w:r>
              <w:rPr>
                <w:rFonts w:hint="eastAsia" w:ascii="宋体" w:hAnsi="宋体"/>
                <w:color w:val="auto"/>
                <w:highlight w:val="none"/>
                <w:u w:val="none"/>
                <w:lang w:val="en-US" w:eastAsia="zh-CN"/>
              </w:rPr>
              <w:fldChar w:fldCharType="end"/>
            </w:r>
            <w:r>
              <w:rPr>
                <w:rFonts w:hint="eastAsia" w:ascii="宋体" w:hAnsi="宋体"/>
                <w:color w:val="auto"/>
                <w:highlight w:val="none"/>
                <w:u w:val="none"/>
                <w:lang w:val="en-US" w:eastAsia="zh-CN"/>
              </w:rPr>
              <w:t>或羊毛之上，沾染量约0.0225t/a。则废滚刷产生量合计1.3425t/a。</w:t>
            </w:r>
          </w:p>
          <w:p w14:paraId="349CFDBF">
            <w:pPr>
              <w:pStyle w:val="159"/>
              <w:keepNext w:val="0"/>
              <w:keepLines w:val="0"/>
              <w:suppressLineNumbers w:val="0"/>
              <w:spacing w:before="0" w:beforeAutospacing="0" w:after="0" w:afterAutospacing="0" w:line="360" w:lineRule="auto"/>
              <w:ind w:left="0" w:right="0" w:firstLine="480"/>
              <w:rPr>
                <w:rFonts w:hint="default" w:ascii="宋体" w:hAnsi="宋体" w:eastAsia="宋体"/>
                <w:color w:val="auto"/>
                <w:highlight w:val="none"/>
                <w:u w:val="none"/>
                <w:lang w:val="en-US" w:eastAsia="zh-CN"/>
              </w:rPr>
            </w:pPr>
            <w:r>
              <w:rPr>
                <w:rFonts w:hint="eastAsia" w:ascii="宋体" w:hAnsi="宋体"/>
                <w:color w:val="auto"/>
                <w:highlight w:val="none"/>
                <w:u w:val="none"/>
                <w:lang w:val="en-US" w:eastAsia="zh-CN"/>
              </w:rPr>
              <w:t>②漆渣：根据前文分析，刷漆过程中约2%落地，落地漆渣以固态份为主。已知刷漆用量为0.75t/a，则滚漆产生漆渣约0.015t/a。</w:t>
            </w:r>
          </w:p>
          <w:p w14:paraId="7C370CE6">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4"/>
                <w:szCs w:val="24"/>
                <w:highlight w:val="none"/>
              </w:rPr>
            </w:pPr>
            <w:r>
              <w:rPr>
                <w:rFonts w:hint="eastAsia" w:ascii="宋体" w:hAnsi="宋体"/>
                <w:color w:val="auto"/>
                <w:highlight w:val="none"/>
                <w:u w:val="none"/>
                <w:lang w:val="en-US" w:eastAsia="zh-CN"/>
              </w:rPr>
              <w:t>③</w:t>
            </w:r>
            <w:r>
              <w:rPr>
                <w:rFonts w:hint="default" w:ascii="Times New Roman" w:hAnsi="Times New Roman" w:cs="Times New Roman"/>
                <w:color w:val="auto"/>
                <w:spacing w:val="1"/>
                <w:sz w:val="24"/>
                <w:szCs w:val="24"/>
                <w:highlight w:val="none"/>
                <w:u w:val="none"/>
              </w:rPr>
              <w:t>废油</w:t>
            </w:r>
            <w:r>
              <w:rPr>
                <w:rFonts w:hint="default" w:ascii="Times New Roman" w:hAnsi="Times New Roman" w:cs="Times New Roman"/>
                <w:color w:val="auto"/>
                <w:spacing w:val="1"/>
                <w:sz w:val="24"/>
                <w:szCs w:val="24"/>
                <w:highlight w:val="none"/>
              </w:rPr>
              <w:t>漆桶：</w:t>
            </w:r>
            <w:r>
              <w:rPr>
                <w:rFonts w:hint="default" w:ascii="Times New Roman" w:hAnsi="Times New Roman" w:cs="Times New Roman"/>
                <w:color w:val="auto"/>
                <w:sz w:val="24"/>
                <w:szCs w:val="24"/>
                <w:highlight w:val="none"/>
                <w:u w:val="none"/>
                <w:lang w:val="en-US" w:eastAsia="zh-CN"/>
              </w:rPr>
              <w:t>根据前文分析，本项目漆料用量为</w:t>
            </w:r>
            <w:r>
              <w:rPr>
                <w:rFonts w:hint="eastAsia" w:ascii="Times New Roman" w:hAnsi="Times New Roman" w:cs="Times New Roman"/>
                <w:color w:val="auto"/>
                <w:sz w:val="24"/>
                <w:szCs w:val="24"/>
                <w:highlight w:val="none"/>
                <w:u w:val="none"/>
                <w:lang w:val="en-US" w:eastAsia="zh-CN"/>
              </w:rPr>
              <w:t>4.18</w:t>
            </w:r>
            <w:r>
              <w:rPr>
                <w:rFonts w:hint="default" w:ascii="Times New Roman" w:hAnsi="Times New Roman" w:cs="Times New Roman"/>
                <w:color w:val="auto"/>
                <w:sz w:val="24"/>
                <w:szCs w:val="24"/>
                <w:highlight w:val="none"/>
                <w:u w:val="none"/>
                <w:lang w:val="en-US" w:eastAsia="zh-CN"/>
              </w:rPr>
              <w:t>t/a，</w:t>
            </w:r>
            <w:r>
              <w:rPr>
                <w:rFonts w:hint="default" w:ascii="Times New Roman" w:hAnsi="Times New Roman" w:cs="Times New Roman"/>
                <w:snapToGrid w:val="0"/>
                <w:color w:val="auto"/>
                <w:kern w:val="0"/>
                <w:sz w:val="24"/>
                <w:szCs w:val="24"/>
                <w:highlight w:val="none"/>
                <w:u w:val="none"/>
                <w:lang w:val="en-US" w:eastAsia="zh-CN"/>
              </w:rPr>
              <w:t>包装规格为25kg，经核算</w:t>
            </w:r>
            <w:r>
              <w:rPr>
                <w:rFonts w:hint="default" w:ascii="Times New Roman" w:hAnsi="Times New Roman" w:cs="Times New Roman"/>
                <w:snapToGrid w:val="0"/>
                <w:color w:val="auto"/>
                <w:kern w:val="0"/>
                <w:sz w:val="24"/>
                <w:szCs w:val="24"/>
                <w:highlight w:val="none"/>
                <w:u w:val="none"/>
              </w:rPr>
              <w:t>，废</w:t>
            </w:r>
            <w:r>
              <w:rPr>
                <w:rFonts w:hint="default" w:ascii="Times New Roman" w:hAnsi="Times New Roman" w:cs="Times New Roman"/>
                <w:snapToGrid w:val="0"/>
                <w:color w:val="auto"/>
                <w:kern w:val="0"/>
                <w:sz w:val="24"/>
                <w:szCs w:val="24"/>
                <w:highlight w:val="none"/>
                <w:u w:val="none"/>
                <w:lang w:val="en-US" w:eastAsia="zh-CN"/>
              </w:rPr>
              <w:t>漆桶共产生</w:t>
            </w:r>
            <w:r>
              <w:rPr>
                <w:rFonts w:hint="eastAsia" w:ascii="Times New Roman" w:hAnsi="Times New Roman" w:cs="Times New Roman"/>
                <w:snapToGrid w:val="0"/>
                <w:color w:val="auto"/>
                <w:kern w:val="0"/>
                <w:sz w:val="24"/>
                <w:szCs w:val="24"/>
                <w:highlight w:val="none"/>
                <w:u w:val="none"/>
                <w:lang w:val="en-US" w:eastAsia="zh-CN"/>
              </w:rPr>
              <w:t>168</w:t>
            </w:r>
            <w:r>
              <w:rPr>
                <w:rFonts w:hint="default" w:ascii="Times New Roman" w:hAnsi="Times New Roman" w:cs="Times New Roman"/>
                <w:snapToGrid w:val="0"/>
                <w:color w:val="auto"/>
                <w:kern w:val="0"/>
                <w:sz w:val="24"/>
                <w:szCs w:val="24"/>
                <w:highlight w:val="none"/>
                <w:u w:val="none"/>
                <w:lang w:val="en-US" w:eastAsia="zh-CN"/>
              </w:rPr>
              <w:t>个/a，每个按1kg计，</w:t>
            </w:r>
            <w:r>
              <w:rPr>
                <w:rFonts w:hint="default" w:ascii="Times New Roman" w:hAnsi="Times New Roman" w:cs="Times New Roman"/>
                <w:color w:val="auto"/>
                <w:sz w:val="24"/>
                <w:szCs w:val="24"/>
                <w:highlight w:val="none"/>
                <w:u w:val="none"/>
                <w:lang w:val="en-US" w:eastAsia="zh-CN"/>
              </w:rPr>
              <w:t>废漆桶产生量约为</w:t>
            </w:r>
            <w:r>
              <w:rPr>
                <w:rFonts w:hint="eastAsia" w:ascii="Times New Roman" w:hAnsi="Times New Roman" w:cs="Times New Roman"/>
                <w:color w:val="auto"/>
                <w:sz w:val="24"/>
                <w:szCs w:val="24"/>
                <w:highlight w:val="none"/>
                <w:u w:val="none"/>
                <w:lang w:val="en-US" w:eastAsia="zh-CN"/>
              </w:rPr>
              <w:t>0.168</w:t>
            </w:r>
            <w:r>
              <w:rPr>
                <w:rFonts w:hint="default" w:ascii="Times New Roman" w:hAnsi="Times New Roman" w:cs="Times New Roman"/>
                <w:color w:val="auto"/>
                <w:sz w:val="24"/>
                <w:szCs w:val="24"/>
                <w:highlight w:val="none"/>
                <w:u w:val="none"/>
                <w:lang w:val="en-US" w:eastAsia="zh-CN"/>
              </w:rPr>
              <w:t>t/a。</w:t>
            </w:r>
            <w:r>
              <w:rPr>
                <w:rFonts w:hint="default" w:ascii="Times New Roman" w:hAnsi="Times New Roman" w:cs="Times New Roman"/>
                <w:color w:val="auto"/>
                <w:spacing w:val="1"/>
                <w:sz w:val="24"/>
                <w:szCs w:val="24"/>
                <w:highlight w:val="none"/>
              </w:rPr>
              <w:t>属于含有或沾染</w:t>
            </w:r>
            <w:r>
              <w:rPr>
                <w:rFonts w:hint="default" w:ascii="Times New Roman" w:hAnsi="Times New Roman" w:cs="Times New Roman"/>
                <w:color w:val="auto"/>
                <w:sz w:val="24"/>
                <w:szCs w:val="24"/>
                <w:highlight w:val="none"/>
              </w:rPr>
              <w:t>毒性危险废物的废弃包装物，委托有资质</w:t>
            </w:r>
            <w:r>
              <w:rPr>
                <w:rFonts w:hint="default" w:ascii="Times New Roman" w:hAnsi="Times New Roman" w:cs="Times New Roman"/>
                <w:color w:val="auto"/>
                <w:spacing w:val="-3"/>
                <w:sz w:val="24"/>
                <w:szCs w:val="24"/>
                <w:highlight w:val="none"/>
              </w:rPr>
              <w:t>的单位收集处理；</w:t>
            </w:r>
          </w:p>
          <w:p w14:paraId="73B86DB8">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1"/>
                <w:sz w:val="24"/>
                <w:szCs w:val="24"/>
                <w:highlight w:val="none"/>
                <w:lang w:val="en-US" w:eastAsia="zh-CN"/>
              </w:rPr>
              <w:t>④</w:t>
            </w:r>
            <w:r>
              <w:rPr>
                <w:rFonts w:hint="default" w:ascii="Times New Roman" w:hAnsi="Times New Roman" w:cs="Times New Roman"/>
                <w:color w:val="auto"/>
                <w:spacing w:val="-1"/>
                <w:sz w:val="24"/>
                <w:szCs w:val="24"/>
                <w:highlight w:val="none"/>
              </w:rPr>
              <w:t>废气治理设施活性炭每</w:t>
            </w: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cs="Times New Roman"/>
                <w:color w:val="auto"/>
                <w:spacing w:val="-1"/>
                <w:sz w:val="24"/>
                <w:szCs w:val="24"/>
                <w:highlight w:val="none"/>
              </w:rPr>
              <w:t>年更换一次，每次更换量为</w:t>
            </w:r>
            <w:r>
              <w:rPr>
                <w:rFonts w:hint="default" w:ascii="Times New Roman" w:hAnsi="Times New Roman" w:eastAsia="Times New Roman" w:cs="Times New Roman"/>
                <w:color w:val="auto"/>
                <w:spacing w:val="-1"/>
                <w:sz w:val="24"/>
                <w:szCs w:val="24"/>
                <w:highlight w:val="none"/>
              </w:rPr>
              <w:t>1.7t/2a</w:t>
            </w:r>
            <w:r>
              <w:rPr>
                <w:rFonts w:hint="default" w:ascii="Times New Roman" w:hAnsi="Times New Roman" w:cs="Times New Roman"/>
                <w:color w:val="auto"/>
                <w:spacing w:val="-1"/>
                <w:sz w:val="24"/>
                <w:szCs w:val="24"/>
                <w:highlight w:val="none"/>
              </w:rPr>
              <w:t>，年产生危险废物</w:t>
            </w:r>
            <w:r>
              <w:rPr>
                <w:rFonts w:hint="default" w:ascii="Times New Roman" w:hAnsi="Times New Roman" w:eastAsia="Times New Roman" w:cs="Times New Roman"/>
                <w:color w:val="auto"/>
                <w:spacing w:val="-1"/>
                <w:sz w:val="24"/>
                <w:szCs w:val="24"/>
                <w:highlight w:val="none"/>
              </w:rPr>
              <w:t>0.85t/a</w:t>
            </w:r>
            <w:r>
              <w:rPr>
                <w:rFonts w:hint="default" w:ascii="Times New Roman" w:hAnsi="Times New Roman" w:cs="Times New Roman"/>
                <w:color w:val="auto"/>
                <w:spacing w:val="-2"/>
                <w:sz w:val="24"/>
                <w:szCs w:val="24"/>
                <w:highlight w:val="none"/>
              </w:rPr>
              <w:t>，属于</w:t>
            </w:r>
            <w:r>
              <w:rPr>
                <w:rFonts w:hint="default" w:ascii="Times New Roman" w:hAnsi="Times New Roman" w:eastAsia="Times New Roman" w:cs="Times New Roman"/>
                <w:color w:val="auto"/>
                <w:spacing w:val="-2"/>
                <w:sz w:val="24"/>
                <w:szCs w:val="24"/>
                <w:highlight w:val="none"/>
              </w:rPr>
              <w:t>VOCs</w:t>
            </w:r>
            <w:r>
              <w:rPr>
                <w:rFonts w:hint="default" w:ascii="Times New Roman" w:hAnsi="Times New Roman" w:cs="Times New Roman"/>
                <w:color w:val="auto"/>
                <w:spacing w:val="-2"/>
                <w:sz w:val="24"/>
                <w:szCs w:val="24"/>
                <w:highlight w:val="none"/>
              </w:rPr>
              <w:t>治理过程</w:t>
            </w:r>
            <w:r>
              <w:rPr>
                <w:rFonts w:hint="default" w:ascii="Times New Roman" w:hAnsi="Times New Roman" w:cs="Times New Roman"/>
                <w:color w:val="auto"/>
                <w:spacing w:val="-1"/>
                <w:sz w:val="24"/>
                <w:szCs w:val="24"/>
                <w:highlight w:val="none"/>
              </w:rPr>
              <w:t>产生的废活性炭，委托有资质的单位收集处理。</w:t>
            </w:r>
          </w:p>
          <w:p w14:paraId="77FA2D0F">
            <w:pPr>
              <w:pStyle w:val="143"/>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1"/>
                <w:sz w:val="24"/>
                <w:szCs w:val="24"/>
                <w:highlight w:val="none"/>
                <w:lang w:val="en-US" w:eastAsia="zh-CN"/>
              </w:rPr>
              <w:t>⑤</w:t>
            </w:r>
            <w:r>
              <w:rPr>
                <w:rFonts w:hint="default" w:ascii="Times New Roman" w:hAnsi="Times New Roman" w:cs="Times New Roman"/>
                <w:color w:val="auto"/>
                <w:spacing w:val="-1"/>
                <w:sz w:val="24"/>
                <w:szCs w:val="24"/>
                <w:highlight w:val="none"/>
              </w:rPr>
              <w:t>堆箱区叉车、堆垛机、堆高机等机械设备使用过程更换产生的废机油</w:t>
            </w:r>
            <w:r>
              <w:rPr>
                <w:rFonts w:hint="default" w:ascii="Times New Roman" w:hAnsi="Times New Roman" w:eastAsia="Times New Roman" w:cs="Times New Roman"/>
                <w:color w:val="auto"/>
                <w:spacing w:val="-1"/>
                <w:sz w:val="24"/>
                <w:szCs w:val="24"/>
                <w:highlight w:val="none"/>
              </w:rPr>
              <w:t>0</w:t>
            </w:r>
            <w:r>
              <w:rPr>
                <w:rFonts w:hint="default" w:ascii="Times New Roman" w:hAnsi="Times New Roman" w:eastAsia="Times New Roman" w:cs="Times New Roman"/>
                <w:color w:val="auto"/>
                <w:spacing w:val="-2"/>
                <w:sz w:val="24"/>
                <w:szCs w:val="24"/>
                <w:highlight w:val="none"/>
              </w:rPr>
              <w:t>.010t/a</w:t>
            </w:r>
            <w:r>
              <w:rPr>
                <w:rFonts w:hint="default" w:ascii="Times New Roman" w:hAnsi="Times New Roman" w:cs="Times New Roman"/>
                <w:color w:val="auto"/>
                <w:spacing w:val="-2"/>
                <w:sz w:val="24"/>
                <w:szCs w:val="24"/>
                <w:highlight w:val="none"/>
              </w:rPr>
              <w:t>，属于机械更</w:t>
            </w:r>
            <w:r>
              <w:rPr>
                <w:rFonts w:hint="default" w:ascii="Times New Roman" w:hAnsi="Times New Roman" w:cs="Times New Roman"/>
                <w:color w:val="auto"/>
                <w:spacing w:val="-1"/>
                <w:sz w:val="24"/>
                <w:szCs w:val="24"/>
                <w:highlight w:val="none"/>
              </w:rPr>
              <w:t>换产生的废机油；产生废机油桶</w:t>
            </w:r>
            <w:r>
              <w:rPr>
                <w:rFonts w:hint="default" w:ascii="Times New Roman" w:hAnsi="Times New Roman" w:eastAsia="Times New Roman" w:cs="Times New Roman"/>
                <w:color w:val="auto"/>
                <w:spacing w:val="-1"/>
                <w:sz w:val="24"/>
                <w:szCs w:val="24"/>
                <w:highlight w:val="none"/>
              </w:rPr>
              <w:t>0.020t/a</w:t>
            </w:r>
            <w:r>
              <w:rPr>
                <w:rFonts w:hint="default" w:ascii="Times New Roman" w:hAnsi="Times New Roman" w:cs="Times New Roman"/>
                <w:color w:val="auto"/>
                <w:spacing w:val="-1"/>
                <w:sz w:val="24"/>
                <w:szCs w:val="24"/>
                <w:highlight w:val="none"/>
              </w:rPr>
              <w:t>；</w:t>
            </w:r>
            <w:r>
              <w:rPr>
                <w:rFonts w:hint="eastAsia" w:ascii="宋体" w:hAnsi="宋体"/>
                <w:color w:val="auto"/>
                <w:sz w:val="24"/>
                <w:szCs w:val="24"/>
                <w:highlight w:val="none"/>
                <w:u w:val="none"/>
                <w:lang w:val="en-US" w:eastAsia="zh-CN"/>
              </w:rPr>
              <w:t>含油抹布产生量约为0.0</w:t>
            </w:r>
            <w:r>
              <w:rPr>
                <w:rFonts w:hint="eastAsia"/>
                <w:color w:val="auto"/>
                <w:sz w:val="24"/>
                <w:szCs w:val="24"/>
                <w:highlight w:val="none"/>
                <w:u w:val="none"/>
                <w:lang w:val="en-US" w:eastAsia="zh-CN"/>
              </w:rPr>
              <w:t>5</w:t>
            </w:r>
            <w:r>
              <w:rPr>
                <w:rFonts w:hint="eastAsia" w:ascii="宋体" w:hAnsi="宋体"/>
                <w:color w:val="auto"/>
                <w:sz w:val="24"/>
                <w:szCs w:val="24"/>
                <w:highlight w:val="none"/>
                <w:u w:val="none"/>
                <w:lang w:val="en-US" w:eastAsia="zh-CN"/>
              </w:rPr>
              <w:t>t/a，</w:t>
            </w:r>
            <w:r>
              <w:rPr>
                <w:rFonts w:hint="default" w:ascii="Times New Roman" w:hAnsi="Times New Roman" w:cs="Times New Roman"/>
                <w:color w:val="auto"/>
                <w:spacing w:val="-1"/>
                <w:sz w:val="24"/>
                <w:szCs w:val="24"/>
                <w:highlight w:val="none"/>
              </w:rPr>
              <w:t>属于沾染矿物油的废弃包装</w:t>
            </w:r>
            <w:r>
              <w:rPr>
                <w:rFonts w:hint="default" w:ascii="Times New Roman" w:hAnsi="Times New Roman" w:cs="Times New Roman"/>
                <w:color w:val="auto"/>
                <w:spacing w:val="-2"/>
                <w:sz w:val="24"/>
                <w:szCs w:val="24"/>
                <w:highlight w:val="none"/>
              </w:rPr>
              <w:t>物，委托有资质的单位收集处理。</w:t>
            </w:r>
          </w:p>
          <w:p w14:paraId="51D76848">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color w:val="auto"/>
                <w:spacing w:val="-1"/>
                <w:sz w:val="24"/>
                <w:szCs w:val="24"/>
                <w:highlight w:val="none"/>
              </w:rPr>
              <w:t>本项目危险废物判定依据《国家危险废物名录（</w:t>
            </w:r>
            <w:r>
              <w:rPr>
                <w:rFonts w:hint="default" w:ascii="Times New Roman" w:hAnsi="Times New Roman" w:eastAsia="Times New Roman" w:cs="Times New Roman"/>
                <w:color w:val="auto"/>
                <w:spacing w:val="-1"/>
                <w:sz w:val="24"/>
                <w:szCs w:val="24"/>
                <w:highlight w:val="none"/>
              </w:rPr>
              <w:t>202</w:t>
            </w:r>
            <w:r>
              <w:rPr>
                <w:rFonts w:hint="eastAsia" w:eastAsia="宋体" w:cs="Times New Roman"/>
                <w:color w:val="auto"/>
                <w:spacing w:val="-1"/>
                <w:sz w:val="24"/>
                <w:szCs w:val="24"/>
                <w:highlight w:val="none"/>
                <w:lang w:val="en-US" w:eastAsia="zh-CN"/>
              </w:rPr>
              <w:t>5</w:t>
            </w:r>
            <w:r>
              <w:rPr>
                <w:rFonts w:hint="default" w:ascii="Times New Roman" w:hAnsi="Times New Roman" w:cs="Times New Roman"/>
                <w:color w:val="auto"/>
                <w:spacing w:val="-1"/>
                <w:sz w:val="24"/>
                <w:szCs w:val="24"/>
                <w:highlight w:val="none"/>
              </w:rPr>
              <w:t>版）》，具体如下表所示：</w:t>
            </w:r>
          </w:p>
          <w:p w14:paraId="38F67B87">
            <w:pPr>
              <w:pStyle w:val="19"/>
              <w:keepNext w:val="0"/>
              <w:keepLines w:val="0"/>
              <w:pageBreakBefore w:val="0"/>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4" w:firstLineChars="200"/>
              <w:jc w:val="center"/>
              <w:textAlignment w:val="auto"/>
              <w:outlineLvl w:val="9"/>
              <w:rPr>
                <w:rFonts w:hint="default" w:ascii="Times New Roman" w:hAnsi="Times New Roman" w:cs="Times New Roman"/>
                <w:color w:val="auto"/>
                <w:sz w:val="24"/>
                <w:szCs w:val="24"/>
                <w:highlight w:val="none"/>
                <w:u w:val="single" w:color="auto"/>
                <w:lang w:eastAsia="zh-CN"/>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eastAsia="宋体" w:cs="Times New Roman"/>
                <w:b/>
                <w:bCs/>
                <w:color w:val="auto"/>
                <w:spacing w:val="-2"/>
                <w:sz w:val="24"/>
                <w:szCs w:val="24"/>
                <w:highlight w:val="none"/>
                <w:lang w:val="en-US" w:eastAsia="zh-CN"/>
              </w:rPr>
              <w:t>18</w:t>
            </w:r>
            <w:r>
              <w:rPr>
                <w:rFonts w:hint="default" w:ascii="Times New Roman" w:hAnsi="Times New Roman" w:cs="Times New Roman"/>
                <w:b/>
                <w:bCs/>
                <w:color w:val="auto"/>
                <w:spacing w:val="-2"/>
                <w:sz w:val="24"/>
                <w:szCs w:val="24"/>
                <w:highlight w:val="none"/>
              </w:rPr>
              <w:t>危险废物判定依据</w:t>
            </w:r>
          </w:p>
          <w:tbl>
            <w:tblPr>
              <w:tblStyle w:val="142"/>
              <w:tblW w:w="849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2581"/>
              <w:gridCol w:w="4981"/>
            </w:tblGrid>
            <w:tr w14:paraId="2130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36" w:type="dxa"/>
                  <w:tcBorders>
                    <w:top w:val="single" w:color="000000" w:sz="10" w:space="0"/>
                    <w:bottom w:val="single" w:color="auto" w:sz="4" w:space="0"/>
                  </w:tcBorders>
                  <w:vAlign w:val="top"/>
                </w:tcPr>
                <w:p w14:paraId="6F2E52A0">
                  <w:pPr>
                    <w:pStyle w:val="143"/>
                    <w:spacing w:before="60" w:line="222" w:lineRule="auto"/>
                    <w:ind w:left="1157" w:leftChars="0" w:hanging="1157"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序号</w:t>
                  </w:r>
                </w:p>
              </w:tc>
              <w:tc>
                <w:tcPr>
                  <w:tcW w:w="2581" w:type="dxa"/>
                  <w:tcBorders>
                    <w:top w:val="single" w:color="000000" w:sz="10" w:space="0"/>
                    <w:bottom w:val="single" w:color="auto" w:sz="4" w:space="0"/>
                  </w:tcBorders>
                  <w:vAlign w:val="top"/>
                </w:tcPr>
                <w:p w14:paraId="3F1FAF34">
                  <w:pPr>
                    <w:pStyle w:val="143"/>
                    <w:spacing w:before="60" w:line="223" w:lineRule="auto"/>
                    <w:ind w:left="1146" w:leftChars="0" w:hanging="1146"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名称</w:t>
                  </w:r>
                </w:p>
              </w:tc>
              <w:tc>
                <w:tcPr>
                  <w:tcW w:w="4981" w:type="dxa"/>
                  <w:tcBorders>
                    <w:top w:val="single" w:color="000000" w:sz="10" w:space="0"/>
                    <w:bottom w:val="single" w:color="auto" w:sz="4" w:space="0"/>
                    <w:right w:val="single" w:color="000000" w:sz="6" w:space="0"/>
                  </w:tcBorders>
                  <w:vAlign w:val="top"/>
                </w:tcPr>
                <w:p w14:paraId="554632D3">
                  <w:pPr>
                    <w:pStyle w:val="143"/>
                    <w:spacing w:before="60" w:line="220"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危险废物判定依据</w:t>
                  </w:r>
                </w:p>
              </w:tc>
            </w:tr>
            <w:tr w14:paraId="77EED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36" w:type="dxa"/>
                  <w:tcBorders>
                    <w:top w:val="single" w:color="000000" w:sz="10" w:space="0"/>
                    <w:bottom w:val="single" w:color="auto" w:sz="4" w:space="0"/>
                  </w:tcBorders>
                  <w:vAlign w:val="top"/>
                </w:tcPr>
                <w:p w14:paraId="699BE287">
                  <w:pPr>
                    <w:pStyle w:val="143"/>
                    <w:spacing w:before="60" w:line="222" w:lineRule="auto"/>
                    <w:ind w:left="1157" w:leftChars="0" w:hanging="1157" w:hangingChars="562"/>
                    <w:jc w:val="center"/>
                    <w:rPr>
                      <w:rFonts w:hint="eastAsia"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w:t>
                  </w:r>
                </w:p>
              </w:tc>
              <w:tc>
                <w:tcPr>
                  <w:tcW w:w="2581" w:type="dxa"/>
                  <w:tcBorders>
                    <w:top w:val="single" w:color="000000" w:sz="10" w:space="0"/>
                    <w:bottom w:val="single" w:color="auto" w:sz="4" w:space="0"/>
                  </w:tcBorders>
                  <w:vAlign w:val="top"/>
                </w:tcPr>
                <w:p w14:paraId="43C7EB0A">
                  <w:pPr>
                    <w:pStyle w:val="143"/>
                    <w:spacing w:before="60" w:line="223" w:lineRule="auto"/>
                    <w:ind w:left="1146" w:leftChars="0" w:hanging="1146" w:hangingChars="562"/>
                    <w:jc w:val="center"/>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4981" w:type="dxa"/>
                  <w:tcBorders>
                    <w:top w:val="single" w:color="000000" w:sz="10" w:space="0"/>
                    <w:bottom w:val="single" w:color="auto" w:sz="4" w:space="0"/>
                    <w:right w:val="single" w:color="000000" w:sz="6" w:space="0"/>
                  </w:tcBorders>
                  <w:vAlign w:val="top"/>
                </w:tcPr>
                <w:p w14:paraId="3F4AD4DB">
                  <w:pPr>
                    <w:pStyle w:val="143"/>
                    <w:spacing w:before="60" w:line="220" w:lineRule="auto"/>
                    <w:ind w:left="1168" w:leftChars="0" w:hanging="1168" w:hangingChars="562"/>
                    <w:jc w:val="center"/>
                    <w:rPr>
                      <w:rFonts w:hint="eastAsia"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rPr>
                    <w:t>属于含有或沾染毒性危险废物的</w:t>
                  </w:r>
                  <w:r>
                    <w:rPr>
                      <w:rFonts w:hint="eastAsia" w:ascii="Times New Roman" w:hAnsi="Times New Roman" w:cs="Times New Roman"/>
                      <w:color w:val="auto"/>
                      <w:spacing w:val="-1"/>
                      <w:sz w:val="21"/>
                      <w:szCs w:val="21"/>
                      <w:highlight w:val="none"/>
                      <w:lang w:val="en-US" w:eastAsia="zh-CN"/>
                    </w:rPr>
                    <w:t>废弃物</w:t>
                  </w:r>
                </w:p>
              </w:tc>
            </w:tr>
            <w:tr w14:paraId="07B13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2578E76">
                  <w:pPr>
                    <w:spacing w:beforeAutospacing="0"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2581" w:type="dxa"/>
                  <w:tcBorders>
                    <w:top w:val="single" w:color="auto" w:sz="4" w:space="0"/>
                    <w:left w:val="single" w:color="auto" w:sz="4" w:space="0"/>
                    <w:bottom w:val="single" w:color="auto" w:sz="4" w:space="0"/>
                    <w:right w:val="single" w:color="auto" w:sz="4" w:space="0"/>
                  </w:tcBorders>
                  <w:vAlign w:val="center"/>
                </w:tcPr>
                <w:p w14:paraId="6157CE9C">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废油漆桶</w:t>
                  </w:r>
                </w:p>
              </w:tc>
              <w:tc>
                <w:tcPr>
                  <w:tcW w:w="4981" w:type="dxa"/>
                  <w:tcBorders>
                    <w:top w:val="single" w:color="auto" w:sz="4" w:space="0"/>
                    <w:left w:val="single" w:color="auto" w:sz="4" w:space="0"/>
                    <w:bottom w:val="single" w:color="auto" w:sz="4" w:space="0"/>
                    <w:right w:val="single" w:color="auto" w:sz="4" w:space="0"/>
                  </w:tcBorders>
                  <w:vAlign w:val="center"/>
                </w:tcPr>
                <w:p w14:paraId="170BDE9A">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属于含有或沾染毒性危险废物的废弃包装物</w:t>
                  </w:r>
                </w:p>
              </w:tc>
            </w:tr>
            <w:tr w14:paraId="63B53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20FBB13C">
                  <w:pPr>
                    <w:spacing w:beforeAutospacing="0"/>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2581" w:type="dxa"/>
                  <w:tcBorders>
                    <w:top w:val="single" w:color="auto" w:sz="4" w:space="0"/>
                    <w:left w:val="single" w:color="auto" w:sz="4" w:space="0"/>
                    <w:bottom w:val="single" w:color="auto" w:sz="4" w:space="0"/>
                    <w:right w:val="single" w:color="auto" w:sz="4" w:space="0"/>
                  </w:tcBorders>
                  <w:vAlign w:val="center"/>
                </w:tcPr>
                <w:p w14:paraId="5139AF89">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废漆渣</w:t>
                  </w:r>
                </w:p>
              </w:tc>
              <w:tc>
                <w:tcPr>
                  <w:tcW w:w="4981" w:type="dxa"/>
                  <w:tcBorders>
                    <w:top w:val="single" w:color="auto" w:sz="4" w:space="0"/>
                    <w:left w:val="single" w:color="auto" w:sz="4" w:space="0"/>
                    <w:bottom w:val="single" w:color="auto" w:sz="4" w:space="0"/>
                    <w:right w:val="single" w:color="auto" w:sz="4" w:space="0"/>
                  </w:tcBorders>
                  <w:vAlign w:val="center"/>
                </w:tcPr>
                <w:p w14:paraId="1BA398B0">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属于使用油漆进行阻挡层涂敷过程中产生的废物</w:t>
                  </w:r>
                </w:p>
              </w:tc>
            </w:tr>
            <w:tr w14:paraId="4F35F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E0BB5F8">
                  <w:pPr>
                    <w:spacing w:before="111"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2581" w:type="dxa"/>
                  <w:tcBorders>
                    <w:top w:val="single" w:color="auto" w:sz="4" w:space="0"/>
                    <w:left w:val="single" w:color="auto" w:sz="4" w:space="0"/>
                    <w:bottom w:val="single" w:color="auto" w:sz="4" w:space="0"/>
                    <w:right w:val="single" w:color="auto" w:sz="4" w:space="0"/>
                  </w:tcBorders>
                  <w:vAlign w:val="center"/>
                </w:tcPr>
                <w:p w14:paraId="13BCC56C">
                  <w:pPr>
                    <w:pStyle w:val="143"/>
                    <w:spacing w:beforeAutospacing="0" w:line="219" w:lineRule="auto"/>
                    <w:ind w:left="1168" w:leftChars="0" w:right="223"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废活性炭</w:t>
                  </w:r>
                </w:p>
              </w:tc>
              <w:tc>
                <w:tcPr>
                  <w:tcW w:w="4981" w:type="dxa"/>
                  <w:tcBorders>
                    <w:top w:val="single" w:color="auto" w:sz="4" w:space="0"/>
                    <w:left w:val="single" w:color="auto" w:sz="4" w:space="0"/>
                    <w:bottom w:val="single" w:color="auto" w:sz="4" w:space="0"/>
                    <w:right w:val="single" w:color="auto" w:sz="4" w:space="0"/>
                  </w:tcBorders>
                  <w:vAlign w:val="center"/>
                </w:tcPr>
                <w:p w14:paraId="44AD567E">
                  <w:pPr>
                    <w:pStyle w:val="143"/>
                    <w:spacing w:beforeAutospacing="0" w:line="221" w:lineRule="auto"/>
                    <w:ind w:left="1168" w:leftChars="0" w:hanging="1168" w:hangingChars="56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属于</w:t>
                  </w:r>
                  <w:r>
                    <w:rPr>
                      <w:rFonts w:hint="default" w:ascii="Times New Roman" w:hAnsi="Times New Roman" w:eastAsia="Times New Roman" w:cs="Times New Roman"/>
                      <w:color w:val="auto"/>
                      <w:spacing w:val="-1"/>
                      <w:sz w:val="21"/>
                      <w:szCs w:val="21"/>
                      <w:highlight w:val="none"/>
                    </w:rPr>
                    <w:t>VOCs</w:t>
                  </w:r>
                  <w:r>
                    <w:rPr>
                      <w:rFonts w:hint="default" w:ascii="Times New Roman" w:hAnsi="Times New Roman" w:cs="Times New Roman"/>
                      <w:color w:val="auto"/>
                      <w:spacing w:val="-1"/>
                      <w:sz w:val="21"/>
                      <w:szCs w:val="21"/>
                      <w:highlight w:val="none"/>
                    </w:rPr>
                    <w:t>治理过程产生的废活性炭</w:t>
                  </w:r>
                </w:p>
              </w:tc>
            </w:tr>
            <w:tr w14:paraId="5D26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7C9266AE">
                  <w:pPr>
                    <w:spacing w:before="115" w:line="189" w:lineRule="auto"/>
                    <w:ind w:left="1180" w:leftChars="0" w:hanging="1180"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0D127FFC">
                  <w:pPr>
                    <w:pStyle w:val="143"/>
                    <w:spacing w:before="78"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废机油</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CDAADFC">
                  <w:pPr>
                    <w:pStyle w:val="143"/>
                    <w:spacing w:before="78"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属于机械更换产生的废机油</w:t>
                  </w:r>
                </w:p>
              </w:tc>
            </w:tr>
            <w:tr w14:paraId="798D4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vAlign w:val="center"/>
                </w:tcPr>
                <w:p w14:paraId="25413531">
                  <w:pPr>
                    <w:spacing w:before="115" w:line="189" w:lineRule="auto"/>
                    <w:ind w:left="1180" w:leftChars="0" w:hanging="1180" w:hangingChars="5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754DB5B0">
                  <w:pPr>
                    <w:pStyle w:val="143"/>
                    <w:spacing w:before="79" w:line="220"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1"/>
                      <w:sz w:val="21"/>
                      <w:szCs w:val="21"/>
                      <w:highlight w:val="none"/>
                    </w:rPr>
                    <w:t>废机油桶</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AF9C39D">
                  <w:pPr>
                    <w:pStyle w:val="143"/>
                    <w:spacing w:before="78" w:line="221" w:lineRule="auto"/>
                    <w:ind w:left="1168" w:leftChars="0" w:hanging="1168" w:hangingChars="562"/>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sz w:val="21"/>
                      <w:szCs w:val="21"/>
                      <w:highlight w:val="none"/>
                    </w:rPr>
                    <w:t>属于沾染矿物油的废弃包装物</w:t>
                  </w:r>
                </w:p>
              </w:tc>
            </w:tr>
            <w:tr w14:paraId="593F0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6" w:type="dxa"/>
                  <w:tcBorders>
                    <w:top w:val="single" w:color="auto" w:sz="4" w:space="0"/>
                    <w:left w:val="single" w:color="auto" w:sz="4" w:space="0"/>
                    <w:bottom w:val="single" w:color="auto" w:sz="4" w:space="0"/>
                    <w:right w:val="single" w:color="auto" w:sz="4" w:space="0"/>
                  </w:tcBorders>
                  <w:vAlign w:val="center"/>
                </w:tcPr>
                <w:p w14:paraId="3C86E78D">
                  <w:pPr>
                    <w:spacing w:before="115" w:line="189" w:lineRule="auto"/>
                    <w:ind w:left="1180" w:leftChars="0" w:hanging="1180" w:hangingChars="562"/>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581" w:type="dxa"/>
                  <w:tcBorders>
                    <w:top w:val="single" w:color="auto" w:sz="4" w:space="0"/>
                    <w:left w:val="single" w:color="auto" w:sz="4" w:space="0"/>
                    <w:bottom w:val="single" w:color="auto" w:sz="4" w:space="0"/>
                    <w:right w:val="single" w:color="auto" w:sz="4" w:space="0"/>
                  </w:tcBorders>
                  <w:shd w:val="clear" w:color="auto" w:fill="auto"/>
                  <w:vAlign w:val="center"/>
                </w:tcPr>
                <w:p w14:paraId="1E0A4CE2">
                  <w:pPr>
                    <w:pStyle w:val="143"/>
                    <w:spacing w:before="79" w:line="220" w:lineRule="auto"/>
                    <w:ind w:left="1168" w:leftChars="0" w:hanging="1168" w:hangingChars="562"/>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4981" w:type="dxa"/>
                  <w:tcBorders>
                    <w:top w:val="single" w:color="auto" w:sz="4" w:space="0"/>
                    <w:left w:val="single" w:color="auto" w:sz="4" w:space="0"/>
                    <w:bottom w:val="single" w:color="auto" w:sz="4" w:space="0"/>
                    <w:right w:val="single" w:color="auto" w:sz="4" w:space="0"/>
                  </w:tcBorders>
                  <w:shd w:val="clear" w:color="auto" w:fill="auto"/>
                  <w:vAlign w:val="center"/>
                </w:tcPr>
                <w:p w14:paraId="1A504B32">
                  <w:pPr>
                    <w:pStyle w:val="143"/>
                    <w:spacing w:before="78" w:line="221" w:lineRule="auto"/>
                    <w:ind w:left="1168" w:leftChars="0" w:hanging="1168" w:hangingChars="562"/>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属于含有或沾染毒性危险废物的</w:t>
                  </w:r>
                  <w:r>
                    <w:rPr>
                      <w:rFonts w:hint="eastAsia" w:ascii="Times New Roman" w:hAnsi="Times New Roman" w:cs="Times New Roman"/>
                      <w:color w:val="auto"/>
                      <w:spacing w:val="-1"/>
                      <w:sz w:val="21"/>
                      <w:szCs w:val="21"/>
                      <w:highlight w:val="none"/>
                      <w:lang w:val="en-US" w:eastAsia="zh-CN"/>
                    </w:rPr>
                    <w:t>废弃物</w:t>
                  </w:r>
                </w:p>
              </w:tc>
            </w:tr>
          </w:tbl>
          <w:p w14:paraId="56A1F95E">
            <w:pPr>
              <w:pStyle w:val="143"/>
              <w:keepNext w:val="0"/>
              <w:keepLines w:val="0"/>
              <w:suppressLineNumbers w:val="0"/>
              <w:spacing w:before="34" w:beforeAutospacing="0" w:after="0" w:afterAutospacing="0" w:line="214" w:lineRule="auto"/>
              <w:ind w:left="3138"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ascii="Times New Roman" w:hAnsi="Times New Roman" w:eastAsia="宋体" w:cs="Times New Roman"/>
                <w:b/>
                <w:bCs/>
                <w:color w:val="auto"/>
                <w:spacing w:val="-2"/>
                <w:sz w:val="24"/>
                <w:szCs w:val="24"/>
                <w:highlight w:val="none"/>
                <w:lang w:val="en-US" w:eastAsia="zh-CN"/>
              </w:rPr>
              <w:t>19</w:t>
            </w:r>
            <w:r>
              <w:rPr>
                <w:rFonts w:hint="default" w:ascii="Times New Roman" w:hAnsi="Times New Roman" w:cs="Times New Roman"/>
                <w:b/>
                <w:bCs/>
                <w:color w:val="auto"/>
                <w:spacing w:val="-2"/>
                <w:sz w:val="24"/>
                <w:szCs w:val="24"/>
                <w:highlight w:val="none"/>
              </w:rPr>
              <w:t>危险废物汇总表</w:t>
            </w:r>
          </w:p>
          <w:tbl>
            <w:tblPr>
              <w:tblStyle w:val="142"/>
              <w:tblW w:w="829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7"/>
              <w:gridCol w:w="1119"/>
              <w:gridCol w:w="819"/>
              <w:gridCol w:w="784"/>
              <w:gridCol w:w="747"/>
              <w:gridCol w:w="751"/>
              <w:gridCol w:w="532"/>
              <w:gridCol w:w="612"/>
              <w:gridCol w:w="611"/>
              <w:gridCol w:w="477"/>
              <w:gridCol w:w="839"/>
              <w:gridCol w:w="476"/>
            </w:tblGrid>
            <w:tr w14:paraId="5DAA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2" w:hRule="atLeast"/>
              </w:trPr>
              <w:tc>
                <w:tcPr>
                  <w:tcW w:w="527" w:type="dxa"/>
                  <w:textDirection w:val="tbRlV"/>
                  <w:vAlign w:val="center"/>
                </w:tcPr>
                <w:p w14:paraId="1A3A437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序号</w:t>
                  </w:r>
                </w:p>
              </w:tc>
              <w:tc>
                <w:tcPr>
                  <w:tcW w:w="1119" w:type="dxa"/>
                  <w:vAlign w:val="center"/>
                </w:tcPr>
                <w:p w14:paraId="48F859A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名称</w:t>
                  </w:r>
                </w:p>
              </w:tc>
              <w:tc>
                <w:tcPr>
                  <w:tcW w:w="819" w:type="dxa"/>
                  <w:vAlign w:val="center"/>
                </w:tcPr>
                <w:p w14:paraId="6702A09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类别</w:t>
                  </w:r>
                </w:p>
              </w:tc>
              <w:tc>
                <w:tcPr>
                  <w:tcW w:w="784" w:type="dxa"/>
                  <w:vAlign w:val="center"/>
                </w:tcPr>
                <w:p w14:paraId="6896238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代码</w:t>
                  </w:r>
                </w:p>
              </w:tc>
              <w:tc>
                <w:tcPr>
                  <w:tcW w:w="747" w:type="dxa"/>
                  <w:vAlign w:val="center"/>
                </w:tcPr>
                <w:p w14:paraId="40B344F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产生量（t/a）</w:t>
                  </w:r>
                </w:p>
              </w:tc>
              <w:tc>
                <w:tcPr>
                  <w:tcW w:w="751" w:type="dxa"/>
                  <w:vAlign w:val="center"/>
                </w:tcPr>
                <w:p w14:paraId="59D22D0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产生工序及装置</w:t>
                  </w:r>
                </w:p>
              </w:tc>
              <w:tc>
                <w:tcPr>
                  <w:tcW w:w="532" w:type="dxa"/>
                  <w:textDirection w:val="tbRlV"/>
                  <w:vAlign w:val="center"/>
                </w:tcPr>
                <w:p w14:paraId="40ECADF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形态</w:t>
                  </w:r>
                </w:p>
              </w:tc>
              <w:tc>
                <w:tcPr>
                  <w:tcW w:w="612" w:type="dxa"/>
                  <w:vAlign w:val="center"/>
                </w:tcPr>
                <w:p w14:paraId="47999C1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主要成分</w:t>
                  </w:r>
                </w:p>
              </w:tc>
              <w:tc>
                <w:tcPr>
                  <w:tcW w:w="611" w:type="dxa"/>
                  <w:vAlign w:val="center"/>
                </w:tcPr>
                <w:p w14:paraId="2BC07D3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有害成分</w:t>
                  </w:r>
                </w:p>
              </w:tc>
              <w:tc>
                <w:tcPr>
                  <w:tcW w:w="477" w:type="dxa"/>
                  <w:textDirection w:val="tbRlV"/>
                  <w:vAlign w:val="center"/>
                </w:tcPr>
                <w:p w14:paraId="26598B3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产废周期</w:t>
                  </w:r>
                </w:p>
              </w:tc>
              <w:tc>
                <w:tcPr>
                  <w:tcW w:w="839" w:type="dxa"/>
                  <w:vAlign w:val="center"/>
                </w:tcPr>
                <w:p w14:paraId="544B81C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危险特性</w:t>
                  </w:r>
                </w:p>
              </w:tc>
              <w:tc>
                <w:tcPr>
                  <w:tcW w:w="476" w:type="dxa"/>
                  <w:textDirection w:val="tbRlV"/>
                  <w:vAlign w:val="center"/>
                </w:tcPr>
                <w:p w14:paraId="368020DF">
                  <w:pPr>
                    <w:pStyle w:val="143"/>
                    <w:spacing w:before="143" w:line="208" w:lineRule="auto"/>
                    <w:ind w:left="179"/>
                    <w:jc w:val="center"/>
                    <w:rPr>
                      <w:rFonts w:hint="default" w:ascii="Times New Roman" w:hAnsi="Times New Roman" w:cs="Times New Roman"/>
                      <w:color w:val="auto"/>
                      <w:highlight w:val="none"/>
                    </w:rPr>
                  </w:pPr>
                  <w:r>
                    <w:rPr>
                      <w:rFonts w:hint="default" w:ascii="Times New Roman" w:hAnsi="Times New Roman" w:cs="Times New Roman"/>
                      <w:color w:val="auto"/>
                      <w:spacing w:val="46"/>
                      <w:highlight w:val="none"/>
                    </w:rPr>
                    <w:t>管理要求</w:t>
                  </w:r>
                </w:p>
              </w:tc>
            </w:tr>
            <w:tr w14:paraId="7736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527" w:type="dxa"/>
                  <w:vAlign w:val="center"/>
                </w:tcPr>
                <w:p w14:paraId="2D545B7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c>
                <w:tcPr>
                  <w:tcW w:w="1119" w:type="dxa"/>
                  <w:vAlign w:val="center"/>
                </w:tcPr>
                <w:p w14:paraId="617E007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819" w:type="dxa"/>
                  <w:shd w:val="clear" w:color="auto" w:fill="auto"/>
                  <w:vAlign w:val="center"/>
                </w:tcPr>
                <w:p w14:paraId="502A774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15FD727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014A29C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vAlign w:val="center"/>
                </w:tcPr>
                <w:p w14:paraId="210ED4F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p>
              </w:tc>
              <w:tc>
                <w:tcPr>
                  <w:tcW w:w="751" w:type="dxa"/>
                  <w:shd w:val="clear" w:color="auto" w:fill="auto"/>
                  <w:vAlign w:val="center"/>
                </w:tcPr>
                <w:p w14:paraId="668E164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修箱区</w:t>
                  </w:r>
                </w:p>
              </w:tc>
              <w:tc>
                <w:tcPr>
                  <w:tcW w:w="532" w:type="dxa"/>
                  <w:shd w:val="clear" w:color="auto" w:fill="auto"/>
                  <w:textDirection w:val="tbRlV"/>
                  <w:vAlign w:val="center"/>
                </w:tcPr>
                <w:p w14:paraId="75AEB2B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5DFEBD2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树脂、有机溶剂、纤维等</w:t>
                  </w:r>
                </w:p>
              </w:tc>
              <w:tc>
                <w:tcPr>
                  <w:tcW w:w="611" w:type="dxa"/>
                  <w:vAlign w:val="center"/>
                </w:tcPr>
                <w:p w14:paraId="2D7D76B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树脂、有机溶剂</w:t>
                  </w:r>
                </w:p>
              </w:tc>
              <w:tc>
                <w:tcPr>
                  <w:tcW w:w="477" w:type="dxa"/>
                  <w:vMerge w:val="restart"/>
                  <w:textDirection w:val="tbRlV"/>
                  <w:vAlign w:val="center"/>
                </w:tcPr>
                <w:p w14:paraId="052452D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每月</w:t>
                  </w:r>
                </w:p>
              </w:tc>
              <w:tc>
                <w:tcPr>
                  <w:tcW w:w="839" w:type="dxa"/>
                  <w:vAlign w:val="center"/>
                </w:tcPr>
                <w:p w14:paraId="5F85068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T/In</w:t>
                  </w:r>
                </w:p>
              </w:tc>
              <w:tc>
                <w:tcPr>
                  <w:tcW w:w="476" w:type="dxa"/>
                  <w:vMerge w:val="restart"/>
                  <w:textDirection w:val="tbRlV"/>
                  <w:vAlign w:val="center"/>
                </w:tcPr>
                <w:p w14:paraId="79BA10E1">
                  <w:pPr>
                    <w:jc w:val="center"/>
                    <w:rPr>
                      <w:rFonts w:hint="default" w:ascii="Times New Roman" w:hAnsi="Times New Roman" w:cs="Times New Roman"/>
                      <w:color w:val="auto"/>
                      <w:sz w:val="21"/>
                      <w:highlight w:val="none"/>
                    </w:rPr>
                  </w:pPr>
                  <w:r>
                    <w:rPr>
                      <w:rFonts w:hint="eastAsia" w:ascii="宋体" w:hAnsi="宋体" w:eastAsia="宋体" w:cs="宋体"/>
                      <w:color w:val="auto"/>
                      <w:w w:val="95"/>
                      <w:sz w:val="21"/>
                      <w:szCs w:val="21"/>
                      <w:highlight w:val="none"/>
                      <w:u w:val="none"/>
                      <w:lang w:val="en-US" w:eastAsia="zh-CN"/>
                    </w:rPr>
                    <w:t>危险废物贮存库分类贮存，委托资质单位处置</w:t>
                  </w:r>
                </w:p>
              </w:tc>
            </w:tr>
            <w:tr w14:paraId="4E79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527" w:type="dxa"/>
                  <w:shd w:val="clear" w:color="auto" w:fill="auto"/>
                  <w:vAlign w:val="center"/>
                </w:tcPr>
                <w:p w14:paraId="0C81608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2</w:t>
                  </w:r>
                </w:p>
              </w:tc>
              <w:tc>
                <w:tcPr>
                  <w:tcW w:w="1119" w:type="dxa"/>
                  <w:shd w:val="clear" w:color="auto" w:fill="auto"/>
                  <w:vAlign w:val="center"/>
                </w:tcPr>
                <w:p w14:paraId="707D2A3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废油漆桶</w:t>
                  </w:r>
                </w:p>
              </w:tc>
              <w:tc>
                <w:tcPr>
                  <w:tcW w:w="819" w:type="dxa"/>
                  <w:shd w:val="clear" w:color="auto" w:fill="auto"/>
                  <w:vAlign w:val="center"/>
                </w:tcPr>
                <w:p w14:paraId="3DA85C7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346D7D0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151D4A3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shd w:val="clear" w:color="auto" w:fill="auto"/>
                  <w:vAlign w:val="center"/>
                </w:tcPr>
                <w:p w14:paraId="0C7F103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0.03</w:t>
                  </w:r>
                </w:p>
              </w:tc>
              <w:tc>
                <w:tcPr>
                  <w:tcW w:w="751" w:type="dxa"/>
                  <w:shd w:val="clear" w:color="auto" w:fill="auto"/>
                  <w:vAlign w:val="center"/>
                </w:tcPr>
                <w:p w14:paraId="5D5C716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修箱区</w:t>
                  </w:r>
                </w:p>
              </w:tc>
              <w:tc>
                <w:tcPr>
                  <w:tcW w:w="532" w:type="dxa"/>
                  <w:shd w:val="clear" w:color="auto" w:fill="auto"/>
                  <w:textDirection w:val="tbRlV"/>
                  <w:vAlign w:val="center"/>
                </w:tcPr>
                <w:p w14:paraId="4A09AE5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shd w:val="clear" w:color="auto" w:fill="auto"/>
                  <w:vAlign w:val="center"/>
                </w:tcPr>
                <w:p w14:paraId="7578B88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w:t>
                  </w:r>
                </w:p>
              </w:tc>
              <w:tc>
                <w:tcPr>
                  <w:tcW w:w="611" w:type="dxa"/>
                  <w:shd w:val="clear" w:color="auto" w:fill="auto"/>
                  <w:vAlign w:val="center"/>
                </w:tcPr>
                <w:p w14:paraId="628E2F5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废油漆</w:t>
                  </w:r>
                </w:p>
              </w:tc>
              <w:tc>
                <w:tcPr>
                  <w:tcW w:w="477" w:type="dxa"/>
                  <w:vMerge w:val="continue"/>
                  <w:textDirection w:val="tbRlV"/>
                  <w:vAlign w:val="center"/>
                </w:tcPr>
                <w:p w14:paraId="603364E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7CF6D38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T/In</w:t>
                  </w:r>
                </w:p>
              </w:tc>
              <w:tc>
                <w:tcPr>
                  <w:tcW w:w="476" w:type="dxa"/>
                  <w:vMerge w:val="continue"/>
                  <w:textDirection w:val="tbRlV"/>
                  <w:vAlign w:val="center"/>
                </w:tcPr>
                <w:p w14:paraId="6CFF3F55">
                  <w:pPr>
                    <w:jc w:val="center"/>
                    <w:rPr>
                      <w:rFonts w:hint="default" w:ascii="Times New Roman" w:hAnsi="Times New Roman" w:cs="Times New Roman"/>
                      <w:color w:val="auto"/>
                      <w:sz w:val="21"/>
                      <w:highlight w:val="none"/>
                    </w:rPr>
                  </w:pPr>
                </w:p>
              </w:tc>
            </w:tr>
            <w:tr w14:paraId="0D6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527" w:type="dxa"/>
                  <w:shd w:val="clear" w:color="auto" w:fill="auto"/>
                  <w:vAlign w:val="center"/>
                </w:tcPr>
                <w:p w14:paraId="3654262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w:t>
                  </w:r>
                </w:p>
              </w:tc>
              <w:tc>
                <w:tcPr>
                  <w:tcW w:w="1119" w:type="dxa"/>
                  <w:vAlign w:val="center"/>
                </w:tcPr>
                <w:p w14:paraId="4A1876C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废漆渣</w:t>
                  </w:r>
                </w:p>
              </w:tc>
              <w:tc>
                <w:tcPr>
                  <w:tcW w:w="819" w:type="dxa"/>
                  <w:vAlign w:val="center"/>
                </w:tcPr>
                <w:p w14:paraId="23F1305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HW12</w:t>
                  </w:r>
                </w:p>
              </w:tc>
              <w:tc>
                <w:tcPr>
                  <w:tcW w:w="784" w:type="dxa"/>
                  <w:vAlign w:val="center"/>
                </w:tcPr>
                <w:p w14:paraId="77629FA3">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06037F1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252-12</w:t>
                  </w:r>
                </w:p>
              </w:tc>
              <w:tc>
                <w:tcPr>
                  <w:tcW w:w="747" w:type="dxa"/>
                  <w:vAlign w:val="center"/>
                </w:tcPr>
                <w:p w14:paraId="2D125818">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0.015</w:t>
                  </w:r>
                </w:p>
              </w:tc>
              <w:tc>
                <w:tcPr>
                  <w:tcW w:w="751" w:type="dxa"/>
                  <w:vAlign w:val="center"/>
                </w:tcPr>
                <w:p w14:paraId="78E401F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修箱区</w:t>
                  </w:r>
                </w:p>
              </w:tc>
              <w:tc>
                <w:tcPr>
                  <w:tcW w:w="532" w:type="dxa"/>
                  <w:textDirection w:val="tbRlV"/>
                  <w:vAlign w:val="center"/>
                </w:tcPr>
                <w:p w14:paraId="169171F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69E26FC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漆渣</w:t>
                  </w:r>
                </w:p>
              </w:tc>
              <w:tc>
                <w:tcPr>
                  <w:tcW w:w="611" w:type="dxa"/>
                  <w:vAlign w:val="center"/>
                </w:tcPr>
                <w:p w14:paraId="417C438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漆渣</w:t>
                  </w:r>
                </w:p>
              </w:tc>
              <w:tc>
                <w:tcPr>
                  <w:tcW w:w="477" w:type="dxa"/>
                  <w:vMerge w:val="continue"/>
                  <w:textDirection w:val="tbRlV"/>
                  <w:vAlign w:val="center"/>
                </w:tcPr>
                <w:p w14:paraId="04E0E19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0D80907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w:t>
                  </w:r>
                  <w:r>
                    <w:rPr>
                      <w:rFonts w:hint="eastAsia" w:cs="Times New Roman"/>
                      <w:color w:val="auto"/>
                      <w:sz w:val="21"/>
                      <w:szCs w:val="21"/>
                      <w:highlight w:val="none"/>
                      <w:u w:val="none"/>
                      <w:lang w:val="en-US" w:eastAsia="zh-CN"/>
                    </w:rPr>
                    <w:t>，I</w:t>
                  </w:r>
                </w:p>
              </w:tc>
              <w:tc>
                <w:tcPr>
                  <w:tcW w:w="476" w:type="dxa"/>
                  <w:vMerge w:val="continue"/>
                  <w:textDirection w:val="tbRlV"/>
                  <w:vAlign w:val="center"/>
                </w:tcPr>
                <w:p w14:paraId="6B046C02">
                  <w:pPr>
                    <w:jc w:val="center"/>
                    <w:rPr>
                      <w:rFonts w:hint="default" w:ascii="Times New Roman" w:hAnsi="Times New Roman" w:cs="Times New Roman"/>
                      <w:color w:val="auto"/>
                      <w:sz w:val="21"/>
                      <w:highlight w:val="none"/>
                    </w:rPr>
                  </w:pPr>
                </w:p>
              </w:tc>
            </w:tr>
            <w:tr w14:paraId="33C0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trPr>
              <w:tc>
                <w:tcPr>
                  <w:tcW w:w="527" w:type="dxa"/>
                  <w:shd w:val="clear" w:color="auto" w:fill="auto"/>
                  <w:vAlign w:val="center"/>
                </w:tcPr>
                <w:p w14:paraId="63659B5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4</w:t>
                  </w:r>
                </w:p>
              </w:tc>
              <w:tc>
                <w:tcPr>
                  <w:tcW w:w="1119" w:type="dxa"/>
                  <w:vAlign w:val="center"/>
                </w:tcPr>
                <w:p w14:paraId="6E2E628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819" w:type="dxa"/>
                  <w:vAlign w:val="center"/>
                </w:tcPr>
                <w:p w14:paraId="06A6739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HW49</w:t>
                  </w:r>
                </w:p>
              </w:tc>
              <w:tc>
                <w:tcPr>
                  <w:tcW w:w="784" w:type="dxa"/>
                  <w:vAlign w:val="center"/>
                </w:tcPr>
                <w:p w14:paraId="0696D1D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626F197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039-49</w:t>
                  </w:r>
                </w:p>
              </w:tc>
              <w:tc>
                <w:tcPr>
                  <w:tcW w:w="747" w:type="dxa"/>
                  <w:vAlign w:val="center"/>
                </w:tcPr>
                <w:p w14:paraId="79A60B9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p>
              </w:tc>
              <w:tc>
                <w:tcPr>
                  <w:tcW w:w="751" w:type="dxa"/>
                  <w:vAlign w:val="center"/>
                </w:tcPr>
                <w:p w14:paraId="0302545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废气治理设施</w:t>
                  </w:r>
                </w:p>
              </w:tc>
              <w:tc>
                <w:tcPr>
                  <w:tcW w:w="532" w:type="dxa"/>
                  <w:textDirection w:val="tbRlV"/>
                  <w:vAlign w:val="center"/>
                </w:tcPr>
                <w:p w14:paraId="7A169A88">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6698F72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611" w:type="dxa"/>
                  <w:vAlign w:val="center"/>
                </w:tcPr>
                <w:p w14:paraId="3F19DD1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477" w:type="dxa"/>
                  <w:vAlign w:val="center"/>
                </w:tcPr>
                <w:p w14:paraId="446A3A1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每2年</w:t>
                  </w:r>
                </w:p>
              </w:tc>
              <w:tc>
                <w:tcPr>
                  <w:tcW w:w="839" w:type="dxa"/>
                  <w:vAlign w:val="center"/>
                </w:tcPr>
                <w:p w14:paraId="26182EE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w:t>
                  </w:r>
                </w:p>
              </w:tc>
              <w:tc>
                <w:tcPr>
                  <w:tcW w:w="476" w:type="dxa"/>
                  <w:vMerge w:val="continue"/>
                  <w:textDirection w:val="tbRlV"/>
                  <w:vAlign w:val="center"/>
                </w:tcPr>
                <w:p w14:paraId="793C82E2">
                  <w:pPr>
                    <w:jc w:val="center"/>
                    <w:rPr>
                      <w:rFonts w:hint="default" w:ascii="Times New Roman" w:hAnsi="Times New Roman" w:cs="Times New Roman"/>
                      <w:color w:val="auto"/>
                      <w:sz w:val="21"/>
                      <w:highlight w:val="none"/>
                    </w:rPr>
                  </w:pPr>
                </w:p>
              </w:tc>
            </w:tr>
            <w:tr w14:paraId="3308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527" w:type="dxa"/>
                  <w:shd w:val="clear" w:color="auto" w:fill="auto"/>
                  <w:vAlign w:val="center"/>
                </w:tcPr>
                <w:p w14:paraId="0400236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5</w:t>
                  </w:r>
                </w:p>
              </w:tc>
              <w:tc>
                <w:tcPr>
                  <w:tcW w:w="1119" w:type="dxa"/>
                  <w:vAlign w:val="center"/>
                </w:tcPr>
                <w:p w14:paraId="1D3942B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819" w:type="dxa"/>
                  <w:vAlign w:val="center"/>
                </w:tcPr>
                <w:p w14:paraId="6E75EC6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HW08</w:t>
                  </w:r>
                </w:p>
              </w:tc>
              <w:tc>
                <w:tcPr>
                  <w:tcW w:w="784" w:type="dxa"/>
                  <w:vAlign w:val="center"/>
                </w:tcPr>
                <w:p w14:paraId="47A0FC3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423077E9">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214-08</w:t>
                  </w:r>
                </w:p>
              </w:tc>
              <w:tc>
                <w:tcPr>
                  <w:tcW w:w="747" w:type="dxa"/>
                  <w:vAlign w:val="center"/>
                </w:tcPr>
                <w:p w14:paraId="587C323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0.010</w:t>
                  </w:r>
                </w:p>
              </w:tc>
              <w:tc>
                <w:tcPr>
                  <w:tcW w:w="751" w:type="dxa"/>
                  <w:vMerge w:val="restart"/>
                  <w:vAlign w:val="center"/>
                </w:tcPr>
                <w:p w14:paraId="3F8F21A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机械设备</w:t>
                  </w:r>
                </w:p>
              </w:tc>
              <w:tc>
                <w:tcPr>
                  <w:tcW w:w="532" w:type="dxa"/>
                  <w:textDirection w:val="tbRlV"/>
                  <w:vAlign w:val="center"/>
                </w:tcPr>
                <w:p w14:paraId="036EFCF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液体</w:t>
                  </w:r>
                </w:p>
              </w:tc>
              <w:tc>
                <w:tcPr>
                  <w:tcW w:w="612" w:type="dxa"/>
                  <w:vAlign w:val="center"/>
                </w:tcPr>
                <w:p w14:paraId="47B90FC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611" w:type="dxa"/>
                  <w:vMerge w:val="restart"/>
                  <w:vAlign w:val="center"/>
                </w:tcPr>
                <w:p w14:paraId="7907532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废矿物油与含废矿物油废物</w:t>
                  </w:r>
                </w:p>
              </w:tc>
              <w:tc>
                <w:tcPr>
                  <w:tcW w:w="477" w:type="dxa"/>
                  <w:vMerge w:val="restart"/>
                  <w:textDirection w:val="tbRlV"/>
                  <w:vAlign w:val="center"/>
                </w:tcPr>
                <w:p w14:paraId="73F1A42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每季度</w:t>
                  </w:r>
                </w:p>
              </w:tc>
              <w:tc>
                <w:tcPr>
                  <w:tcW w:w="839" w:type="dxa"/>
                  <w:vAlign w:val="center"/>
                </w:tcPr>
                <w:p w14:paraId="00FB37D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2CAE3CDA">
                  <w:pPr>
                    <w:jc w:val="center"/>
                    <w:rPr>
                      <w:rFonts w:hint="default" w:ascii="Times New Roman" w:hAnsi="Times New Roman" w:cs="Times New Roman"/>
                      <w:color w:val="auto"/>
                      <w:sz w:val="21"/>
                      <w:highlight w:val="none"/>
                    </w:rPr>
                  </w:pPr>
                </w:p>
              </w:tc>
            </w:tr>
            <w:tr w14:paraId="1D82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trPr>
              <w:tc>
                <w:tcPr>
                  <w:tcW w:w="527" w:type="dxa"/>
                  <w:vAlign w:val="center"/>
                </w:tcPr>
                <w:p w14:paraId="7A386CE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w:t>
                  </w:r>
                </w:p>
              </w:tc>
              <w:tc>
                <w:tcPr>
                  <w:tcW w:w="1119" w:type="dxa"/>
                  <w:vAlign w:val="center"/>
                </w:tcPr>
                <w:p w14:paraId="48EBBF8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废机油桶</w:t>
                  </w:r>
                </w:p>
              </w:tc>
              <w:tc>
                <w:tcPr>
                  <w:tcW w:w="819" w:type="dxa"/>
                  <w:vAlign w:val="center"/>
                </w:tcPr>
                <w:p w14:paraId="71C5ABD0">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HW08</w:t>
                  </w:r>
                </w:p>
              </w:tc>
              <w:tc>
                <w:tcPr>
                  <w:tcW w:w="784" w:type="dxa"/>
                  <w:vAlign w:val="center"/>
                </w:tcPr>
                <w:p w14:paraId="44AF446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4F63EFD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249-08</w:t>
                  </w:r>
                </w:p>
              </w:tc>
              <w:tc>
                <w:tcPr>
                  <w:tcW w:w="747" w:type="dxa"/>
                  <w:vAlign w:val="center"/>
                </w:tcPr>
                <w:p w14:paraId="21BF2A27">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p>
              </w:tc>
              <w:tc>
                <w:tcPr>
                  <w:tcW w:w="751" w:type="dxa"/>
                  <w:vMerge w:val="continue"/>
                  <w:vAlign w:val="center"/>
                </w:tcPr>
                <w:p w14:paraId="42DA2C0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532" w:type="dxa"/>
                  <w:textDirection w:val="tbRlV"/>
                  <w:vAlign w:val="center"/>
                </w:tcPr>
                <w:p w14:paraId="6F59CF6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固体</w:t>
                  </w:r>
                </w:p>
              </w:tc>
              <w:tc>
                <w:tcPr>
                  <w:tcW w:w="612" w:type="dxa"/>
                  <w:vAlign w:val="center"/>
                </w:tcPr>
                <w:p w14:paraId="5D58AD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611" w:type="dxa"/>
                  <w:vMerge w:val="continue"/>
                  <w:vAlign w:val="center"/>
                </w:tcPr>
                <w:p w14:paraId="27BA443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477" w:type="dxa"/>
                  <w:vMerge w:val="continue"/>
                  <w:textDirection w:val="tbRlV"/>
                  <w:vAlign w:val="center"/>
                </w:tcPr>
                <w:p w14:paraId="16122D1B">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0FA6DD7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609E0431">
                  <w:pPr>
                    <w:jc w:val="center"/>
                    <w:rPr>
                      <w:rFonts w:hint="default" w:ascii="Times New Roman" w:hAnsi="Times New Roman" w:cs="Times New Roman"/>
                      <w:color w:val="auto"/>
                      <w:sz w:val="21"/>
                      <w:highlight w:val="none"/>
                    </w:rPr>
                  </w:pPr>
                </w:p>
              </w:tc>
            </w:tr>
            <w:tr w14:paraId="6317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trPr>
              <w:tc>
                <w:tcPr>
                  <w:tcW w:w="527" w:type="dxa"/>
                  <w:vAlign w:val="center"/>
                </w:tcPr>
                <w:p w14:paraId="3A48ED5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cs="Times New Roman"/>
                      <w:color w:val="auto"/>
                      <w:sz w:val="21"/>
                      <w:szCs w:val="21"/>
                      <w:highlight w:val="none"/>
                      <w:u w:val="none"/>
                      <w:lang w:val="en-US" w:eastAsia="zh-CN"/>
                    </w:rPr>
                  </w:pPr>
                  <w:bookmarkStart w:id="14" w:name="_Ref528762096"/>
                  <w:r>
                    <w:rPr>
                      <w:rFonts w:hint="eastAsia" w:cs="Times New Roman"/>
                      <w:color w:val="auto"/>
                      <w:sz w:val="21"/>
                      <w:szCs w:val="21"/>
                      <w:highlight w:val="none"/>
                      <w:u w:val="none"/>
                      <w:lang w:val="en-US" w:eastAsia="zh-CN"/>
                    </w:rPr>
                    <w:t>7</w:t>
                  </w:r>
                </w:p>
              </w:tc>
              <w:tc>
                <w:tcPr>
                  <w:tcW w:w="1119" w:type="dxa"/>
                  <w:vAlign w:val="center"/>
                </w:tcPr>
                <w:p w14:paraId="296B284D">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819" w:type="dxa"/>
                  <w:shd w:val="clear" w:color="auto" w:fill="auto"/>
                  <w:vAlign w:val="center"/>
                </w:tcPr>
                <w:p w14:paraId="44FDF28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HW49</w:t>
                  </w:r>
                </w:p>
              </w:tc>
              <w:tc>
                <w:tcPr>
                  <w:tcW w:w="784" w:type="dxa"/>
                  <w:shd w:val="clear" w:color="auto" w:fill="auto"/>
                  <w:vAlign w:val="center"/>
                </w:tcPr>
                <w:p w14:paraId="02680A12">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900-</w:t>
                  </w:r>
                </w:p>
                <w:p w14:paraId="3F43CDB1">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041-49</w:t>
                  </w:r>
                </w:p>
              </w:tc>
              <w:tc>
                <w:tcPr>
                  <w:tcW w:w="747" w:type="dxa"/>
                  <w:vAlign w:val="center"/>
                </w:tcPr>
                <w:p w14:paraId="5B5A672F">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p>
              </w:tc>
              <w:tc>
                <w:tcPr>
                  <w:tcW w:w="751" w:type="dxa"/>
                  <w:vMerge w:val="continue"/>
                  <w:vAlign w:val="center"/>
                </w:tcPr>
                <w:p w14:paraId="3199DD9C">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532" w:type="dxa"/>
                  <w:shd w:val="clear" w:color="auto" w:fill="auto"/>
                  <w:textDirection w:val="tbRlV"/>
                  <w:vAlign w:val="center"/>
                </w:tcPr>
                <w:p w14:paraId="74012354">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固体</w:t>
                  </w:r>
                </w:p>
              </w:tc>
              <w:tc>
                <w:tcPr>
                  <w:tcW w:w="612" w:type="dxa"/>
                  <w:shd w:val="clear" w:color="auto" w:fill="auto"/>
                  <w:vAlign w:val="center"/>
                </w:tcPr>
                <w:p w14:paraId="7FAC6CFA">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废机油</w:t>
                  </w:r>
                </w:p>
              </w:tc>
              <w:tc>
                <w:tcPr>
                  <w:tcW w:w="611" w:type="dxa"/>
                  <w:vMerge w:val="continue"/>
                  <w:vAlign w:val="center"/>
                </w:tcPr>
                <w:p w14:paraId="37F30DEE">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477" w:type="dxa"/>
                  <w:vMerge w:val="continue"/>
                  <w:textDirection w:val="tbRlV"/>
                  <w:vAlign w:val="center"/>
                </w:tcPr>
                <w:p w14:paraId="6B76C926">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p>
              </w:tc>
              <w:tc>
                <w:tcPr>
                  <w:tcW w:w="839" w:type="dxa"/>
                  <w:vAlign w:val="center"/>
                </w:tcPr>
                <w:p w14:paraId="21D6F4E5">
                  <w:pPr>
                    <w:keepNext w:val="0"/>
                    <w:keepLines w:val="0"/>
                    <w:pageBreakBefore w:val="0"/>
                    <w:widowControl w:val="0"/>
                    <w:kinsoku/>
                    <w:wordWrap/>
                    <w:overflowPunct/>
                    <w:topLinePunct w:val="0"/>
                    <w:autoSpaceDE/>
                    <w:autoSpaceDN/>
                    <w:bidi w:val="0"/>
                    <w:adjustRightInd/>
                    <w:snapToGrid/>
                    <w:spacing w:before="63" w:beforeLines="20" w:after="63" w:afterLines="20" w:line="264"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T，I</w:t>
                  </w:r>
                </w:p>
              </w:tc>
              <w:tc>
                <w:tcPr>
                  <w:tcW w:w="476" w:type="dxa"/>
                  <w:vMerge w:val="continue"/>
                  <w:textDirection w:val="tbRlV"/>
                  <w:vAlign w:val="center"/>
                </w:tcPr>
                <w:p w14:paraId="70C65AB9">
                  <w:pPr>
                    <w:jc w:val="center"/>
                    <w:rPr>
                      <w:rFonts w:hint="default" w:ascii="Times New Roman" w:hAnsi="Times New Roman" w:cs="Times New Roman"/>
                      <w:color w:val="auto"/>
                      <w:sz w:val="21"/>
                      <w:highlight w:val="none"/>
                    </w:rPr>
                  </w:pPr>
                </w:p>
              </w:tc>
            </w:tr>
            <w:bookmarkEnd w:id="11"/>
            <w:bookmarkEnd w:id="12"/>
            <w:bookmarkEnd w:id="13"/>
          </w:tbl>
          <w:p w14:paraId="5FBB37CB">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（1）</w:t>
            </w:r>
            <w:r>
              <w:rPr>
                <w:rFonts w:hint="default" w:ascii="Times New Roman" w:hAnsi="Times New Roman" w:eastAsia="宋体" w:cs="Times New Roman"/>
                <w:b w:val="0"/>
                <w:bCs w:val="0"/>
                <w:color w:val="auto"/>
                <w:kern w:val="2"/>
                <w:sz w:val="24"/>
                <w:szCs w:val="24"/>
                <w:highlight w:val="none"/>
                <w:lang w:val="en-US" w:eastAsia="zh-CN" w:bidi="ar-SA"/>
              </w:rPr>
              <w:t>固废环境管理要求</w:t>
            </w:r>
          </w:p>
          <w:p w14:paraId="157E33C0">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①危险废物收集要求</w:t>
            </w:r>
          </w:p>
          <w:p w14:paraId="1D7E9B11">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危险废物在收集时，应清楚废物的类别及</w:t>
            </w:r>
            <w:r>
              <w:rPr>
                <w:rFonts w:hint="default" w:ascii="Times New Roman" w:hAnsi="Times New Roman" w:cs="Times New Roman"/>
                <w:color w:val="auto"/>
                <w:kern w:val="2"/>
                <w:sz w:val="24"/>
                <w:szCs w:val="24"/>
                <w:highlight w:val="none"/>
                <w:lang w:val="en-US" w:eastAsia="zh-CN" w:bidi="ar-SA"/>
              </w:rPr>
              <w:t>主要成分</w:t>
            </w:r>
            <w:r>
              <w:rPr>
                <w:rFonts w:hint="default" w:ascii="Times New Roman" w:hAnsi="Times New Roman" w:eastAsia="宋体" w:cs="Times New Roman"/>
                <w:color w:val="auto"/>
                <w:kern w:val="2"/>
                <w:sz w:val="24"/>
                <w:szCs w:val="24"/>
                <w:highlight w:val="none"/>
                <w:lang w:val="en-US" w:eastAsia="zh-CN" w:bidi="ar-SA"/>
              </w:rPr>
              <w:t>，以方便委托处理单位处理，本项目运营期产生的</w:t>
            </w:r>
            <w:r>
              <w:rPr>
                <w:rFonts w:hint="default" w:ascii="Times New Roman" w:hAnsi="Times New Roman" w:cs="Times New Roman"/>
                <w:color w:val="auto"/>
                <w:kern w:val="2"/>
                <w:sz w:val="24"/>
                <w:szCs w:val="24"/>
                <w:highlight w:val="none"/>
                <w:lang w:val="en-US" w:eastAsia="zh-CN" w:bidi="ar-SA"/>
              </w:rPr>
              <w:t>废润滑油、废液压油</w:t>
            </w:r>
            <w:r>
              <w:rPr>
                <w:rFonts w:hint="default" w:ascii="Times New Roman" w:hAnsi="Times New Roman" w:eastAsia="宋体" w:cs="Times New Roman"/>
                <w:color w:val="auto"/>
                <w:kern w:val="2"/>
                <w:sz w:val="24"/>
                <w:szCs w:val="24"/>
                <w:highlight w:val="none"/>
                <w:lang w:val="en-US" w:eastAsia="zh-CN" w:bidi="ar-SA"/>
              </w:rPr>
              <w:t>应用密闭容器储存，并在包装的明显位置附上危险废物标签，所有包装容器应足够安全，并经过周密检查，严防在装载、搬移或运输途中出现渗漏、溢出、抛洒或挥发等情况。</w:t>
            </w:r>
          </w:p>
          <w:p w14:paraId="423E88FF">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②危险废物暂存间要求</w:t>
            </w:r>
          </w:p>
          <w:p w14:paraId="6D089381">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危废暂存间的设置应符合《危险废物贮存污染控制标准》（GB18597-20</w:t>
            </w:r>
            <w:r>
              <w:rPr>
                <w:rFonts w:hint="default"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根据</w:t>
            </w:r>
            <w:r>
              <w:rPr>
                <w:rFonts w:hint="default" w:ascii="Times New Roman" w:hAnsi="Times New Roman" w:cs="Times New Roman"/>
                <w:color w:val="auto"/>
                <w:kern w:val="2"/>
                <w:sz w:val="24"/>
                <w:szCs w:val="24"/>
                <w:highlight w:val="none"/>
                <w:lang w:eastAsia="zh-CN"/>
              </w:rPr>
              <w:t>《危险废物贮存污染控制标准》（GB18597-2023），</w:t>
            </w:r>
            <w:r>
              <w:rPr>
                <w:rFonts w:hint="default"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cs="Times New Roman"/>
                <w:color w:val="auto"/>
                <w:kern w:val="2"/>
                <w:sz w:val="24"/>
                <w:szCs w:val="24"/>
                <w:highlight w:val="none"/>
                <w:lang w:val="en-US" w:eastAsia="zh-CN" w:bidi="ar-SA"/>
              </w:rPr>
              <w:t>部分</w:t>
            </w:r>
            <w:r>
              <w:rPr>
                <w:rFonts w:hint="default" w:ascii="Times New Roman" w:hAnsi="Times New Roman" w:eastAsia="宋体" w:cs="Times New Roman"/>
                <w:color w:val="auto"/>
                <w:kern w:val="2"/>
                <w:sz w:val="24"/>
                <w:szCs w:val="24"/>
                <w:highlight w:val="none"/>
                <w:lang w:val="en-US" w:eastAsia="zh-CN" w:bidi="ar-SA"/>
              </w:rPr>
              <w:t>要求</w:t>
            </w:r>
            <w:r>
              <w:rPr>
                <w:rFonts w:hint="default" w:ascii="Times New Roman" w:hAnsi="Times New Roman" w:cs="Times New Roman"/>
                <w:color w:val="auto"/>
                <w:kern w:val="2"/>
                <w:sz w:val="24"/>
                <w:szCs w:val="24"/>
                <w:highlight w:val="none"/>
                <w:lang w:val="en-US" w:eastAsia="zh-CN" w:bidi="ar-SA"/>
              </w:rPr>
              <w:t>如下</w:t>
            </w:r>
            <w:r>
              <w:rPr>
                <w:rFonts w:hint="default" w:ascii="Times New Roman" w:hAnsi="Times New Roman" w:eastAsia="宋体" w:cs="Times New Roman"/>
                <w:color w:val="auto"/>
                <w:kern w:val="2"/>
                <w:sz w:val="24"/>
                <w:szCs w:val="24"/>
                <w:highlight w:val="none"/>
                <w:lang w:val="en-US" w:eastAsia="zh-CN" w:bidi="ar-SA"/>
              </w:rPr>
              <w:t>：</w:t>
            </w:r>
          </w:p>
          <w:p w14:paraId="6122F3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A.贮存设施应根据危险废物的形态、物理化学性质、包装形式和污染物迁移途径，采取必要的防风、防晒、防雨、防漏、防渗、防腐以及其他环境污染防治措施，不应露天堆放危险废物。</w:t>
            </w:r>
          </w:p>
          <w:p w14:paraId="46DCF6B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B.贮存设施应根据危险废物的类别、数量、形态、物理化学性质和污染防治等要求设置必要的贮存分区，避免不相容的危险废物接触、混合。</w:t>
            </w:r>
          </w:p>
          <w:p w14:paraId="033388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C.贮存设施或贮存分区内地面、墙面裙脚、堵截泄漏的围堰、接触危险废物的隔板和墙体等应采用坚固的材料建造，表面无裂缝。</w:t>
            </w:r>
          </w:p>
          <w:p w14:paraId="134EB5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4"/>
                <w:szCs w:val="24"/>
                <w:highlight w:val="none"/>
                <w:u w:val="none" w:color="auto"/>
                <w:vertAlign w:val="superscript"/>
                <w:lang w:val="en-US" w:eastAsia="zh-CN" w:bidi="ar-SA"/>
              </w:rPr>
              <w:t>-7</w:t>
            </w:r>
            <w:r>
              <w:rPr>
                <w:rFonts w:hint="default" w:ascii="Times New Roman" w:hAnsi="Times New Roman" w:eastAsia="宋体" w:cs="Times New Roman"/>
                <w:color w:val="auto"/>
                <w:kern w:val="0"/>
                <w:sz w:val="24"/>
                <w:szCs w:val="24"/>
                <w:highlight w:val="none"/>
                <w:u w:val="none" w:color="auto"/>
                <w:lang w:val="en-US" w:eastAsia="zh-CN" w:bidi="ar-SA"/>
              </w:rPr>
              <w:t>cm/s），或至少2mm厚高密度聚乙烯膜等人工防渗材料（渗透系数不大于10</w:t>
            </w:r>
            <w:r>
              <w:rPr>
                <w:rFonts w:hint="default" w:ascii="Times New Roman" w:hAnsi="Times New Roman" w:eastAsia="宋体" w:cs="Times New Roman"/>
                <w:color w:val="auto"/>
                <w:kern w:val="0"/>
                <w:sz w:val="24"/>
                <w:szCs w:val="24"/>
                <w:highlight w:val="none"/>
                <w:u w:val="none" w:color="auto"/>
                <w:vertAlign w:val="superscript"/>
                <w:lang w:val="en-US" w:eastAsia="zh-CN" w:bidi="ar-SA"/>
              </w:rPr>
              <w:t>-10</w:t>
            </w:r>
            <w:r>
              <w:rPr>
                <w:rFonts w:hint="default" w:ascii="Times New Roman" w:hAnsi="Times New Roman" w:eastAsia="宋体" w:cs="Times New Roman"/>
                <w:color w:val="auto"/>
                <w:kern w:val="0"/>
                <w:sz w:val="24"/>
                <w:szCs w:val="24"/>
                <w:highlight w:val="none"/>
                <w:u w:val="none" w:color="auto"/>
                <w:lang w:val="en-US" w:eastAsia="zh-CN" w:bidi="ar-SA"/>
              </w:rPr>
              <w:t>cm/s），或其他防渗性能等效的材料。</w:t>
            </w:r>
          </w:p>
          <w:p w14:paraId="6A4A81F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E.同一贮存设施宜采用相同的防渗、防腐工艺（包括防渗、防腐结构或材料），防渗、防腐材料应覆盖所有可能与废物及其渗滤液、渗漏液等接触的构筑物表面；采用不同防渗、防腐工艺应分别建设贮存分区。</w:t>
            </w:r>
          </w:p>
          <w:p w14:paraId="51D42E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F.贮存设施应采取技术和管理措施防止无关人员进入。</w:t>
            </w:r>
          </w:p>
          <w:p w14:paraId="1C3E9B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G.贮存设施或场所、容器和包装物应按HJ1276要求设置危险废物贮存设施或场所标志、危险废物贮存分区标志和危险废物标签等危险废物识别标志。</w:t>
            </w:r>
          </w:p>
          <w:p w14:paraId="14DE28F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③危废暂存间依托性分析</w:t>
            </w:r>
          </w:p>
          <w:p w14:paraId="0170706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宋体"/>
                <w:caps w:val="0"/>
                <w:color w:val="auto"/>
                <w:kern w:val="2"/>
                <w:sz w:val="24"/>
                <w:szCs w:val="24"/>
                <w:highlight w:val="none"/>
                <w:u w:val="single"/>
              </w:rPr>
            </w:pPr>
            <w:r>
              <w:rPr>
                <w:rFonts w:hint="eastAsia" w:ascii="宋体" w:hAnsi="宋体" w:eastAsia="宋体" w:cs="宋体"/>
                <w:caps w:val="0"/>
                <w:color w:val="auto"/>
                <w:kern w:val="2"/>
                <w:sz w:val="24"/>
                <w:szCs w:val="24"/>
                <w:highlight w:val="none"/>
                <w:u w:val="single"/>
                <w:lang w:val="en-US" w:eastAsia="zh-CN" w:bidi="ar"/>
              </w:rPr>
              <w:t>项目在</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泊位后方设置一处危废暂存库，占地面积</w:t>
            </w:r>
            <w:r>
              <w:rPr>
                <w:rFonts w:hint="default" w:ascii="Times New Roman" w:hAnsi="Times New Roman" w:eastAsia="宋体" w:cs="Times New Roman"/>
                <w:caps w:val="0"/>
                <w:color w:val="auto"/>
                <w:kern w:val="2"/>
                <w:sz w:val="24"/>
                <w:szCs w:val="24"/>
                <w:highlight w:val="none"/>
                <w:u w:val="single"/>
                <w:lang w:val="en-US" w:eastAsia="zh-CN" w:bidi="ar"/>
              </w:rPr>
              <w:t>154m</w:t>
            </w:r>
            <w:r>
              <w:rPr>
                <w:rFonts w:hint="default" w:ascii="Times New Roman" w:hAnsi="Times New Roman" w:eastAsia="宋体" w:cs="Times New Roman"/>
                <w:caps w:val="0"/>
                <w:color w:val="auto"/>
                <w:kern w:val="2"/>
                <w:sz w:val="24"/>
                <w:szCs w:val="24"/>
                <w:highlight w:val="none"/>
                <w:u w:val="single"/>
                <w:vertAlign w:val="superscript"/>
                <w:lang w:val="en-US" w:eastAsia="zh-CN" w:bidi="ar"/>
              </w:rPr>
              <w:t>2</w:t>
            </w:r>
            <w:r>
              <w:rPr>
                <w:rFonts w:hint="eastAsia" w:ascii="宋体" w:hAnsi="宋体" w:eastAsia="宋体" w:cs="宋体"/>
                <w:caps w:val="0"/>
                <w:color w:val="auto"/>
                <w:kern w:val="2"/>
                <w:sz w:val="24"/>
                <w:szCs w:val="24"/>
                <w:highlight w:val="none"/>
                <w:u w:val="single"/>
                <w:lang w:val="en-US" w:eastAsia="zh-CN" w:bidi="ar"/>
              </w:rPr>
              <w:t>，满足防风、防雨、防晒、防渗、防漏、防腐要求，基础采用防渗水泥，设计有完善的堵截泄漏的裙脚、采用隔离墙分隔区域、地下导流沟和收集池等径流疏导系统，根据贮存的危险废物的类别、形态、物理化学性质和污染防治要求进行分类贮存，贮存间、容器和包装物按</w:t>
            </w:r>
            <w:r>
              <w:rPr>
                <w:rFonts w:hint="default" w:ascii="Times New Roman" w:hAnsi="Times New Roman" w:eastAsia="宋体" w:cs="Times New Roman"/>
                <w:caps w:val="0"/>
                <w:color w:val="auto"/>
                <w:kern w:val="2"/>
                <w:sz w:val="24"/>
                <w:szCs w:val="24"/>
                <w:highlight w:val="none"/>
                <w:u w:val="single"/>
                <w:lang w:val="en-US" w:eastAsia="zh-CN" w:bidi="ar"/>
              </w:rPr>
              <w:t>HJ1276</w:t>
            </w:r>
            <w:r>
              <w:rPr>
                <w:rFonts w:hint="eastAsia" w:ascii="宋体" w:hAnsi="宋体" w:eastAsia="宋体" w:cs="宋体"/>
                <w:caps w:val="0"/>
                <w:color w:val="auto"/>
                <w:kern w:val="2"/>
                <w:sz w:val="24"/>
                <w:szCs w:val="24"/>
                <w:highlight w:val="none"/>
                <w:u w:val="single"/>
                <w:lang w:val="en-US" w:eastAsia="zh-CN" w:bidi="ar"/>
              </w:rPr>
              <w:t>要求设置标志、危险废物贮存分区标志和危险废物标签等危险废物识别标志。项目建设单位按要求制定危险废物管理台账，并且记录保存时间不少于</w:t>
            </w:r>
            <w:r>
              <w:rPr>
                <w:rFonts w:hint="default" w:ascii="Times New Roman" w:hAnsi="Times New Roman" w:eastAsia="宋体" w:cs="Times New Roman"/>
                <w:caps w:val="0"/>
                <w:color w:val="auto"/>
                <w:kern w:val="2"/>
                <w:sz w:val="24"/>
                <w:szCs w:val="24"/>
                <w:highlight w:val="none"/>
                <w:u w:val="single"/>
                <w:lang w:val="en-US" w:eastAsia="zh-CN" w:bidi="ar"/>
              </w:rPr>
              <w:t>3</w:t>
            </w:r>
            <w:r>
              <w:rPr>
                <w:rFonts w:hint="eastAsia" w:ascii="宋体" w:hAnsi="宋体" w:eastAsia="宋体" w:cs="宋体"/>
                <w:caps w:val="0"/>
                <w:color w:val="auto"/>
                <w:kern w:val="2"/>
                <w:sz w:val="24"/>
                <w:szCs w:val="24"/>
                <w:highlight w:val="none"/>
                <w:u w:val="single"/>
                <w:lang w:val="en-US" w:eastAsia="zh-CN" w:bidi="ar"/>
              </w:rPr>
              <w:t>个月。项目现有危废暂存间主要暂存废矿物油、废锂基脂油、含油抹布、废油桶、废油管、废滤芯、废油漆桶、废铅蓄电池、废灯管、废电路板、废墨盒、废油漆渣、废活性炭过滤棉和污水处理站产生的少量含油油泥等危险废物，其中可能产生有机废气的废矿物油、含油抹布、废油漆渣均采用密闭桶装，废油桶、废油漆桶均加盖暂存，该类危险废物含矿物油量不大、暂存时间短，产生的挥发性有机废气可忽略不计，且危废暂存库各排风口均设有活性炭过滤棉对有机废气进行吸附处理后排放，对周围环境影响较小。现有工程危废暂存库的建设符合《危险废物贮存污染控制标准》（</w:t>
            </w:r>
            <w:r>
              <w:rPr>
                <w:rFonts w:hint="default" w:ascii="Times New Roman" w:hAnsi="Times New Roman" w:eastAsia="宋体" w:cs="Times New Roman"/>
                <w:caps w:val="0"/>
                <w:color w:val="auto"/>
                <w:kern w:val="2"/>
                <w:sz w:val="24"/>
                <w:szCs w:val="24"/>
                <w:highlight w:val="none"/>
                <w:u w:val="single"/>
                <w:lang w:val="en-US" w:eastAsia="zh-CN" w:bidi="ar"/>
              </w:rPr>
              <w:t>GB18597-2023</w:t>
            </w:r>
            <w:r>
              <w:rPr>
                <w:rFonts w:hint="eastAsia" w:ascii="宋体" w:hAnsi="宋体" w:eastAsia="宋体" w:cs="宋体"/>
                <w:caps w:val="0"/>
                <w:color w:val="auto"/>
                <w:kern w:val="2"/>
                <w:sz w:val="24"/>
                <w:szCs w:val="24"/>
                <w:highlight w:val="none"/>
                <w:u w:val="single"/>
                <w:lang w:val="en-US" w:eastAsia="zh-CN" w:bidi="ar"/>
              </w:rPr>
              <w:t>）要求。</w:t>
            </w:r>
          </w:p>
          <w:p w14:paraId="46DE117B">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宋体"/>
                <w:caps w:val="0"/>
                <w:color w:val="auto"/>
                <w:kern w:val="2"/>
                <w:sz w:val="24"/>
                <w:szCs w:val="24"/>
                <w:highlight w:val="none"/>
                <w:u w:val="single"/>
              </w:rPr>
            </w:pPr>
            <w:r>
              <w:rPr>
                <w:rFonts w:hint="eastAsia" w:ascii="宋体" w:hAnsi="宋体" w:eastAsia="宋体" w:cs="宋体"/>
                <w:caps w:val="0"/>
                <w:color w:val="auto"/>
                <w:kern w:val="2"/>
                <w:sz w:val="24"/>
                <w:szCs w:val="24"/>
                <w:highlight w:val="none"/>
                <w:u w:val="single"/>
                <w:lang w:val="en-US" w:eastAsia="zh-CN" w:bidi="ar"/>
              </w:rPr>
              <w:t>该危废暂存间于</w:t>
            </w:r>
            <w:r>
              <w:rPr>
                <w:rFonts w:hint="default" w:ascii="Times New Roman" w:hAnsi="Times New Roman" w:eastAsia="宋体" w:cs="Times New Roman"/>
                <w:caps w:val="0"/>
                <w:color w:val="auto"/>
                <w:kern w:val="2"/>
                <w:sz w:val="24"/>
                <w:szCs w:val="24"/>
                <w:highlight w:val="none"/>
                <w:u w:val="single"/>
                <w:lang w:val="en-US" w:eastAsia="zh-CN" w:bidi="ar"/>
              </w:rPr>
              <w:t>2021</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4</w:t>
            </w:r>
            <w:r>
              <w:rPr>
                <w:rFonts w:hint="eastAsia" w:ascii="宋体" w:hAnsi="宋体" w:eastAsia="宋体" w:cs="宋体"/>
                <w:caps w:val="0"/>
                <w:color w:val="auto"/>
                <w:kern w:val="2"/>
                <w:sz w:val="24"/>
                <w:szCs w:val="24"/>
                <w:highlight w:val="none"/>
                <w:u w:val="single"/>
                <w:lang w:val="en-US" w:eastAsia="zh-CN" w:bidi="ar"/>
              </w:rPr>
              <w:t>月建成并投入使用。</w:t>
            </w:r>
            <w:r>
              <w:rPr>
                <w:rFonts w:hint="default" w:ascii="Times New Roman" w:hAnsi="Times New Roman" w:eastAsia="宋体" w:cs="Times New Roman"/>
                <w:caps w:val="0"/>
                <w:color w:val="auto"/>
                <w:kern w:val="2"/>
                <w:sz w:val="24"/>
                <w:szCs w:val="24"/>
                <w:highlight w:val="none"/>
                <w:u w:val="single"/>
                <w:lang w:val="en-US" w:eastAsia="zh-CN" w:bidi="ar"/>
              </w:rPr>
              <w:t>2021</w:t>
            </w:r>
            <w:r>
              <w:rPr>
                <w:rFonts w:hint="eastAsia" w:ascii="宋体" w:hAnsi="宋体" w:eastAsia="宋体" w:cs="宋体"/>
                <w:caps w:val="0"/>
                <w:color w:val="auto"/>
                <w:kern w:val="2"/>
                <w:sz w:val="24"/>
                <w:szCs w:val="24"/>
                <w:highlight w:val="none"/>
                <w:u w:val="single"/>
                <w:lang w:val="en-US" w:eastAsia="zh-CN" w:bidi="ar"/>
              </w:rPr>
              <w:t>年底，码头运营单位广西北部湾国际集装箱码头有限公司委托开展了钦州港大榄坪南作业区</w:t>
            </w:r>
            <w:r>
              <w:rPr>
                <w:rFonts w:hint="eastAsia" w:ascii="Times New Roman" w:hAnsi="Times New Roman" w:eastAsia="宋体" w:cs="宋体"/>
                <w:caps w:val="0"/>
                <w:color w:val="auto"/>
                <w:kern w:val="2"/>
                <w:sz w:val="24"/>
                <w:szCs w:val="24"/>
                <w:highlight w:val="none"/>
                <w:u w:val="single"/>
                <w:lang w:val="en-US" w:eastAsia="zh-CN" w:bidi="ar"/>
              </w:rPr>
              <w:t xml:space="preserve"> </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泊位危废库项目环境影响评价工作，补充完善了该危废暂存间相关环保手续，于</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1</w:t>
            </w:r>
            <w:r>
              <w:rPr>
                <w:rFonts w:hint="eastAsia" w:ascii="宋体" w:hAnsi="宋体" w:eastAsia="宋体" w:cs="宋体"/>
                <w:caps w:val="0"/>
                <w:color w:val="auto"/>
                <w:kern w:val="2"/>
                <w:sz w:val="24"/>
                <w:szCs w:val="24"/>
                <w:highlight w:val="none"/>
                <w:u w:val="single"/>
                <w:lang w:val="en-US" w:eastAsia="zh-CN" w:bidi="ar"/>
              </w:rPr>
              <w:t>月，取得钦州市生态环境局关于项目环评的批复（自贸钦港审批环〔</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w:t>
            </w:r>
            <w:r>
              <w:rPr>
                <w:rFonts w:hint="default" w:ascii="Times New Roman" w:hAnsi="Times New Roman" w:eastAsia="宋体" w:cs="Times New Roman"/>
                <w:caps w:val="0"/>
                <w:color w:val="auto"/>
                <w:kern w:val="2"/>
                <w:sz w:val="24"/>
                <w:szCs w:val="24"/>
                <w:highlight w:val="none"/>
                <w:u w:val="single"/>
                <w:lang w:val="en-US" w:eastAsia="zh-CN" w:bidi="ar"/>
              </w:rPr>
              <w:t>3</w:t>
            </w:r>
            <w:r>
              <w:rPr>
                <w:rFonts w:hint="eastAsia" w:ascii="宋体" w:hAnsi="宋体" w:eastAsia="宋体" w:cs="宋体"/>
                <w:caps w:val="0"/>
                <w:color w:val="auto"/>
                <w:kern w:val="2"/>
                <w:sz w:val="24"/>
                <w:szCs w:val="24"/>
                <w:highlight w:val="none"/>
                <w:u w:val="single"/>
                <w:lang w:val="en-US" w:eastAsia="zh-CN" w:bidi="ar"/>
              </w:rPr>
              <w:t>号）（附件</w:t>
            </w:r>
            <w:r>
              <w:rPr>
                <w:rFonts w:hint="eastAsia" w:ascii="Times New Roman" w:hAnsi="Times New Roman" w:eastAsia="宋体" w:cs="Times New Roman"/>
                <w:caps w:val="0"/>
                <w:color w:val="auto"/>
                <w:kern w:val="2"/>
                <w:sz w:val="24"/>
                <w:szCs w:val="24"/>
                <w:highlight w:val="none"/>
                <w:u w:val="single"/>
                <w:lang w:val="en-US" w:eastAsia="zh-CN" w:bidi="ar"/>
              </w:rPr>
              <w:t>14</w:t>
            </w:r>
            <w:r>
              <w:rPr>
                <w:rFonts w:hint="eastAsia" w:ascii="宋体" w:hAnsi="宋体" w:eastAsia="宋体" w:cs="宋体"/>
                <w:caps w:val="0"/>
                <w:color w:val="auto"/>
                <w:kern w:val="2"/>
                <w:sz w:val="24"/>
                <w:szCs w:val="24"/>
                <w:highlight w:val="none"/>
                <w:u w:val="single"/>
                <w:lang w:val="en-US" w:eastAsia="zh-CN" w:bidi="ar"/>
              </w:rPr>
              <w:t>），</w:t>
            </w:r>
            <w:r>
              <w:rPr>
                <w:rFonts w:hint="default" w:ascii="Times New Roman" w:hAnsi="Times New Roman" w:eastAsia="宋体" w:cs="Times New Roman"/>
                <w:caps w:val="0"/>
                <w:color w:val="auto"/>
                <w:kern w:val="2"/>
                <w:sz w:val="24"/>
                <w:szCs w:val="24"/>
                <w:highlight w:val="none"/>
                <w:u w:val="single"/>
                <w:lang w:val="en-US" w:eastAsia="zh-CN" w:bidi="ar"/>
              </w:rPr>
              <w:t>2022</w:t>
            </w:r>
            <w:r>
              <w:rPr>
                <w:rFonts w:hint="eastAsia" w:ascii="宋体" w:hAnsi="宋体" w:eastAsia="宋体" w:cs="宋体"/>
                <w:caps w:val="0"/>
                <w:color w:val="auto"/>
                <w:kern w:val="2"/>
                <w:sz w:val="24"/>
                <w:szCs w:val="24"/>
                <w:highlight w:val="none"/>
                <w:u w:val="single"/>
                <w:lang w:val="en-US" w:eastAsia="zh-CN" w:bidi="ar"/>
              </w:rPr>
              <w:t>年</w:t>
            </w:r>
            <w:r>
              <w:rPr>
                <w:rFonts w:hint="default" w:ascii="Times New Roman" w:hAnsi="Times New Roman" w:eastAsia="宋体" w:cs="Times New Roman"/>
                <w:caps w:val="0"/>
                <w:color w:val="auto"/>
                <w:kern w:val="2"/>
                <w:sz w:val="24"/>
                <w:szCs w:val="24"/>
                <w:highlight w:val="none"/>
                <w:u w:val="single"/>
                <w:lang w:val="en-US" w:eastAsia="zh-CN" w:bidi="ar"/>
              </w:rPr>
              <w:t>2</w:t>
            </w:r>
            <w:r>
              <w:rPr>
                <w:rFonts w:hint="eastAsia" w:ascii="宋体" w:hAnsi="宋体" w:eastAsia="宋体" w:cs="宋体"/>
                <w:caps w:val="0"/>
                <w:color w:val="auto"/>
                <w:kern w:val="2"/>
                <w:sz w:val="24"/>
                <w:szCs w:val="24"/>
                <w:highlight w:val="none"/>
                <w:u w:val="single"/>
                <w:lang w:val="en-US" w:eastAsia="zh-CN" w:bidi="ar"/>
              </w:rPr>
              <w:t>月通过竣工环保验收。</w:t>
            </w:r>
          </w:p>
          <w:tbl>
            <w:tblPr>
              <w:tblStyle w:val="4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1"/>
              <w:gridCol w:w="4261"/>
            </w:tblGrid>
            <w:tr w14:paraId="1600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00A1C569">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IMG_256"/>
                                <pic:cNvPicPr>
                                  <a:picLocks noChangeAspect="1"/>
                                </pic:cNvPicPr>
                              </pic:nvPicPr>
                              <pic:blipFill>
                                <a:blip r:embed="rId21"/>
                                <a:stretch>
                                  <a:fillRect/>
                                </a:stretch>
                              </pic:blipFill>
                              <pic:spPr>
                                <a:xfrm>
                                  <a:off x="0" y="0"/>
                                  <a:ext cx="2562225" cy="19240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5ACDA7F">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5"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57"/>
                                <pic:cNvPicPr>
                                  <a:picLocks noChangeAspect="1"/>
                                </pic:cNvPicPr>
                              </pic:nvPicPr>
                              <pic:blipFill>
                                <a:blip r:embed="rId22"/>
                                <a:stretch>
                                  <a:fillRect/>
                                </a:stretch>
                              </pic:blipFill>
                              <pic:spPr>
                                <a:xfrm>
                                  <a:off x="0" y="0"/>
                                  <a:ext cx="2562225" cy="1924050"/>
                                </a:xfrm>
                                <a:prstGeom prst="rect">
                                  <a:avLst/>
                                </a:prstGeom>
                                <a:noFill/>
                                <a:ln w="9525">
                                  <a:noFill/>
                                </a:ln>
                              </pic:spPr>
                            </pic:pic>
                          </a:graphicData>
                        </a:graphic>
                      </wp:inline>
                    </w:drawing>
                  </w:r>
                </w:p>
              </w:tc>
            </w:tr>
            <w:tr w14:paraId="19F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4CEE45FA">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26"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58"/>
                                <pic:cNvPicPr>
                                  <a:picLocks noChangeAspect="1"/>
                                </pic:cNvPicPr>
                              </pic:nvPicPr>
                              <pic:blipFill>
                                <a:blip r:embed="rId23"/>
                                <a:stretch>
                                  <a:fillRect/>
                                </a:stretch>
                              </pic:blipFill>
                              <pic:spPr>
                                <a:xfrm>
                                  <a:off x="0" y="0"/>
                                  <a:ext cx="2562225" cy="19240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3910C95">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Times New Roman" w:hAnsi="Times New Roman" w:eastAsia="宋体" w:cs="宋体"/>
                      <w:caps w:val="0"/>
                      <w:color w:val="auto"/>
                      <w:kern w:val="0"/>
                      <w:sz w:val="24"/>
                      <w:szCs w:val="24"/>
                      <w:highlight w:val="none"/>
                    </w:rPr>
                    <w:drawing>
                      <wp:inline distT="0" distB="0" distL="114300" distR="114300">
                        <wp:extent cx="2562225" cy="1924050"/>
                        <wp:effectExtent l="0" t="0" r="9525" b="0"/>
                        <wp:docPr id="31"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9"/>
                                <pic:cNvPicPr>
                                  <a:picLocks noChangeAspect="1"/>
                                </pic:cNvPicPr>
                              </pic:nvPicPr>
                              <pic:blipFill>
                                <a:blip r:embed="rId24"/>
                                <a:stretch>
                                  <a:fillRect/>
                                </a:stretch>
                              </pic:blipFill>
                              <pic:spPr>
                                <a:xfrm>
                                  <a:off x="0" y="0"/>
                                  <a:ext cx="2562225" cy="1924050"/>
                                </a:xfrm>
                                <a:prstGeom prst="rect">
                                  <a:avLst/>
                                </a:prstGeom>
                                <a:noFill/>
                                <a:ln w="9525">
                                  <a:noFill/>
                                </a:ln>
                              </pic:spPr>
                            </pic:pic>
                          </a:graphicData>
                        </a:graphic>
                      </wp:inline>
                    </w:drawing>
                  </w:r>
                </w:p>
              </w:tc>
            </w:tr>
            <w:tr w14:paraId="05C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1040A0">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caps w:val="0"/>
                      <w:color w:val="auto"/>
                      <w:kern w:val="0"/>
                      <w:sz w:val="24"/>
                      <w:szCs w:val="24"/>
                      <w:highlight w:val="none"/>
                    </w:rPr>
                  </w:pPr>
                  <w:r>
                    <w:rPr>
                      <w:rFonts w:hint="eastAsia" w:ascii="宋体" w:hAnsi="宋体" w:eastAsia="宋体" w:cs="宋体"/>
                      <w:b/>
                      <w:bCs/>
                      <w:caps w:val="0"/>
                      <w:color w:val="auto"/>
                      <w:kern w:val="2"/>
                      <w:sz w:val="24"/>
                      <w:szCs w:val="24"/>
                      <w:highlight w:val="none"/>
                    </w:rPr>
                    <w:t>危废暂存库现状</w:t>
                  </w:r>
                </w:p>
              </w:tc>
            </w:tr>
            <w:tr w14:paraId="657D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90D2412">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default" w:ascii="仿宋_GB2312" w:hAnsi="Calibri" w:eastAsia="仿宋_GB2312" w:cs="仿宋_GB2312"/>
                      <w:color w:val="auto"/>
                      <w:kern w:val="0"/>
                      <w:sz w:val="24"/>
                      <w:szCs w:val="24"/>
                      <w:highlight w:val="none"/>
                    </w:rPr>
                    <w:drawing>
                      <wp:anchor distT="0" distB="0" distL="114300" distR="114300" simplePos="0" relativeHeight="251664384" behindDoc="0" locked="0" layoutInCell="1" allowOverlap="1">
                        <wp:simplePos x="0" y="0"/>
                        <wp:positionH relativeFrom="column">
                          <wp:posOffset>1932940</wp:posOffset>
                        </wp:positionH>
                        <wp:positionV relativeFrom="paragraph">
                          <wp:posOffset>745490</wp:posOffset>
                        </wp:positionV>
                        <wp:extent cx="409575" cy="323850"/>
                        <wp:effectExtent l="0" t="0" r="9525" b="0"/>
                        <wp:wrapNone/>
                        <wp:docPr id="29"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60"/>
                                <pic:cNvPicPr>
                                  <a:picLocks noChangeAspect="1"/>
                                </pic:cNvPicPr>
                              </pic:nvPicPr>
                              <pic:blipFill>
                                <a:blip r:embed="rId25"/>
                                <a:stretch>
                                  <a:fillRect/>
                                </a:stretch>
                              </pic:blipFill>
                              <pic:spPr>
                                <a:xfrm>
                                  <a:off x="0" y="0"/>
                                  <a:ext cx="409575" cy="323850"/>
                                </a:xfrm>
                                <a:prstGeom prst="rect">
                                  <a:avLst/>
                                </a:prstGeom>
                                <a:noFill/>
                                <a:ln w="9525">
                                  <a:noFill/>
                                </a:ln>
                              </pic:spPr>
                            </pic:pic>
                          </a:graphicData>
                        </a:graphic>
                      </wp:anchor>
                    </w:drawing>
                  </w:r>
                  <w:r>
                    <w:rPr>
                      <w:rFonts w:hint="default" w:ascii="仿宋_GB2312" w:hAnsi="Calibri" w:eastAsia="仿宋_GB2312" w:cs="仿宋_GB2312"/>
                      <w:color w:val="auto"/>
                      <w:kern w:val="0"/>
                      <w:sz w:val="24"/>
                      <w:szCs w:val="24"/>
                      <w:highlight w:val="none"/>
                    </w:rPr>
                    <w:drawing>
                      <wp:anchor distT="0" distB="0" distL="114300" distR="114300" simplePos="0" relativeHeight="251665408" behindDoc="0" locked="0" layoutInCell="1" allowOverlap="1">
                        <wp:simplePos x="0" y="0"/>
                        <wp:positionH relativeFrom="column">
                          <wp:posOffset>147955</wp:posOffset>
                        </wp:positionH>
                        <wp:positionV relativeFrom="paragraph">
                          <wp:posOffset>701675</wp:posOffset>
                        </wp:positionV>
                        <wp:extent cx="409575" cy="323850"/>
                        <wp:effectExtent l="0" t="0" r="9525" b="0"/>
                        <wp:wrapNone/>
                        <wp:docPr id="32"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262"/>
                                <pic:cNvPicPr>
                                  <a:picLocks noChangeAspect="1"/>
                                </pic:cNvPicPr>
                              </pic:nvPicPr>
                              <pic:blipFill>
                                <a:blip r:embed="rId25"/>
                                <a:stretch>
                                  <a:fillRect/>
                                </a:stretch>
                              </pic:blipFill>
                              <pic:spPr>
                                <a:xfrm>
                                  <a:off x="0" y="0"/>
                                  <a:ext cx="409575" cy="323850"/>
                                </a:xfrm>
                                <a:prstGeom prst="rect">
                                  <a:avLst/>
                                </a:prstGeom>
                                <a:noFill/>
                                <a:ln w="9525">
                                  <a:noFill/>
                                </a:ln>
                              </pic:spPr>
                            </pic:pic>
                          </a:graphicData>
                        </a:graphic>
                      </wp:anchor>
                    </w:drawing>
                  </w:r>
                  <w:r>
                    <w:rPr>
                      <w:rFonts w:hint="eastAsia" w:ascii="Times New Roman" w:hAnsi="Times New Roman" w:eastAsia="宋体" w:cs="宋体"/>
                      <w:b/>
                      <w:bCs/>
                      <w:caps w:val="0"/>
                      <w:color w:val="auto"/>
                      <w:kern w:val="2"/>
                      <w:sz w:val="24"/>
                      <w:szCs w:val="24"/>
                      <w:highlight w:val="none"/>
                    </w:rPr>
                    <w:drawing>
                      <wp:inline distT="0" distB="0" distL="114300" distR="114300">
                        <wp:extent cx="2505075" cy="1885950"/>
                        <wp:effectExtent l="0" t="0" r="9525" b="0"/>
                        <wp:docPr id="28"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61"/>
                                <pic:cNvPicPr>
                                  <a:picLocks noChangeAspect="1"/>
                                </pic:cNvPicPr>
                              </pic:nvPicPr>
                              <pic:blipFill>
                                <a:blip r:embed="rId26"/>
                                <a:stretch>
                                  <a:fillRect/>
                                </a:stretch>
                              </pic:blipFill>
                              <pic:spPr>
                                <a:xfrm>
                                  <a:off x="0" y="0"/>
                                  <a:ext cx="2505075" cy="1885950"/>
                                </a:xfrm>
                                <a:prstGeom prst="rect">
                                  <a:avLst/>
                                </a:prstGeom>
                                <a:noFill/>
                                <a:ln w="9525">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95B3C37">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eastAsia" w:ascii="Times New Roman" w:hAnsi="Times New Roman" w:eastAsia="宋体" w:cs="宋体"/>
                      <w:b/>
                      <w:bCs/>
                      <w:caps w:val="0"/>
                      <w:color w:val="auto"/>
                      <w:kern w:val="2"/>
                      <w:sz w:val="24"/>
                      <w:szCs w:val="24"/>
                      <w:highlight w:val="none"/>
                    </w:rPr>
                    <w:drawing>
                      <wp:inline distT="0" distB="0" distL="114300" distR="114300">
                        <wp:extent cx="2505075" cy="1885950"/>
                        <wp:effectExtent l="0" t="0" r="9525" b="0"/>
                        <wp:docPr id="30"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63"/>
                                <pic:cNvPicPr>
                                  <a:picLocks noChangeAspect="1"/>
                                </pic:cNvPicPr>
                              </pic:nvPicPr>
                              <pic:blipFill>
                                <a:blip r:embed="rId27"/>
                                <a:stretch>
                                  <a:fillRect/>
                                </a:stretch>
                              </pic:blipFill>
                              <pic:spPr>
                                <a:xfrm>
                                  <a:off x="0" y="0"/>
                                  <a:ext cx="2505075" cy="1885950"/>
                                </a:xfrm>
                                <a:prstGeom prst="rect">
                                  <a:avLst/>
                                </a:prstGeom>
                                <a:noFill/>
                                <a:ln w="9525">
                                  <a:noFill/>
                                </a:ln>
                              </pic:spPr>
                            </pic:pic>
                          </a:graphicData>
                        </a:graphic>
                      </wp:inline>
                    </w:drawing>
                  </w:r>
                </w:p>
              </w:tc>
            </w:tr>
            <w:tr w14:paraId="340D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B53C0C">
                  <w:pPr>
                    <w:keepNext w:val="0"/>
                    <w:keepLines w:val="0"/>
                    <w:widowControl w:val="0"/>
                    <w:suppressLineNumbers w:val="0"/>
                    <w:autoSpaceDE w:val="0"/>
                    <w:autoSpaceDN/>
                    <w:adjustRightInd w:val="0"/>
                    <w:snapToGrid w:val="0"/>
                    <w:spacing w:before="0" w:beforeAutospacing="1" w:after="0" w:afterAutospacing="1"/>
                    <w:ind w:left="0" w:right="0" w:firstLine="0"/>
                    <w:jc w:val="center"/>
                    <w:rPr>
                      <w:rFonts w:hint="eastAsia" w:ascii="Times New Roman" w:hAnsi="Times New Roman" w:eastAsia="宋体" w:cs="宋体"/>
                      <w:b/>
                      <w:bCs/>
                      <w:caps w:val="0"/>
                      <w:color w:val="auto"/>
                      <w:kern w:val="2"/>
                      <w:sz w:val="24"/>
                      <w:szCs w:val="24"/>
                      <w:highlight w:val="none"/>
                    </w:rPr>
                  </w:pPr>
                  <w:r>
                    <w:rPr>
                      <w:rFonts w:hint="eastAsia" w:ascii="宋体" w:hAnsi="宋体" w:eastAsia="宋体" w:cs="宋体"/>
                      <w:b/>
                      <w:bCs/>
                      <w:caps w:val="0"/>
                      <w:color w:val="auto"/>
                      <w:kern w:val="2"/>
                      <w:sz w:val="24"/>
                      <w:szCs w:val="24"/>
                      <w:highlight w:val="none"/>
                      <w:u w:val="single"/>
                    </w:rPr>
                    <w:t>危废暂存库活性炭过滤棉装置</w:t>
                  </w:r>
                </w:p>
              </w:tc>
            </w:tr>
          </w:tbl>
          <w:p w14:paraId="26FF88C5">
            <w:pPr>
              <w:pStyle w:val="1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14:paraId="6EBB8F7E">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u w:val="single" w:color="auto"/>
                <w:lang w:eastAsia="zh-CN"/>
              </w:rPr>
            </w:pPr>
            <w:r>
              <w:rPr>
                <w:rFonts w:hint="eastAsia" w:ascii="Times New Roman" w:hAnsi="Times New Roman" w:eastAsia="宋体"/>
                <w:caps w:val="0"/>
                <w:smallCaps w:val="0"/>
                <w:color w:val="auto"/>
                <w:sz w:val="24"/>
                <w:szCs w:val="22"/>
                <w:highlight w:val="none"/>
                <w:u w:val="single" w:color="auto"/>
                <w:lang w:val="en-US" w:eastAsia="zh-CN"/>
              </w:rPr>
              <w:t>本项目营运期危险废物产生总量为2.3175t/a，按1个季度清运一次，</w:t>
            </w:r>
            <w:r>
              <w:rPr>
                <w:rFonts w:hint="eastAsia" w:ascii="Times New Roman" w:hAnsi="Times New Roman" w:eastAsia="宋体"/>
                <w:caps w:val="0"/>
                <w:smallCaps w:val="0"/>
                <w:color w:val="auto"/>
                <w:sz w:val="24"/>
                <w:szCs w:val="22"/>
                <w:highlight w:val="none"/>
                <w:u w:val="single" w:color="auto"/>
                <w:lang w:eastAsia="zh-CN"/>
              </w:rPr>
              <w:t>则危废最大贮存量为</w:t>
            </w:r>
            <w:r>
              <w:rPr>
                <w:rFonts w:hint="eastAsia" w:ascii="Times New Roman" w:hAnsi="Times New Roman"/>
                <w:caps w:val="0"/>
                <w:smallCaps w:val="0"/>
                <w:color w:val="auto"/>
                <w:sz w:val="24"/>
                <w:szCs w:val="22"/>
                <w:highlight w:val="none"/>
                <w:u w:val="single" w:color="auto"/>
                <w:lang w:val="en-US" w:eastAsia="zh-CN"/>
              </w:rPr>
              <w:t>0.6</w:t>
            </w:r>
            <w:r>
              <w:rPr>
                <w:rFonts w:hint="eastAsia" w:ascii="Times New Roman" w:hAnsi="Times New Roman" w:eastAsia="宋体"/>
                <w:caps w:val="0"/>
                <w:smallCaps w:val="0"/>
                <w:color w:val="auto"/>
                <w:sz w:val="24"/>
                <w:szCs w:val="22"/>
                <w:highlight w:val="none"/>
                <w:u w:val="single" w:color="auto"/>
                <w:lang w:eastAsia="zh-CN"/>
              </w:rPr>
              <w:t>t，</w:t>
            </w:r>
            <w:r>
              <w:rPr>
                <w:rFonts w:hint="eastAsia" w:ascii="Times New Roman" w:hAnsi="Times New Roman" w:eastAsia="宋体"/>
                <w:caps w:val="0"/>
                <w:smallCaps w:val="0"/>
                <w:color w:val="auto"/>
                <w:sz w:val="24"/>
                <w:szCs w:val="22"/>
                <w:highlight w:val="none"/>
                <w:u w:val="single" w:color="auto"/>
                <w:lang w:val="en-US" w:eastAsia="zh-CN"/>
              </w:rPr>
              <w:t>现有</w:t>
            </w:r>
            <w:r>
              <w:rPr>
                <w:rFonts w:hint="eastAsia" w:ascii="Times New Roman" w:hAnsi="Times New Roman" w:eastAsia="宋体"/>
                <w:caps w:val="0"/>
                <w:smallCaps w:val="0"/>
                <w:color w:val="auto"/>
                <w:sz w:val="24"/>
                <w:szCs w:val="22"/>
                <w:highlight w:val="none"/>
                <w:u w:val="single" w:color="auto"/>
                <w:lang w:eastAsia="zh-CN"/>
              </w:rPr>
              <w:t>危废暂存</w:t>
            </w:r>
            <w:r>
              <w:rPr>
                <w:rFonts w:hint="eastAsia" w:ascii="Times New Roman" w:hAnsi="Times New Roman"/>
                <w:caps w:val="0"/>
                <w:smallCaps w:val="0"/>
                <w:color w:val="auto"/>
                <w:sz w:val="24"/>
                <w:szCs w:val="22"/>
                <w:highlight w:val="none"/>
                <w:u w:val="single" w:color="auto"/>
                <w:lang w:eastAsia="zh-CN"/>
              </w:rPr>
              <w:t>库</w:t>
            </w:r>
            <w:r>
              <w:rPr>
                <w:rFonts w:hint="eastAsia" w:ascii="Times New Roman" w:hAnsi="Times New Roman" w:eastAsia="宋体"/>
                <w:caps w:val="0"/>
                <w:smallCaps w:val="0"/>
                <w:color w:val="auto"/>
                <w:sz w:val="24"/>
                <w:szCs w:val="22"/>
                <w:highlight w:val="none"/>
                <w:u w:val="single" w:color="auto"/>
                <w:lang w:eastAsia="zh-CN"/>
              </w:rPr>
              <w:t>占地面积</w:t>
            </w:r>
            <w:r>
              <w:rPr>
                <w:rFonts w:hint="eastAsia" w:ascii="Times New Roman" w:hAnsi="Times New Roman" w:eastAsia="宋体"/>
                <w:caps w:val="0"/>
                <w:smallCaps w:val="0"/>
                <w:color w:val="auto"/>
                <w:sz w:val="24"/>
                <w:szCs w:val="22"/>
                <w:highlight w:val="none"/>
                <w:u w:val="single" w:color="auto"/>
                <w:lang w:val="en-US" w:eastAsia="zh-CN"/>
              </w:rPr>
              <w:t>154</w:t>
            </w:r>
            <w:r>
              <w:rPr>
                <w:rFonts w:hint="eastAsia" w:ascii="Times New Roman" w:hAnsi="Times New Roman" w:eastAsia="宋体"/>
                <w:caps w:val="0"/>
                <w:smallCaps w:val="0"/>
                <w:color w:val="auto"/>
                <w:sz w:val="24"/>
                <w:szCs w:val="22"/>
                <w:highlight w:val="none"/>
                <w:u w:val="single" w:color="auto"/>
                <w:lang w:eastAsia="zh-CN"/>
              </w:rPr>
              <w:t>m</w:t>
            </w:r>
            <w:r>
              <w:rPr>
                <w:rFonts w:hint="eastAsia" w:ascii="Times New Roman" w:hAnsi="Times New Roman" w:eastAsia="宋体"/>
                <w:caps w:val="0"/>
                <w:smallCaps w:val="0"/>
                <w:color w:val="auto"/>
                <w:sz w:val="24"/>
                <w:szCs w:val="22"/>
                <w:highlight w:val="none"/>
                <w:u w:val="single" w:color="auto"/>
                <w:vertAlign w:val="superscript"/>
                <w:lang w:eastAsia="zh-CN"/>
              </w:rPr>
              <w:t>2</w:t>
            </w:r>
            <w:r>
              <w:rPr>
                <w:rFonts w:hint="eastAsia" w:ascii="Times New Roman" w:hAnsi="Times New Roman" w:eastAsia="宋体"/>
                <w:caps w:val="0"/>
                <w:smallCaps w:val="0"/>
                <w:color w:val="auto"/>
                <w:sz w:val="24"/>
                <w:szCs w:val="22"/>
                <w:highlight w:val="none"/>
                <w:u w:val="single" w:color="auto"/>
                <w:lang w:eastAsia="zh-CN"/>
              </w:rPr>
              <w:t>，一般堆高约</w:t>
            </w:r>
            <w:r>
              <w:rPr>
                <w:rFonts w:hint="eastAsia" w:ascii="Times New Roman" w:hAnsi="Times New Roman" w:eastAsia="宋体"/>
                <w:caps w:val="0"/>
                <w:smallCaps w:val="0"/>
                <w:color w:val="auto"/>
                <w:sz w:val="24"/>
                <w:szCs w:val="22"/>
                <w:highlight w:val="none"/>
                <w:u w:val="single" w:color="auto"/>
                <w:lang w:val="en-US" w:eastAsia="zh-CN"/>
              </w:rPr>
              <w:t>2</w:t>
            </w:r>
            <w:r>
              <w:rPr>
                <w:rFonts w:hint="eastAsia" w:ascii="Times New Roman" w:hAnsi="Times New Roman" w:eastAsia="宋体"/>
                <w:caps w:val="0"/>
                <w:smallCaps w:val="0"/>
                <w:color w:val="auto"/>
                <w:sz w:val="24"/>
                <w:szCs w:val="22"/>
                <w:highlight w:val="none"/>
                <w:u w:val="single" w:color="auto"/>
                <w:lang w:eastAsia="zh-CN"/>
              </w:rPr>
              <w:t>m，</w:t>
            </w:r>
            <w:r>
              <w:rPr>
                <w:rFonts w:hint="eastAsia" w:ascii="Times New Roman" w:hAnsi="Times New Roman" w:eastAsia="宋体"/>
                <w:caps w:val="0"/>
                <w:smallCaps w:val="0"/>
                <w:color w:val="auto"/>
                <w:sz w:val="24"/>
                <w:szCs w:val="22"/>
                <w:highlight w:val="none"/>
                <w:u w:val="single" w:color="auto"/>
                <w:lang w:val="en-US" w:eastAsia="zh-CN"/>
              </w:rPr>
              <w:t>现有危废暂存</w:t>
            </w:r>
            <w:r>
              <w:rPr>
                <w:rFonts w:hint="eastAsia" w:ascii="Times New Roman" w:hAnsi="Times New Roman" w:eastAsia="宋体"/>
                <w:caps w:val="0"/>
                <w:smallCaps w:val="0"/>
                <w:color w:val="auto"/>
                <w:sz w:val="24"/>
                <w:szCs w:val="22"/>
                <w:highlight w:val="none"/>
                <w:u w:val="single" w:color="auto"/>
                <w:lang w:eastAsia="zh-CN"/>
              </w:rPr>
              <w:t>容量</w:t>
            </w:r>
            <w:r>
              <w:rPr>
                <w:rFonts w:hint="eastAsia" w:ascii="Times New Roman" w:hAnsi="Times New Roman" w:eastAsia="宋体"/>
                <w:caps w:val="0"/>
                <w:smallCaps w:val="0"/>
                <w:color w:val="auto"/>
                <w:sz w:val="24"/>
                <w:szCs w:val="22"/>
                <w:highlight w:val="none"/>
                <w:u w:val="single" w:color="auto"/>
                <w:lang w:val="en-US" w:eastAsia="zh-CN"/>
              </w:rPr>
              <w:t>为16.2621</w:t>
            </w:r>
            <w:r>
              <w:rPr>
                <w:rFonts w:hint="eastAsia" w:ascii="Times New Roman" w:hAnsi="Times New Roman" w:eastAsia="宋体"/>
                <w:caps w:val="0"/>
                <w:smallCaps w:val="0"/>
                <w:color w:val="auto"/>
                <w:sz w:val="24"/>
                <w:szCs w:val="22"/>
                <w:highlight w:val="none"/>
                <w:u w:val="single" w:color="auto"/>
                <w:lang w:eastAsia="zh-CN"/>
              </w:rPr>
              <w:t>t，</w:t>
            </w:r>
            <w:r>
              <w:rPr>
                <w:rFonts w:hint="eastAsia" w:ascii="Times New Roman" w:hAnsi="Times New Roman" w:eastAsia="宋体"/>
                <w:caps w:val="0"/>
                <w:smallCaps w:val="0"/>
                <w:color w:val="auto"/>
                <w:sz w:val="24"/>
                <w:szCs w:val="22"/>
                <w:highlight w:val="none"/>
                <w:u w:val="single" w:color="auto"/>
                <w:lang w:val="en-US" w:eastAsia="zh-CN"/>
              </w:rPr>
              <w:t>有足够的余量可供本项目危废暂存</w:t>
            </w:r>
            <w:r>
              <w:rPr>
                <w:rFonts w:hint="eastAsia" w:ascii="Times New Roman" w:hAnsi="Times New Roman" w:eastAsia="宋体"/>
                <w:caps w:val="0"/>
                <w:smallCaps w:val="0"/>
                <w:color w:val="auto"/>
                <w:sz w:val="24"/>
                <w:szCs w:val="22"/>
                <w:highlight w:val="none"/>
                <w:u w:val="single" w:color="auto"/>
                <w:lang w:eastAsia="zh-CN"/>
              </w:rPr>
              <w:t>要求，实际运行中要求建设单位按照储存情况对暂存的危险废物进行科学合理的分配，及时联系具有相应危废处置资质的单位清运处置，以免导致产生的危废无法得到合理的处置。</w:t>
            </w:r>
          </w:p>
          <w:p w14:paraId="592EB3B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color="auto"/>
                <w:lang w:eastAsia="zh-CN"/>
              </w:rPr>
              <w:t>项目危险废物贮存场所（设施）基本情况</w:t>
            </w:r>
            <w:r>
              <w:rPr>
                <w:rFonts w:hint="default" w:ascii="Times New Roman" w:hAnsi="Times New Roman" w:eastAsia="宋体" w:cs="Times New Roman"/>
                <w:color w:val="auto"/>
                <w:sz w:val="24"/>
                <w:szCs w:val="24"/>
                <w:highlight w:val="none"/>
                <w:u w:val="none" w:color="auto"/>
                <w:lang w:eastAsia="zh-CN"/>
              </w:rPr>
              <w:t>如下</w:t>
            </w:r>
            <w:r>
              <w:rPr>
                <w:rFonts w:hint="default" w:ascii="Times New Roman" w:hAnsi="Times New Roman" w:cs="Times New Roman"/>
                <w:color w:val="auto"/>
                <w:sz w:val="24"/>
                <w:szCs w:val="24"/>
                <w:highlight w:val="none"/>
                <w:u w:val="none" w:color="auto"/>
                <w:lang w:eastAsia="zh-CN"/>
              </w:rPr>
              <w:t>表</w:t>
            </w:r>
            <w:r>
              <w:rPr>
                <w:rFonts w:hint="default" w:ascii="Times New Roman" w:hAnsi="Times New Roman" w:cs="Times New Roman"/>
                <w:color w:val="auto"/>
                <w:highlight w:val="none"/>
                <w:lang w:eastAsia="zh-CN"/>
              </w:rPr>
              <w:t>：</w:t>
            </w:r>
          </w:p>
          <w:p w14:paraId="6B6768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20</w:t>
            </w:r>
            <w:r>
              <w:rPr>
                <w:rFonts w:hint="default" w:ascii="Times New Roman" w:hAnsi="Times New Roman" w:cs="Times New Roman"/>
                <w:b/>
                <w:color w:val="auto"/>
                <w:sz w:val="24"/>
                <w:highlight w:val="none"/>
              </w:rPr>
              <w:t>项目危险废物贮存场所（设施）基本</w:t>
            </w:r>
            <w:r>
              <w:rPr>
                <w:rFonts w:hint="default" w:ascii="Times New Roman" w:hAnsi="Times New Roman" w:cs="Times New Roman"/>
                <w:b/>
                <w:color w:val="auto"/>
                <w:sz w:val="24"/>
                <w:szCs w:val="24"/>
                <w:highlight w:val="none"/>
              </w:rPr>
              <w:t>表</w:t>
            </w:r>
          </w:p>
          <w:tbl>
            <w:tblPr>
              <w:tblStyle w:val="142"/>
              <w:tblW w:w="8217"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352"/>
              <w:gridCol w:w="989"/>
              <w:gridCol w:w="1234"/>
              <w:gridCol w:w="746"/>
              <w:gridCol w:w="832"/>
              <w:gridCol w:w="749"/>
              <w:gridCol w:w="749"/>
              <w:gridCol w:w="747"/>
            </w:tblGrid>
            <w:tr w14:paraId="4684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2" w:hRule="atLeast"/>
              </w:trPr>
              <w:tc>
                <w:tcPr>
                  <w:tcW w:w="819" w:type="dxa"/>
                  <w:vAlign w:val="center"/>
                </w:tcPr>
                <w:p w14:paraId="400B21CF">
                  <w:pPr>
                    <w:pStyle w:val="143"/>
                    <w:spacing w:before="33" w:line="223" w:lineRule="auto"/>
                    <w:ind w:left="121" w:right="11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贮存场所名称</w:t>
                  </w:r>
                </w:p>
              </w:tc>
              <w:tc>
                <w:tcPr>
                  <w:tcW w:w="1352" w:type="dxa"/>
                  <w:vAlign w:val="center"/>
                </w:tcPr>
                <w:p w14:paraId="6E6DCAE2">
                  <w:pPr>
                    <w:pStyle w:val="143"/>
                    <w:spacing w:before="33" w:line="223" w:lineRule="auto"/>
                    <w:ind w:left="83" w:leftChars="0" w:right="179" w:firstLine="105"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危险废物名</w:t>
                  </w:r>
                  <w:r>
                    <w:rPr>
                      <w:rFonts w:hint="default" w:ascii="Times New Roman" w:hAnsi="Times New Roman" w:cs="Times New Roman"/>
                      <w:color w:val="auto"/>
                      <w:highlight w:val="none"/>
                    </w:rPr>
                    <w:t>称</w:t>
                  </w:r>
                </w:p>
              </w:tc>
              <w:tc>
                <w:tcPr>
                  <w:tcW w:w="989" w:type="dxa"/>
                  <w:vAlign w:val="center"/>
                </w:tcPr>
                <w:p w14:paraId="6052C290">
                  <w:pPr>
                    <w:pStyle w:val="143"/>
                    <w:spacing w:before="33" w:line="223" w:lineRule="auto"/>
                    <w:ind w:left="208" w:right="198" w:firstLine="2"/>
                    <w:jc w:val="center"/>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危险废</w:t>
                  </w:r>
                  <w:r>
                    <w:rPr>
                      <w:rFonts w:hint="default" w:ascii="Times New Roman" w:hAnsi="Times New Roman" w:cs="Times New Roman"/>
                      <w:color w:val="auto"/>
                      <w:spacing w:val="-2"/>
                      <w:highlight w:val="none"/>
                    </w:rPr>
                    <w:t>物类别</w:t>
                  </w:r>
                </w:p>
              </w:tc>
              <w:tc>
                <w:tcPr>
                  <w:tcW w:w="1234" w:type="dxa"/>
                  <w:vAlign w:val="center"/>
                </w:tcPr>
                <w:p w14:paraId="33C90BB6">
                  <w:pPr>
                    <w:pStyle w:val="143"/>
                    <w:spacing w:before="33" w:line="223" w:lineRule="auto"/>
                    <w:ind w:left="0" w:leftChars="0" w:right="117" w:firstLine="128"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危险废物代</w:t>
                  </w:r>
                  <w:r>
                    <w:rPr>
                      <w:rFonts w:hint="default" w:ascii="Times New Roman" w:hAnsi="Times New Roman" w:cs="Times New Roman"/>
                      <w:color w:val="auto"/>
                      <w:highlight w:val="none"/>
                    </w:rPr>
                    <w:t>码</w:t>
                  </w:r>
                </w:p>
              </w:tc>
              <w:tc>
                <w:tcPr>
                  <w:tcW w:w="746" w:type="dxa"/>
                  <w:vAlign w:val="center"/>
                </w:tcPr>
                <w:p w14:paraId="25A4990B">
                  <w:pPr>
                    <w:pStyle w:val="143"/>
                    <w:spacing w:before="170" w:line="222"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位置</w:t>
                  </w:r>
                </w:p>
              </w:tc>
              <w:tc>
                <w:tcPr>
                  <w:tcW w:w="832" w:type="dxa"/>
                  <w:vAlign w:val="center"/>
                </w:tcPr>
                <w:p w14:paraId="3E132E4D">
                  <w:pPr>
                    <w:pStyle w:val="143"/>
                    <w:spacing w:before="33" w:line="223" w:lineRule="auto"/>
                    <w:ind w:left="162" w:leftChars="77" w:right="114"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4"/>
                      <w:highlight w:val="none"/>
                    </w:rPr>
                    <w:t>占地面</w:t>
                  </w:r>
                  <w:r>
                    <w:rPr>
                      <w:rFonts w:hint="default" w:ascii="Times New Roman" w:hAnsi="Times New Roman" w:cs="Times New Roman"/>
                      <w:color w:val="auto"/>
                      <w:highlight w:val="none"/>
                    </w:rPr>
                    <w:t>积</w:t>
                  </w:r>
                </w:p>
              </w:tc>
              <w:tc>
                <w:tcPr>
                  <w:tcW w:w="749" w:type="dxa"/>
                  <w:vAlign w:val="center"/>
                </w:tcPr>
                <w:p w14:paraId="6EFA2B15">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贮存方式</w:t>
                  </w:r>
                </w:p>
              </w:tc>
              <w:tc>
                <w:tcPr>
                  <w:tcW w:w="749" w:type="dxa"/>
                  <w:vAlign w:val="center"/>
                </w:tcPr>
                <w:p w14:paraId="4EEAB135">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w:t>
                  </w:r>
                  <w:r>
                    <w:rPr>
                      <w:rFonts w:hint="default" w:ascii="Times New Roman" w:hAnsi="Times New Roman" w:cs="Times New Roman"/>
                      <w:color w:val="auto"/>
                      <w:spacing w:val="-8"/>
                      <w:highlight w:val="none"/>
                    </w:rPr>
                    <w:t>能力</w:t>
                  </w:r>
                </w:p>
              </w:tc>
              <w:tc>
                <w:tcPr>
                  <w:tcW w:w="747" w:type="dxa"/>
                  <w:vAlign w:val="center"/>
                </w:tcPr>
                <w:p w14:paraId="6D000FCA">
                  <w:pPr>
                    <w:pStyle w:val="143"/>
                    <w:spacing w:before="33" w:line="223" w:lineRule="auto"/>
                    <w:ind w:left="0" w:leftChars="0" w:right="45"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贮存周期</w:t>
                  </w:r>
                </w:p>
              </w:tc>
            </w:tr>
            <w:tr w14:paraId="6AE1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restart"/>
                  <w:vAlign w:val="center"/>
                </w:tcPr>
                <w:p w14:paraId="48525129">
                  <w:pPr>
                    <w:jc w:val="center"/>
                    <w:rPr>
                      <w:rFonts w:hint="default" w:ascii="Times New Roman" w:hAnsi="Times New Roman" w:cs="Times New Roman"/>
                      <w:color w:val="auto"/>
                      <w:sz w:val="21"/>
                      <w:highlight w:val="none"/>
                    </w:rPr>
                  </w:pPr>
                  <w:r>
                    <w:rPr>
                      <w:rFonts w:hint="default" w:ascii="Times New Roman" w:hAnsi="Times New Roman" w:eastAsia="宋体" w:cs="Times New Roman"/>
                      <w:color w:val="auto"/>
                      <w:w w:val="95"/>
                      <w:sz w:val="21"/>
                      <w:szCs w:val="21"/>
                      <w:highlight w:val="none"/>
                      <w:u w:val="none"/>
                      <w:lang w:val="en-US" w:eastAsia="zh-CN"/>
                    </w:rPr>
                    <w:t>危险废物贮存库</w:t>
                  </w:r>
                  <w:r>
                    <w:rPr>
                      <w:rFonts w:hint="default" w:ascii="Times New Roman" w:hAnsi="Times New Roman" w:cs="Times New Roman"/>
                      <w:color w:val="auto"/>
                      <w:w w:val="95"/>
                      <w:sz w:val="21"/>
                      <w:szCs w:val="21"/>
                      <w:highlight w:val="none"/>
                      <w:u w:val="none"/>
                      <w:lang w:val="en-US" w:eastAsia="zh-CN"/>
                    </w:rPr>
                    <w:t>（依托）</w:t>
                  </w:r>
                </w:p>
              </w:tc>
              <w:tc>
                <w:tcPr>
                  <w:tcW w:w="1352" w:type="dxa"/>
                  <w:vAlign w:val="center"/>
                </w:tcPr>
                <w:p w14:paraId="584AB2B0">
                  <w:pPr>
                    <w:pStyle w:val="143"/>
                    <w:spacing w:beforeAutospacing="0" w:line="221"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废滚刷</w:t>
                  </w:r>
                </w:p>
              </w:tc>
              <w:tc>
                <w:tcPr>
                  <w:tcW w:w="989" w:type="dxa"/>
                  <w:vAlign w:val="center"/>
                </w:tcPr>
                <w:p w14:paraId="5AD8373F">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HW49</w:t>
                  </w:r>
                </w:p>
              </w:tc>
              <w:tc>
                <w:tcPr>
                  <w:tcW w:w="1234" w:type="dxa"/>
                  <w:vAlign w:val="center"/>
                </w:tcPr>
                <w:p w14:paraId="710287A3">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900-041-49</w:t>
                  </w:r>
                </w:p>
              </w:tc>
              <w:tc>
                <w:tcPr>
                  <w:tcW w:w="746" w:type="dxa"/>
                  <w:vMerge w:val="restart"/>
                  <w:vAlign w:val="center"/>
                </w:tcPr>
                <w:p w14:paraId="01C6AFC5">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color w:val="auto"/>
                      <w:sz w:val="21"/>
                      <w:szCs w:val="21"/>
                      <w:highlight w:val="none"/>
                    </w:rPr>
                    <w:t>2#泊位后方</w:t>
                  </w:r>
                </w:p>
              </w:tc>
              <w:tc>
                <w:tcPr>
                  <w:tcW w:w="832" w:type="dxa"/>
                  <w:vMerge w:val="restart"/>
                  <w:vAlign w:val="center"/>
                </w:tcPr>
                <w:p w14:paraId="190A1CA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u w:val="none" w:color="auto"/>
                      <w:lang w:val="en-US" w:eastAsia="zh-CN"/>
                    </w:rPr>
                    <w:t>154</w:t>
                  </w:r>
                  <w:r>
                    <w:rPr>
                      <w:rFonts w:hint="default" w:ascii="Times New Roman" w:hAnsi="Times New Roman" w:eastAsia="宋体" w:cs="Times New Roman"/>
                      <w:caps w:val="0"/>
                      <w:smallCaps w:val="0"/>
                      <w:color w:val="auto"/>
                      <w:sz w:val="21"/>
                      <w:szCs w:val="21"/>
                      <w:highlight w:val="none"/>
                      <w:u w:val="none" w:color="auto"/>
                      <w:lang w:eastAsia="zh-CN"/>
                    </w:rPr>
                    <w:t>m</w:t>
                  </w:r>
                  <w:r>
                    <w:rPr>
                      <w:rFonts w:hint="default" w:ascii="Times New Roman" w:hAnsi="Times New Roman" w:eastAsia="宋体" w:cs="Times New Roman"/>
                      <w:caps w:val="0"/>
                      <w:smallCaps w:val="0"/>
                      <w:color w:val="auto"/>
                      <w:sz w:val="21"/>
                      <w:szCs w:val="21"/>
                      <w:highlight w:val="none"/>
                      <w:u w:val="none" w:color="auto"/>
                      <w:vertAlign w:val="superscript"/>
                      <w:lang w:eastAsia="zh-CN"/>
                    </w:rPr>
                    <w:t>2</w:t>
                  </w:r>
                </w:p>
              </w:tc>
              <w:tc>
                <w:tcPr>
                  <w:tcW w:w="749" w:type="dxa"/>
                  <w:vMerge w:val="restart"/>
                  <w:vAlign w:val="center"/>
                </w:tcPr>
                <w:p w14:paraId="4AFC0C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分类密封，分区存放</w:t>
                  </w:r>
                </w:p>
              </w:tc>
              <w:tc>
                <w:tcPr>
                  <w:tcW w:w="749" w:type="dxa"/>
                  <w:vMerge w:val="restart"/>
                  <w:vAlign w:val="center"/>
                </w:tcPr>
                <w:p w14:paraId="3A1DF85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color="auto"/>
                      <w:lang w:val="en-US" w:eastAsia="zh-CN"/>
                    </w:rPr>
                    <w:t>16.262</w:t>
                  </w:r>
                </w:p>
              </w:tc>
              <w:tc>
                <w:tcPr>
                  <w:tcW w:w="747" w:type="dxa"/>
                  <w:vMerge w:val="restart"/>
                  <w:vAlign w:val="center"/>
                </w:tcPr>
                <w:p w14:paraId="46076D65">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color="auto"/>
                      <w:lang w:val="en-US" w:eastAsia="zh-CN"/>
                    </w:rPr>
                    <w:t>1个季度</w:t>
                  </w:r>
                </w:p>
              </w:tc>
            </w:tr>
            <w:tr w14:paraId="2E4A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21DD216E">
                  <w:pPr>
                    <w:jc w:val="center"/>
                    <w:rPr>
                      <w:rFonts w:hint="default" w:ascii="Times New Roman" w:hAnsi="Times New Roman" w:eastAsia="宋体" w:cs="Times New Roman"/>
                      <w:color w:val="auto"/>
                      <w:w w:val="95"/>
                      <w:sz w:val="21"/>
                      <w:szCs w:val="21"/>
                      <w:highlight w:val="none"/>
                      <w:u w:val="none"/>
                      <w:lang w:val="en-US" w:eastAsia="zh-CN"/>
                    </w:rPr>
                  </w:pPr>
                </w:p>
              </w:tc>
              <w:tc>
                <w:tcPr>
                  <w:tcW w:w="1352" w:type="dxa"/>
                  <w:shd w:val="clear" w:color="auto" w:fill="auto"/>
                  <w:vAlign w:val="center"/>
                </w:tcPr>
                <w:p w14:paraId="0EB7C158">
                  <w:pPr>
                    <w:pStyle w:val="143"/>
                    <w:spacing w:beforeAutospacing="0" w:line="221"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highlight w:val="none"/>
                    </w:rPr>
                    <w:t>废油漆桶</w:t>
                  </w:r>
                </w:p>
              </w:tc>
              <w:tc>
                <w:tcPr>
                  <w:tcW w:w="989" w:type="dxa"/>
                  <w:shd w:val="clear" w:color="auto" w:fill="auto"/>
                  <w:vAlign w:val="center"/>
                </w:tcPr>
                <w:p w14:paraId="6C5B5011">
                  <w:pPr>
                    <w:spacing w:beforeAutospacing="0" w:line="189"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HW12</w:t>
                  </w:r>
                </w:p>
              </w:tc>
              <w:tc>
                <w:tcPr>
                  <w:tcW w:w="1234" w:type="dxa"/>
                  <w:shd w:val="clear" w:color="auto" w:fill="auto"/>
                  <w:vAlign w:val="center"/>
                </w:tcPr>
                <w:p w14:paraId="3687AB38">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900-252-12</w:t>
                  </w:r>
                </w:p>
              </w:tc>
              <w:tc>
                <w:tcPr>
                  <w:tcW w:w="746" w:type="dxa"/>
                  <w:vMerge w:val="continue"/>
                  <w:vAlign w:val="center"/>
                </w:tcPr>
                <w:p w14:paraId="4D90CE14">
                  <w:pPr>
                    <w:jc w:val="center"/>
                    <w:rPr>
                      <w:rFonts w:hint="default" w:ascii="Times New Roman" w:hAnsi="Times New Roman" w:eastAsia="宋体" w:cs="Times New Roman"/>
                      <w:caps w:val="0"/>
                      <w:color w:val="auto"/>
                      <w:highlight w:val="none"/>
                    </w:rPr>
                  </w:pPr>
                </w:p>
              </w:tc>
              <w:tc>
                <w:tcPr>
                  <w:tcW w:w="832" w:type="dxa"/>
                  <w:vMerge w:val="continue"/>
                  <w:vAlign w:val="center"/>
                </w:tcPr>
                <w:p w14:paraId="5048022A">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c>
                <w:tcPr>
                  <w:tcW w:w="749" w:type="dxa"/>
                  <w:vMerge w:val="continue"/>
                  <w:vAlign w:val="center"/>
                </w:tcPr>
                <w:p w14:paraId="30A52F0F">
                  <w:pPr>
                    <w:jc w:val="center"/>
                    <w:rPr>
                      <w:rFonts w:hint="default" w:ascii="Times New Roman" w:hAnsi="Times New Roman" w:cs="Times New Roman"/>
                      <w:color w:val="auto"/>
                      <w:sz w:val="21"/>
                      <w:highlight w:val="none"/>
                      <w:lang w:val="en-US" w:eastAsia="zh-CN"/>
                    </w:rPr>
                  </w:pPr>
                </w:p>
              </w:tc>
              <w:tc>
                <w:tcPr>
                  <w:tcW w:w="749" w:type="dxa"/>
                  <w:vMerge w:val="continue"/>
                  <w:vAlign w:val="center"/>
                </w:tcPr>
                <w:p w14:paraId="5E558C7B">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c>
                <w:tcPr>
                  <w:tcW w:w="747" w:type="dxa"/>
                  <w:vMerge w:val="continue"/>
                  <w:vAlign w:val="center"/>
                </w:tcPr>
                <w:p w14:paraId="7245287C">
                  <w:pPr>
                    <w:jc w:val="center"/>
                    <w:rPr>
                      <w:rFonts w:hint="default" w:ascii="Times New Roman" w:hAnsi="Times New Roman" w:eastAsia="宋体" w:cs="Times New Roman"/>
                      <w:caps w:val="0"/>
                      <w:smallCaps w:val="0"/>
                      <w:color w:val="auto"/>
                      <w:sz w:val="24"/>
                      <w:szCs w:val="22"/>
                      <w:highlight w:val="none"/>
                      <w:u w:val="none" w:color="auto"/>
                      <w:lang w:val="en-US" w:eastAsia="zh-CN"/>
                    </w:rPr>
                  </w:pPr>
                </w:p>
              </w:tc>
            </w:tr>
            <w:tr w14:paraId="03F9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70B316B9">
                  <w:pPr>
                    <w:jc w:val="center"/>
                    <w:rPr>
                      <w:rFonts w:hint="default" w:ascii="Times New Roman" w:hAnsi="Times New Roman" w:cs="Times New Roman"/>
                      <w:color w:val="auto"/>
                      <w:sz w:val="21"/>
                      <w:highlight w:val="none"/>
                    </w:rPr>
                  </w:pPr>
                </w:p>
              </w:tc>
              <w:tc>
                <w:tcPr>
                  <w:tcW w:w="1352" w:type="dxa"/>
                  <w:vAlign w:val="center"/>
                </w:tcPr>
                <w:p w14:paraId="7C3C331D">
                  <w:pPr>
                    <w:pStyle w:val="143"/>
                    <w:spacing w:beforeAutospacing="0"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废漆渣</w:t>
                  </w:r>
                </w:p>
              </w:tc>
              <w:tc>
                <w:tcPr>
                  <w:tcW w:w="989" w:type="dxa"/>
                  <w:vAlign w:val="center"/>
                </w:tcPr>
                <w:p w14:paraId="5FE74104">
                  <w:pPr>
                    <w:spacing w:beforeAutospacing="0" w:line="189"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HW12</w:t>
                  </w:r>
                </w:p>
              </w:tc>
              <w:tc>
                <w:tcPr>
                  <w:tcW w:w="1234" w:type="dxa"/>
                  <w:vAlign w:val="center"/>
                </w:tcPr>
                <w:p w14:paraId="5F7E6A7B">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264-012-12</w:t>
                  </w:r>
                </w:p>
              </w:tc>
              <w:tc>
                <w:tcPr>
                  <w:tcW w:w="746" w:type="dxa"/>
                  <w:vMerge w:val="continue"/>
                  <w:vAlign w:val="center"/>
                </w:tcPr>
                <w:p w14:paraId="54AC7589">
                  <w:pPr>
                    <w:jc w:val="center"/>
                    <w:rPr>
                      <w:rFonts w:hint="default" w:ascii="Times New Roman" w:hAnsi="Times New Roman" w:cs="Times New Roman"/>
                      <w:color w:val="auto"/>
                      <w:sz w:val="21"/>
                      <w:highlight w:val="none"/>
                    </w:rPr>
                  </w:pPr>
                </w:p>
              </w:tc>
              <w:tc>
                <w:tcPr>
                  <w:tcW w:w="832" w:type="dxa"/>
                  <w:vMerge w:val="continue"/>
                  <w:vAlign w:val="center"/>
                </w:tcPr>
                <w:p w14:paraId="5B66CDB9">
                  <w:pPr>
                    <w:jc w:val="center"/>
                    <w:rPr>
                      <w:rFonts w:hint="default" w:ascii="Times New Roman" w:hAnsi="Times New Roman" w:cs="Times New Roman"/>
                      <w:color w:val="auto"/>
                      <w:sz w:val="21"/>
                      <w:highlight w:val="none"/>
                    </w:rPr>
                  </w:pPr>
                </w:p>
              </w:tc>
              <w:tc>
                <w:tcPr>
                  <w:tcW w:w="749" w:type="dxa"/>
                  <w:vMerge w:val="continue"/>
                  <w:vAlign w:val="center"/>
                </w:tcPr>
                <w:p w14:paraId="2D4B3B82">
                  <w:pPr>
                    <w:jc w:val="center"/>
                    <w:rPr>
                      <w:rFonts w:hint="default" w:ascii="Times New Roman" w:hAnsi="Times New Roman" w:cs="Times New Roman"/>
                      <w:color w:val="auto"/>
                      <w:sz w:val="21"/>
                      <w:highlight w:val="none"/>
                    </w:rPr>
                  </w:pPr>
                </w:p>
              </w:tc>
              <w:tc>
                <w:tcPr>
                  <w:tcW w:w="749" w:type="dxa"/>
                  <w:vMerge w:val="continue"/>
                  <w:vAlign w:val="center"/>
                </w:tcPr>
                <w:p w14:paraId="62CBA402">
                  <w:pPr>
                    <w:jc w:val="center"/>
                    <w:rPr>
                      <w:rFonts w:hint="default" w:ascii="Times New Roman" w:hAnsi="Times New Roman" w:cs="Times New Roman"/>
                      <w:color w:val="auto"/>
                      <w:sz w:val="21"/>
                      <w:highlight w:val="none"/>
                    </w:rPr>
                  </w:pPr>
                </w:p>
              </w:tc>
              <w:tc>
                <w:tcPr>
                  <w:tcW w:w="747" w:type="dxa"/>
                  <w:vMerge w:val="continue"/>
                  <w:vAlign w:val="center"/>
                </w:tcPr>
                <w:p w14:paraId="508AB46A">
                  <w:pPr>
                    <w:jc w:val="center"/>
                    <w:rPr>
                      <w:rFonts w:hint="default" w:ascii="Times New Roman" w:hAnsi="Times New Roman" w:cs="Times New Roman"/>
                      <w:color w:val="auto"/>
                      <w:sz w:val="21"/>
                      <w:highlight w:val="none"/>
                    </w:rPr>
                  </w:pPr>
                </w:p>
              </w:tc>
            </w:tr>
            <w:tr w14:paraId="23F3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819" w:type="dxa"/>
                  <w:vMerge w:val="continue"/>
                  <w:vAlign w:val="center"/>
                </w:tcPr>
                <w:p w14:paraId="73EA5221">
                  <w:pPr>
                    <w:jc w:val="center"/>
                    <w:rPr>
                      <w:rFonts w:hint="default" w:ascii="Times New Roman" w:hAnsi="Times New Roman" w:cs="Times New Roman"/>
                      <w:color w:val="auto"/>
                      <w:sz w:val="21"/>
                      <w:highlight w:val="none"/>
                    </w:rPr>
                  </w:pPr>
                </w:p>
              </w:tc>
              <w:tc>
                <w:tcPr>
                  <w:tcW w:w="1352" w:type="dxa"/>
                  <w:vAlign w:val="center"/>
                </w:tcPr>
                <w:p w14:paraId="6FB00666">
                  <w:pPr>
                    <w:pStyle w:val="143"/>
                    <w:spacing w:beforeAutospacing="0" w:line="221"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废活性炭</w:t>
                  </w:r>
                </w:p>
              </w:tc>
              <w:tc>
                <w:tcPr>
                  <w:tcW w:w="989" w:type="dxa"/>
                  <w:vAlign w:val="center"/>
                </w:tcPr>
                <w:p w14:paraId="318EE058">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HW49</w:t>
                  </w:r>
                </w:p>
              </w:tc>
              <w:tc>
                <w:tcPr>
                  <w:tcW w:w="1234" w:type="dxa"/>
                  <w:vAlign w:val="center"/>
                </w:tcPr>
                <w:p w14:paraId="193C1849">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900-039-49</w:t>
                  </w:r>
                </w:p>
              </w:tc>
              <w:tc>
                <w:tcPr>
                  <w:tcW w:w="746" w:type="dxa"/>
                  <w:vMerge w:val="continue"/>
                  <w:vAlign w:val="center"/>
                </w:tcPr>
                <w:p w14:paraId="2C76C9B5">
                  <w:pPr>
                    <w:jc w:val="center"/>
                    <w:rPr>
                      <w:rFonts w:hint="default" w:ascii="Times New Roman" w:hAnsi="Times New Roman" w:cs="Times New Roman"/>
                      <w:color w:val="auto"/>
                      <w:sz w:val="21"/>
                      <w:highlight w:val="none"/>
                    </w:rPr>
                  </w:pPr>
                </w:p>
              </w:tc>
              <w:tc>
                <w:tcPr>
                  <w:tcW w:w="832" w:type="dxa"/>
                  <w:vMerge w:val="continue"/>
                  <w:vAlign w:val="center"/>
                </w:tcPr>
                <w:p w14:paraId="49907643">
                  <w:pPr>
                    <w:jc w:val="center"/>
                    <w:rPr>
                      <w:rFonts w:hint="default" w:ascii="Times New Roman" w:hAnsi="Times New Roman" w:cs="Times New Roman"/>
                      <w:color w:val="auto"/>
                      <w:sz w:val="21"/>
                      <w:highlight w:val="none"/>
                    </w:rPr>
                  </w:pPr>
                </w:p>
              </w:tc>
              <w:tc>
                <w:tcPr>
                  <w:tcW w:w="749" w:type="dxa"/>
                  <w:vMerge w:val="continue"/>
                  <w:vAlign w:val="center"/>
                </w:tcPr>
                <w:p w14:paraId="1DCCFF46">
                  <w:pPr>
                    <w:jc w:val="center"/>
                    <w:rPr>
                      <w:rFonts w:hint="default" w:ascii="Times New Roman" w:hAnsi="Times New Roman" w:cs="Times New Roman"/>
                      <w:color w:val="auto"/>
                      <w:sz w:val="21"/>
                      <w:highlight w:val="none"/>
                    </w:rPr>
                  </w:pPr>
                </w:p>
              </w:tc>
              <w:tc>
                <w:tcPr>
                  <w:tcW w:w="749" w:type="dxa"/>
                  <w:vMerge w:val="continue"/>
                  <w:vAlign w:val="center"/>
                </w:tcPr>
                <w:p w14:paraId="3C24765A">
                  <w:pPr>
                    <w:jc w:val="center"/>
                    <w:rPr>
                      <w:rFonts w:hint="default" w:ascii="Times New Roman" w:hAnsi="Times New Roman" w:cs="Times New Roman"/>
                      <w:color w:val="auto"/>
                      <w:sz w:val="21"/>
                      <w:highlight w:val="none"/>
                    </w:rPr>
                  </w:pPr>
                </w:p>
              </w:tc>
              <w:tc>
                <w:tcPr>
                  <w:tcW w:w="747" w:type="dxa"/>
                  <w:vMerge w:val="continue"/>
                  <w:vAlign w:val="center"/>
                </w:tcPr>
                <w:p w14:paraId="03C20647">
                  <w:pPr>
                    <w:jc w:val="center"/>
                    <w:rPr>
                      <w:rFonts w:hint="default" w:ascii="Times New Roman" w:hAnsi="Times New Roman" w:cs="Times New Roman"/>
                      <w:color w:val="auto"/>
                      <w:sz w:val="21"/>
                      <w:highlight w:val="none"/>
                    </w:rPr>
                  </w:pPr>
                </w:p>
              </w:tc>
            </w:tr>
            <w:tr w14:paraId="5602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63041D0A">
                  <w:pPr>
                    <w:jc w:val="center"/>
                    <w:rPr>
                      <w:rFonts w:hint="default" w:ascii="Times New Roman" w:hAnsi="Times New Roman" w:cs="Times New Roman"/>
                      <w:color w:val="auto"/>
                      <w:sz w:val="21"/>
                      <w:highlight w:val="none"/>
                    </w:rPr>
                  </w:pPr>
                </w:p>
              </w:tc>
              <w:tc>
                <w:tcPr>
                  <w:tcW w:w="1352" w:type="dxa"/>
                  <w:vAlign w:val="center"/>
                </w:tcPr>
                <w:p w14:paraId="2D0F52F8">
                  <w:pPr>
                    <w:pStyle w:val="143"/>
                    <w:spacing w:beforeAutospacing="0" w:line="220"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废机油</w:t>
                  </w:r>
                </w:p>
              </w:tc>
              <w:tc>
                <w:tcPr>
                  <w:tcW w:w="989" w:type="dxa"/>
                  <w:vAlign w:val="center"/>
                </w:tcPr>
                <w:p w14:paraId="703E204A">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HW08</w:t>
                  </w:r>
                </w:p>
              </w:tc>
              <w:tc>
                <w:tcPr>
                  <w:tcW w:w="1234" w:type="dxa"/>
                  <w:vAlign w:val="center"/>
                </w:tcPr>
                <w:p w14:paraId="78A875AB">
                  <w:pPr>
                    <w:spacing w:beforeAutospacing="0" w:line="187" w:lineRule="auto"/>
                    <w:ind w:left="0" w:leftChars="0"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900-214-08</w:t>
                  </w:r>
                </w:p>
              </w:tc>
              <w:tc>
                <w:tcPr>
                  <w:tcW w:w="746" w:type="dxa"/>
                  <w:vMerge w:val="continue"/>
                  <w:vAlign w:val="center"/>
                </w:tcPr>
                <w:p w14:paraId="70772DA1">
                  <w:pPr>
                    <w:jc w:val="center"/>
                    <w:rPr>
                      <w:rFonts w:hint="default" w:ascii="Times New Roman" w:hAnsi="Times New Roman" w:cs="Times New Roman"/>
                      <w:color w:val="auto"/>
                      <w:sz w:val="21"/>
                      <w:highlight w:val="none"/>
                    </w:rPr>
                  </w:pPr>
                </w:p>
              </w:tc>
              <w:tc>
                <w:tcPr>
                  <w:tcW w:w="832" w:type="dxa"/>
                  <w:vMerge w:val="continue"/>
                  <w:vAlign w:val="center"/>
                </w:tcPr>
                <w:p w14:paraId="182EAA7E">
                  <w:pPr>
                    <w:jc w:val="center"/>
                    <w:rPr>
                      <w:rFonts w:hint="default" w:ascii="Times New Roman" w:hAnsi="Times New Roman" w:cs="Times New Roman"/>
                      <w:color w:val="auto"/>
                      <w:sz w:val="21"/>
                      <w:highlight w:val="none"/>
                    </w:rPr>
                  </w:pPr>
                </w:p>
              </w:tc>
              <w:tc>
                <w:tcPr>
                  <w:tcW w:w="749" w:type="dxa"/>
                  <w:vMerge w:val="continue"/>
                  <w:vAlign w:val="center"/>
                </w:tcPr>
                <w:p w14:paraId="5D36DAF8">
                  <w:pPr>
                    <w:jc w:val="center"/>
                    <w:rPr>
                      <w:rFonts w:hint="default" w:ascii="Times New Roman" w:hAnsi="Times New Roman" w:cs="Times New Roman"/>
                      <w:color w:val="auto"/>
                      <w:sz w:val="21"/>
                      <w:highlight w:val="none"/>
                    </w:rPr>
                  </w:pPr>
                </w:p>
              </w:tc>
              <w:tc>
                <w:tcPr>
                  <w:tcW w:w="749" w:type="dxa"/>
                  <w:vMerge w:val="continue"/>
                  <w:vAlign w:val="center"/>
                </w:tcPr>
                <w:p w14:paraId="5A41F049">
                  <w:pPr>
                    <w:jc w:val="center"/>
                    <w:rPr>
                      <w:rFonts w:hint="default" w:ascii="Times New Roman" w:hAnsi="Times New Roman" w:cs="Times New Roman"/>
                      <w:color w:val="auto"/>
                      <w:sz w:val="21"/>
                      <w:highlight w:val="none"/>
                    </w:rPr>
                  </w:pPr>
                </w:p>
              </w:tc>
              <w:tc>
                <w:tcPr>
                  <w:tcW w:w="747" w:type="dxa"/>
                  <w:vMerge w:val="continue"/>
                  <w:vAlign w:val="center"/>
                </w:tcPr>
                <w:p w14:paraId="761D3717">
                  <w:pPr>
                    <w:jc w:val="center"/>
                    <w:rPr>
                      <w:rFonts w:hint="default" w:ascii="Times New Roman" w:hAnsi="Times New Roman" w:cs="Times New Roman"/>
                      <w:color w:val="auto"/>
                      <w:sz w:val="21"/>
                      <w:highlight w:val="none"/>
                    </w:rPr>
                  </w:pPr>
                </w:p>
              </w:tc>
            </w:tr>
            <w:tr w14:paraId="3BD3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819" w:type="dxa"/>
                  <w:vMerge w:val="continue"/>
                  <w:vAlign w:val="center"/>
                </w:tcPr>
                <w:p w14:paraId="11936B66">
                  <w:pPr>
                    <w:jc w:val="center"/>
                    <w:rPr>
                      <w:rFonts w:hint="default" w:ascii="Times New Roman" w:hAnsi="Times New Roman" w:cs="Times New Roman"/>
                      <w:color w:val="auto"/>
                      <w:sz w:val="21"/>
                      <w:highlight w:val="none"/>
                    </w:rPr>
                  </w:pPr>
                </w:p>
              </w:tc>
              <w:tc>
                <w:tcPr>
                  <w:tcW w:w="1352" w:type="dxa"/>
                  <w:shd w:val="clear" w:color="auto" w:fill="auto"/>
                  <w:vAlign w:val="center"/>
                </w:tcPr>
                <w:p w14:paraId="452E2F35">
                  <w:pPr>
                    <w:pStyle w:val="143"/>
                    <w:spacing w:beforeAutospacing="0" w:line="22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1"/>
                      <w:highlight w:val="none"/>
                    </w:rPr>
                    <w:t>废机油桶</w:t>
                  </w:r>
                </w:p>
              </w:tc>
              <w:tc>
                <w:tcPr>
                  <w:tcW w:w="989" w:type="dxa"/>
                  <w:shd w:val="clear" w:color="auto" w:fill="auto"/>
                  <w:vAlign w:val="center"/>
                </w:tcPr>
                <w:p w14:paraId="5795F989">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HW08</w:t>
                  </w:r>
                </w:p>
              </w:tc>
              <w:tc>
                <w:tcPr>
                  <w:tcW w:w="1234" w:type="dxa"/>
                  <w:shd w:val="clear" w:color="auto" w:fill="auto"/>
                  <w:vAlign w:val="center"/>
                </w:tcPr>
                <w:p w14:paraId="7DC3BE51">
                  <w:pPr>
                    <w:spacing w:beforeAutospacing="0" w:line="187" w:lineRule="auto"/>
                    <w:ind w:left="0" w:leftChars="0" w:firstLine="0" w:firstLineChars="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900-249-08</w:t>
                  </w:r>
                </w:p>
              </w:tc>
              <w:tc>
                <w:tcPr>
                  <w:tcW w:w="746" w:type="dxa"/>
                  <w:vMerge w:val="continue"/>
                  <w:vAlign w:val="center"/>
                </w:tcPr>
                <w:p w14:paraId="2EFCBA83">
                  <w:pPr>
                    <w:jc w:val="center"/>
                    <w:rPr>
                      <w:rFonts w:hint="default" w:ascii="Times New Roman" w:hAnsi="Times New Roman" w:cs="Times New Roman"/>
                      <w:color w:val="auto"/>
                      <w:sz w:val="21"/>
                      <w:highlight w:val="none"/>
                    </w:rPr>
                  </w:pPr>
                </w:p>
              </w:tc>
              <w:tc>
                <w:tcPr>
                  <w:tcW w:w="832" w:type="dxa"/>
                  <w:vMerge w:val="continue"/>
                  <w:vAlign w:val="center"/>
                </w:tcPr>
                <w:p w14:paraId="0068FCF7">
                  <w:pPr>
                    <w:jc w:val="center"/>
                    <w:rPr>
                      <w:rFonts w:hint="default" w:ascii="Times New Roman" w:hAnsi="Times New Roman" w:cs="Times New Roman"/>
                      <w:color w:val="auto"/>
                      <w:sz w:val="21"/>
                      <w:highlight w:val="none"/>
                    </w:rPr>
                  </w:pPr>
                </w:p>
              </w:tc>
              <w:tc>
                <w:tcPr>
                  <w:tcW w:w="749" w:type="dxa"/>
                  <w:vMerge w:val="continue"/>
                  <w:vAlign w:val="center"/>
                </w:tcPr>
                <w:p w14:paraId="0E3E0C3D">
                  <w:pPr>
                    <w:jc w:val="center"/>
                    <w:rPr>
                      <w:rFonts w:hint="default" w:ascii="Times New Roman" w:hAnsi="Times New Roman" w:cs="Times New Roman"/>
                      <w:color w:val="auto"/>
                      <w:sz w:val="21"/>
                      <w:highlight w:val="none"/>
                    </w:rPr>
                  </w:pPr>
                </w:p>
              </w:tc>
              <w:tc>
                <w:tcPr>
                  <w:tcW w:w="749" w:type="dxa"/>
                  <w:vMerge w:val="continue"/>
                  <w:vAlign w:val="center"/>
                </w:tcPr>
                <w:p w14:paraId="1BC98318">
                  <w:pPr>
                    <w:jc w:val="center"/>
                    <w:rPr>
                      <w:rFonts w:hint="default" w:ascii="Times New Roman" w:hAnsi="Times New Roman" w:cs="Times New Roman"/>
                      <w:color w:val="auto"/>
                      <w:sz w:val="21"/>
                      <w:highlight w:val="none"/>
                    </w:rPr>
                  </w:pPr>
                </w:p>
              </w:tc>
              <w:tc>
                <w:tcPr>
                  <w:tcW w:w="747" w:type="dxa"/>
                  <w:vMerge w:val="continue"/>
                  <w:vAlign w:val="center"/>
                </w:tcPr>
                <w:p w14:paraId="2E413400">
                  <w:pPr>
                    <w:jc w:val="center"/>
                    <w:rPr>
                      <w:rFonts w:hint="default" w:ascii="Times New Roman" w:hAnsi="Times New Roman" w:cs="Times New Roman"/>
                      <w:color w:val="auto"/>
                      <w:sz w:val="21"/>
                      <w:highlight w:val="none"/>
                    </w:rPr>
                  </w:pPr>
                </w:p>
              </w:tc>
            </w:tr>
            <w:tr w14:paraId="2DAF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819" w:type="dxa"/>
                  <w:vMerge w:val="continue"/>
                  <w:vAlign w:val="center"/>
                </w:tcPr>
                <w:p w14:paraId="022AE36C">
                  <w:pPr>
                    <w:jc w:val="center"/>
                    <w:rPr>
                      <w:rFonts w:hint="default" w:ascii="Times New Roman" w:hAnsi="Times New Roman" w:cs="Times New Roman"/>
                      <w:color w:val="auto"/>
                      <w:sz w:val="21"/>
                      <w:highlight w:val="none"/>
                    </w:rPr>
                  </w:pPr>
                </w:p>
              </w:tc>
              <w:tc>
                <w:tcPr>
                  <w:tcW w:w="1352" w:type="dxa"/>
                  <w:vAlign w:val="center"/>
                </w:tcPr>
                <w:p w14:paraId="66A42E38">
                  <w:pPr>
                    <w:pStyle w:val="143"/>
                    <w:spacing w:beforeAutospacing="0" w:line="220"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含油抹布</w:t>
                  </w:r>
                </w:p>
              </w:tc>
              <w:tc>
                <w:tcPr>
                  <w:tcW w:w="989" w:type="dxa"/>
                  <w:vAlign w:val="center"/>
                </w:tcPr>
                <w:p w14:paraId="2826FBB3">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HW49</w:t>
                  </w:r>
                </w:p>
              </w:tc>
              <w:tc>
                <w:tcPr>
                  <w:tcW w:w="1234" w:type="dxa"/>
                  <w:vAlign w:val="center"/>
                </w:tcPr>
                <w:p w14:paraId="160CA546">
                  <w:pPr>
                    <w:pStyle w:val="16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eastAsia" w:ascii="Times New Roman" w:hAnsi="Times New Roman" w:eastAsia="Times New Roman" w:cs="Times New Roman"/>
                      <w:color w:val="auto"/>
                      <w:spacing w:val="-1"/>
                      <w:kern w:val="2"/>
                      <w:sz w:val="21"/>
                      <w:szCs w:val="21"/>
                      <w:highlight w:val="none"/>
                      <w:lang w:val="en-US" w:eastAsia="zh-CN" w:bidi="ar-SA"/>
                    </w:rPr>
                    <w:t>900-041-49</w:t>
                  </w:r>
                </w:p>
              </w:tc>
              <w:tc>
                <w:tcPr>
                  <w:tcW w:w="746" w:type="dxa"/>
                  <w:vMerge w:val="continue"/>
                  <w:vAlign w:val="center"/>
                </w:tcPr>
                <w:p w14:paraId="10F92B3A">
                  <w:pPr>
                    <w:jc w:val="center"/>
                    <w:rPr>
                      <w:rFonts w:hint="default" w:ascii="Times New Roman" w:hAnsi="Times New Roman" w:cs="Times New Roman"/>
                      <w:color w:val="auto"/>
                      <w:sz w:val="21"/>
                      <w:highlight w:val="none"/>
                    </w:rPr>
                  </w:pPr>
                </w:p>
              </w:tc>
              <w:tc>
                <w:tcPr>
                  <w:tcW w:w="832" w:type="dxa"/>
                  <w:vMerge w:val="continue"/>
                  <w:vAlign w:val="center"/>
                </w:tcPr>
                <w:p w14:paraId="0DB3BB2F">
                  <w:pPr>
                    <w:jc w:val="center"/>
                    <w:rPr>
                      <w:rFonts w:hint="default" w:ascii="Times New Roman" w:hAnsi="Times New Roman" w:cs="Times New Roman"/>
                      <w:color w:val="auto"/>
                      <w:sz w:val="21"/>
                      <w:highlight w:val="none"/>
                    </w:rPr>
                  </w:pPr>
                </w:p>
              </w:tc>
              <w:tc>
                <w:tcPr>
                  <w:tcW w:w="749" w:type="dxa"/>
                  <w:vMerge w:val="continue"/>
                  <w:vAlign w:val="center"/>
                </w:tcPr>
                <w:p w14:paraId="345367E4">
                  <w:pPr>
                    <w:jc w:val="center"/>
                    <w:rPr>
                      <w:rFonts w:hint="default" w:ascii="Times New Roman" w:hAnsi="Times New Roman" w:cs="Times New Roman"/>
                      <w:color w:val="auto"/>
                      <w:sz w:val="21"/>
                      <w:highlight w:val="none"/>
                    </w:rPr>
                  </w:pPr>
                </w:p>
              </w:tc>
              <w:tc>
                <w:tcPr>
                  <w:tcW w:w="749" w:type="dxa"/>
                  <w:vMerge w:val="continue"/>
                  <w:vAlign w:val="center"/>
                </w:tcPr>
                <w:p w14:paraId="1D39D68A">
                  <w:pPr>
                    <w:jc w:val="center"/>
                    <w:rPr>
                      <w:rFonts w:hint="default" w:ascii="Times New Roman" w:hAnsi="Times New Roman" w:cs="Times New Roman"/>
                      <w:color w:val="auto"/>
                      <w:sz w:val="21"/>
                      <w:highlight w:val="none"/>
                    </w:rPr>
                  </w:pPr>
                </w:p>
              </w:tc>
              <w:tc>
                <w:tcPr>
                  <w:tcW w:w="747" w:type="dxa"/>
                  <w:vMerge w:val="continue"/>
                  <w:vAlign w:val="center"/>
                </w:tcPr>
                <w:p w14:paraId="38A9D23C">
                  <w:pPr>
                    <w:jc w:val="center"/>
                    <w:rPr>
                      <w:rFonts w:hint="default" w:ascii="Times New Roman" w:hAnsi="Times New Roman" w:cs="Times New Roman"/>
                      <w:color w:val="auto"/>
                      <w:sz w:val="21"/>
                      <w:highlight w:val="none"/>
                    </w:rPr>
                  </w:pPr>
                </w:p>
              </w:tc>
            </w:tr>
          </w:tbl>
          <w:p w14:paraId="22481645">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危险</w:t>
            </w:r>
            <w:r>
              <w:rPr>
                <w:rFonts w:hint="default" w:ascii="Times New Roman" w:hAnsi="Times New Roman" w:cs="Times New Roman"/>
                <w:color w:val="auto"/>
                <w:kern w:val="2"/>
                <w:sz w:val="24"/>
                <w:szCs w:val="24"/>
                <w:highlight w:val="none"/>
                <w:lang w:val="en-US" w:eastAsia="zh-CN" w:bidi="ar-SA"/>
              </w:rPr>
              <w:t>废物</w:t>
            </w:r>
            <w:r>
              <w:rPr>
                <w:rFonts w:hint="default" w:ascii="Times New Roman" w:hAnsi="Times New Roman" w:eastAsia="宋体" w:cs="Times New Roman"/>
                <w:color w:val="auto"/>
                <w:kern w:val="2"/>
                <w:sz w:val="24"/>
                <w:szCs w:val="24"/>
                <w:highlight w:val="none"/>
                <w:lang w:val="en-US" w:eastAsia="zh-CN" w:bidi="ar-SA"/>
              </w:rPr>
              <w:t>运输过程的环境影响分析</w:t>
            </w:r>
          </w:p>
          <w:p w14:paraId="3448CC53">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①危险废物运输到危险废物仓库的过程中可能产生散落、泄漏，企业严格按照《危险废物收集、贮存、运输技术规范》（HJ2025-2012）的要求进行运输，可减小其引起的环境影响。</w:t>
            </w:r>
          </w:p>
          <w:p w14:paraId="582681AB">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②运输单位资质要求。本项目危险废物运输由持有危险废物运输许可证的单位按照许可范围组织实施，承担危险废物运输的单位获得交通运输部分颁发的危险货物运输资质，采用公路运输方式。</w:t>
            </w:r>
            <w:r>
              <w:rPr>
                <w:rFonts w:hint="default" w:ascii="Times New Roman" w:hAnsi="Times New Roman" w:cs="Times New Roman"/>
                <w:color w:val="auto"/>
                <w:kern w:val="2"/>
                <w:sz w:val="24"/>
                <w:szCs w:val="24"/>
                <w:highlight w:val="none"/>
                <w:lang w:eastAsia="zh-CN"/>
              </w:rPr>
              <w:t>应当按照国家危险货物相关标准确定危险废物对应危险货物的类别、项别、编号等，并委托具备相应危险货物运输资质的单位承运危险废物，依法签订运输合同。</w:t>
            </w:r>
          </w:p>
          <w:p w14:paraId="4178A78A">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③危险废物包装要求。</w:t>
            </w:r>
            <w:r>
              <w:rPr>
                <w:rFonts w:hint="default" w:ascii="Times New Roman" w:hAnsi="Times New Roman" w:cs="Times New Roman"/>
                <w:color w:val="auto"/>
                <w:kern w:val="2"/>
                <w:sz w:val="24"/>
                <w:szCs w:val="24"/>
                <w:highlight w:val="none"/>
                <w:lang w:eastAsia="zh-CN"/>
              </w:rPr>
              <w:t>采用包装方式运输危险废物的，应当妥善包装，并按照国家有关标准在外包装上设置相应的识别标志。</w:t>
            </w:r>
          </w:p>
          <w:p w14:paraId="1A919802">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④电子化手段实现全程监控。危险废物运输车辆均安装GPS，运输路径全程记录，危险废物出厂前开具电子联单，运输至处置单位后，经处置单位确认接收，全程可查，避免中途出现抛洒及非法处置的</w:t>
            </w:r>
            <w:r>
              <w:rPr>
                <w:rFonts w:hint="default" w:ascii="Times New Roman" w:hAnsi="Times New Roman" w:cs="Times New Roman"/>
                <w:color w:val="auto"/>
                <w:kern w:val="2"/>
                <w:sz w:val="24"/>
                <w:szCs w:val="24"/>
                <w:highlight w:val="none"/>
                <w:lang w:val="en-US" w:eastAsia="zh-CN" w:bidi="ar-SA"/>
              </w:rPr>
              <w:t>情况</w:t>
            </w:r>
            <w:r>
              <w:rPr>
                <w:rFonts w:hint="default" w:ascii="Times New Roman" w:hAnsi="Times New Roman" w:eastAsia="宋体" w:cs="Times New Roman"/>
                <w:color w:val="auto"/>
                <w:kern w:val="2"/>
                <w:sz w:val="24"/>
                <w:szCs w:val="24"/>
                <w:highlight w:val="none"/>
                <w:lang w:val="en-US" w:eastAsia="zh-CN" w:bidi="ar-SA"/>
              </w:rPr>
              <w:t>。</w:t>
            </w:r>
          </w:p>
          <w:p w14:paraId="5BEDB528">
            <w:pPr>
              <w:pStyle w:val="1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按以上</w:t>
            </w:r>
            <w:r>
              <w:rPr>
                <w:rFonts w:hint="default" w:ascii="Times New Roman" w:hAnsi="Times New Roman" w:cs="Times New Roman"/>
                <w:color w:val="auto"/>
                <w:kern w:val="2"/>
                <w:sz w:val="24"/>
                <w:szCs w:val="24"/>
                <w:highlight w:val="none"/>
                <w:lang w:val="en-US" w:eastAsia="zh-CN" w:bidi="ar-SA"/>
              </w:rPr>
              <w:t>处理</w:t>
            </w:r>
            <w:r>
              <w:rPr>
                <w:rFonts w:hint="default" w:ascii="Times New Roman" w:hAnsi="Times New Roman" w:eastAsia="宋体" w:cs="Times New Roman"/>
                <w:color w:val="auto"/>
                <w:kern w:val="2"/>
                <w:sz w:val="24"/>
                <w:szCs w:val="24"/>
                <w:highlight w:val="none"/>
                <w:lang w:val="en-US" w:eastAsia="zh-CN" w:bidi="ar-SA"/>
              </w:rPr>
              <w:t>措施，则</w:t>
            </w:r>
            <w:r>
              <w:rPr>
                <w:rFonts w:hint="default" w:ascii="Times New Roman" w:hAnsi="Times New Roman" w:cs="Times New Roman"/>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危险</w:t>
            </w:r>
            <w:r>
              <w:rPr>
                <w:rFonts w:hint="default" w:ascii="Times New Roman" w:hAnsi="Times New Roman" w:cs="Times New Roman"/>
                <w:color w:val="auto"/>
                <w:kern w:val="2"/>
                <w:sz w:val="24"/>
                <w:szCs w:val="24"/>
                <w:highlight w:val="none"/>
                <w:lang w:val="en-US" w:eastAsia="zh-CN" w:bidi="ar-SA"/>
              </w:rPr>
              <w:t>废物</w:t>
            </w:r>
            <w:r>
              <w:rPr>
                <w:rFonts w:hint="default" w:ascii="Times New Roman" w:hAnsi="Times New Roman" w:eastAsia="宋体" w:cs="Times New Roman"/>
                <w:color w:val="auto"/>
                <w:kern w:val="2"/>
                <w:sz w:val="24"/>
                <w:szCs w:val="24"/>
                <w:highlight w:val="none"/>
                <w:lang w:val="en-US" w:eastAsia="zh-CN" w:bidi="ar-SA"/>
              </w:rPr>
              <w:t>运输过程对环境影响较小。</w:t>
            </w:r>
          </w:p>
          <w:p w14:paraId="626B5463">
            <w:pPr>
              <w:pStyle w:val="16"/>
              <w:keepNext w:val="0"/>
              <w:keepLines w:val="0"/>
              <w:pageBreakBefore w:val="0"/>
              <w:widowControl w:val="0"/>
              <w:numPr>
                <w:ilvl w:val="0"/>
                <w:numId w:val="7"/>
              </w:numPr>
              <w:tabs>
                <w:tab w:val="left" w:pos="35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kern w:val="2"/>
                <w:sz w:val="24"/>
                <w:szCs w:val="24"/>
                <w:highlight w:val="none"/>
                <w:lang w:val="en-US" w:eastAsia="zh-CN" w:bidi="he-IL"/>
              </w:rPr>
            </w:pPr>
            <w:r>
              <w:rPr>
                <w:rFonts w:hint="default" w:ascii="Times New Roman" w:hAnsi="Times New Roman" w:eastAsia="宋体" w:cs="Times New Roman"/>
                <w:b/>
                <w:bCs/>
                <w:color w:val="auto"/>
                <w:sz w:val="24"/>
                <w:szCs w:val="24"/>
                <w:highlight w:val="none"/>
                <w:lang w:bidi="he-IL"/>
              </w:rPr>
              <w:t>地下水</w:t>
            </w:r>
            <w:r>
              <w:rPr>
                <w:rFonts w:hint="default" w:ascii="Times New Roman" w:hAnsi="Times New Roman" w:cs="Times New Roman"/>
                <w:b/>
                <w:bCs/>
                <w:color w:val="auto"/>
                <w:sz w:val="24"/>
                <w:szCs w:val="24"/>
                <w:highlight w:val="none"/>
                <w:lang w:eastAsia="zh-CN" w:bidi="he-IL"/>
              </w:rPr>
              <w:t>、</w:t>
            </w:r>
            <w:r>
              <w:rPr>
                <w:rFonts w:hint="default" w:ascii="Times New Roman" w:hAnsi="Times New Roman" w:eastAsia="宋体" w:cs="Times New Roman"/>
                <w:b/>
                <w:bCs/>
                <w:color w:val="auto"/>
                <w:kern w:val="2"/>
                <w:sz w:val="24"/>
                <w:szCs w:val="24"/>
                <w:highlight w:val="none"/>
                <w:lang w:val="en-US" w:eastAsia="zh-CN" w:bidi="he-IL"/>
              </w:rPr>
              <w:t>土壤</w:t>
            </w:r>
            <w:r>
              <w:rPr>
                <w:rFonts w:hint="default" w:ascii="Times New Roman" w:hAnsi="Times New Roman" w:cs="Times New Roman"/>
                <w:b/>
                <w:bCs/>
                <w:color w:val="auto"/>
                <w:kern w:val="2"/>
                <w:sz w:val="24"/>
                <w:szCs w:val="24"/>
                <w:highlight w:val="none"/>
                <w:lang w:val="en-US" w:eastAsia="zh-CN" w:bidi="he-IL"/>
              </w:rPr>
              <w:t>环境</w:t>
            </w:r>
            <w:r>
              <w:rPr>
                <w:rFonts w:hint="default" w:ascii="Times New Roman" w:hAnsi="Times New Roman" w:eastAsia="宋体" w:cs="Times New Roman"/>
                <w:b/>
                <w:bCs/>
                <w:color w:val="auto"/>
                <w:kern w:val="2"/>
                <w:sz w:val="24"/>
                <w:szCs w:val="24"/>
                <w:highlight w:val="none"/>
                <w:lang w:val="en-US" w:eastAsia="zh-CN" w:bidi="he-IL"/>
              </w:rPr>
              <w:t>影响分析</w:t>
            </w:r>
          </w:p>
          <w:p w14:paraId="4FAA5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b/>
                <w:bCs/>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1</w:t>
            </w: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污染源、污染物类型和污染途径</w:t>
            </w:r>
          </w:p>
          <w:p w14:paraId="66C55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w:t>
            </w:r>
            <w:r>
              <w:rPr>
                <w:rFonts w:hint="default" w:ascii="Times New Roman" w:hAnsi="Times New Roman" w:eastAsia="宋体" w:cs="Times New Roman"/>
                <w:snapToGrid w:val="0"/>
                <w:color w:val="auto"/>
                <w:kern w:val="0"/>
                <w:sz w:val="24"/>
                <w:szCs w:val="20"/>
                <w:highlight w:val="none"/>
                <w:u w:val="none"/>
              </w:rPr>
              <w:t>污染源、污染物类型和污染途径见表</w:t>
            </w:r>
            <w:r>
              <w:rPr>
                <w:rFonts w:hint="default" w:ascii="Times New Roman" w:hAnsi="Times New Roman" w:cs="Times New Roman"/>
                <w:snapToGrid w:val="0"/>
                <w:color w:val="auto"/>
                <w:kern w:val="0"/>
                <w:sz w:val="24"/>
                <w:szCs w:val="20"/>
                <w:highlight w:val="none"/>
                <w:u w:val="none"/>
                <w:lang w:val="en-US" w:eastAsia="zh-CN"/>
              </w:rPr>
              <w:t>4-</w:t>
            </w:r>
            <w:r>
              <w:rPr>
                <w:rFonts w:hint="eastAsia" w:cs="Times New Roman"/>
                <w:snapToGrid w:val="0"/>
                <w:color w:val="auto"/>
                <w:kern w:val="0"/>
                <w:sz w:val="24"/>
                <w:szCs w:val="20"/>
                <w:highlight w:val="none"/>
                <w:u w:val="none"/>
                <w:lang w:val="en-US" w:eastAsia="zh-CN"/>
              </w:rPr>
              <w:t>21</w:t>
            </w:r>
            <w:r>
              <w:rPr>
                <w:rFonts w:hint="default" w:ascii="Times New Roman" w:hAnsi="Times New Roman" w:eastAsia="宋体" w:cs="Times New Roman"/>
                <w:snapToGrid w:val="0"/>
                <w:color w:val="auto"/>
                <w:kern w:val="0"/>
                <w:sz w:val="24"/>
                <w:szCs w:val="20"/>
                <w:highlight w:val="none"/>
                <w:u w:val="none"/>
              </w:rPr>
              <w:t>。</w:t>
            </w:r>
          </w:p>
          <w:p w14:paraId="135D86CB">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highlight w:val="none"/>
                <w:u w:val="none"/>
              </w:rPr>
            </w:pPr>
            <w:r>
              <w:rPr>
                <w:rFonts w:hint="default" w:ascii="Times New Roman" w:hAnsi="Times New Roman" w:eastAsia="宋体" w:cs="Times New Roman"/>
                <w:b/>
                <w:color w:val="auto"/>
                <w:sz w:val="24"/>
                <w:highlight w:val="none"/>
                <w:u w:val="none"/>
              </w:rPr>
              <w:t>表</w:t>
            </w:r>
            <w:r>
              <w:rPr>
                <w:rFonts w:hint="default" w:ascii="Times New Roman" w:hAnsi="Times New Roman" w:cs="Times New Roman"/>
                <w:b/>
                <w:color w:val="auto"/>
                <w:sz w:val="24"/>
                <w:highlight w:val="none"/>
                <w:u w:val="none"/>
                <w:lang w:val="en-US" w:eastAsia="zh-CN"/>
              </w:rPr>
              <w:t>4-</w:t>
            </w:r>
            <w:r>
              <w:rPr>
                <w:rFonts w:hint="eastAsia" w:cs="Times New Roman"/>
                <w:b/>
                <w:color w:val="auto"/>
                <w:sz w:val="24"/>
                <w:highlight w:val="none"/>
                <w:u w:val="none"/>
                <w:lang w:val="en-US" w:eastAsia="zh-CN"/>
              </w:rPr>
              <w:t>21</w:t>
            </w:r>
            <w:r>
              <w:rPr>
                <w:rFonts w:hint="default" w:ascii="Times New Roman" w:hAnsi="Times New Roman" w:eastAsia="宋体" w:cs="Times New Roman"/>
                <w:b/>
                <w:color w:val="auto"/>
                <w:sz w:val="24"/>
                <w:highlight w:val="none"/>
                <w:u w:val="none"/>
              </w:rPr>
              <w:t>地下水污染源、污染物类型和污染途径一览表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1820"/>
              <w:gridCol w:w="2027"/>
              <w:gridCol w:w="1008"/>
              <w:gridCol w:w="1432"/>
              <w:gridCol w:w="1674"/>
            </w:tblGrid>
            <w:tr w14:paraId="4302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vAlign w:val="center"/>
                </w:tcPr>
                <w:p w14:paraId="1D236B8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序号</w:t>
                  </w:r>
                </w:p>
              </w:tc>
              <w:tc>
                <w:tcPr>
                  <w:tcW w:w="1072" w:type="pct"/>
                  <w:vAlign w:val="center"/>
                </w:tcPr>
                <w:p w14:paraId="430547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污染源</w:t>
                  </w:r>
                </w:p>
              </w:tc>
              <w:tc>
                <w:tcPr>
                  <w:tcW w:w="1194" w:type="pct"/>
                  <w:vAlign w:val="center"/>
                </w:tcPr>
                <w:p w14:paraId="3EFBEAC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污染因子</w:t>
                  </w:r>
                </w:p>
              </w:tc>
              <w:tc>
                <w:tcPr>
                  <w:tcW w:w="594" w:type="pct"/>
                  <w:vAlign w:val="center"/>
                </w:tcPr>
                <w:p w14:paraId="3CC7183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污染途径</w:t>
                  </w:r>
                </w:p>
              </w:tc>
              <w:tc>
                <w:tcPr>
                  <w:tcW w:w="844" w:type="pct"/>
                  <w:vAlign w:val="center"/>
                </w:tcPr>
                <w:p w14:paraId="5580364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情形</w:t>
                  </w:r>
                </w:p>
              </w:tc>
              <w:tc>
                <w:tcPr>
                  <w:tcW w:w="986" w:type="pct"/>
                  <w:vAlign w:val="center"/>
                </w:tcPr>
                <w:p w14:paraId="77947EB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影响要素</w:t>
                  </w:r>
                </w:p>
              </w:tc>
            </w:tr>
            <w:tr w14:paraId="3304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1AFC5B3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1</w:t>
                  </w:r>
                </w:p>
              </w:tc>
              <w:tc>
                <w:tcPr>
                  <w:tcW w:w="1072" w:type="pct"/>
                  <w:vAlign w:val="center"/>
                </w:tcPr>
                <w:p w14:paraId="3A14DF0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油漆库</w:t>
                  </w:r>
                </w:p>
              </w:tc>
              <w:tc>
                <w:tcPr>
                  <w:tcW w:w="1194" w:type="pct"/>
                  <w:vAlign w:val="center"/>
                </w:tcPr>
                <w:p w14:paraId="053646E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6AEF2BA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48C2BE9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restart"/>
                  <w:vAlign w:val="center"/>
                </w:tcPr>
                <w:p w14:paraId="3C919B1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土壤、地下水</w:t>
                  </w:r>
                </w:p>
              </w:tc>
            </w:tr>
            <w:tr w14:paraId="2ED4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5AB3C6F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2</w:t>
                  </w:r>
                </w:p>
              </w:tc>
              <w:tc>
                <w:tcPr>
                  <w:tcW w:w="1072" w:type="pct"/>
                  <w:vAlign w:val="center"/>
                </w:tcPr>
                <w:p w14:paraId="2C4CC37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lang w:val="en-US" w:eastAsia="zh-CN"/>
                    </w:rPr>
                    <w:t>危险废物贮存库</w:t>
                  </w:r>
                  <w:r>
                    <w:rPr>
                      <w:rFonts w:hint="default" w:ascii="Times New Roman" w:hAnsi="Times New Roman" w:cs="Times New Roman"/>
                      <w:bCs/>
                      <w:color w:val="auto"/>
                      <w:szCs w:val="21"/>
                      <w:highlight w:val="none"/>
                      <w:u w:val="none"/>
                      <w:lang w:val="en-US" w:eastAsia="zh-CN"/>
                    </w:rPr>
                    <w:t>（依托）</w:t>
                  </w:r>
                </w:p>
              </w:tc>
              <w:tc>
                <w:tcPr>
                  <w:tcW w:w="1194" w:type="pct"/>
                  <w:vAlign w:val="center"/>
                </w:tcPr>
                <w:p w14:paraId="05DBEC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lang w:val="en-US" w:eastAsia="zh-CN"/>
                    </w:rPr>
                    <w:t>石油类</w:t>
                  </w: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311EF48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448673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5D498C1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3A39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0CAD28C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Cs w:val="21"/>
                      <w:highlight w:val="none"/>
                      <w:u w:val="none"/>
                    </w:rPr>
                    <w:t>3</w:t>
                  </w:r>
                </w:p>
              </w:tc>
              <w:tc>
                <w:tcPr>
                  <w:tcW w:w="1072" w:type="pct"/>
                  <w:vAlign w:val="center"/>
                </w:tcPr>
                <w:p w14:paraId="3D4A33B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刷漆</w:t>
                  </w:r>
                  <w:r>
                    <w:rPr>
                      <w:rFonts w:hint="default" w:ascii="Times New Roman" w:hAnsi="Times New Roman" w:eastAsia="宋体" w:cs="Times New Roman"/>
                      <w:bCs/>
                      <w:color w:val="auto"/>
                      <w:szCs w:val="21"/>
                      <w:highlight w:val="none"/>
                      <w:u w:val="none"/>
                      <w:lang w:val="en-US" w:eastAsia="zh-CN"/>
                    </w:rPr>
                    <w:t>加工车间</w:t>
                  </w:r>
                </w:p>
              </w:tc>
              <w:tc>
                <w:tcPr>
                  <w:tcW w:w="1194" w:type="pct"/>
                  <w:vAlign w:val="center"/>
                </w:tcPr>
                <w:p w14:paraId="0BAF35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二甲苯等</w:t>
                  </w:r>
                </w:p>
              </w:tc>
              <w:tc>
                <w:tcPr>
                  <w:tcW w:w="594" w:type="pct"/>
                  <w:vAlign w:val="center"/>
                </w:tcPr>
                <w:p w14:paraId="11ED42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2CD834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797340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4EAA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174245A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bCs/>
                      <w:color w:val="auto"/>
                      <w:szCs w:val="21"/>
                      <w:highlight w:val="none"/>
                      <w:u w:val="none"/>
                      <w:lang w:val="en-US" w:eastAsia="zh-CN"/>
                    </w:rPr>
                    <w:t>4</w:t>
                  </w:r>
                </w:p>
              </w:tc>
              <w:tc>
                <w:tcPr>
                  <w:tcW w:w="1072" w:type="pct"/>
                  <w:vAlign w:val="center"/>
                </w:tcPr>
                <w:p w14:paraId="640922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其他车间</w:t>
                  </w:r>
                </w:p>
              </w:tc>
              <w:tc>
                <w:tcPr>
                  <w:tcW w:w="2089" w:type="dxa"/>
                  <w:vAlign w:val="center"/>
                </w:tcPr>
                <w:p w14:paraId="59075D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eastAsia="宋体" w:cs="Times New Roman"/>
                      <w:bCs/>
                      <w:color w:val="auto"/>
                      <w:szCs w:val="21"/>
                      <w:highlight w:val="none"/>
                      <w:u w:val="none"/>
                      <w:lang w:val="en-US" w:eastAsia="zh-CN"/>
                    </w:rPr>
                    <w:t>石油类</w:t>
                  </w:r>
                  <w:r>
                    <w:rPr>
                      <w:rFonts w:hint="default" w:ascii="Times New Roman" w:hAnsi="Times New Roman" w:cs="Times New Roman"/>
                      <w:bCs/>
                      <w:color w:val="auto"/>
                      <w:szCs w:val="21"/>
                      <w:highlight w:val="none"/>
                      <w:u w:val="none"/>
                      <w:lang w:val="en-US" w:eastAsia="zh-CN"/>
                    </w:rPr>
                    <w:t>等</w:t>
                  </w:r>
                </w:p>
              </w:tc>
              <w:tc>
                <w:tcPr>
                  <w:tcW w:w="1039" w:type="dxa"/>
                  <w:vAlign w:val="center"/>
                </w:tcPr>
                <w:p w14:paraId="65C2D49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1476" w:type="dxa"/>
                  <w:vAlign w:val="center"/>
                </w:tcPr>
                <w:p w14:paraId="2A5A603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47ED007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bCs/>
                      <w:color w:val="auto"/>
                      <w:szCs w:val="21"/>
                      <w:highlight w:val="none"/>
                      <w:u w:val="none"/>
                      <w:lang w:val="en-US" w:eastAsia="zh-CN"/>
                    </w:rPr>
                  </w:pPr>
                </w:p>
              </w:tc>
            </w:tr>
            <w:tr w14:paraId="1E4C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6D11EB8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bCs/>
                      <w:color w:val="auto"/>
                      <w:szCs w:val="21"/>
                      <w:highlight w:val="none"/>
                      <w:u w:val="none"/>
                      <w:lang w:val="en-US" w:eastAsia="zh-CN"/>
                    </w:rPr>
                    <w:t>5</w:t>
                  </w:r>
                </w:p>
              </w:tc>
              <w:tc>
                <w:tcPr>
                  <w:tcW w:w="1072" w:type="pct"/>
                  <w:vAlign w:val="center"/>
                </w:tcPr>
                <w:p w14:paraId="60CA540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化粪</w:t>
                  </w:r>
                  <w:r>
                    <w:rPr>
                      <w:rFonts w:hint="default" w:ascii="Times New Roman" w:hAnsi="Times New Roman" w:eastAsia="宋体" w:cs="Times New Roman"/>
                      <w:bCs/>
                      <w:color w:val="auto"/>
                      <w:szCs w:val="21"/>
                      <w:highlight w:val="none"/>
                      <w:u w:val="none"/>
                    </w:rPr>
                    <w:t>池</w:t>
                  </w:r>
                </w:p>
              </w:tc>
              <w:tc>
                <w:tcPr>
                  <w:tcW w:w="1194" w:type="pct"/>
                  <w:vAlign w:val="center"/>
                </w:tcPr>
                <w:p w14:paraId="4C56B99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COD、氨氮等</w:t>
                  </w:r>
                </w:p>
              </w:tc>
              <w:tc>
                <w:tcPr>
                  <w:tcW w:w="594" w:type="pct"/>
                  <w:vAlign w:val="center"/>
                </w:tcPr>
                <w:p w14:paraId="3A5979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11B99F0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2392C27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p>
              </w:tc>
            </w:tr>
            <w:tr w14:paraId="24EF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vAlign w:val="center"/>
                </w:tcPr>
                <w:p w14:paraId="25EB568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6</w:t>
                  </w:r>
                </w:p>
              </w:tc>
              <w:tc>
                <w:tcPr>
                  <w:tcW w:w="1072" w:type="pct"/>
                  <w:vAlign w:val="center"/>
                </w:tcPr>
                <w:p w14:paraId="02C4AFC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lang w:val="en-US" w:eastAsia="zh-CN"/>
                    </w:rPr>
                  </w:pPr>
                  <w:r>
                    <w:rPr>
                      <w:rFonts w:hint="default" w:ascii="Times New Roman" w:hAnsi="Times New Roman" w:cs="Times New Roman"/>
                      <w:bCs/>
                      <w:color w:val="auto"/>
                      <w:szCs w:val="21"/>
                      <w:highlight w:val="none"/>
                      <w:u w:val="none"/>
                      <w:lang w:val="en-US" w:eastAsia="zh-CN"/>
                    </w:rPr>
                    <w:t>污水管道（依托）</w:t>
                  </w:r>
                </w:p>
              </w:tc>
              <w:tc>
                <w:tcPr>
                  <w:tcW w:w="1194" w:type="pct"/>
                  <w:vAlign w:val="center"/>
                </w:tcPr>
                <w:p w14:paraId="193A4E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COD、氨氮等</w:t>
                  </w:r>
                </w:p>
              </w:tc>
              <w:tc>
                <w:tcPr>
                  <w:tcW w:w="594" w:type="pct"/>
                  <w:vAlign w:val="center"/>
                </w:tcPr>
                <w:p w14:paraId="4D6AF2D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eastAsia="宋体" w:cs="Times New Roman"/>
                      <w:bCs/>
                      <w:color w:val="auto"/>
                      <w:szCs w:val="21"/>
                      <w:highlight w:val="none"/>
                      <w:u w:val="none"/>
                    </w:rPr>
                    <w:t>垂直入渗</w:t>
                  </w:r>
                </w:p>
              </w:tc>
              <w:tc>
                <w:tcPr>
                  <w:tcW w:w="844" w:type="pct"/>
                  <w:vAlign w:val="center"/>
                </w:tcPr>
                <w:p w14:paraId="7976FCB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r>
                    <w:rPr>
                      <w:rFonts w:hint="default" w:ascii="Times New Roman" w:hAnsi="Times New Roman" w:cs="Times New Roman"/>
                      <w:bCs/>
                      <w:color w:val="auto"/>
                      <w:szCs w:val="21"/>
                      <w:highlight w:val="none"/>
                      <w:u w:val="none"/>
                      <w:lang w:val="en-US" w:eastAsia="zh-CN"/>
                    </w:rPr>
                    <w:t>非正常工况</w:t>
                  </w:r>
                </w:p>
              </w:tc>
              <w:tc>
                <w:tcPr>
                  <w:tcW w:w="986" w:type="pct"/>
                  <w:vMerge w:val="continue"/>
                  <w:vAlign w:val="center"/>
                </w:tcPr>
                <w:p w14:paraId="0F3D3B3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bCs/>
                      <w:color w:val="auto"/>
                      <w:szCs w:val="21"/>
                      <w:highlight w:val="none"/>
                      <w:u w:val="none"/>
                    </w:rPr>
                  </w:pPr>
                </w:p>
              </w:tc>
            </w:tr>
          </w:tbl>
          <w:p w14:paraId="616D6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b/>
                <w:bCs/>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lang w:val="en-US" w:eastAsia="zh-CN"/>
              </w:rPr>
              <w:t>2</w:t>
            </w:r>
            <w:r>
              <w:rPr>
                <w:rFonts w:hint="eastAsia" w:cs="Times New Roman"/>
                <w:b/>
                <w:bCs/>
                <w:snapToGrid w:val="0"/>
                <w:color w:val="auto"/>
                <w:kern w:val="0"/>
                <w:sz w:val="24"/>
                <w:szCs w:val="20"/>
                <w:highlight w:val="none"/>
                <w:u w:val="none"/>
                <w:lang w:val="en-US" w:eastAsia="zh-CN"/>
              </w:rPr>
              <w:t>）</w:t>
            </w:r>
            <w:r>
              <w:rPr>
                <w:rFonts w:hint="default" w:ascii="Times New Roman" w:hAnsi="Times New Roman" w:eastAsia="宋体" w:cs="Times New Roman"/>
                <w:b/>
                <w:bCs/>
                <w:snapToGrid w:val="0"/>
                <w:color w:val="auto"/>
                <w:kern w:val="0"/>
                <w:sz w:val="24"/>
                <w:szCs w:val="20"/>
                <w:highlight w:val="none"/>
                <w:u w:val="none"/>
              </w:rPr>
              <w:t>地下水</w:t>
            </w:r>
            <w:r>
              <w:rPr>
                <w:rFonts w:hint="default" w:ascii="Times New Roman" w:hAnsi="Times New Roman" w:cs="Times New Roman"/>
                <w:b/>
                <w:bCs/>
                <w:snapToGrid w:val="0"/>
                <w:color w:val="auto"/>
                <w:kern w:val="0"/>
                <w:sz w:val="24"/>
                <w:szCs w:val="20"/>
                <w:highlight w:val="none"/>
                <w:u w:val="none"/>
                <w:lang w:eastAsia="zh-CN"/>
              </w:rPr>
              <w:t>、</w:t>
            </w:r>
            <w:r>
              <w:rPr>
                <w:rFonts w:hint="default" w:ascii="Times New Roman" w:hAnsi="Times New Roman" w:cs="Times New Roman"/>
                <w:b/>
                <w:bCs/>
                <w:snapToGrid w:val="0"/>
                <w:color w:val="auto"/>
                <w:kern w:val="0"/>
                <w:sz w:val="24"/>
                <w:szCs w:val="20"/>
                <w:highlight w:val="none"/>
                <w:u w:val="none"/>
                <w:lang w:val="en-US" w:eastAsia="zh-CN"/>
              </w:rPr>
              <w:t>土壤</w:t>
            </w:r>
            <w:r>
              <w:rPr>
                <w:rFonts w:hint="default" w:ascii="Times New Roman" w:hAnsi="Times New Roman" w:eastAsia="宋体" w:cs="Times New Roman"/>
                <w:b/>
                <w:bCs/>
                <w:snapToGrid w:val="0"/>
                <w:color w:val="auto"/>
                <w:kern w:val="0"/>
                <w:sz w:val="24"/>
                <w:szCs w:val="20"/>
                <w:highlight w:val="none"/>
                <w:u w:val="none"/>
              </w:rPr>
              <w:t>环境影响</w:t>
            </w:r>
          </w:p>
          <w:p w14:paraId="4BFA5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本项目进行了分区防渗，对</w:t>
            </w:r>
            <w:r>
              <w:rPr>
                <w:rFonts w:hint="default" w:ascii="Times New Roman" w:hAnsi="Times New Roman" w:cs="Times New Roman"/>
                <w:snapToGrid w:val="0"/>
                <w:color w:val="auto"/>
                <w:kern w:val="0"/>
                <w:sz w:val="24"/>
                <w:szCs w:val="20"/>
                <w:highlight w:val="none"/>
                <w:u w:val="none"/>
                <w:lang w:val="en-US" w:eastAsia="zh-CN"/>
              </w:rPr>
              <w:t>油漆库、</w:t>
            </w:r>
            <w:r>
              <w:rPr>
                <w:rFonts w:hint="default" w:ascii="Times New Roman" w:hAnsi="Times New Roman" w:eastAsia="宋体" w:cs="Times New Roman"/>
                <w:snapToGrid w:val="0"/>
                <w:color w:val="auto"/>
                <w:kern w:val="0"/>
                <w:sz w:val="24"/>
                <w:szCs w:val="20"/>
                <w:highlight w:val="none"/>
                <w:u w:val="none"/>
                <w:lang w:val="en-US" w:eastAsia="zh-CN"/>
              </w:rPr>
              <w:t>危险废物贮存</w:t>
            </w:r>
            <w:r>
              <w:rPr>
                <w:rFonts w:hint="default" w:ascii="Times New Roman" w:hAnsi="Times New Roman" w:cs="Times New Roman"/>
                <w:snapToGrid w:val="0"/>
                <w:color w:val="auto"/>
                <w:kern w:val="0"/>
                <w:sz w:val="24"/>
                <w:szCs w:val="24"/>
                <w:highlight w:val="none"/>
                <w:u w:val="none"/>
                <w:lang w:val="en-US" w:eastAsia="zh-CN"/>
              </w:rPr>
              <w:t>间</w:t>
            </w:r>
            <w:r>
              <w:rPr>
                <w:rFonts w:hint="default" w:ascii="Times New Roman" w:hAnsi="Times New Roman" w:cs="Times New Roman"/>
                <w:bCs/>
                <w:color w:val="auto"/>
                <w:sz w:val="24"/>
                <w:szCs w:val="24"/>
                <w:highlight w:val="none"/>
                <w:u w:val="none"/>
                <w:lang w:val="en-US" w:eastAsia="zh-CN"/>
              </w:rPr>
              <w:t>（依托）</w:t>
            </w:r>
            <w:r>
              <w:rPr>
                <w:rFonts w:hint="default" w:ascii="Times New Roman" w:hAnsi="Times New Roman" w:cs="Times New Roman"/>
                <w:snapToGrid w:val="0"/>
                <w:color w:val="auto"/>
                <w:kern w:val="0"/>
                <w:sz w:val="24"/>
                <w:szCs w:val="24"/>
                <w:highlight w:val="none"/>
                <w:u w:val="none"/>
                <w:lang w:val="en-US" w:eastAsia="zh-CN"/>
              </w:rPr>
              <w:t>等</w:t>
            </w:r>
            <w:r>
              <w:rPr>
                <w:rFonts w:hint="default" w:ascii="Times New Roman" w:hAnsi="Times New Roman" w:cs="Times New Roman"/>
                <w:snapToGrid w:val="0"/>
                <w:color w:val="auto"/>
                <w:kern w:val="0"/>
                <w:sz w:val="24"/>
                <w:szCs w:val="20"/>
                <w:highlight w:val="none"/>
                <w:u w:val="none"/>
                <w:lang w:val="en-US" w:eastAsia="zh-CN"/>
              </w:rPr>
              <w:t>区域</w:t>
            </w:r>
            <w:r>
              <w:rPr>
                <w:rFonts w:hint="default" w:ascii="Times New Roman" w:hAnsi="Times New Roman" w:eastAsia="宋体" w:cs="Times New Roman"/>
                <w:snapToGrid w:val="0"/>
                <w:color w:val="auto"/>
                <w:kern w:val="0"/>
                <w:sz w:val="24"/>
                <w:szCs w:val="20"/>
                <w:highlight w:val="none"/>
                <w:u w:val="none"/>
              </w:rPr>
              <w:t>进行防渗处理，没有污染地下水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w:t>
            </w:r>
            <w:r>
              <w:rPr>
                <w:rFonts w:hint="default" w:ascii="Times New Roman" w:hAnsi="Times New Roman" w:eastAsia="宋体" w:cs="Times New Roman"/>
                <w:snapToGrid w:val="0"/>
                <w:color w:val="auto"/>
                <w:kern w:val="0"/>
                <w:sz w:val="24"/>
                <w:szCs w:val="20"/>
                <w:highlight w:val="none"/>
                <w:u w:val="none"/>
              </w:rPr>
              <w:t>的</w:t>
            </w:r>
            <w:r>
              <w:rPr>
                <w:rFonts w:hint="default" w:ascii="Times New Roman" w:hAnsi="Times New Roman" w:cs="Times New Roman"/>
                <w:snapToGrid w:val="0"/>
                <w:color w:val="auto"/>
                <w:kern w:val="0"/>
                <w:sz w:val="24"/>
                <w:szCs w:val="20"/>
                <w:highlight w:val="none"/>
                <w:u w:val="none"/>
                <w:lang w:val="en-US" w:eastAsia="zh-CN"/>
              </w:rPr>
              <w:t>途径</w:t>
            </w:r>
            <w:r>
              <w:rPr>
                <w:rFonts w:hint="default" w:ascii="Times New Roman" w:hAnsi="Times New Roman" w:eastAsia="宋体" w:cs="Times New Roman"/>
                <w:snapToGrid w:val="0"/>
                <w:color w:val="auto"/>
                <w:kern w:val="0"/>
                <w:sz w:val="24"/>
                <w:szCs w:val="20"/>
                <w:highlight w:val="none"/>
                <w:u w:val="none"/>
              </w:rPr>
              <w:t>。因此，正常状况下不会对区域地下水</w:t>
            </w:r>
            <w:r>
              <w:rPr>
                <w:rFonts w:hint="default" w:ascii="Times New Roman" w:hAnsi="Times New Roman" w:cs="Times New Roman"/>
                <w:snapToGrid w:val="0"/>
                <w:color w:val="auto"/>
                <w:kern w:val="0"/>
                <w:sz w:val="24"/>
                <w:szCs w:val="20"/>
                <w:highlight w:val="none"/>
                <w:u w:val="none"/>
                <w:lang w:eastAsia="zh-CN"/>
              </w:rPr>
              <w:t>、</w:t>
            </w:r>
            <w:r>
              <w:rPr>
                <w:rFonts w:hint="default" w:ascii="Times New Roman" w:hAnsi="Times New Roman" w:cs="Times New Roman"/>
                <w:snapToGrid w:val="0"/>
                <w:color w:val="auto"/>
                <w:kern w:val="0"/>
                <w:sz w:val="24"/>
                <w:szCs w:val="20"/>
                <w:highlight w:val="none"/>
                <w:u w:val="none"/>
                <w:lang w:val="en-US" w:eastAsia="zh-CN"/>
              </w:rPr>
              <w:t>土壤产生</w:t>
            </w:r>
            <w:r>
              <w:rPr>
                <w:rFonts w:hint="default" w:ascii="Times New Roman" w:hAnsi="Times New Roman" w:eastAsia="宋体" w:cs="Times New Roman"/>
                <w:snapToGrid w:val="0"/>
                <w:color w:val="auto"/>
                <w:kern w:val="0"/>
                <w:sz w:val="24"/>
                <w:szCs w:val="20"/>
                <w:highlight w:val="none"/>
                <w:u w:val="none"/>
              </w:rPr>
              <w:t>影响。</w:t>
            </w:r>
          </w:p>
          <w:p w14:paraId="71E629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3</w:t>
            </w:r>
            <w:r>
              <w:rPr>
                <w:rFonts w:hint="eastAsia" w:cs="Times New Roman"/>
                <w:b/>
                <w:bCs/>
                <w:snapToGrid w:val="0"/>
                <w:color w:val="auto"/>
                <w:kern w:val="0"/>
                <w:sz w:val="24"/>
                <w:szCs w:val="20"/>
                <w:highlight w:val="none"/>
                <w:u w:val="none"/>
                <w:lang w:eastAsia="zh-CN"/>
              </w:rPr>
              <w:t>）</w:t>
            </w:r>
            <w:r>
              <w:rPr>
                <w:rFonts w:hint="default" w:ascii="Times New Roman" w:hAnsi="Times New Roman" w:eastAsia="宋体" w:cs="Times New Roman"/>
                <w:b/>
                <w:bCs/>
                <w:snapToGrid w:val="0"/>
                <w:color w:val="auto"/>
                <w:kern w:val="0"/>
                <w:sz w:val="24"/>
                <w:szCs w:val="20"/>
                <w:highlight w:val="none"/>
                <w:u w:val="none"/>
              </w:rPr>
              <w:t>污染防控措施</w:t>
            </w:r>
          </w:p>
          <w:p w14:paraId="42AAE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rPr>
            </w:pPr>
            <w:r>
              <w:rPr>
                <w:rFonts w:hint="default" w:ascii="Times New Roman" w:hAnsi="Times New Roman" w:eastAsia="宋体" w:cs="Times New Roman"/>
                <w:snapToGrid w:val="0"/>
                <w:color w:val="auto"/>
                <w:kern w:val="0"/>
                <w:sz w:val="24"/>
                <w:szCs w:val="20"/>
                <w:highlight w:val="none"/>
                <w:u w:val="none"/>
              </w:rPr>
              <w:t>为防止本项目的生产运行对周边地下水环境和土壤环境造成不利影响，对本项目提出分区防控要求，具体内容见表</w:t>
            </w:r>
            <w:r>
              <w:rPr>
                <w:rFonts w:hint="default" w:ascii="Times New Roman" w:hAnsi="Times New Roman" w:cs="Times New Roman"/>
                <w:snapToGrid w:val="0"/>
                <w:color w:val="auto"/>
                <w:kern w:val="0"/>
                <w:sz w:val="24"/>
                <w:szCs w:val="20"/>
                <w:highlight w:val="none"/>
                <w:u w:val="none"/>
                <w:lang w:val="en-US" w:eastAsia="zh-CN"/>
              </w:rPr>
              <w:t>4-2</w:t>
            </w:r>
            <w:r>
              <w:rPr>
                <w:rFonts w:hint="eastAsia" w:cs="Times New Roman"/>
                <w:snapToGrid w:val="0"/>
                <w:color w:val="auto"/>
                <w:kern w:val="0"/>
                <w:sz w:val="24"/>
                <w:szCs w:val="20"/>
                <w:highlight w:val="none"/>
                <w:u w:val="none"/>
                <w:lang w:val="en-US" w:eastAsia="zh-CN"/>
              </w:rPr>
              <w:t>2</w:t>
            </w:r>
            <w:r>
              <w:rPr>
                <w:rFonts w:hint="default" w:ascii="Times New Roman" w:hAnsi="Times New Roman" w:eastAsia="宋体" w:cs="Times New Roman"/>
                <w:snapToGrid w:val="0"/>
                <w:color w:val="auto"/>
                <w:kern w:val="0"/>
                <w:sz w:val="24"/>
                <w:szCs w:val="20"/>
                <w:highlight w:val="none"/>
                <w:u w:val="none"/>
              </w:rPr>
              <w:t>。</w:t>
            </w:r>
          </w:p>
          <w:p w14:paraId="71417D0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highlight w:val="none"/>
                <w:u w:val="none"/>
              </w:rPr>
            </w:pPr>
            <w:r>
              <w:rPr>
                <w:rFonts w:hint="default" w:ascii="Times New Roman" w:hAnsi="Times New Roman" w:eastAsia="宋体" w:cs="Times New Roman"/>
                <w:b/>
                <w:color w:val="auto"/>
                <w:sz w:val="24"/>
                <w:highlight w:val="none"/>
                <w:u w:val="none"/>
              </w:rPr>
              <w:t>表</w:t>
            </w:r>
            <w:r>
              <w:rPr>
                <w:rFonts w:hint="default" w:ascii="Times New Roman" w:hAnsi="Times New Roman" w:cs="Times New Roman"/>
                <w:b/>
                <w:color w:val="auto"/>
                <w:sz w:val="24"/>
                <w:highlight w:val="none"/>
                <w:u w:val="none"/>
                <w:lang w:val="en-US" w:eastAsia="zh-CN"/>
              </w:rPr>
              <w:t>4-2</w:t>
            </w:r>
            <w:r>
              <w:rPr>
                <w:rFonts w:hint="eastAsia" w:cs="Times New Roman"/>
                <w:b/>
                <w:color w:val="auto"/>
                <w:sz w:val="24"/>
                <w:highlight w:val="none"/>
                <w:u w:val="none"/>
                <w:lang w:val="en-US" w:eastAsia="zh-CN"/>
              </w:rPr>
              <w:t>2</w:t>
            </w:r>
            <w:r>
              <w:rPr>
                <w:rFonts w:hint="default" w:ascii="Times New Roman" w:hAnsi="Times New Roman" w:eastAsia="宋体" w:cs="Times New Roman"/>
                <w:b/>
                <w:color w:val="auto"/>
                <w:sz w:val="24"/>
                <w:highlight w:val="none"/>
                <w:u w:val="none"/>
              </w:rPr>
              <w:t>项目分区防渗措施一览表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38"/>
              <w:gridCol w:w="1171"/>
              <w:gridCol w:w="1342"/>
              <w:gridCol w:w="5432"/>
            </w:tblGrid>
            <w:tr w14:paraId="331C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blHeader/>
                <w:jc w:val="center"/>
              </w:trPr>
              <w:tc>
                <w:tcPr>
                  <w:tcW w:w="317" w:type="pct"/>
                  <w:tcBorders>
                    <w:top w:val="single" w:color="auto" w:sz="4" w:space="0"/>
                    <w:left w:val="single" w:color="auto" w:sz="4" w:space="0"/>
                    <w:bottom w:val="single" w:color="auto" w:sz="4" w:space="0"/>
                    <w:right w:val="single" w:color="auto" w:sz="4" w:space="0"/>
                  </w:tcBorders>
                  <w:vAlign w:val="center"/>
                </w:tcPr>
                <w:p w14:paraId="5171CC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序号</w:t>
                  </w:r>
                </w:p>
              </w:tc>
              <w:tc>
                <w:tcPr>
                  <w:tcW w:w="690" w:type="pct"/>
                  <w:tcBorders>
                    <w:top w:val="single" w:color="auto" w:sz="4" w:space="0"/>
                    <w:left w:val="single" w:color="auto" w:sz="4" w:space="0"/>
                    <w:bottom w:val="single" w:color="auto" w:sz="4" w:space="0"/>
                    <w:right w:val="single" w:color="auto" w:sz="4" w:space="0"/>
                  </w:tcBorders>
                  <w:vAlign w:val="center"/>
                </w:tcPr>
                <w:p w14:paraId="6FEC1D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类别</w:t>
                  </w:r>
                </w:p>
              </w:tc>
              <w:tc>
                <w:tcPr>
                  <w:tcW w:w="791" w:type="pct"/>
                  <w:tcBorders>
                    <w:top w:val="single" w:color="auto" w:sz="4" w:space="0"/>
                    <w:left w:val="single" w:color="auto" w:sz="4" w:space="0"/>
                    <w:bottom w:val="single" w:color="auto" w:sz="4" w:space="0"/>
                    <w:right w:val="single" w:color="auto" w:sz="4" w:space="0"/>
                  </w:tcBorders>
                  <w:vAlign w:val="center"/>
                </w:tcPr>
                <w:p w14:paraId="019FA2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名称</w:t>
                  </w:r>
                </w:p>
              </w:tc>
              <w:tc>
                <w:tcPr>
                  <w:tcW w:w="3201" w:type="pct"/>
                  <w:tcBorders>
                    <w:top w:val="single" w:color="auto" w:sz="4" w:space="0"/>
                    <w:left w:val="single" w:color="auto" w:sz="4" w:space="0"/>
                    <w:bottom w:val="single" w:color="auto" w:sz="4" w:space="0"/>
                    <w:right w:val="single" w:color="auto" w:sz="4" w:space="0"/>
                  </w:tcBorders>
                  <w:vAlign w:val="center"/>
                </w:tcPr>
                <w:p w14:paraId="4EDA6C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建议防渗措施</w:t>
                  </w:r>
                </w:p>
              </w:tc>
            </w:tr>
            <w:tr w14:paraId="4ED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2" w:hRule="atLeast"/>
                <w:jc w:val="center"/>
              </w:trPr>
              <w:tc>
                <w:tcPr>
                  <w:tcW w:w="317" w:type="pct"/>
                  <w:tcBorders>
                    <w:top w:val="single" w:color="auto" w:sz="4" w:space="0"/>
                    <w:left w:val="single" w:color="auto" w:sz="4" w:space="0"/>
                    <w:bottom w:val="single" w:color="auto" w:sz="4" w:space="0"/>
                    <w:right w:val="single" w:color="auto" w:sz="4" w:space="0"/>
                  </w:tcBorders>
                  <w:vAlign w:val="center"/>
                </w:tcPr>
                <w:p w14:paraId="521F880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1</w:t>
                  </w:r>
                </w:p>
              </w:tc>
              <w:tc>
                <w:tcPr>
                  <w:tcW w:w="690" w:type="pct"/>
                  <w:tcBorders>
                    <w:top w:val="single" w:color="auto" w:sz="4" w:space="0"/>
                    <w:left w:val="single" w:color="auto" w:sz="4" w:space="0"/>
                    <w:bottom w:val="single" w:color="auto" w:sz="4" w:space="0"/>
                    <w:right w:val="single" w:color="auto" w:sz="4" w:space="0"/>
                  </w:tcBorders>
                  <w:vAlign w:val="center"/>
                </w:tcPr>
                <w:p w14:paraId="514A8E4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重点防渗区</w:t>
                  </w:r>
                </w:p>
              </w:tc>
              <w:tc>
                <w:tcPr>
                  <w:tcW w:w="791" w:type="pct"/>
                  <w:tcBorders>
                    <w:top w:val="single" w:color="auto" w:sz="4" w:space="0"/>
                    <w:left w:val="single" w:color="auto" w:sz="4" w:space="0"/>
                    <w:bottom w:val="single" w:color="auto" w:sz="4" w:space="0"/>
                    <w:right w:val="single" w:color="auto" w:sz="4" w:space="0"/>
                  </w:tcBorders>
                  <w:vAlign w:val="center"/>
                </w:tcPr>
                <w:p w14:paraId="7CEEB78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eastAsia="zh-CN"/>
                    </w:rPr>
                    <w:t>危险废物贮存库</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eastAsia="zh-CN"/>
                    </w:rPr>
                    <w:t>、</w:t>
                  </w:r>
                  <w:r>
                    <w:rPr>
                      <w:rFonts w:hint="default" w:ascii="Times New Roman" w:hAnsi="Times New Roman" w:cs="Times New Roman"/>
                      <w:snapToGrid w:val="0"/>
                      <w:color w:val="auto"/>
                      <w:szCs w:val="21"/>
                      <w:highlight w:val="none"/>
                      <w:u w:val="none"/>
                      <w:lang w:val="en-US" w:eastAsia="zh-CN"/>
                    </w:rPr>
                    <w:t>油漆库</w:t>
                  </w:r>
                </w:p>
              </w:tc>
              <w:tc>
                <w:tcPr>
                  <w:tcW w:w="3201" w:type="pct"/>
                  <w:tcBorders>
                    <w:top w:val="single" w:color="auto" w:sz="4" w:space="0"/>
                    <w:left w:val="single" w:color="auto" w:sz="4" w:space="0"/>
                    <w:bottom w:val="single" w:color="auto" w:sz="4" w:space="0"/>
                    <w:right w:val="single" w:color="auto" w:sz="4" w:space="0"/>
                  </w:tcBorders>
                  <w:vAlign w:val="center"/>
                </w:tcPr>
                <w:p w14:paraId="69137312">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szCs w:val="21"/>
                      <w:highlight w:val="none"/>
                      <w:u w:val="none"/>
                      <w:lang w:val="en-US" w:eastAsia="zh-CN"/>
                    </w:rPr>
                    <w:t>地面与裙脚应采取表面防渗措施。表面防渗材料应与所接触的物料或污染物相容，可采用抗渗混凝土、高密度聚乙烯膜、钠基膨润土防水毯或其他防渗性能等效的材料</w:t>
                  </w:r>
                </w:p>
              </w:tc>
            </w:tr>
            <w:tr w14:paraId="14BA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317" w:type="pct"/>
                  <w:vMerge w:val="restart"/>
                  <w:tcBorders>
                    <w:top w:val="single" w:color="auto" w:sz="4" w:space="0"/>
                    <w:left w:val="single" w:color="auto" w:sz="4" w:space="0"/>
                    <w:right w:val="single" w:color="auto" w:sz="4" w:space="0"/>
                  </w:tcBorders>
                  <w:shd w:val="clear" w:color="auto" w:fill="auto"/>
                  <w:vAlign w:val="center"/>
                </w:tcPr>
                <w:p w14:paraId="01D5CA6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Cs w:val="21"/>
                      <w:highlight w:val="none"/>
                      <w:u w:val="none"/>
                    </w:rPr>
                    <w:t>2</w:t>
                  </w:r>
                </w:p>
              </w:tc>
              <w:tc>
                <w:tcPr>
                  <w:tcW w:w="690" w:type="pct"/>
                  <w:vMerge w:val="restart"/>
                  <w:tcBorders>
                    <w:top w:val="single" w:color="auto" w:sz="4" w:space="0"/>
                    <w:left w:val="single" w:color="auto" w:sz="4" w:space="0"/>
                    <w:right w:val="single" w:color="auto" w:sz="4" w:space="0"/>
                  </w:tcBorders>
                  <w:vAlign w:val="center"/>
                </w:tcPr>
                <w:p w14:paraId="0D523EA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一般防渗区</w:t>
                  </w:r>
                </w:p>
              </w:tc>
              <w:tc>
                <w:tcPr>
                  <w:tcW w:w="791" w:type="pct"/>
                  <w:tcBorders>
                    <w:top w:val="single" w:color="auto" w:sz="4" w:space="0"/>
                    <w:left w:val="single" w:color="auto" w:sz="4" w:space="0"/>
                    <w:bottom w:val="single" w:color="auto" w:sz="4" w:space="0"/>
                    <w:right w:val="single" w:color="auto" w:sz="4" w:space="0"/>
                  </w:tcBorders>
                  <w:vAlign w:val="center"/>
                </w:tcPr>
                <w:p w14:paraId="7790BB7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val="en-US" w:eastAsia="zh-CN"/>
                    </w:rPr>
                    <w:t>刷漆加工车间、其他车间</w:t>
                  </w:r>
                </w:p>
              </w:tc>
              <w:tc>
                <w:tcPr>
                  <w:tcW w:w="3201" w:type="pct"/>
                  <w:tcBorders>
                    <w:top w:val="single" w:color="auto" w:sz="4" w:space="0"/>
                    <w:left w:val="single" w:color="auto" w:sz="4" w:space="0"/>
                    <w:bottom w:val="single" w:color="auto" w:sz="4" w:space="0"/>
                    <w:right w:val="single" w:color="auto" w:sz="4" w:space="0"/>
                  </w:tcBorders>
                  <w:vAlign w:val="center"/>
                </w:tcPr>
                <w:p w14:paraId="5BFD0DD7">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水泥硬化，表面涂环氧树脂涂层</w:t>
                  </w:r>
                </w:p>
              </w:tc>
            </w:tr>
            <w:tr w14:paraId="1245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17" w:type="pct"/>
                  <w:vMerge w:val="continue"/>
                  <w:tcBorders>
                    <w:left w:val="single" w:color="auto" w:sz="4" w:space="0"/>
                    <w:bottom w:val="single" w:color="auto" w:sz="4" w:space="0"/>
                    <w:right w:val="single" w:color="auto" w:sz="4" w:space="0"/>
                  </w:tcBorders>
                  <w:shd w:val="clear" w:color="auto" w:fill="auto"/>
                  <w:vAlign w:val="center"/>
                </w:tcPr>
                <w:p w14:paraId="7101F97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u w:val="none"/>
                      <w:lang w:val="en-US" w:eastAsia="zh-CN" w:bidi="ar-SA"/>
                    </w:rPr>
                  </w:pPr>
                </w:p>
              </w:tc>
              <w:tc>
                <w:tcPr>
                  <w:tcW w:w="690" w:type="pct"/>
                  <w:vMerge w:val="continue"/>
                  <w:tcBorders>
                    <w:left w:val="single" w:color="auto" w:sz="4" w:space="0"/>
                    <w:bottom w:val="single" w:color="auto" w:sz="4" w:space="0"/>
                    <w:right w:val="single" w:color="auto" w:sz="4" w:space="0"/>
                  </w:tcBorders>
                  <w:vAlign w:val="center"/>
                </w:tcPr>
                <w:p w14:paraId="20D22FD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p>
              </w:tc>
              <w:tc>
                <w:tcPr>
                  <w:tcW w:w="791" w:type="pct"/>
                  <w:tcBorders>
                    <w:top w:val="single" w:color="auto" w:sz="4" w:space="0"/>
                    <w:left w:val="single" w:color="auto" w:sz="4" w:space="0"/>
                    <w:bottom w:val="single" w:color="auto" w:sz="4" w:space="0"/>
                    <w:right w:val="single" w:color="auto" w:sz="4" w:space="0"/>
                  </w:tcBorders>
                  <w:vAlign w:val="center"/>
                </w:tcPr>
                <w:p w14:paraId="2E452D1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cs="Times New Roman"/>
                      <w:snapToGrid w:val="0"/>
                      <w:color w:val="auto"/>
                      <w:szCs w:val="21"/>
                      <w:highlight w:val="none"/>
                      <w:u w:val="none"/>
                      <w:lang w:val="en-US" w:eastAsia="zh-CN"/>
                    </w:rPr>
                    <w:t>化粪池</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val="en-US" w:eastAsia="zh-CN"/>
                    </w:rPr>
                    <w:t>、污水管道</w:t>
                  </w:r>
                  <w:r>
                    <w:rPr>
                      <w:rFonts w:hint="default" w:ascii="Times New Roman" w:hAnsi="Times New Roman" w:cs="Times New Roman"/>
                      <w:bCs/>
                      <w:color w:val="auto"/>
                      <w:szCs w:val="21"/>
                      <w:highlight w:val="none"/>
                      <w:u w:val="none"/>
                      <w:lang w:val="en-US" w:eastAsia="zh-CN"/>
                    </w:rPr>
                    <w:t>（依托）</w:t>
                  </w:r>
                  <w:r>
                    <w:rPr>
                      <w:rFonts w:hint="default" w:ascii="Times New Roman" w:hAnsi="Times New Roman" w:cs="Times New Roman"/>
                      <w:snapToGrid w:val="0"/>
                      <w:color w:val="auto"/>
                      <w:szCs w:val="21"/>
                      <w:highlight w:val="none"/>
                      <w:u w:val="none"/>
                      <w:lang w:val="en-US" w:eastAsia="zh-CN"/>
                    </w:rPr>
                    <w:t>等</w:t>
                  </w:r>
                </w:p>
              </w:tc>
              <w:tc>
                <w:tcPr>
                  <w:tcW w:w="3201" w:type="pct"/>
                  <w:tcBorders>
                    <w:top w:val="single" w:color="auto" w:sz="4" w:space="0"/>
                    <w:left w:val="single" w:color="auto" w:sz="4" w:space="0"/>
                    <w:bottom w:val="single" w:color="auto" w:sz="4" w:space="0"/>
                    <w:right w:val="single" w:color="auto" w:sz="4" w:space="0"/>
                  </w:tcBorders>
                  <w:vAlign w:val="center"/>
                </w:tcPr>
                <w:p w14:paraId="098E2B68">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lang w:val="en-US" w:eastAsia="zh-CN"/>
                    </w:rPr>
                    <w:t>污水管道采用PVC管等防渗管材，接口处做好密封</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化粪池为外购玻璃钢结构，</w:t>
                  </w:r>
                  <w:r>
                    <w:rPr>
                      <w:rFonts w:hint="default" w:ascii="Times New Roman" w:hAnsi="Times New Roman" w:eastAsia="宋体" w:cs="Times New Roman"/>
                      <w:color w:val="auto"/>
                      <w:highlight w:val="none"/>
                      <w:u w:val="none"/>
                    </w:rPr>
                    <w:t>采用三合土铺底</w:t>
                  </w:r>
                </w:p>
              </w:tc>
            </w:tr>
            <w:tr w14:paraId="1834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17" w:type="pct"/>
                  <w:tcBorders>
                    <w:top w:val="single" w:color="auto" w:sz="4" w:space="0"/>
                    <w:left w:val="single" w:color="auto" w:sz="4" w:space="0"/>
                    <w:bottom w:val="single" w:color="auto" w:sz="4" w:space="0"/>
                    <w:right w:val="single" w:color="auto" w:sz="4" w:space="0"/>
                  </w:tcBorders>
                  <w:vAlign w:val="center"/>
                </w:tcPr>
                <w:p w14:paraId="4CED846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3</w:t>
                  </w:r>
                </w:p>
              </w:tc>
              <w:tc>
                <w:tcPr>
                  <w:tcW w:w="690" w:type="pct"/>
                  <w:tcBorders>
                    <w:top w:val="single" w:color="auto" w:sz="4" w:space="0"/>
                    <w:left w:val="single" w:color="auto" w:sz="4" w:space="0"/>
                    <w:bottom w:val="single" w:color="auto" w:sz="4" w:space="0"/>
                    <w:right w:val="single" w:color="auto" w:sz="4" w:space="0"/>
                  </w:tcBorders>
                  <w:vAlign w:val="center"/>
                </w:tcPr>
                <w:p w14:paraId="5B3D528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kern w:val="0"/>
                      <w:szCs w:val="21"/>
                      <w:highlight w:val="none"/>
                      <w:u w:val="none"/>
                    </w:rPr>
                    <w:t>简单防渗区</w:t>
                  </w:r>
                </w:p>
              </w:tc>
              <w:tc>
                <w:tcPr>
                  <w:tcW w:w="791" w:type="pct"/>
                  <w:tcBorders>
                    <w:top w:val="single" w:color="auto" w:sz="4" w:space="0"/>
                    <w:left w:val="single" w:color="auto" w:sz="4" w:space="0"/>
                    <w:bottom w:val="single" w:color="auto" w:sz="4" w:space="0"/>
                    <w:right w:val="single" w:color="auto" w:sz="4" w:space="0"/>
                  </w:tcBorders>
                  <w:vAlign w:val="center"/>
                </w:tcPr>
                <w:p w14:paraId="35C5565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Times New Roman" w:hAnsi="Times New Roman" w:eastAsia="宋体" w:cs="Times New Roman"/>
                      <w:snapToGrid w:val="0"/>
                      <w:color w:val="auto"/>
                      <w:szCs w:val="21"/>
                      <w:highlight w:val="none"/>
                      <w:u w:val="none"/>
                    </w:rPr>
                  </w:pPr>
                  <w:r>
                    <w:rPr>
                      <w:rFonts w:hint="default" w:ascii="Times New Roman" w:hAnsi="Times New Roman" w:eastAsia="宋体" w:cs="Times New Roman"/>
                      <w:snapToGrid w:val="0"/>
                      <w:color w:val="auto"/>
                      <w:szCs w:val="21"/>
                      <w:highlight w:val="none"/>
                      <w:u w:val="none"/>
                    </w:rPr>
                    <w:t>地面</w:t>
                  </w:r>
                </w:p>
              </w:tc>
              <w:tc>
                <w:tcPr>
                  <w:tcW w:w="3201" w:type="pct"/>
                  <w:tcBorders>
                    <w:top w:val="single" w:color="auto" w:sz="4" w:space="0"/>
                    <w:left w:val="single" w:color="auto" w:sz="4" w:space="0"/>
                    <w:bottom w:val="single" w:color="auto" w:sz="4" w:space="0"/>
                    <w:right w:val="single" w:color="auto" w:sz="4" w:space="0"/>
                  </w:tcBorders>
                  <w:vAlign w:val="center"/>
                </w:tcPr>
                <w:p w14:paraId="38CCB4C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Times New Roman" w:hAnsi="Times New Roman" w:eastAsia="宋体" w:cs="Times New Roman"/>
                      <w:snapToGrid w:val="0"/>
                      <w:color w:val="auto"/>
                      <w:kern w:val="0"/>
                      <w:szCs w:val="21"/>
                      <w:highlight w:val="none"/>
                      <w:u w:val="none"/>
                    </w:rPr>
                  </w:pPr>
                  <w:r>
                    <w:rPr>
                      <w:rFonts w:hint="default" w:ascii="Times New Roman" w:hAnsi="Times New Roman" w:eastAsia="宋体" w:cs="Times New Roman"/>
                      <w:snapToGrid w:val="0"/>
                      <w:color w:val="auto"/>
                      <w:szCs w:val="21"/>
                      <w:highlight w:val="none"/>
                      <w:u w:val="none"/>
                    </w:rPr>
                    <w:t>普通水泥硬化处理</w:t>
                  </w:r>
                </w:p>
              </w:tc>
            </w:tr>
          </w:tbl>
          <w:p w14:paraId="1C09CD87">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default" w:ascii="Times New Roman" w:hAnsi="Times New Roman" w:cs="Times New Roman"/>
                <w:b/>
                <w:bCs/>
                <w:color w:val="auto"/>
                <w:sz w:val="24"/>
                <w:highlight w:val="none"/>
                <w:u w:val="none" w:color="auto"/>
                <w:lang w:val="en-US" w:eastAsia="zh-CN"/>
              </w:rPr>
            </w:pPr>
            <w:r>
              <w:rPr>
                <w:rFonts w:hint="default" w:ascii="Times New Roman" w:hAnsi="Times New Roman" w:eastAsia="宋体" w:cs="Times New Roman"/>
                <w:snapToGrid w:val="0"/>
                <w:color w:val="auto"/>
                <w:kern w:val="0"/>
                <w:sz w:val="24"/>
                <w:szCs w:val="20"/>
                <w:highlight w:val="none"/>
                <w:u w:val="none"/>
              </w:rPr>
              <w:t>本项目正常状况下对土壤和地下水影响较小，不再提出跟踪监测要求。</w:t>
            </w:r>
          </w:p>
          <w:p w14:paraId="2B7CA522">
            <w:pPr>
              <w:keepNext w:val="0"/>
              <w:keepLines w:val="0"/>
              <w:numPr>
                <w:ilvl w:val="0"/>
                <w:numId w:val="7"/>
              </w:numPr>
              <w:suppressLineNumbers w:val="0"/>
              <w:adjustRightInd w:val="0"/>
              <w:snapToGrid w:val="0"/>
              <w:spacing w:before="0" w:beforeAutospacing="0" w:after="0" w:afterAutospacing="0" w:line="360" w:lineRule="auto"/>
              <w:ind w:left="0" w:leftChars="0" w:right="0" w:firstLine="482" w:firstLineChars="200"/>
              <w:rPr>
                <w:rFonts w:hint="default" w:ascii="Times New Roman" w:hAnsi="Times New Roman" w:cs="Times New Roman"/>
                <w:b/>
                <w:bCs/>
                <w:color w:val="auto"/>
                <w:sz w:val="24"/>
                <w:highlight w:val="none"/>
                <w:u w:val="none" w:color="auto"/>
                <w:lang w:val="en-US" w:eastAsia="zh-CN"/>
              </w:rPr>
            </w:pPr>
            <w:r>
              <w:rPr>
                <w:rFonts w:hint="default" w:ascii="Times New Roman" w:hAnsi="Times New Roman" w:cs="Times New Roman"/>
                <w:b/>
                <w:bCs/>
                <w:color w:val="auto"/>
                <w:sz w:val="24"/>
                <w:highlight w:val="none"/>
                <w:u w:val="none" w:color="auto"/>
                <w:lang w:val="en-US" w:eastAsia="zh-CN"/>
              </w:rPr>
              <w:t>生态环境影响分析</w:t>
            </w:r>
          </w:p>
          <w:p w14:paraId="2A41427C">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本项目位于钦州港大榄坪南作业区后方陆域，范围内无生态环境敏感区域，因此不涉及运营期生态环境影响和保护措施。</w:t>
            </w:r>
          </w:p>
          <w:p w14:paraId="79C45E9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cs="Times New Roman"/>
                <w:b/>
                <w:bCs/>
                <w:color w:val="auto"/>
                <w:sz w:val="24"/>
                <w:highlight w:val="none"/>
                <w:u w:val="none" w:color="auto"/>
                <w:lang w:val="en-US" w:eastAsia="zh-CN"/>
              </w:rPr>
              <w:t>7</w:t>
            </w:r>
            <w:r>
              <w:rPr>
                <w:rFonts w:hint="default" w:ascii="Times New Roman" w:hAnsi="Times New Roman" w:cs="Times New Roman"/>
                <w:b/>
                <w:bCs/>
                <w:color w:val="auto"/>
                <w:sz w:val="24"/>
                <w:highlight w:val="none"/>
                <w:u w:val="none" w:color="auto"/>
              </w:rPr>
              <w:t>、</w:t>
            </w:r>
            <w:r>
              <w:rPr>
                <w:rFonts w:hint="default" w:ascii="Times New Roman" w:hAnsi="Times New Roman" w:cs="Times New Roman"/>
                <w:b/>
                <w:bCs/>
                <w:color w:val="auto"/>
                <w:sz w:val="24"/>
                <w:highlight w:val="none"/>
                <w:u w:val="none" w:color="auto"/>
                <w:lang w:val="en-US" w:eastAsia="zh-CN"/>
              </w:rPr>
              <w:t>环境风险</w:t>
            </w:r>
          </w:p>
          <w:p w14:paraId="44C36C8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w:t>
            </w:r>
            <w:r>
              <w:rPr>
                <w:rFonts w:hint="default" w:ascii="Times New Roman" w:hAnsi="Times New Roman" w:cs="Times New Roman"/>
                <w:color w:val="auto"/>
                <w:sz w:val="24"/>
                <w:highlight w:val="none"/>
                <w:lang w:eastAsia="zh-CN"/>
              </w:rPr>
              <w:t>及其</w:t>
            </w:r>
            <w:r>
              <w:rPr>
                <w:rFonts w:hint="default" w:ascii="Times New Roman" w:hAnsi="Times New Roman" w:cs="Times New Roman"/>
                <w:color w:val="auto"/>
                <w:sz w:val="24"/>
                <w:highlight w:val="none"/>
              </w:rPr>
              <w:t>损害程度，并提出合理可行的防范、应急与减缓措施，使建设项目事故率、损失和环境影响达到可接受水平。环境风险评价应把事故引起厂（场）界外人群的伤害、环境质量的恶化及对环境系统影响的预测和防护作为评价工作重点。</w:t>
            </w:r>
          </w:p>
          <w:p w14:paraId="5F00F1F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评价依据</w:t>
            </w:r>
          </w:p>
          <w:p w14:paraId="1BC80F2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根据《建设项目环境风险评价技术导则》（HJ169-2018），建设项目环境风险潜势划分为I、II、III、IV、IV</w:t>
            </w:r>
            <w:r>
              <w:rPr>
                <w:rFonts w:hint="default" w:ascii="Times New Roman" w:hAnsi="Times New Roman" w:cs="Times New Roman"/>
                <w:color w:val="auto"/>
                <w:kern w:val="0"/>
                <w:sz w:val="24"/>
                <w:highlight w:val="none"/>
                <w:vertAlign w:val="superscript"/>
                <w:lang w:bidi="ar"/>
              </w:rPr>
              <w:t>+</w:t>
            </w:r>
            <w:r>
              <w:rPr>
                <w:rFonts w:hint="default" w:ascii="Times New Roman" w:hAnsi="Times New Roman" w:cs="Times New Roman"/>
                <w:color w:val="auto"/>
                <w:kern w:val="0"/>
                <w:sz w:val="24"/>
                <w:highlight w:val="none"/>
                <w:lang w:bidi="ar"/>
              </w:rPr>
              <w:t>级，根据建设项目涉及的物质和工艺系统的危险性以及所在地的环境敏感程度，结合事故下的环境影响途径，按照下表确定环境风险潜势。</w:t>
            </w:r>
          </w:p>
          <w:p w14:paraId="5BA57527">
            <w:pPr>
              <w:pStyle w:val="105"/>
              <w:keepNext w:val="0"/>
              <w:keepLines w:val="0"/>
              <w:suppressLineNumbers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23</w:t>
            </w:r>
            <w:r>
              <w:rPr>
                <w:rFonts w:hint="default" w:ascii="Times New Roman" w:hAnsi="Times New Roman" w:cs="Times New Roman"/>
                <w:b/>
                <w:bCs/>
                <w:color w:val="auto"/>
                <w:sz w:val="24"/>
                <w:szCs w:val="24"/>
                <w:highlight w:val="none"/>
              </w:rPr>
              <w:t>建设项目环境风险潜势划分</w:t>
            </w:r>
          </w:p>
          <w:tbl>
            <w:tblPr>
              <w:tblStyle w:val="46"/>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395"/>
              <w:gridCol w:w="1553"/>
              <w:gridCol w:w="1519"/>
              <w:gridCol w:w="1544"/>
            </w:tblGrid>
            <w:tr w14:paraId="320F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restart"/>
                  <w:tcBorders>
                    <w:bottom w:val="single" w:color="000000" w:sz="8" w:space="0"/>
                    <w:right w:val="single" w:color="000000" w:sz="8" w:space="0"/>
                  </w:tcBorders>
                  <w:noWrap w:val="0"/>
                  <w:vAlign w:val="center"/>
                </w:tcPr>
                <w:p w14:paraId="415B1F8D">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环境敏感程度（E）</w:t>
                  </w:r>
                </w:p>
              </w:tc>
              <w:tc>
                <w:tcPr>
                  <w:tcW w:w="6011" w:type="dxa"/>
                  <w:gridSpan w:val="4"/>
                  <w:tcBorders>
                    <w:left w:val="single" w:color="000000" w:sz="8" w:space="0"/>
                    <w:bottom w:val="single" w:color="000000" w:sz="8" w:space="0"/>
                  </w:tcBorders>
                  <w:noWrap w:val="0"/>
                  <w:vAlign w:val="center"/>
                </w:tcPr>
                <w:p w14:paraId="06CA4BB9">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危险物质及工艺系统危险性（P）</w:t>
                  </w:r>
                </w:p>
              </w:tc>
            </w:tr>
            <w:tr w14:paraId="388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continue"/>
                  <w:tcBorders>
                    <w:top w:val="single" w:color="000000" w:sz="8" w:space="0"/>
                    <w:bottom w:val="single" w:color="000000" w:sz="8" w:space="0"/>
                    <w:right w:val="single" w:color="000000" w:sz="8" w:space="0"/>
                  </w:tcBorders>
                  <w:noWrap w:val="0"/>
                  <w:vAlign w:val="center"/>
                </w:tcPr>
                <w:p w14:paraId="55DA5B3F">
                  <w:pPr>
                    <w:pStyle w:val="105"/>
                    <w:keepNext w:val="0"/>
                    <w:keepLines w:val="0"/>
                    <w:suppressLineNumbers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02399A43">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极高危害</w:t>
                  </w:r>
                </w:p>
                <w:p w14:paraId="13B1D214">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（P1）</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5D5B3FDC">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高度危害</w:t>
                  </w:r>
                </w:p>
                <w:p w14:paraId="681EB555">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（P2）</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53ADF0D7">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中度危害</w:t>
                  </w:r>
                </w:p>
                <w:p w14:paraId="0F8E827F">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（P3）</w:t>
                  </w:r>
                </w:p>
              </w:tc>
              <w:tc>
                <w:tcPr>
                  <w:tcW w:w="1544" w:type="dxa"/>
                  <w:tcBorders>
                    <w:top w:val="single" w:color="000000" w:sz="8" w:space="0"/>
                    <w:left w:val="single" w:color="000000" w:sz="8" w:space="0"/>
                    <w:bottom w:val="single" w:color="000000" w:sz="8" w:space="0"/>
                  </w:tcBorders>
                  <w:noWrap w:val="0"/>
                  <w:vAlign w:val="center"/>
                </w:tcPr>
                <w:p w14:paraId="0F345D32">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轻度危害</w:t>
                  </w:r>
                </w:p>
                <w:p w14:paraId="01E4062A">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（P4）</w:t>
                  </w:r>
                </w:p>
              </w:tc>
            </w:tr>
            <w:tr w14:paraId="4C7E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72FE3FD2">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1044D30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r>
                    <w:rPr>
                      <w:rFonts w:hint="default" w:ascii="Times New Roman" w:hAnsi="Times New Roman" w:cs="Times New Roman"/>
                      <w:color w:val="auto"/>
                      <w:kern w:val="0"/>
                      <w:sz w:val="21"/>
                      <w:szCs w:val="21"/>
                      <w:highlight w:val="none"/>
                      <w:vertAlign w:val="superscript"/>
                      <w:lang w:bidi="ar"/>
                    </w:rPr>
                    <w:t>+</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2FA72BC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E6A1CE5">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44" w:type="dxa"/>
                  <w:tcBorders>
                    <w:top w:val="single" w:color="000000" w:sz="8" w:space="0"/>
                    <w:left w:val="single" w:color="000000" w:sz="8" w:space="0"/>
                    <w:bottom w:val="single" w:color="000000" w:sz="8" w:space="0"/>
                  </w:tcBorders>
                  <w:noWrap w:val="0"/>
                  <w:vAlign w:val="center"/>
                </w:tcPr>
                <w:p w14:paraId="710E8324">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r>
            <w:tr w14:paraId="2E3E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49F40AFF">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28C8642E">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IV</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742D60A8">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58EF1C69">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44" w:type="dxa"/>
                  <w:tcBorders>
                    <w:top w:val="single" w:color="000000" w:sz="8" w:space="0"/>
                    <w:left w:val="single" w:color="000000" w:sz="8" w:space="0"/>
                    <w:bottom w:val="single" w:color="000000" w:sz="8" w:space="0"/>
                  </w:tcBorders>
                  <w:noWrap w:val="0"/>
                  <w:vAlign w:val="center"/>
                </w:tcPr>
                <w:p w14:paraId="11AF086D">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w:t>
                  </w:r>
                </w:p>
              </w:tc>
            </w:tr>
            <w:tr w14:paraId="5580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7B6758BB">
                  <w:pPr>
                    <w:pStyle w:val="105"/>
                    <w:keepNext w:val="0"/>
                    <w:keepLines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5FE0090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5CD91477">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64232D9">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II</w:t>
                  </w:r>
                </w:p>
              </w:tc>
              <w:tc>
                <w:tcPr>
                  <w:tcW w:w="1544" w:type="dxa"/>
                  <w:tcBorders>
                    <w:top w:val="single" w:color="000000" w:sz="8" w:space="0"/>
                    <w:left w:val="single" w:color="000000" w:sz="8" w:space="0"/>
                    <w:bottom w:val="single" w:color="000000" w:sz="8" w:space="0"/>
                  </w:tcBorders>
                  <w:noWrap w:val="0"/>
                  <w:vAlign w:val="center"/>
                </w:tcPr>
                <w:p w14:paraId="1CD368A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I</w:t>
                  </w:r>
                </w:p>
              </w:tc>
            </w:tr>
            <w:tr w14:paraId="76B7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4" w:type="dxa"/>
                  <w:gridSpan w:val="5"/>
                  <w:tcBorders>
                    <w:top w:val="single" w:color="000000" w:sz="8" w:space="0"/>
                  </w:tcBorders>
                  <w:noWrap w:val="0"/>
                  <w:vAlign w:val="center"/>
                </w:tcPr>
                <w:p w14:paraId="5037E726">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注：IV</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为极高环境风险</w:t>
                  </w:r>
                </w:p>
              </w:tc>
            </w:tr>
          </w:tbl>
          <w:p w14:paraId="5700922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eastAsia="zh-CN" w:bidi="ar"/>
              </w:rPr>
              <w:t>根据</w:t>
            </w:r>
            <w:r>
              <w:rPr>
                <w:rFonts w:hint="default" w:ascii="Times New Roman" w:hAnsi="Times New Roman" w:eastAsia="宋体" w:cs="Times New Roman"/>
                <w:color w:val="auto"/>
                <w:kern w:val="0"/>
                <w:sz w:val="24"/>
                <w:highlight w:val="none"/>
                <w:lang w:bidi="ar"/>
              </w:rPr>
              <w:t>《建设项目环境风险评价技术导则》（HJ169-2018）附录B表B.1、《化学品分类和标签规范第18部分：急性毒性》（GB30000.18-2013）及</w:t>
            </w:r>
            <w:r>
              <w:rPr>
                <w:rFonts w:hint="default"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危险化学品重大危险源辨识</w:t>
            </w:r>
            <w:r>
              <w:rPr>
                <w:rFonts w:hint="default" w:ascii="Times New Roman" w:hAnsi="Times New Roman"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（GB18218-2018），</w:t>
            </w:r>
            <w:r>
              <w:rPr>
                <w:rFonts w:hint="default" w:ascii="Times New Roman" w:hAnsi="Times New Roman" w:eastAsia="宋体" w:cs="Times New Roman"/>
                <w:color w:val="auto"/>
                <w:kern w:val="0"/>
                <w:sz w:val="24"/>
                <w:szCs w:val="24"/>
                <w:highlight w:val="none"/>
                <w:lang w:val="en-US" w:eastAsia="zh-CN" w:bidi="ar"/>
              </w:rPr>
              <w:t>本项目主要原辅料所涉及风险物质包括：SC稀释剂（二甲苯）和橙色氧化橡胶面漆（油漆）、丙烷</w:t>
            </w:r>
            <w:r>
              <w:rPr>
                <w:rFonts w:hint="eastAsia" w:cs="Times New Roman"/>
                <w:color w:val="auto"/>
                <w:kern w:val="0"/>
                <w:sz w:val="24"/>
                <w:szCs w:val="24"/>
                <w:highlight w:val="none"/>
                <w:lang w:val="en-US" w:eastAsia="zh-CN" w:bidi="ar"/>
              </w:rPr>
              <w:t>、废机油</w:t>
            </w:r>
            <w:r>
              <w:rPr>
                <w:rFonts w:hint="default" w:ascii="Times New Roman" w:hAnsi="Times New Roman" w:eastAsia="宋体" w:cs="Times New Roman"/>
                <w:color w:val="auto"/>
                <w:kern w:val="0"/>
                <w:sz w:val="24"/>
                <w:szCs w:val="24"/>
                <w:highlight w:val="none"/>
                <w:lang w:val="en-US" w:eastAsia="zh-CN" w:bidi="ar"/>
              </w:rPr>
              <w:t>。</w:t>
            </w:r>
          </w:p>
          <w:p w14:paraId="3BB01D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bCs/>
                <w:color w:val="auto"/>
                <w:sz w:val="24"/>
                <w:highlight w:val="none"/>
              </w:rPr>
            </w:pPr>
            <w:r>
              <w:rPr>
                <w:rFonts w:hint="default" w:ascii="Times New Roman" w:hAnsi="Times New Roman" w:cs="Times New Roman"/>
                <w:bCs/>
                <w:i/>
                <w:iCs/>
                <w:color w:val="auto"/>
                <w:kern w:val="0"/>
                <w:sz w:val="24"/>
                <w:highlight w:val="none"/>
                <w:lang w:bidi="ar"/>
              </w:rPr>
              <w:t>Q</w:t>
            </w:r>
            <w:r>
              <w:rPr>
                <w:rFonts w:hint="default" w:ascii="Times New Roman" w:hAnsi="Times New Roman" w:cs="Times New Roman"/>
                <w:bCs/>
                <w:color w:val="auto"/>
                <w:kern w:val="0"/>
                <w:sz w:val="24"/>
                <w:highlight w:val="none"/>
                <w:lang w:bidi="ar"/>
              </w:rPr>
              <w:t>值的确定如下：</w:t>
            </w:r>
          </w:p>
          <w:p w14:paraId="2B69C00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根据《建设项目环境风险评价技术导则》（HJ/T169-2018）附录C，</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按下式进行计算：</w:t>
            </w:r>
          </w:p>
          <w:p w14:paraId="5B67B220">
            <w:pPr>
              <w:pStyle w:val="105"/>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0" w:firstLineChars="0"/>
              <w:contextualSpacing/>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647825" cy="476250"/>
                  <wp:effectExtent l="0" t="0" r="9525" b="0"/>
                  <wp:docPr id="9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4"/>
                          <pic:cNvPicPr>
                            <a:picLocks noChangeAspect="1"/>
                          </pic:cNvPicPr>
                        </pic:nvPicPr>
                        <pic:blipFill>
                          <a:blip r:embed="rId28"/>
                          <a:stretch>
                            <a:fillRect/>
                          </a:stretch>
                        </pic:blipFill>
                        <pic:spPr>
                          <a:xfrm>
                            <a:off x="0" y="0"/>
                            <a:ext cx="1647825" cy="476250"/>
                          </a:xfrm>
                          <a:prstGeom prst="rect">
                            <a:avLst/>
                          </a:prstGeom>
                          <a:noFill/>
                          <a:ln>
                            <a:noFill/>
                          </a:ln>
                        </pic:spPr>
                      </pic:pic>
                    </a:graphicData>
                  </a:graphic>
                </wp:inline>
              </w:drawing>
            </w:r>
          </w:p>
          <w:p w14:paraId="015E269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式中：</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1</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2</w:t>
            </w:r>
            <w:r>
              <w:rPr>
                <w:rFonts w:hint="default" w:ascii="Times New Roman" w:hAnsi="Times New Roman" w:cs="Times New Roman"/>
                <w:i/>
                <w:iCs w:val="0"/>
                <w:color w:val="auto"/>
                <w:kern w:val="0"/>
                <w:sz w:val="24"/>
                <w:highlight w:val="none"/>
                <w:lang w:bidi="ar"/>
              </w:rPr>
              <w:t>……q</w:t>
            </w:r>
            <w:r>
              <w:rPr>
                <w:rFonts w:hint="default" w:ascii="Times New Roman" w:hAnsi="Times New Roman" w:cs="Times New Roman"/>
                <w:i/>
                <w:iCs w:val="0"/>
                <w:color w:val="auto"/>
                <w:kern w:val="0"/>
                <w:sz w:val="24"/>
                <w:highlight w:val="none"/>
                <w:vertAlign w:val="subscript"/>
                <w:lang w:bidi="ar"/>
              </w:rPr>
              <w:t>n</w:t>
            </w:r>
            <w:r>
              <w:rPr>
                <w:rFonts w:hint="default" w:ascii="Times New Roman" w:hAnsi="Times New Roman" w:cs="Times New Roman"/>
                <w:color w:val="auto"/>
                <w:kern w:val="0"/>
                <w:sz w:val="24"/>
                <w:highlight w:val="none"/>
                <w:lang w:bidi="ar"/>
              </w:rPr>
              <w:t>—每种危险物质的最大存在量，t；</w:t>
            </w:r>
          </w:p>
          <w:p w14:paraId="24DFC02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1200" w:firstLineChars="5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1</w:t>
            </w:r>
            <w:r>
              <w:rPr>
                <w:rFonts w:hint="default" w:ascii="Times New Roman" w:hAnsi="Times New Roman" w:cs="Times New Roman"/>
                <w:color w:val="auto"/>
                <w:kern w:val="0"/>
                <w:sz w:val="24"/>
                <w:highlight w:val="none"/>
                <w:lang w:bidi="ar"/>
              </w:rPr>
              <w:t>，</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2</w:t>
            </w:r>
            <w:r>
              <w:rPr>
                <w:rFonts w:hint="default" w:ascii="Times New Roman" w:hAnsi="Times New Roman" w:cs="Times New Roman"/>
                <w:color w:val="auto"/>
                <w:kern w:val="0"/>
                <w:sz w:val="24"/>
                <w:highlight w:val="none"/>
                <w:lang w:bidi="ar"/>
              </w:rPr>
              <w:t>…</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i/>
                <w:color w:val="auto"/>
                <w:kern w:val="0"/>
                <w:sz w:val="24"/>
                <w:highlight w:val="none"/>
                <w:vertAlign w:val="subscript"/>
                <w:lang w:bidi="ar"/>
              </w:rPr>
              <w:t>n</w:t>
            </w:r>
            <w:r>
              <w:rPr>
                <w:rFonts w:hint="default" w:ascii="Times New Roman" w:hAnsi="Times New Roman" w:cs="Times New Roman"/>
                <w:color w:val="auto"/>
                <w:kern w:val="0"/>
                <w:sz w:val="24"/>
                <w:highlight w:val="none"/>
                <w:lang w:bidi="ar"/>
              </w:rPr>
              <w:t>—每种危险物质的临界量，t。</w:t>
            </w:r>
          </w:p>
          <w:p w14:paraId="7ADD86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当</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＜1时，该项目环境风险潜势为I。</w:t>
            </w:r>
          </w:p>
          <w:p w14:paraId="3E112342">
            <w:pPr>
              <w:pStyle w:val="31"/>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kern w:val="0"/>
                <w:sz w:val="24"/>
                <w:highlight w:val="none"/>
                <w:lang w:bidi="ar"/>
              </w:rPr>
              <w:t>当</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≥1时，将</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值划分为：（1）1≤</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＜10；（2）10≤</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＜100；（3）</w:t>
            </w:r>
            <w:r>
              <w:rPr>
                <w:rFonts w:hint="default" w:ascii="Times New Roman" w:hAnsi="Times New Roman" w:cs="Times New Roman"/>
                <w:i/>
                <w:color w:val="auto"/>
                <w:kern w:val="0"/>
                <w:sz w:val="24"/>
                <w:highlight w:val="none"/>
                <w:lang w:bidi="ar"/>
              </w:rPr>
              <w:t>Q</w:t>
            </w:r>
            <w:r>
              <w:rPr>
                <w:rFonts w:hint="default" w:ascii="Times New Roman" w:hAnsi="Times New Roman" w:cs="Times New Roman"/>
                <w:color w:val="auto"/>
                <w:kern w:val="0"/>
                <w:sz w:val="24"/>
                <w:highlight w:val="none"/>
                <w:lang w:bidi="ar"/>
              </w:rPr>
              <w:t>≥100。</w:t>
            </w:r>
          </w:p>
          <w:p w14:paraId="1C2A2CCF">
            <w:pPr>
              <w:pStyle w:val="31"/>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bidi="ar"/>
              </w:rPr>
              <w:t>本项目Q值确定见表4-</w:t>
            </w:r>
            <w:r>
              <w:rPr>
                <w:rFonts w:hint="eastAsia" w:cs="Times New Roman"/>
                <w:color w:val="auto"/>
                <w:sz w:val="24"/>
                <w:szCs w:val="24"/>
                <w:highlight w:val="none"/>
                <w:lang w:val="en-US" w:eastAsia="zh-CN" w:bidi="ar"/>
              </w:rPr>
              <w:t>24</w:t>
            </w:r>
            <w:r>
              <w:rPr>
                <w:rFonts w:hint="default" w:ascii="Times New Roman" w:hAnsi="Times New Roman" w:cs="Times New Roman"/>
                <w:color w:val="auto"/>
                <w:sz w:val="24"/>
                <w:szCs w:val="24"/>
                <w:highlight w:val="none"/>
                <w:lang w:val="en-US" w:eastAsia="zh-CN" w:bidi="ar"/>
              </w:rPr>
              <w:t>。</w:t>
            </w:r>
          </w:p>
          <w:p w14:paraId="609DA45A">
            <w:pPr>
              <w:pStyle w:val="143"/>
              <w:keepNext w:val="0"/>
              <w:keepLines w:val="0"/>
              <w:suppressLineNumbers w:val="0"/>
              <w:spacing w:before="197" w:beforeAutospacing="0" w:after="0" w:afterAutospacing="0" w:line="214" w:lineRule="auto"/>
              <w:ind w:left="2823" w:right="0"/>
              <w:rPr>
                <w:rFonts w:hint="default" w:ascii="Times New Roman" w:hAnsi="Times New Roman" w:cs="Times New Roman"/>
                <w:color w:val="auto"/>
                <w:sz w:val="24"/>
                <w:szCs w:val="24"/>
                <w:highlight w:val="none"/>
              </w:rPr>
            </w:pPr>
            <w:r>
              <w:rPr>
                <w:rFonts w:hint="default" w:ascii="Times New Roman" w:hAnsi="Times New Roman" w:cs="Times New Roman"/>
                <w:b/>
                <w:bCs/>
                <w:color w:val="auto"/>
                <w:spacing w:val="-2"/>
                <w:sz w:val="24"/>
                <w:szCs w:val="24"/>
                <w:highlight w:val="none"/>
              </w:rPr>
              <w:t>表</w:t>
            </w:r>
            <w:r>
              <w:rPr>
                <w:rFonts w:hint="default" w:ascii="Times New Roman" w:hAnsi="Times New Roman" w:eastAsia="Times New Roman" w:cs="Times New Roman"/>
                <w:b/>
                <w:bCs/>
                <w:color w:val="auto"/>
                <w:spacing w:val="-2"/>
                <w:sz w:val="24"/>
                <w:szCs w:val="24"/>
                <w:highlight w:val="none"/>
              </w:rPr>
              <w:t>4-</w:t>
            </w:r>
            <w:r>
              <w:rPr>
                <w:rFonts w:hint="eastAsia" w:ascii="Times New Roman" w:hAnsi="Times New Roman" w:eastAsia="宋体" w:cs="Times New Roman"/>
                <w:b/>
                <w:bCs/>
                <w:color w:val="auto"/>
                <w:spacing w:val="-2"/>
                <w:sz w:val="24"/>
                <w:szCs w:val="24"/>
                <w:highlight w:val="none"/>
                <w:lang w:val="en-US" w:eastAsia="zh-CN"/>
              </w:rPr>
              <w:t>24</w:t>
            </w:r>
            <w:r>
              <w:rPr>
                <w:rFonts w:hint="default" w:ascii="Times New Roman" w:hAnsi="Times New Roman" w:cs="Times New Roman"/>
                <w:b/>
                <w:bCs/>
                <w:color w:val="auto"/>
                <w:spacing w:val="-2"/>
                <w:sz w:val="24"/>
                <w:szCs w:val="24"/>
                <w:highlight w:val="none"/>
              </w:rPr>
              <w:t>本项目涉及风险物质识别</w:t>
            </w:r>
          </w:p>
          <w:tbl>
            <w:tblPr>
              <w:tblStyle w:val="142"/>
              <w:tblW w:w="837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2014"/>
              <w:gridCol w:w="1275"/>
              <w:gridCol w:w="1723"/>
              <w:gridCol w:w="1273"/>
              <w:gridCol w:w="1265"/>
            </w:tblGrid>
            <w:tr w14:paraId="162CC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23" w:type="dxa"/>
                  <w:tcBorders>
                    <w:top w:val="single" w:color="000000" w:sz="10" w:space="0"/>
                    <w:left w:val="nil"/>
                  </w:tcBorders>
                  <w:vAlign w:val="center"/>
                </w:tcPr>
                <w:p w14:paraId="29E373B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2014" w:type="dxa"/>
                  <w:tcBorders>
                    <w:top w:val="single" w:color="000000" w:sz="10" w:space="0"/>
                  </w:tcBorders>
                  <w:vAlign w:val="center"/>
                </w:tcPr>
                <w:p w14:paraId="68A6B1E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危险物质名称</w:t>
                  </w:r>
                </w:p>
              </w:tc>
              <w:tc>
                <w:tcPr>
                  <w:tcW w:w="1275" w:type="dxa"/>
                  <w:tcBorders>
                    <w:top w:val="single" w:color="000000" w:sz="10" w:space="0"/>
                  </w:tcBorders>
                  <w:vAlign w:val="center"/>
                </w:tcPr>
                <w:p w14:paraId="7B174A6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CAS号</w:t>
                  </w:r>
                </w:p>
              </w:tc>
              <w:tc>
                <w:tcPr>
                  <w:tcW w:w="1723" w:type="dxa"/>
                  <w:tcBorders>
                    <w:top w:val="single" w:color="000000" w:sz="10" w:space="0"/>
                  </w:tcBorders>
                  <w:vAlign w:val="center"/>
                </w:tcPr>
                <w:p w14:paraId="549D624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最大存在总量qn/t</w:t>
                  </w:r>
                </w:p>
              </w:tc>
              <w:tc>
                <w:tcPr>
                  <w:tcW w:w="1273" w:type="dxa"/>
                  <w:tcBorders>
                    <w:top w:val="single" w:color="000000" w:sz="10" w:space="0"/>
                  </w:tcBorders>
                  <w:vAlign w:val="center"/>
                </w:tcPr>
                <w:p w14:paraId="45511D9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临界量Qn/t</w:t>
                  </w:r>
                </w:p>
              </w:tc>
              <w:tc>
                <w:tcPr>
                  <w:tcW w:w="1265" w:type="dxa"/>
                  <w:tcBorders>
                    <w:top w:val="single" w:color="000000" w:sz="10" w:space="0"/>
                    <w:right w:val="nil"/>
                  </w:tcBorders>
                  <w:vAlign w:val="center"/>
                </w:tcPr>
                <w:p w14:paraId="7F49133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该种危险物质Q值</w:t>
                  </w:r>
                </w:p>
              </w:tc>
            </w:tr>
            <w:tr w14:paraId="1A3B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3" w:type="dxa"/>
                  <w:tcBorders>
                    <w:left w:val="nil"/>
                  </w:tcBorders>
                  <w:vAlign w:val="center"/>
                </w:tcPr>
                <w:p w14:paraId="7703359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14" w:type="dxa"/>
                  <w:vAlign w:val="center"/>
                </w:tcPr>
                <w:p w14:paraId="69D2DCB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r>
                    <w:rPr>
                      <w:rFonts w:hint="default" w:ascii="Times New Roman" w:hAnsi="Times New Roman" w:eastAsia="宋体" w:cs="Times New Roman"/>
                      <w:color w:val="auto"/>
                      <w:sz w:val="21"/>
                      <w:szCs w:val="21"/>
                      <w:highlight w:val="none"/>
                      <w:vertAlign w:val="superscript"/>
                      <w:lang w:val="en-US" w:eastAsia="zh-CN"/>
                    </w:rPr>
                    <w:t>1</w:t>
                  </w:r>
                </w:p>
              </w:tc>
              <w:tc>
                <w:tcPr>
                  <w:tcW w:w="1275" w:type="dxa"/>
                  <w:vAlign w:val="center"/>
                </w:tcPr>
                <w:p w14:paraId="7F03F83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1330-20-7</w:t>
                  </w:r>
                </w:p>
              </w:tc>
              <w:tc>
                <w:tcPr>
                  <w:tcW w:w="1723" w:type="dxa"/>
                  <w:vAlign w:val="center"/>
                </w:tcPr>
                <w:p w14:paraId="3ACEBEA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73" w:type="dxa"/>
                  <w:vAlign w:val="center"/>
                </w:tcPr>
                <w:p w14:paraId="0E066C5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65" w:type="dxa"/>
                  <w:tcBorders>
                    <w:right w:val="nil"/>
                  </w:tcBorders>
                  <w:vAlign w:val="center"/>
                </w:tcPr>
                <w:p w14:paraId="68EC020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14:paraId="54F9C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3" w:type="dxa"/>
                  <w:tcBorders>
                    <w:left w:val="nil"/>
                  </w:tcBorders>
                  <w:vAlign w:val="center"/>
                </w:tcPr>
                <w:p w14:paraId="3B444BA2">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14" w:type="dxa"/>
                  <w:vAlign w:val="center"/>
                </w:tcPr>
                <w:p w14:paraId="403E457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1275" w:type="dxa"/>
                  <w:vAlign w:val="center"/>
                </w:tcPr>
                <w:p w14:paraId="7B83C6C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74-98-6</w:t>
                  </w:r>
                </w:p>
              </w:tc>
              <w:tc>
                <w:tcPr>
                  <w:tcW w:w="1723" w:type="dxa"/>
                  <w:vAlign w:val="center"/>
                </w:tcPr>
                <w:p w14:paraId="68BFCF2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3" w:type="dxa"/>
                  <w:vAlign w:val="center"/>
                </w:tcPr>
                <w:p w14:paraId="40648BA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65" w:type="dxa"/>
                  <w:tcBorders>
                    <w:right w:val="nil"/>
                  </w:tcBorders>
                  <w:vAlign w:val="center"/>
                </w:tcPr>
                <w:p w14:paraId="359F72D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14:paraId="6D99A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3" w:type="dxa"/>
                  <w:tcBorders>
                    <w:left w:val="nil"/>
                  </w:tcBorders>
                  <w:vAlign w:val="center"/>
                </w:tcPr>
                <w:p w14:paraId="55A7051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014" w:type="dxa"/>
                  <w:vAlign w:val="center"/>
                </w:tcPr>
                <w:p w14:paraId="713779C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废机油</w:t>
                  </w:r>
                </w:p>
              </w:tc>
              <w:tc>
                <w:tcPr>
                  <w:tcW w:w="1275" w:type="dxa"/>
                  <w:vAlign w:val="center"/>
                </w:tcPr>
                <w:p w14:paraId="569A31E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23" w:type="dxa"/>
                  <w:vAlign w:val="center"/>
                </w:tcPr>
                <w:p w14:paraId="5AE8C62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1273" w:type="dxa"/>
                  <w:vAlign w:val="center"/>
                </w:tcPr>
                <w:p w14:paraId="76CFB22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265" w:type="dxa"/>
                  <w:tcBorders>
                    <w:right w:val="nil"/>
                  </w:tcBorders>
                  <w:vAlign w:val="center"/>
                </w:tcPr>
                <w:p w14:paraId="10BF78E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w:t>
                  </w:r>
                </w:p>
              </w:tc>
            </w:tr>
            <w:tr w14:paraId="79753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3" w:type="dxa"/>
                  <w:tcBorders>
                    <w:left w:val="nil"/>
                  </w:tcBorders>
                  <w:vAlign w:val="center"/>
                </w:tcPr>
                <w:p w14:paraId="36B00D5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550" w:type="dxa"/>
                  <w:gridSpan w:val="5"/>
                  <w:tcBorders>
                    <w:right w:val="nil"/>
                  </w:tcBorders>
                  <w:vAlign w:val="center"/>
                </w:tcPr>
                <w:p w14:paraId="09D3614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0.3003</w:t>
                  </w:r>
                </w:p>
              </w:tc>
            </w:tr>
          </w:tbl>
          <w:p w14:paraId="467CEEA4">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spacing w:val="3"/>
                <w:highlight w:val="none"/>
              </w:rPr>
            </w:pPr>
            <w:r>
              <w:rPr>
                <w:rFonts w:hint="default" w:ascii="Times New Roman" w:hAnsi="Times New Roman" w:cs="Times New Roman"/>
                <w:color w:val="auto"/>
                <w:highlight w:val="none"/>
              </w:rPr>
              <w:t>注：</w:t>
            </w:r>
            <w:r>
              <w:rPr>
                <w:rFonts w:hint="default" w:ascii="Times New Roman" w:hAnsi="Times New Roman" w:eastAsia="Times New Roman" w:cs="Times New Roman"/>
                <w:color w:val="auto"/>
                <w:highlight w:val="none"/>
              </w:rPr>
              <w:t>1.</w:t>
            </w:r>
            <w:r>
              <w:rPr>
                <w:rFonts w:hint="default" w:ascii="Times New Roman" w:hAnsi="Times New Roman" w:cs="Times New Roman"/>
                <w:color w:val="auto"/>
                <w:highlight w:val="none"/>
              </w:rPr>
              <w:t>本项目使用的</w:t>
            </w:r>
            <w:r>
              <w:rPr>
                <w:rFonts w:hint="default" w:ascii="Times New Roman" w:hAnsi="Times New Roman" w:eastAsia="Times New Roman" w:cs="Times New Roman"/>
                <w:color w:val="auto"/>
                <w:highlight w:val="none"/>
              </w:rPr>
              <w:t>SC</w:t>
            </w:r>
            <w:r>
              <w:rPr>
                <w:rFonts w:hint="default" w:ascii="Times New Roman" w:hAnsi="Times New Roman" w:cs="Times New Roman"/>
                <w:color w:val="auto"/>
                <w:highlight w:val="none"/>
              </w:rPr>
              <w:t>稀释剂（二甲苯）和橙色氧化橡胶</w:t>
            </w:r>
            <w:r>
              <w:rPr>
                <w:rFonts w:hint="default" w:ascii="Times New Roman" w:hAnsi="Times New Roman" w:cs="Times New Roman"/>
                <w:color w:val="auto"/>
                <w:spacing w:val="-1"/>
                <w:highlight w:val="none"/>
              </w:rPr>
              <w:t>面漆（油漆）主要成分为二甲</w:t>
            </w:r>
            <w:r>
              <w:rPr>
                <w:rFonts w:hint="default" w:ascii="Times New Roman" w:hAnsi="Times New Roman" w:cs="Times New Roman"/>
                <w:color w:val="auto"/>
                <w:spacing w:val="3"/>
                <w:highlight w:val="none"/>
              </w:rPr>
              <w:t>苯；属于易燃液体（</w:t>
            </w:r>
            <w:r>
              <w:rPr>
                <w:rFonts w:hint="default" w:ascii="Times New Roman" w:hAnsi="Times New Roman" w:eastAsia="Times New Roman" w:cs="Times New Roman"/>
                <w:color w:val="auto"/>
                <w:spacing w:val="3"/>
                <w:highlight w:val="none"/>
              </w:rPr>
              <w:t>21℃</w:t>
            </w:r>
            <w:r>
              <w:rPr>
                <w:rFonts w:hint="default" w:ascii="Times New Roman" w:hAnsi="Times New Roman" w:cs="Times New Roman"/>
                <w:color w:val="auto"/>
                <w:spacing w:val="3"/>
                <w:highlight w:val="none"/>
              </w:rPr>
              <w:t>＜闪点＜</w:t>
            </w:r>
            <w:r>
              <w:rPr>
                <w:rFonts w:hint="default" w:ascii="Times New Roman" w:hAnsi="Times New Roman" w:eastAsia="Times New Roman" w:cs="Times New Roman"/>
                <w:color w:val="auto"/>
                <w:spacing w:val="3"/>
                <w:highlight w:val="none"/>
              </w:rPr>
              <w:t>63℃</w:t>
            </w:r>
            <w:r>
              <w:rPr>
                <w:rFonts w:hint="eastAsia" w:eastAsia="宋体" w:cs="Times New Roman"/>
                <w:color w:val="auto"/>
                <w:spacing w:val="3"/>
                <w:highlight w:val="none"/>
                <w:lang w:eastAsia="zh-CN"/>
              </w:rPr>
              <w:t>）</w:t>
            </w:r>
            <w:r>
              <w:rPr>
                <w:rFonts w:hint="default" w:ascii="Times New Roman" w:hAnsi="Times New Roman" w:cs="Times New Roman"/>
                <w:color w:val="auto"/>
                <w:spacing w:val="3"/>
                <w:highlight w:val="none"/>
              </w:rPr>
              <w:t>。</w:t>
            </w:r>
          </w:p>
          <w:p w14:paraId="49FDCD58">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rPr>
              <w:t>根据表</w:t>
            </w:r>
            <w:r>
              <w:rPr>
                <w:rFonts w:hint="default" w:ascii="Times New Roman" w:hAnsi="Times New Roman" w:cs="Times New Roman"/>
                <w:color w:val="auto"/>
                <w:sz w:val="24"/>
                <w:szCs w:val="24"/>
                <w:highlight w:val="none"/>
                <w:lang w:val="en-US" w:eastAsia="zh-CN"/>
              </w:rPr>
              <w:t>4-14</w:t>
            </w:r>
            <w:r>
              <w:rPr>
                <w:rFonts w:hint="default" w:ascii="Times New Roman" w:hAnsi="Times New Roman" w:eastAsia="宋体" w:cs="Times New Roman"/>
                <w:color w:val="auto"/>
                <w:sz w:val="24"/>
                <w:szCs w:val="24"/>
                <w:highlight w:val="none"/>
              </w:rPr>
              <w:t>可知，项目</w:t>
            </w: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1"/>
                <w:szCs w:val="21"/>
                <w:highlight w:val="none"/>
                <w:u w:val="none"/>
              </w:rPr>
              <w:t>=</w:t>
            </w:r>
            <w:r>
              <w:rPr>
                <w:rFonts w:hint="default" w:ascii="Times New Roman" w:hAnsi="Times New Roman"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lang w:val="en-US" w:eastAsia="zh-CN"/>
              </w:rPr>
              <w:t>3003</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4"/>
                <w:szCs w:val="24"/>
                <w:highlight w:val="none"/>
              </w:rPr>
              <w:t>本项目环境风险潜势为Ⅰ</w:t>
            </w:r>
            <w:r>
              <w:rPr>
                <w:rFonts w:hint="default" w:ascii="Times New Roman" w:hAnsi="Times New Roman" w:eastAsia="宋体" w:cs="Times New Roman"/>
                <w:color w:val="auto"/>
                <w:sz w:val="24"/>
                <w:szCs w:val="24"/>
                <w:highlight w:val="none"/>
                <w:lang w:eastAsia="zh-CN"/>
              </w:rPr>
              <w:t>。</w:t>
            </w:r>
          </w:p>
          <w:p w14:paraId="792510A2">
            <w:pPr>
              <w:pStyle w:val="3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eastAsia="zh-CN" w:bidi="ar"/>
              </w:rPr>
              <w:t>（</w:t>
            </w:r>
            <w:r>
              <w:rPr>
                <w:rFonts w:hint="default" w:ascii="Times New Roman" w:hAnsi="Times New Roman" w:cs="Times New Roman"/>
                <w:b/>
                <w:bCs/>
                <w:color w:val="auto"/>
                <w:sz w:val="24"/>
                <w:szCs w:val="24"/>
                <w:highlight w:val="none"/>
                <w:lang w:val="en-US" w:eastAsia="zh-CN" w:bidi="ar"/>
              </w:rPr>
              <w:t>2</w:t>
            </w:r>
            <w:r>
              <w:rPr>
                <w:rFonts w:hint="default" w:ascii="Times New Roman" w:hAnsi="Times New Roman" w:cs="Times New Roman"/>
                <w:b/>
                <w:bCs/>
                <w:color w:val="auto"/>
                <w:sz w:val="24"/>
                <w:szCs w:val="24"/>
                <w:highlight w:val="none"/>
                <w:lang w:eastAsia="zh-CN" w:bidi="ar"/>
              </w:rPr>
              <w:t>）</w:t>
            </w:r>
            <w:r>
              <w:rPr>
                <w:rFonts w:hint="default" w:ascii="Times New Roman" w:hAnsi="Times New Roman" w:cs="Times New Roman"/>
                <w:b/>
                <w:bCs/>
                <w:color w:val="auto"/>
                <w:kern w:val="0"/>
                <w:sz w:val="24"/>
                <w:highlight w:val="none"/>
                <w:lang w:bidi="ar"/>
              </w:rPr>
              <w:t>评价等级</w:t>
            </w:r>
          </w:p>
          <w:p w14:paraId="0C8FD19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根据《建设项目环境风险评价技术导则》HJ169-2018，环境风险评价工作等级划分为一级、二级、三级。根据建设项目涉及的物质及工艺系统危险性和所在地的环境敏感性确定环境风险潜势，按照导则表1确定评价工作等级。风险潜势为IV及以上，进行一级评价；风险潜势为III，进行二级评价；风险潜势为II，进行三级评价；风险潜势为I，可展开简单分析。</w:t>
            </w:r>
          </w:p>
          <w:p w14:paraId="5BDC003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3</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环境风险识别</w:t>
            </w:r>
          </w:p>
          <w:p w14:paraId="184AD10C">
            <w:pPr>
              <w:keepNext w:val="0"/>
              <w:keepLines w:val="0"/>
              <w:pageBreakBefore w:val="0"/>
              <w:widowControl/>
              <w:suppressLineNumbers w:val="0"/>
              <w:kinsoku/>
              <w:wordWrap/>
              <w:overflowPunct/>
              <w:topLinePunct w:val="0"/>
              <w:autoSpaceDE/>
              <w:autoSpaceDN/>
              <w:bidi w:val="0"/>
              <w:adjustRightInd/>
              <w:snapToGrid/>
              <w:spacing w:before="12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本项目有毒有害和易燃易爆危险物质存储量没有超过临界量，不设环境风险专项评价，仅就危险物质分布情况及可能影响环境的途径识别如下表所示：</w:t>
            </w:r>
          </w:p>
          <w:p w14:paraId="510320F7">
            <w:pPr>
              <w:keepNext w:val="0"/>
              <w:keepLines w:val="0"/>
              <w:widowControl/>
              <w:suppressLineNumbers w:val="0"/>
              <w:spacing w:before="120" w:beforeAutospacing="0" w:after="0" w:afterAutospacing="0"/>
              <w:ind w:left="0" w:right="0" w:firstLine="0" w:firstLineChars="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w:t>
            </w:r>
            <w:r>
              <w:rPr>
                <w:rFonts w:hint="eastAsia" w:cs="Times New Roman"/>
                <w:b/>
                <w:bCs/>
                <w:color w:val="auto"/>
                <w:kern w:val="0"/>
                <w:sz w:val="24"/>
                <w:szCs w:val="24"/>
                <w:highlight w:val="none"/>
                <w:lang w:val="en-US" w:eastAsia="zh-CN"/>
              </w:rPr>
              <w:t>25</w:t>
            </w:r>
            <w:r>
              <w:rPr>
                <w:rFonts w:hint="default" w:ascii="Times New Roman" w:hAnsi="Times New Roman" w:cs="Times New Roman"/>
                <w:b/>
                <w:bCs/>
                <w:color w:val="auto"/>
                <w:kern w:val="0"/>
                <w:sz w:val="24"/>
                <w:szCs w:val="24"/>
                <w:highlight w:val="none"/>
              </w:rPr>
              <w:t>本项目可能出现的风险类型及危害</w:t>
            </w:r>
          </w:p>
          <w:tbl>
            <w:tblPr>
              <w:tblStyle w:val="142"/>
              <w:tblW w:w="825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3"/>
              <w:gridCol w:w="870"/>
              <w:gridCol w:w="922"/>
              <w:gridCol w:w="951"/>
              <w:gridCol w:w="803"/>
              <w:gridCol w:w="2267"/>
              <w:gridCol w:w="1351"/>
            </w:tblGrid>
            <w:tr w14:paraId="0BBD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1093" w:type="dxa"/>
                  <w:vAlign w:val="center"/>
                </w:tcPr>
                <w:p w14:paraId="09417D9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w:t>
                  </w:r>
                </w:p>
              </w:tc>
              <w:tc>
                <w:tcPr>
                  <w:tcW w:w="870" w:type="dxa"/>
                  <w:vAlign w:val="center"/>
                </w:tcPr>
                <w:p w14:paraId="06EC0A7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分布情况</w:t>
                  </w:r>
                </w:p>
              </w:tc>
              <w:tc>
                <w:tcPr>
                  <w:tcW w:w="922" w:type="dxa"/>
                  <w:vAlign w:val="center"/>
                </w:tcPr>
                <w:p w14:paraId="7F518C0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事故情况</w:t>
                  </w:r>
                </w:p>
              </w:tc>
              <w:tc>
                <w:tcPr>
                  <w:tcW w:w="951" w:type="dxa"/>
                  <w:vAlign w:val="center"/>
                </w:tcPr>
                <w:p w14:paraId="6794F68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风险类型</w:t>
                  </w:r>
                </w:p>
              </w:tc>
              <w:tc>
                <w:tcPr>
                  <w:tcW w:w="803" w:type="dxa"/>
                  <w:vAlign w:val="center"/>
                </w:tcPr>
                <w:p w14:paraId="2E4822E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危险因子</w:t>
                  </w:r>
                </w:p>
              </w:tc>
              <w:tc>
                <w:tcPr>
                  <w:tcW w:w="2267" w:type="dxa"/>
                  <w:vAlign w:val="center"/>
                </w:tcPr>
                <w:p w14:paraId="6C7F78C9">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影响途径</w:t>
                  </w:r>
                </w:p>
              </w:tc>
              <w:tc>
                <w:tcPr>
                  <w:tcW w:w="1351" w:type="dxa"/>
                  <w:vAlign w:val="center"/>
                </w:tcPr>
                <w:p w14:paraId="0FF123B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w:t>
                  </w:r>
                </w:p>
              </w:tc>
            </w:tr>
            <w:tr w14:paraId="0B9C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7" w:hRule="atLeast"/>
              </w:trPr>
              <w:tc>
                <w:tcPr>
                  <w:tcW w:w="1093" w:type="dxa"/>
                  <w:vAlign w:val="center"/>
                </w:tcPr>
                <w:p w14:paraId="187C8963">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SC稀释剂（二甲苯）、橙色氧化橡胶面漆（油漆）</w:t>
                  </w:r>
                </w:p>
              </w:tc>
              <w:tc>
                <w:tcPr>
                  <w:tcW w:w="870" w:type="dxa"/>
                  <w:vAlign w:val="center"/>
                </w:tcPr>
                <w:p w14:paraId="0B6CBE2F">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修箱区</w:t>
                  </w:r>
                </w:p>
              </w:tc>
              <w:tc>
                <w:tcPr>
                  <w:tcW w:w="922" w:type="dxa"/>
                  <w:vAlign w:val="center"/>
                </w:tcPr>
                <w:p w14:paraId="67E540D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SC稀释剂、橙色氧化橡胶面漆（油漆）桶泄漏、油漆桶</w:t>
                  </w:r>
                </w:p>
                <w:p w14:paraId="29FB68A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951" w:type="dxa"/>
                  <w:vAlign w:val="center"/>
                </w:tcPr>
                <w:p w14:paraId="05AD350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泄漏、火灾</w:t>
                  </w:r>
                </w:p>
              </w:tc>
              <w:tc>
                <w:tcPr>
                  <w:tcW w:w="803" w:type="dxa"/>
                  <w:vAlign w:val="center"/>
                </w:tcPr>
                <w:p w14:paraId="08CE84D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2267" w:type="dxa"/>
                  <w:vAlign w:val="center"/>
                </w:tcPr>
                <w:p w14:paraId="1F617C2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物料挥发进入大气环境</w:t>
                  </w:r>
                </w:p>
                <w:p w14:paraId="2EA80E7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中污染空气；火发生火</w:t>
                  </w:r>
                </w:p>
                <w:p w14:paraId="42E9CAF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灾、爆炸，产生CO等</w:t>
                  </w:r>
                </w:p>
                <w:p w14:paraId="5D0EC9FF">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有害气体，消防废水</w:t>
                  </w:r>
                </w:p>
                <w:p w14:paraId="2E69A09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进入雨水管道</w:t>
                  </w:r>
                </w:p>
              </w:tc>
              <w:tc>
                <w:tcPr>
                  <w:tcW w:w="1351" w:type="dxa"/>
                  <w:vAlign w:val="center"/>
                </w:tcPr>
                <w:p w14:paraId="6CBFD535">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大气、地表水</w:t>
                  </w:r>
                </w:p>
              </w:tc>
            </w:tr>
            <w:tr w14:paraId="1015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trPr>
              <w:tc>
                <w:tcPr>
                  <w:tcW w:w="1093" w:type="dxa"/>
                  <w:vAlign w:val="center"/>
                </w:tcPr>
                <w:p w14:paraId="01A977A0">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870" w:type="dxa"/>
                  <w:vAlign w:val="center"/>
                </w:tcPr>
                <w:p w14:paraId="12C3EEAD">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修箱区气体房</w:t>
                  </w:r>
                </w:p>
              </w:tc>
              <w:tc>
                <w:tcPr>
                  <w:tcW w:w="922" w:type="dxa"/>
                  <w:vAlign w:val="center"/>
                </w:tcPr>
                <w:p w14:paraId="3544506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储罐泄漏</w:t>
                  </w:r>
                </w:p>
              </w:tc>
              <w:tc>
                <w:tcPr>
                  <w:tcW w:w="951" w:type="dxa"/>
                  <w:vAlign w:val="center"/>
                </w:tcPr>
                <w:p w14:paraId="74AF55FE">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泄漏、火灾、爆炸</w:t>
                  </w:r>
                </w:p>
              </w:tc>
              <w:tc>
                <w:tcPr>
                  <w:tcW w:w="803" w:type="dxa"/>
                  <w:vAlign w:val="center"/>
                </w:tcPr>
                <w:p w14:paraId="173DA89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2267" w:type="dxa"/>
                  <w:vAlign w:val="center"/>
                </w:tcPr>
                <w:p w14:paraId="38BA012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丙烷泄漏后，遇高热明</w:t>
                  </w:r>
                </w:p>
                <w:p w14:paraId="6CA0B04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火发生火灾、爆炸，产</w:t>
                  </w:r>
                </w:p>
                <w:p w14:paraId="671C6572">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生CO等有害气体，消</w:t>
                  </w:r>
                </w:p>
                <w:p w14:paraId="02F185B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防废水进入雨水管道</w:t>
                  </w:r>
                </w:p>
              </w:tc>
              <w:tc>
                <w:tcPr>
                  <w:tcW w:w="1351" w:type="dxa"/>
                  <w:vAlign w:val="center"/>
                </w:tcPr>
                <w:p w14:paraId="03FB71EA">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大气、地表水</w:t>
                  </w:r>
                </w:p>
              </w:tc>
            </w:tr>
            <w:tr w14:paraId="31CD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trPr>
              <w:tc>
                <w:tcPr>
                  <w:tcW w:w="1093" w:type="dxa"/>
                  <w:vAlign w:val="center"/>
                </w:tcPr>
                <w:p w14:paraId="28B7A466">
                  <w:pPr>
                    <w:pStyle w:val="105"/>
                    <w:wordWrap w:val="0"/>
                    <w:topLinePunct/>
                    <w:spacing w:line="240" w:lineRule="auto"/>
                    <w:ind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废机油</w:t>
                  </w:r>
                </w:p>
              </w:tc>
              <w:tc>
                <w:tcPr>
                  <w:tcW w:w="870" w:type="dxa"/>
                  <w:vAlign w:val="center"/>
                </w:tcPr>
                <w:p w14:paraId="1A103186">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危险废物暂存间</w:t>
                  </w:r>
                </w:p>
              </w:tc>
              <w:tc>
                <w:tcPr>
                  <w:tcW w:w="922" w:type="dxa"/>
                  <w:vAlign w:val="center"/>
                </w:tcPr>
                <w:p w14:paraId="048F0C57">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储罐泄漏</w:t>
                  </w:r>
                </w:p>
              </w:tc>
              <w:tc>
                <w:tcPr>
                  <w:tcW w:w="951" w:type="dxa"/>
                  <w:vAlign w:val="center"/>
                </w:tcPr>
                <w:p w14:paraId="13C75C94">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803" w:type="dxa"/>
                  <w:vAlign w:val="center"/>
                </w:tcPr>
                <w:p w14:paraId="7C45EC5B">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矿物质油</w:t>
                  </w:r>
                </w:p>
              </w:tc>
              <w:tc>
                <w:tcPr>
                  <w:tcW w:w="2267" w:type="dxa"/>
                  <w:vAlign w:val="center"/>
                </w:tcPr>
                <w:p w14:paraId="2E9AC871">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废机油</w:t>
                  </w:r>
                  <w:r>
                    <w:rPr>
                      <w:rFonts w:hint="default" w:ascii="Times New Roman" w:hAnsi="Times New Roman" w:eastAsia="宋体" w:cs="Times New Roman"/>
                      <w:color w:val="auto"/>
                      <w:sz w:val="21"/>
                      <w:szCs w:val="21"/>
                      <w:highlight w:val="none"/>
                      <w:lang w:val="en-US" w:eastAsia="zh-CN"/>
                    </w:rPr>
                    <w:t>泄漏后，</w:t>
                  </w:r>
                  <w:r>
                    <w:rPr>
                      <w:rFonts w:hint="eastAsia" w:ascii="宋体" w:hAnsi="宋体" w:eastAsia="宋体" w:cs="宋体"/>
                      <w:b w:val="0"/>
                      <w:bCs/>
                      <w:color w:val="auto"/>
                      <w:spacing w:val="-10"/>
                      <w:sz w:val="21"/>
                      <w:szCs w:val="21"/>
                      <w:highlight w:val="none"/>
                      <w:u w:val="none"/>
                    </w:rPr>
                    <w:t>引发的污染物排放</w:t>
                  </w:r>
                </w:p>
              </w:tc>
              <w:tc>
                <w:tcPr>
                  <w:tcW w:w="1351" w:type="dxa"/>
                  <w:vAlign w:val="center"/>
                </w:tcPr>
                <w:p w14:paraId="5715A28C">
                  <w:pPr>
                    <w:pStyle w:val="105"/>
                    <w:wordWrap w:val="0"/>
                    <w:topLinePunct/>
                    <w:spacing w:line="240" w:lineRule="auto"/>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b w:val="0"/>
                      <w:bCs/>
                      <w:color w:val="auto"/>
                      <w:spacing w:val="-10"/>
                      <w:sz w:val="21"/>
                      <w:szCs w:val="21"/>
                      <w:highlight w:val="none"/>
                      <w:u w:val="none"/>
                      <w:lang w:val="en-US" w:eastAsia="zh-CN"/>
                    </w:rPr>
                    <w:t>大气、地表水、地下水、土壤</w:t>
                  </w:r>
                </w:p>
              </w:tc>
            </w:tr>
          </w:tbl>
          <w:p w14:paraId="1C7286F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kern w:val="0"/>
                <w:sz w:val="24"/>
                <w:highlight w:val="none"/>
                <w:lang w:bidi="ar"/>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4</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环境风险分析</w:t>
            </w:r>
          </w:p>
          <w:p w14:paraId="6BA6E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1）危废转运过程事故后果分析</w:t>
            </w:r>
          </w:p>
          <w:p w14:paraId="56108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本项目涉及的危险废物具有</w:t>
            </w:r>
            <w:r>
              <w:rPr>
                <w:rFonts w:hint="default" w:ascii="Times New Roman" w:hAnsi="Times New Roman" w:cs="Times New Roman"/>
                <w:color w:val="auto"/>
                <w:sz w:val="24"/>
                <w:szCs w:val="24"/>
                <w:highlight w:val="none"/>
                <w:lang w:eastAsia="zh-CN"/>
              </w:rPr>
              <w:t>毒性、</w:t>
            </w:r>
            <w:r>
              <w:rPr>
                <w:rFonts w:hint="default" w:ascii="Times New Roman" w:hAnsi="Times New Roman" w:cs="Times New Roman"/>
                <w:color w:val="auto"/>
                <w:sz w:val="24"/>
                <w:szCs w:val="24"/>
                <w:highlight w:val="none"/>
              </w:rPr>
              <w:t>易燃性，厂区中转时，运输路径涉及部分生产区，运输过程中危险废物可能发生洒落，会对周围环境造成影响。危险废物外运出厂运输路径涉及居民区，运输过程中发生事故时，车内的危险废物容易洒落至地面或发生泄漏，</w:t>
            </w:r>
            <w:r>
              <w:rPr>
                <w:rFonts w:hint="default" w:ascii="Times New Roman" w:hAnsi="Times New Roman" w:cs="Times New Roman"/>
                <w:color w:val="auto"/>
                <w:sz w:val="24"/>
                <w:szCs w:val="24"/>
                <w:highlight w:val="none"/>
                <w:lang w:eastAsia="zh-CN"/>
              </w:rPr>
              <w:t>若</w:t>
            </w:r>
            <w:r>
              <w:rPr>
                <w:rFonts w:hint="default" w:ascii="Times New Roman" w:hAnsi="Times New Roman" w:cs="Times New Roman"/>
                <w:color w:val="auto"/>
                <w:sz w:val="24"/>
                <w:szCs w:val="24"/>
                <w:highlight w:val="none"/>
              </w:rPr>
              <w:t>泄漏的危险废物量较大，洒落或泄漏的危险废物对人体、环境均会产生严重影响。</w:t>
            </w:r>
          </w:p>
          <w:p w14:paraId="2FDB0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2）风险后果分析</w:t>
            </w:r>
          </w:p>
          <w:p w14:paraId="47442E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大气环境影响后果</w:t>
            </w:r>
          </w:p>
          <w:p w14:paraId="707BD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本项目储存的废</w:t>
            </w:r>
            <w:r>
              <w:rPr>
                <w:rFonts w:hint="default" w:ascii="Times New Roman" w:hAnsi="Times New Roman" w:cs="Times New Roman"/>
                <w:color w:val="auto"/>
                <w:sz w:val="24"/>
                <w:szCs w:val="24"/>
                <w:highlight w:val="none"/>
                <w:lang w:eastAsia="zh-CN"/>
              </w:rPr>
              <w:t>润滑</w:t>
            </w:r>
            <w:r>
              <w:rPr>
                <w:rFonts w:hint="default" w:ascii="Times New Roman" w:hAnsi="Times New Roman" w:cs="Times New Roman"/>
                <w:color w:val="auto"/>
                <w:sz w:val="24"/>
                <w:szCs w:val="24"/>
                <w:highlight w:val="none"/>
              </w:rPr>
              <w:t>油、废液压油</w:t>
            </w:r>
            <w:r>
              <w:rPr>
                <w:rFonts w:hint="default" w:ascii="Times New Roman" w:hAnsi="Times New Roman" w:cs="Times New Roman"/>
                <w:color w:val="auto"/>
                <w:sz w:val="24"/>
                <w:szCs w:val="24"/>
                <w:highlight w:val="none"/>
                <w:lang w:eastAsia="zh-CN"/>
              </w:rPr>
              <w:t>、含油废抹布等</w:t>
            </w:r>
            <w:r>
              <w:rPr>
                <w:rFonts w:hint="default" w:ascii="Times New Roman" w:hAnsi="Times New Roman" w:cs="Times New Roman"/>
                <w:color w:val="auto"/>
                <w:sz w:val="24"/>
                <w:szCs w:val="24"/>
                <w:highlight w:val="none"/>
              </w:rPr>
              <w:t>具有易燃的危害特性，当物料泄漏时，若遇到点火源就有燃烧的危害，从而造成火灾事故，火灾爆炸次/伴生大气污染物和燃烧废气挥发影响大气环境。火灾事故在放出大量辐射热的同时，还会产生挥发性有机物挥发扩散、燃烧烟气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和不完全燃烧产生的CO等物质，从而对项目周围的大气环境质量造成影响，进一步对本项目附近人群生命健康及财产安全造成影响。</w:t>
            </w:r>
          </w:p>
          <w:p w14:paraId="09599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rPr>
              <w:t>地表水环境影响后果</w:t>
            </w:r>
          </w:p>
          <w:p w14:paraId="4ACB7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火灾过程中产生含有油类的燃烧物质、火灾事故消防废水、事故后清洗废水、液态危废泄漏一旦进入水体，可经过地表径流进入附近水体或者沿土壤渗透到地下水，将会给土壤和水环境带来污染。本项目储存的危险废物一旦泄漏渗透到土壤和进入地下水，将会给附近土壤和地下水体带来严重污染，短时间难以得到修复。</w:t>
            </w:r>
          </w:p>
          <w:p w14:paraId="70BDC61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5</w:t>
            </w:r>
            <w:r>
              <w:rPr>
                <w:rFonts w:hint="default" w:ascii="Times New Roman" w:hAnsi="Times New Roman" w:cs="Times New Roman"/>
                <w:b/>
                <w:bCs w:val="0"/>
                <w:color w:val="auto"/>
                <w:kern w:val="0"/>
                <w:sz w:val="24"/>
                <w:highlight w:val="none"/>
                <w:lang w:eastAsia="zh-CN" w:bidi="ar"/>
              </w:rPr>
              <w:t>）环境</w:t>
            </w:r>
            <w:r>
              <w:rPr>
                <w:rFonts w:hint="default" w:ascii="Times New Roman" w:hAnsi="Times New Roman" w:cs="Times New Roman"/>
                <w:b/>
                <w:bCs w:val="0"/>
                <w:color w:val="auto"/>
                <w:kern w:val="0"/>
                <w:sz w:val="24"/>
                <w:highlight w:val="none"/>
                <w:lang w:bidi="ar"/>
              </w:rPr>
              <w:t>风险防范措施</w:t>
            </w:r>
          </w:p>
          <w:p w14:paraId="6E4B5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为预防和减少突发环境事件的发生，控制、减轻和消除突发环境事件引起的危害，规范突发环境事件应急管理工作，保障公众生命、环境和财产的安全。针对上述风险源，建设单位应该采取以下防范措施</w:t>
            </w:r>
            <w:r>
              <w:rPr>
                <w:rFonts w:hint="default" w:ascii="Times New Roman" w:hAnsi="Times New Roman" w:cs="Times New Roman"/>
                <w:color w:val="auto"/>
                <w:sz w:val="24"/>
                <w:szCs w:val="24"/>
                <w:highlight w:val="none"/>
                <w:lang w:eastAsia="zh-CN"/>
              </w:rPr>
              <w:t>：</w:t>
            </w:r>
          </w:p>
          <w:p w14:paraId="2DD87D0D">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）事故防范措施</w:t>
            </w:r>
          </w:p>
          <w:p w14:paraId="6E0DBEEF">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1</w:t>
            </w:r>
            <w:r>
              <w:rPr>
                <w:rFonts w:hint="default" w:ascii="Times New Roman" w:hAnsi="Times New Roman" w:cs="Times New Roman"/>
                <w:color w:val="auto"/>
                <w:spacing w:val="1"/>
                <w:sz w:val="24"/>
                <w:szCs w:val="24"/>
                <w:highlight w:val="none"/>
              </w:rPr>
              <w:t>）公司风险事故隐患为危险物质引发的泄漏事故以</w:t>
            </w:r>
            <w:r>
              <w:rPr>
                <w:rFonts w:hint="default" w:ascii="Times New Roman" w:hAnsi="Times New Roman" w:cs="Times New Roman"/>
                <w:color w:val="auto"/>
                <w:sz w:val="24"/>
                <w:szCs w:val="24"/>
                <w:highlight w:val="none"/>
              </w:rPr>
              <w:t>及火灾引发的伴生</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次生事故，为避免风险事故，尤其是避免风险事故发生后对环境造成严重的污染，建设单位应树立并强化环</w:t>
            </w:r>
            <w:r>
              <w:rPr>
                <w:rFonts w:hint="default" w:ascii="Times New Roman" w:hAnsi="Times New Roman" w:cs="Times New Roman"/>
                <w:color w:val="auto"/>
                <w:spacing w:val="-1"/>
                <w:sz w:val="24"/>
                <w:szCs w:val="24"/>
                <w:highlight w:val="none"/>
              </w:rPr>
              <w:t>境风</w:t>
            </w:r>
            <w:r>
              <w:rPr>
                <w:rFonts w:hint="default" w:ascii="Times New Roman" w:hAnsi="Times New Roman" w:cs="Times New Roman"/>
                <w:color w:val="auto"/>
                <w:sz w:val="24"/>
                <w:szCs w:val="24"/>
                <w:highlight w:val="none"/>
              </w:rPr>
              <w:t>险意识，在现有安全管理的基础上增加对环境风险的防范措施，并使这些措施在实际工作</w:t>
            </w:r>
            <w:r>
              <w:rPr>
                <w:rFonts w:hint="default" w:ascii="Times New Roman" w:hAnsi="Times New Roman" w:cs="Times New Roman"/>
                <w:color w:val="auto"/>
                <w:spacing w:val="-1"/>
                <w:sz w:val="24"/>
                <w:szCs w:val="24"/>
                <w:highlight w:val="none"/>
              </w:rPr>
              <w:t>中得</w:t>
            </w:r>
            <w:r>
              <w:rPr>
                <w:rFonts w:hint="default" w:ascii="Times New Roman" w:hAnsi="Times New Roman" w:cs="Times New Roman"/>
                <w:color w:val="auto"/>
                <w:sz w:val="24"/>
                <w:szCs w:val="24"/>
                <w:highlight w:val="none"/>
              </w:rPr>
              <w:t>到落实。为进一步减少事故的发生，减缓公司在建设、运行过程中对环境的潜在威胁，建</w:t>
            </w:r>
            <w:r>
              <w:rPr>
                <w:rFonts w:hint="default" w:ascii="Times New Roman" w:hAnsi="Times New Roman" w:cs="Times New Roman"/>
                <w:color w:val="auto"/>
                <w:spacing w:val="-1"/>
                <w:sz w:val="24"/>
                <w:szCs w:val="24"/>
                <w:highlight w:val="none"/>
              </w:rPr>
              <w:t>设单位应对技术、工艺、管理等方面采取综合防范措施。</w:t>
            </w:r>
          </w:p>
          <w:p w14:paraId="3396A0DA">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①为预防安全事故的发生，建设单位必须制定比较完善的安全管理规章制度，应从制</w:t>
            </w:r>
            <w:r>
              <w:rPr>
                <w:rFonts w:hint="default" w:ascii="Times New Roman" w:hAnsi="Times New Roman" w:cs="Times New Roman"/>
                <w:color w:val="auto"/>
                <w:spacing w:val="-1"/>
                <w:sz w:val="24"/>
                <w:szCs w:val="24"/>
                <w:highlight w:val="none"/>
              </w:rPr>
              <w:t>度上对环境风险予以防范，对于各类事故的预防仍然需要制定相应的防范措施。</w:t>
            </w:r>
          </w:p>
          <w:p w14:paraId="20C747EC">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②各类物料进厂验收要注意生产日期，检验包装是否有泄漏处，轻装轻卸。</w:t>
            </w:r>
          </w:p>
          <w:p w14:paraId="46F8DE98">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5"/>
                <w:sz w:val="24"/>
                <w:szCs w:val="24"/>
                <w:highlight w:val="none"/>
              </w:rPr>
              <w:t>③各类物料应储于阴凉、通风的地方，远离</w:t>
            </w:r>
            <w:r>
              <w:rPr>
                <w:rFonts w:hint="default" w:ascii="Times New Roman" w:hAnsi="Times New Roman" w:cs="Times New Roman"/>
                <w:color w:val="auto"/>
                <w:spacing w:val="-6"/>
                <w:sz w:val="24"/>
                <w:szCs w:val="24"/>
                <w:highlight w:val="none"/>
              </w:rPr>
              <w:t>火种、热源，防止阳光直射。</w:t>
            </w:r>
          </w:p>
          <w:p w14:paraId="2F2A3120">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④提高生产及管理人员的技术水平，避免人员失误，加强培训。</w:t>
            </w:r>
          </w:p>
          <w:p w14:paraId="210E41C8">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⑤按照相关要求配备一定数量的应急设施及消防器材，在修箱区、洗箱区设置灭火器、消</w:t>
            </w:r>
            <w:r>
              <w:rPr>
                <w:rFonts w:hint="default" w:ascii="Times New Roman" w:hAnsi="Times New Roman" w:cs="Times New Roman"/>
                <w:color w:val="auto"/>
                <w:spacing w:val="-3"/>
                <w:sz w:val="24"/>
                <w:szCs w:val="24"/>
                <w:highlight w:val="none"/>
              </w:rPr>
              <w:t>防沙、应急桶等。</w:t>
            </w:r>
          </w:p>
          <w:p w14:paraId="0939418D">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cs="Times New Roman"/>
                <w:color w:val="auto"/>
                <w:spacing w:val="-2"/>
                <w:sz w:val="24"/>
                <w:szCs w:val="24"/>
                <w:highlight w:val="none"/>
              </w:rPr>
              <w:t>）建设单位厂区地面已进行了硬化防渗，</w:t>
            </w:r>
            <w:r>
              <w:rPr>
                <w:rFonts w:hint="default" w:ascii="Times New Roman" w:hAnsi="Times New Roman" w:eastAsia="Times New Roman" w:cs="Times New Roman"/>
                <w:color w:val="auto"/>
                <w:spacing w:val="-2"/>
                <w:sz w:val="24"/>
                <w:szCs w:val="24"/>
                <w:highlight w:val="none"/>
              </w:rPr>
              <w:t>SC</w:t>
            </w:r>
            <w:r>
              <w:rPr>
                <w:rFonts w:hint="default" w:ascii="Times New Roman" w:hAnsi="Times New Roman" w:cs="Times New Roman"/>
                <w:color w:val="auto"/>
                <w:spacing w:val="-2"/>
                <w:sz w:val="24"/>
                <w:szCs w:val="24"/>
                <w:highlight w:val="none"/>
              </w:rPr>
              <w:t>稀释剂（二甲苯）、橙色氧化橡胶面漆（油</w:t>
            </w:r>
            <w:r>
              <w:rPr>
                <w:rFonts w:hint="default" w:ascii="Times New Roman" w:hAnsi="Times New Roman" w:cs="Times New Roman"/>
                <w:color w:val="auto"/>
                <w:sz w:val="24"/>
                <w:szCs w:val="24"/>
                <w:highlight w:val="none"/>
              </w:rPr>
              <w:t>漆）风险物质物料在修箱区车间内使用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少量存储</w:t>
            </w:r>
            <w:r>
              <w:rPr>
                <w:rFonts w:hint="default" w:ascii="Times New Roman" w:hAnsi="Times New Roman" w:cs="Times New Roman"/>
                <w:color w:val="auto"/>
                <w:sz w:val="24"/>
                <w:szCs w:val="24"/>
                <w:highlight w:val="none"/>
              </w:rPr>
              <w:t>，丙烷库应按照《建筑设计防火规范》要求</w:t>
            </w:r>
            <w:r>
              <w:rPr>
                <w:rFonts w:hint="default" w:ascii="Times New Roman" w:hAnsi="Times New Roman" w:cs="Times New Roman"/>
                <w:color w:val="auto"/>
                <w:spacing w:val="-1"/>
                <w:sz w:val="24"/>
                <w:szCs w:val="24"/>
                <w:highlight w:val="none"/>
              </w:rPr>
              <w:t>进行</w:t>
            </w:r>
            <w:r>
              <w:rPr>
                <w:rFonts w:hint="default" w:ascii="Times New Roman" w:hAnsi="Times New Roman" w:cs="Times New Roman"/>
                <w:color w:val="auto"/>
                <w:sz w:val="24"/>
                <w:szCs w:val="24"/>
                <w:highlight w:val="none"/>
              </w:rPr>
              <w:t>建设，且应定期检查危险物质的贮存场所及包装容器，发生泄漏时及时</w:t>
            </w:r>
            <w:r>
              <w:rPr>
                <w:rFonts w:hint="default" w:ascii="Times New Roman" w:hAnsi="Times New Roman" w:cs="Times New Roman"/>
                <w:color w:val="auto"/>
                <w:spacing w:val="-1"/>
                <w:sz w:val="24"/>
                <w:szCs w:val="24"/>
                <w:highlight w:val="none"/>
              </w:rPr>
              <w:t>响应；</w:t>
            </w:r>
          </w:p>
          <w:p w14:paraId="7CD26A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68" w:firstLineChars="200"/>
              <w:contextualSpacing/>
              <w:textAlignment w:val="auto"/>
              <w:rPr>
                <w:rFonts w:hint="default" w:ascii="Times New Roman" w:hAnsi="Times New Roman" w:cs="Times New Roman"/>
                <w:color w:val="auto"/>
                <w:spacing w:val="-1"/>
                <w:sz w:val="24"/>
                <w:szCs w:val="24"/>
                <w:highlight w:val="none"/>
              </w:rPr>
            </w:pP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cs="Times New Roman"/>
                <w:color w:val="auto"/>
                <w:spacing w:val="-3"/>
                <w:sz w:val="24"/>
                <w:szCs w:val="24"/>
                <w:highlight w:val="none"/>
              </w:rPr>
              <w:t>）危险废物储存在危废暂存间内，危废暂存间建设、储存、转运等严格按照《危险废物贮</w:t>
            </w:r>
            <w:r>
              <w:rPr>
                <w:rFonts w:hint="default" w:ascii="Times New Roman" w:hAnsi="Times New Roman" w:cs="Times New Roman"/>
                <w:color w:val="auto"/>
                <w:spacing w:val="-1"/>
                <w:sz w:val="24"/>
                <w:szCs w:val="24"/>
                <w:highlight w:val="none"/>
              </w:rPr>
              <w:t>存和污染控制标准》（</w:t>
            </w:r>
            <w:r>
              <w:rPr>
                <w:rFonts w:hint="default" w:ascii="Times New Roman" w:hAnsi="Times New Roman" w:eastAsia="Times New Roman" w:cs="Times New Roman"/>
                <w:color w:val="auto"/>
                <w:spacing w:val="-1"/>
                <w:sz w:val="24"/>
                <w:szCs w:val="24"/>
                <w:highlight w:val="none"/>
              </w:rPr>
              <w:t>GB18597-20</w:t>
            </w:r>
            <w:r>
              <w:rPr>
                <w:rFonts w:hint="eastAsia" w:eastAsia="宋体" w:cs="Times New Roman"/>
                <w:color w:val="auto"/>
                <w:spacing w:val="-1"/>
                <w:sz w:val="24"/>
                <w:szCs w:val="24"/>
                <w:highlight w:val="none"/>
                <w:lang w:val="en-US" w:eastAsia="zh-CN"/>
              </w:rPr>
              <w:t>23</w:t>
            </w:r>
            <w:r>
              <w:rPr>
                <w:rFonts w:hint="default" w:ascii="Times New Roman" w:hAnsi="Times New Roman" w:cs="Times New Roman"/>
                <w:color w:val="auto"/>
                <w:spacing w:val="-1"/>
                <w:sz w:val="24"/>
                <w:szCs w:val="24"/>
                <w:highlight w:val="none"/>
              </w:rPr>
              <w:t>）、《危险废物收集贮存运输技术规范》（</w:t>
            </w:r>
            <w:r>
              <w:rPr>
                <w:rFonts w:hint="default" w:ascii="Times New Roman" w:hAnsi="Times New Roman" w:eastAsia="Times New Roman" w:cs="Times New Roman"/>
                <w:color w:val="auto"/>
                <w:spacing w:val="-1"/>
                <w:sz w:val="24"/>
                <w:szCs w:val="24"/>
                <w:highlight w:val="none"/>
              </w:rPr>
              <w:t>HJ2025-2012</w:t>
            </w:r>
            <w:r>
              <w:rPr>
                <w:rFonts w:hint="default" w:ascii="Times New Roman" w:hAnsi="Times New Roman" w:cs="Times New Roman"/>
                <w:color w:val="auto"/>
                <w:spacing w:val="-1"/>
                <w:sz w:val="24"/>
                <w:szCs w:val="24"/>
                <w:highlight w:val="none"/>
              </w:rPr>
              <w:t>）</w:t>
            </w:r>
          </w:p>
          <w:p w14:paraId="7192EC7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kern w:val="0"/>
                <w:sz w:val="24"/>
                <w:highlight w:val="none"/>
                <w:lang w:bidi="ar"/>
              </w:rPr>
            </w:pP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val="en-US" w:eastAsia="zh-CN" w:bidi="ar"/>
              </w:rPr>
              <w:t>6</w:t>
            </w:r>
            <w:r>
              <w:rPr>
                <w:rFonts w:hint="default" w:ascii="Times New Roman" w:hAnsi="Times New Roman" w:cs="Times New Roman"/>
                <w:b/>
                <w:bCs w:val="0"/>
                <w:color w:val="auto"/>
                <w:kern w:val="0"/>
                <w:sz w:val="24"/>
                <w:highlight w:val="none"/>
                <w:lang w:eastAsia="zh-CN" w:bidi="ar"/>
              </w:rPr>
              <w:t>）</w:t>
            </w:r>
            <w:r>
              <w:rPr>
                <w:rFonts w:hint="default" w:ascii="Times New Roman" w:hAnsi="Times New Roman" w:cs="Times New Roman"/>
                <w:b/>
                <w:bCs w:val="0"/>
                <w:color w:val="auto"/>
                <w:kern w:val="0"/>
                <w:sz w:val="24"/>
                <w:highlight w:val="none"/>
                <w:lang w:bidi="ar"/>
              </w:rPr>
              <w:t>环境风险应急预案</w:t>
            </w:r>
          </w:p>
          <w:p w14:paraId="27CE19F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为防止本项目发生</w:t>
            </w:r>
            <w:r>
              <w:rPr>
                <w:rFonts w:hint="default" w:ascii="Times New Roman" w:hAnsi="Times New Roman" w:cs="Times New Roman"/>
                <w:color w:val="auto"/>
                <w:kern w:val="0"/>
                <w:sz w:val="24"/>
                <w:highlight w:val="none"/>
                <w:lang w:eastAsia="zh-CN" w:bidi="ar"/>
              </w:rPr>
              <w:t>危险废物</w:t>
            </w:r>
            <w:r>
              <w:rPr>
                <w:rFonts w:hint="default" w:ascii="Times New Roman" w:hAnsi="Times New Roman" w:cs="Times New Roman"/>
                <w:color w:val="auto"/>
                <w:kern w:val="0"/>
                <w:sz w:val="24"/>
                <w:highlight w:val="none"/>
                <w:lang w:bidi="ar"/>
              </w:rPr>
              <w:t>泄漏、火灾、爆炸等可能发生的突发环境事件而造成人身安全、财产损失和环境污染，也为了在发生突发环境事件时能有序、</w:t>
            </w:r>
            <w:r>
              <w:rPr>
                <w:rFonts w:hint="default" w:ascii="Times New Roman" w:hAnsi="Times New Roman" w:cs="Times New Roman"/>
                <w:color w:val="auto"/>
                <w:kern w:val="0"/>
                <w:sz w:val="24"/>
                <w:highlight w:val="none"/>
                <w:lang w:eastAsia="zh-CN" w:bidi="ar"/>
              </w:rPr>
              <w:t>高效地进行</w:t>
            </w:r>
            <w:r>
              <w:rPr>
                <w:rFonts w:hint="default" w:ascii="Times New Roman" w:hAnsi="Times New Roman" w:cs="Times New Roman"/>
                <w:color w:val="auto"/>
                <w:kern w:val="0"/>
                <w:sz w:val="24"/>
                <w:highlight w:val="none"/>
                <w:lang w:bidi="ar"/>
              </w:rPr>
              <w:t>应急响应，遵循</w:t>
            </w:r>
            <w:r>
              <w:rPr>
                <w:rFonts w:hint="default" w:ascii="Times New Roman" w:hAnsi="Times New Roman" w:eastAsia="宋体" w:cs="Times New Roman"/>
                <w:color w:val="auto"/>
                <w:kern w:val="0"/>
                <w:sz w:val="24"/>
                <w:highlight w:val="none"/>
                <w:lang w:bidi="ar"/>
              </w:rPr>
              <w:t>“预防为主、减少危害，统一领导、分级负责，企业自救、属地管理，整合资源、联动处置”等</w:t>
            </w:r>
            <w:r>
              <w:rPr>
                <w:rFonts w:hint="default" w:ascii="Times New Roman" w:hAnsi="Times New Roman" w:cs="Times New Roman"/>
                <w:color w:val="auto"/>
                <w:kern w:val="0"/>
                <w:sz w:val="24"/>
                <w:highlight w:val="none"/>
                <w:lang w:bidi="ar"/>
              </w:rPr>
              <w:t>原则，</w:t>
            </w:r>
            <w:r>
              <w:rPr>
                <w:rFonts w:hint="default" w:ascii="Times New Roman" w:hAnsi="Times New Roman" w:cs="Times New Roman"/>
                <w:color w:val="auto"/>
                <w:kern w:val="0"/>
                <w:sz w:val="24"/>
                <w:highlight w:val="none"/>
                <w:lang w:eastAsia="zh-CN" w:bidi="ar"/>
              </w:rPr>
              <w:t>最大限度地保护</w:t>
            </w:r>
            <w:r>
              <w:rPr>
                <w:rFonts w:hint="default" w:ascii="Times New Roman" w:hAnsi="Times New Roman" w:cs="Times New Roman"/>
                <w:color w:val="auto"/>
                <w:kern w:val="0"/>
                <w:sz w:val="24"/>
                <w:highlight w:val="none"/>
                <w:lang w:bidi="ar"/>
              </w:rPr>
              <w:t>员工和周边居民的健康和安全，防止环境污染、减少财产损失。</w:t>
            </w:r>
          </w:p>
          <w:p w14:paraId="2420323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①</w:t>
            </w:r>
            <w:r>
              <w:rPr>
                <w:rFonts w:hint="default" w:ascii="Times New Roman" w:hAnsi="Times New Roman" w:cs="Times New Roman"/>
                <w:color w:val="auto"/>
                <w:kern w:val="0"/>
                <w:sz w:val="24"/>
                <w:highlight w:val="none"/>
                <w:lang w:bidi="ar"/>
              </w:rPr>
              <w:t>应急救援指挥机构</w:t>
            </w:r>
          </w:p>
          <w:p w14:paraId="1F79223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公司成立由应急指挥部、应急办公室、事故救援组、应急监测组等组成的应急救援组织机构，发生污染事件时，以指挥领导小组为基础，立即成立重大危险源事故应急救援指挥部，指挥各应急救援小组迅速开展相关工作。</w:t>
            </w:r>
          </w:p>
          <w:p w14:paraId="083C464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②</w:t>
            </w:r>
            <w:r>
              <w:rPr>
                <w:rFonts w:hint="default" w:ascii="Times New Roman" w:hAnsi="Times New Roman" w:cs="Times New Roman"/>
                <w:color w:val="auto"/>
                <w:kern w:val="0"/>
                <w:sz w:val="24"/>
                <w:highlight w:val="none"/>
                <w:lang w:bidi="ar"/>
              </w:rPr>
              <w:t>应急救援物资</w:t>
            </w:r>
          </w:p>
          <w:p w14:paraId="22C52A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项目</w:t>
            </w:r>
            <w:r>
              <w:rPr>
                <w:rFonts w:hint="default" w:ascii="Times New Roman" w:hAnsi="Times New Roman" w:cs="Times New Roman"/>
                <w:color w:val="auto"/>
                <w:kern w:val="0"/>
                <w:sz w:val="24"/>
                <w:highlight w:val="none"/>
                <w:lang w:eastAsia="zh-CN" w:bidi="ar"/>
              </w:rPr>
              <w:t>应</w:t>
            </w:r>
            <w:r>
              <w:rPr>
                <w:rFonts w:hint="default" w:ascii="Times New Roman" w:hAnsi="Times New Roman" w:cs="Times New Roman"/>
                <w:color w:val="auto"/>
                <w:kern w:val="0"/>
                <w:sz w:val="24"/>
                <w:highlight w:val="none"/>
                <w:lang w:bidi="ar"/>
              </w:rPr>
              <w:t>设置相应的应急物资、设备，一笔应急救援专项资金，专门用于购买应急救援物资、完善各种现场标识、维修事故应急系统等，并发放宣传材料。以保证公司发生事故时应急工作的顺利进行，并定期对应急救援物资进行盘点，如发现有应急物资过期、老化等原因不能正常使用，应及时提出更换申请，</w:t>
            </w:r>
            <w:r>
              <w:rPr>
                <w:rFonts w:hint="default" w:ascii="Times New Roman" w:hAnsi="Times New Roman" w:cs="Times New Roman"/>
                <w:color w:val="auto"/>
                <w:kern w:val="0"/>
                <w:sz w:val="24"/>
                <w:highlight w:val="none"/>
                <w:lang w:eastAsia="zh-CN" w:bidi="ar"/>
              </w:rPr>
              <w:t>做到账</w:t>
            </w:r>
            <w:r>
              <w:rPr>
                <w:rFonts w:hint="default" w:ascii="Times New Roman" w:hAnsi="Times New Roman" w:cs="Times New Roman"/>
                <w:color w:val="auto"/>
                <w:kern w:val="0"/>
                <w:sz w:val="24"/>
                <w:highlight w:val="none"/>
                <w:lang w:bidi="ar"/>
              </w:rPr>
              <w:t>、卡、物相符。</w:t>
            </w:r>
          </w:p>
          <w:p w14:paraId="0026735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③</w:t>
            </w:r>
            <w:r>
              <w:rPr>
                <w:rFonts w:hint="default" w:ascii="Times New Roman" w:hAnsi="Times New Roman" w:cs="Times New Roman"/>
                <w:color w:val="auto"/>
                <w:kern w:val="0"/>
                <w:sz w:val="24"/>
                <w:highlight w:val="none"/>
                <w:lang w:bidi="ar"/>
              </w:rPr>
              <w:t>建立突发环境事件应急预案</w:t>
            </w:r>
          </w:p>
          <w:p w14:paraId="6A8A2F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bidi="ar"/>
              </w:rPr>
              <w:t>根据《中华人民共和国突发事件应对法》、《国家突发环境事件应急预案》、《企业突发环境事件风险分级方法》、《企业事业单位突发环境事件应急预案备案管理办法（试行）》以及最新环境风险控制的要求，通过开展环境风险评估通过开展突发环境事件风险评估，掌握自身环境风险状况，明确环境风险防控措施，分析与周边可能受影响的居民、企业、区域环境的关系，构建突发环境事件及其后果情景，确定环境风险等级，为后期的企业环境风险监管奠定基础，最终达到减少突发环境事件发生的目标。制定适合本项目的突发环境事件应急预案，并定期进行演练。</w:t>
            </w:r>
          </w:p>
          <w:p w14:paraId="439E788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bidi="ar"/>
              </w:rPr>
              <w:t>应急预案内容主要包括组织机构和职责、预防预警机制、应急响应、保障措施等内容，具体内容如下。</w:t>
            </w:r>
          </w:p>
          <w:p w14:paraId="417FD615">
            <w:pPr>
              <w:keepNext w:val="0"/>
              <w:keepLines w:val="0"/>
              <w:suppressLineNumbers w:val="0"/>
              <w:topLinePunct/>
              <w:spacing w:before="0" w:beforeAutospacing="0" w:after="0" w:afterAutospacing="0"/>
              <w:ind w:left="0" w:right="0"/>
              <w:contextualSpacing/>
              <w:jc w:val="center"/>
              <w:rPr>
                <w:rFonts w:hint="default" w:ascii="Times New Roman" w:hAnsi="Times New Roman" w:cs="Times New Roman"/>
                <w:b/>
                <w:bCs/>
                <w:snapToGrid w:val="0"/>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26</w:t>
            </w:r>
            <w:r>
              <w:rPr>
                <w:rFonts w:hint="default" w:ascii="Times New Roman" w:hAnsi="Times New Roman" w:cs="Times New Roman"/>
                <w:b/>
                <w:bCs/>
                <w:color w:val="auto"/>
                <w:sz w:val="24"/>
                <w:szCs w:val="24"/>
                <w:highlight w:val="none"/>
              </w:rPr>
              <w:t>环境风险应急预案内容一览表</w:t>
            </w:r>
          </w:p>
          <w:tbl>
            <w:tblPr>
              <w:tblStyle w:val="46"/>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040"/>
              <w:gridCol w:w="5804"/>
            </w:tblGrid>
            <w:tr w14:paraId="7B2F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bottom w:val="single" w:color="000000" w:sz="8" w:space="0"/>
                    <w:right w:val="single" w:color="000000" w:sz="8" w:space="0"/>
                  </w:tcBorders>
                  <w:noWrap w:val="0"/>
                  <w:vAlign w:val="center"/>
                </w:tcPr>
                <w:p w14:paraId="5E0AEEE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040" w:type="dxa"/>
                  <w:tcBorders>
                    <w:left w:val="single" w:color="000000" w:sz="8" w:space="0"/>
                    <w:bottom w:val="single" w:color="000000" w:sz="8" w:space="0"/>
                    <w:right w:val="single" w:color="000000" w:sz="8" w:space="0"/>
                  </w:tcBorders>
                  <w:noWrap w:val="0"/>
                  <w:vAlign w:val="center"/>
                </w:tcPr>
                <w:p w14:paraId="6BC7DC2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804" w:type="dxa"/>
                  <w:tcBorders>
                    <w:left w:val="single" w:color="000000" w:sz="8" w:space="0"/>
                    <w:bottom w:val="single" w:color="000000" w:sz="8" w:space="0"/>
                  </w:tcBorders>
                  <w:noWrap w:val="0"/>
                  <w:vAlign w:val="center"/>
                </w:tcPr>
                <w:p w14:paraId="52F868D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内容及要求</w:t>
                  </w:r>
                </w:p>
              </w:tc>
            </w:tr>
            <w:tr w14:paraId="1E30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69AD2D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19845ABC">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5804" w:type="dxa"/>
                  <w:tcBorders>
                    <w:top w:val="single" w:color="000000" w:sz="8" w:space="0"/>
                    <w:left w:val="single" w:color="000000" w:sz="8" w:space="0"/>
                    <w:bottom w:val="single" w:color="000000" w:sz="8" w:space="0"/>
                  </w:tcBorders>
                  <w:noWrap w:val="0"/>
                  <w:vAlign w:val="center"/>
                </w:tcPr>
                <w:p w14:paraId="29DD9BC1">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危险目标：环境保护目标</w:t>
                  </w:r>
                </w:p>
              </w:tc>
            </w:tr>
            <w:tr w14:paraId="1AAF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404ADE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35C67A4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应急组织机构、人员</w:t>
                  </w:r>
                </w:p>
              </w:tc>
              <w:tc>
                <w:tcPr>
                  <w:tcW w:w="5804" w:type="dxa"/>
                  <w:tcBorders>
                    <w:top w:val="single" w:color="000000" w:sz="8" w:space="0"/>
                    <w:left w:val="single" w:color="000000" w:sz="8" w:space="0"/>
                    <w:bottom w:val="single" w:color="000000" w:sz="8" w:space="0"/>
                  </w:tcBorders>
                  <w:noWrap w:val="0"/>
                  <w:vAlign w:val="center"/>
                </w:tcPr>
                <w:p w14:paraId="0B2786E7">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单位、地区应急组织机构、人员</w:t>
                  </w:r>
                </w:p>
              </w:tc>
            </w:tr>
            <w:tr w14:paraId="093E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064A6BC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316247B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预案分级响应条件</w:t>
                  </w:r>
                </w:p>
              </w:tc>
              <w:tc>
                <w:tcPr>
                  <w:tcW w:w="5804" w:type="dxa"/>
                  <w:tcBorders>
                    <w:top w:val="single" w:color="000000" w:sz="8" w:space="0"/>
                    <w:left w:val="single" w:color="000000" w:sz="8" w:space="0"/>
                    <w:bottom w:val="single" w:color="000000" w:sz="8" w:space="0"/>
                  </w:tcBorders>
                  <w:noWrap w:val="0"/>
                  <w:vAlign w:val="center"/>
                </w:tcPr>
                <w:p w14:paraId="5E2F63C6">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规定预案的级别及分级响应程序</w:t>
                  </w:r>
                </w:p>
              </w:tc>
            </w:tr>
            <w:tr w14:paraId="3B2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583B423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776EB8A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应急救援保障</w:t>
                  </w:r>
                </w:p>
              </w:tc>
              <w:tc>
                <w:tcPr>
                  <w:tcW w:w="5804" w:type="dxa"/>
                  <w:tcBorders>
                    <w:top w:val="single" w:color="000000" w:sz="8" w:space="0"/>
                    <w:left w:val="single" w:color="000000" w:sz="8" w:space="0"/>
                    <w:bottom w:val="single" w:color="000000" w:sz="8" w:space="0"/>
                  </w:tcBorders>
                  <w:noWrap w:val="0"/>
                  <w:vAlign w:val="center"/>
                </w:tcPr>
                <w:p w14:paraId="030BF7B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应急设施，设备与器材等</w:t>
                  </w:r>
                </w:p>
              </w:tc>
            </w:tr>
            <w:tr w14:paraId="6052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770CCDF0">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4DB24C84">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报警、通讯联络方式</w:t>
                  </w:r>
                </w:p>
              </w:tc>
              <w:tc>
                <w:tcPr>
                  <w:tcW w:w="5804" w:type="dxa"/>
                  <w:tcBorders>
                    <w:top w:val="single" w:color="000000" w:sz="8" w:space="0"/>
                    <w:left w:val="single" w:color="000000" w:sz="8" w:space="0"/>
                    <w:bottom w:val="single" w:color="000000" w:sz="8" w:space="0"/>
                  </w:tcBorders>
                  <w:noWrap w:val="0"/>
                  <w:vAlign w:val="center"/>
                </w:tcPr>
                <w:p w14:paraId="0E69E07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规定应急状态下的</w:t>
                  </w:r>
                  <w:r>
                    <w:rPr>
                      <w:rFonts w:hint="default" w:ascii="Times New Roman" w:hAnsi="Times New Roman" w:cs="Times New Roman"/>
                      <w:color w:val="auto"/>
                      <w:sz w:val="21"/>
                      <w:szCs w:val="21"/>
                      <w:highlight w:val="none"/>
                      <w:lang w:eastAsia="zh-CN"/>
                    </w:rPr>
                    <w:t>报警通信</w:t>
                  </w:r>
                  <w:r>
                    <w:rPr>
                      <w:rFonts w:hint="default" w:ascii="Times New Roman" w:hAnsi="Times New Roman" w:cs="Times New Roman"/>
                      <w:color w:val="auto"/>
                      <w:sz w:val="21"/>
                      <w:szCs w:val="21"/>
                      <w:highlight w:val="none"/>
                    </w:rPr>
                    <w:t>方式、通知方式和交通保障、管制</w:t>
                  </w:r>
                </w:p>
              </w:tc>
            </w:tr>
            <w:tr w14:paraId="5C8A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1ED9C8B">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685356E">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应急环境监测、抢险、救援及控制措施</w:t>
                  </w:r>
                </w:p>
              </w:tc>
              <w:tc>
                <w:tcPr>
                  <w:tcW w:w="5804" w:type="dxa"/>
                  <w:tcBorders>
                    <w:top w:val="single" w:color="000000" w:sz="8" w:space="0"/>
                    <w:left w:val="single" w:color="000000" w:sz="8" w:space="0"/>
                    <w:bottom w:val="single" w:color="000000" w:sz="8" w:space="0"/>
                  </w:tcBorders>
                  <w:noWrap w:val="0"/>
                  <w:vAlign w:val="center"/>
                </w:tcPr>
                <w:p w14:paraId="736F70A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由专业队伍负责对事故现场进行</w:t>
                  </w:r>
                  <w:r>
                    <w:rPr>
                      <w:rFonts w:hint="default" w:ascii="Times New Roman" w:hAnsi="Times New Roman" w:cs="Times New Roman"/>
                      <w:color w:val="auto"/>
                      <w:sz w:val="21"/>
                      <w:szCs w:val="21"/>
                      <w:highlight w:val="none"/>
                      <w:lang w:eastAsia="zh-CN"/>
                    </w:rPr>
                    <w:t>侦察</w:t>
                  </w:r>
                  <w:r>
                    <w:rPr>
                      <w:rFonts w:hint="default" w:ascii="Times New Roman" w:hAnsi="Times New Roman" w:cs="Times New Roman"/>
                      <w:color w:val="auto"/>
                      <w:sz w:val="21"/>
                      <w:szCs w:val="21"/>
                      <w:highlight w:val="none"/>
                    </w:rPr>
                    <w:t>监测，对事故性质、参数与后果进行评估，为指挥部门提供决策依据</w:t>
                  </w:r>
                </w:p>
              </w:tc>
            </w:tr>
            <w:tr w14:paraId="209A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97C22C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5134E0A9">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w:t>
                  </w:r>
                  <w:r>
                    <w:rPr>
                      <w:rFonts w:hint="default" w:ascii="Times New Roman" w:hAns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、防护措施、清除泄漏措施和器材</w:t>
                  </w:r>
                </w:p>
              </w:tc>
              <w:tc>
                <w:tcPr>
                  <w:tcW w:w="5804" w:type="dxa"/>
                  <w:tcBorders>
                    <w:top w:val="single" w:color="000000" w:sz="8" w:space="0"/>
                    <w:left w:val="single" w:color="000000" w:sz="8" w:space="0"/>
                    <w:bottom w:val="single" w:color="000000" w:sz="8" w:space="0"/>
                  </w:tcBorders>
                  <w:noWrap w:val="0"/>
                  <w:vAlign w:val="center"/>
                </w:tcPr>
                <w:p w14:paraId="6B59F81A">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事故现场、邻近区域、控制防火区域，控制和清除污染措施及相应设备</w:t>
                  </w:r>
                </w:p>
              </w:tc>
            </w:tr>
            <w:tr w14:paraId="72BE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24CCF061">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F0FE11D">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人员紧急撤离、疏散，应急剂量控制、撤离组织计划</w:t>
                  </w:r>
                </w:p>
              </w:tc>
              <w:tc>
                <w:tcPr>
                  <w:tcW w:w="5804" w:type="dxa"/>
                  <w:tcBorders>
                    <w:top w:val="single" w:color="000000" w:sz="8" w:space="0"/>
                    <w:left w:val="single" w:color="000000" w:sz="8" w:space="0"/>
                    <w:bottom w:val="single" w:color="000000" w:sz="8" w:space="0"/>
                  </w:tcBorders>
                  <w:noWrap w:val="0"/>
                  <w:vAlign w:val="center"/>
                </w:tcPr>
                <w:p w14:paraId="6753AA06">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事故现场、邻近区、受事故影响的区域人员及公众对毒物应急剂量控制规定，撤离组织计划及救护，医疗救护与公众健康</w:t>
                  </w:r>
                </w:p>
              </w:tc>
            </w:tr>
            <w:tr w14:paraId="224A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bottom w:val="single" w:color="000000" w:sz="8" w:space="0"/>
                    <w:right w:val="single" w:color="000000" w:sz="8" w:space="0"/>
                  </w:tcBorders>
                  <w:noWrap w:val="0"/>
                  <w:vAlign w:val="center"/>
                </w:tcPr>
                <w:p w14:paraId="4029DBC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040" w:type="dxa"/>
                  <w:tcBorders>
                    <w:top w:val="single" w:color="000000" w:sz="8" w:space="0"/>
                    <w:left w:val="single" w:color="000000" w:sz="8" w:space="0"/>
                    <w:bottom w:val="single" w:color="000000" w:sz="8" w:space="0"/>
                    <w:right w:val="single" w:color="000000" w:sz="8" w:space="0"/>
                  </w:tcBorders>
                  <w:noWrap w:val="0"/>
                  <w:vAlign w:val="center"/>
                </w:tcPr>
                <w:p w14:paraId="2B1BC075">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事故应急救援关闭程序与恢复措施</w:t>
                  </w:r>
                </w:p>
              </w:tc>
              <w:tc>
                <w:tcPr>
                  <w:tcW w:w="5804" w:type="dxa"/>
                  <w:tcBorders>
                    <w:top w:val="single" w:color="000000" w:sz="8" w:space="0"/>
                    <w:left w:val="single" w:color="000000" w:sz="8" w:space="0"/>
                    <w:bottom w:val="single" w:color="000000" w:sz="8" w:space="0"/>
                  </w:tcBorders>
                  <w:noWrap w:val="0"/>
                  <w:vAlign w:val="center"/>
                </w:tcPr>
                <w:p w14:paraId="471C0147">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规定应急状态终止程序事故现场</w:t>
                  </w:r>
                  <w:r>
                    <w:rPr>
                      <w:rFonts w:hint="default" w:ascii="Times New Roman" w:hAnsi="Times New Roman" w:cs="Times New Roman"/>
                      <w:color w:val="auto"/>
                      <w:sz w:val="21"/>
                      <w:szCs w:val="21"/>
                      <w:highlight w:val="none"/>
                      <w:lang w:eastAsia="zh-CN"/>
                    </w:rPr>
                    <w:t>善后处理</w:t>
                  </w:r>
                  <w:r>
                    <w:rPr>
                      <w:rFonts w:hint="default" w:ascii="Times New Roman" w:hAnsi="Times New Roman" w:cs="Times New Roman"/>
                      <w:color w:val="auto"/>
                      <w:sz w:val="21"/>
                      <w:szCs w:val="21"/>
                      <w:highlight w:val="none"/>
                    </w:rPr>
                    <w:t>，恢复措施邻近区域解除事故警戒及善后恢复措施</w:t>
                  </w:r>
                </w:p>
              </w:tc>
            </w:tr>
            <w:tr w14:paraId="140B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2" w:type="dxa"/>
                  <w:tcBorders>
                    <w:top w:val="single" w:color="000000" w:sz="8" w:space="0"/>
                    <w:right w:val="single" w:color="000000" w:sz="8" w:space="0"/>
                  </w:tcBorders>
                  <w:noWrap w:val="0"/>
                  <w:vAlign w:val="center"/>
                </w:tcPr>
                <w:p w14:paraId="499381EB">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040" w:type="dxa"/>
                  <w:tcBorders>
                    <w:top w:val="single" w:color="000000" w:sz="8" w:space="0"/>
                    <w:left w:val="single" w:color="000000" w:sz="8" w:space="0"/>
                    <w:right w:val="single" w:color="000000" w:sz="8" w:space="0"/>
                  </w:tcBorders>
                  <w:noWrap w:val="0"/>
                  <w:vAlign w:val="center"/>
                </w:tcPr>
                <w:p w14:paraId="161AF4C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应急培训计划</w:t>
                  </w:r>
                </w:p>
              </w:tc>
              <w:tc>
                <w:tcPr>
                  <w:tcW w:w="5804" w:type="dxa"/>
                  <w:tcBorders>
                    <w:top w:val="single" w:color="000000" w:sz="8" w:space="0"/>
                    <w:left w:val="single" w:color="000000" w:sz="8" w:space="0"/>
                  </w:tcBorders>
                  <w:noWrap w:val="0"/>
                  <w:vAlign w:val="center"/>
                </w:tcPr>
                <w:p w14:paraId="5B129F22">
                  <w:pPr>
                    <w:pStyle w:val="109"/>
                    <w:keepNext w:val="0"/>
                    <w:keepLines w:val="0"/>
                    <w:suppressLineNumbers w:val="0"/>
                    <w:wordWrap w:val="0"/>
                    <w:topLinePunct/>
                    <w:spacing w:before="0" w:beforeAutospacing="0" w:after="0" w:afterAutospacing="0" w:line="240" w:lineRule="auto"/>
                    <w:ind w:left="0" w:right="0"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应急计划制定后，平时安排人员培训与演练</w:t>
                  </w:r>
                </w:p>
              </w:tc>
            </w:tr>
          </w:tbl>
          <w:p w14:paraId="1CB39DB6">
            <w:pPr>
              <w:keepNext w:val="0"/>
              <w:keepLines w:val="0"/>
              <w:suppressLineNumbers w:val="0"/>
              <w:wordWrap w:val="0"/>
              <w:topLinePunct/>
              <w:spacing w:before="156" w:beforeLines="50" w:beforeAutospacing="0" w:after="0" w:afterAutospacing="0" w:line="360" w:lineRule="auto"/>
              <w:ind w:left="0" w:right="0" w:firstLine="482" w:firstLineChars="200"/>
              <w:contextualSpacing/>
              <w:rPr>
                <w:rFonts w:hint="default" w:ascii="Times New Roman" w:hAnsi="Times New Roman" w:cs="Times New Roman"/>
                <w:color w:val="auto"/>
                <w:sz w:val="24"/>
                <w:highlight w:val="none"/>
              </w:rPr>
            </w:pP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val="en-US" w:eastAsia="zh-CN" w:bidi="ar"/>
              </w:rPr>
              <w:t>7</w:t>
            </w: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bidi="ar"/>
              </w:rPr>
              <w:t>环境安全管理措施</w:t>
            </w:r>
          </w:p>
          <w:p w14:paraId="3B1CED9B">
            <w:pPr>
              <w:keepNext w:val="0"/>
              <w:keepLines w:val="0"/>
              <w:suppressLineNumbers w:val="0"/>
              <w:wordWrap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①</w:t>
            </w:r>
            <w:r>
              <w:rPr>
                <w:rFonts w:hint="default" w:ascii="Times New Roman" w:hAnsi="Times New Roman" w:cs="Times New Roman"/>
                <w:color w:val="auto"/>
                <w:kern w:val="0"/>
                <w:sz w:val="24"/>
                <w:highlight w:val="none"/>
                <w:lang w:bidi="ar"/>
              </w:rPr>
              <w:t>完善安全检查制度，按期进行设备大、中检修，提高设备的自身安全化水平，检修时应明确检修安全事项和落实安全措施。</w:t>
            </w:r>
          </w:p>
          <w:p w14:paraId="1A5FAB3A">
            <w:pPr>
              <w:keepNext w:val="0"/>
              <w:keepLines w:val="0"/>
              <w:suppressLineNumbers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②</w:t>
            </w:r>
            <w:r>
              <w:rPr>
                <w:rFonts w:hint="default" w:ascii="Times New Roman" w:hAnsi="Times New Roman" w:cs="Times New Roman"/>
                <w:color w:val="auto"/>
                <w:kern w:val="0"/>
                <w:sz w:val="24"/>
                <w:highlight w:val="none"/>
                <w:lang w:bidi="ar"/>
              </w:rPr>
              <w:t>企业应加强消防技术训练，每年开展2次</w:t>
            </w:r>
            <w:r>
              <w:rPr>
                <w:rFonts w:hint="default" w:ascii="Times New Roman" w:hAnsi="Times New Roman" w:cs="Times New Roman"/>
                <w:color w:val="auto"/>
                <w:kern w:val="0"/>
                <w:sz w:val="24"/>
                <w:highlight w:val="none"/>
                <w:lang w:eastAsia="zh-CN" w:bidi="ar"/>
              </w:rPr>
              <w:t>突发环境</w:t>
            </w:r>
            <w:r>
              <w:rPr>
                <w:rFonts w:hint="default" w:ascii="Times New Roman" w:hAnsi="Times New Roman" w:cs="Times New Roman"/>
                <w:color w:val="auto"/>
                <w:kern w:val="0"/>
                <w:sz w:val="24"/>
                <w:highlight w:val="none"/>
                <w:lang w:bidi="ar"/>
              </w:rPr>
              <w:t>事故的应急救援演练。</w:t>
            </w:r>
          </w:p>
          <w:p w14:paraId="2D41DBE6">
            <w:pPr>
              <w:keepNext w:val="0"/>
              <w:keepLines w:val="0"/>
              <w:suppressLineNumbers w:val="0"/>
              <w:topLinePunct/>
              <w:spacing w:before="0" w:beforeAutospacing="0" w:after="0" w:afterAutospacing="0" w:line="360" w:lineRule="auto"/>
              <w:ind w:left="0" w:right="0" w:firstLine="480" w:firstLineChars="200"/>
              <w:contextualSpacing/>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eastAsia="zh-CN" w:bidi="ar"/>
              </w:rPr>
              <w:t>③</w:t>
            </w:r>
            <w:r>
              <w:rPr>
                <w:rFonts w:hint="default" w:ascii="Times New Roman" w:hAnsi="Times New Roman" w:cs="Times New Roman"/>
                <w:color w:val="auto"/>
                <w:kern w:val="0"/>
                <w:sz w:val="24"/>
                <w:highlight w:val="none"/>
                <w:lang w:bidi="ar"/>
              </w:rPr>
              <w:t>加强管理人员的安全操作和防护知识，</w:t>
            </w:r>
            <w:r>
              <w:rPr>
                <w:rFonts w:hint="default" w:ascii="Times New Roman" w:hAnsi="Times New Roman" w:cs="Times New Roman"/>
                <w:color w:val="auto"/>
                <w:kern w:val="0"/>
                <w:sz w:val="24"/>
                <w:highlight w:val="none"/>
                <w:lang w:eastAsia="zh-CN" w:bidi="ar"/>
              </w:rPr>
              <w:t>反映</w:t>
            </w:r>
            <w:r>
              <w:rPr>
                <w:rFonts w:hint="default" w:ascii="Times New Roman" w:hAnsi="Times New Roman" w:cs="Times New Roman"/>
                <w:color w:val="auto"/>
                <w:kern w:val="0"/>
                <w:sz w:val="24"/>
                <w:highlight w:val="none"/>
                <w:lang w:bidi="ar"/>
              </w:rPr>
              <w:t>可能出现事故的现象，危险和应急处理措施，并将操作规程和安全规程装入镜框。</w:t>
            </w:r>
          </w:p>
          <w:p w14:paraId="0F280388">
            <w:pPr>
              <w:keepNext w:val="0"/>
              <w:keepLines w:val="0"/>
              <w:suppressLineNumbers w:val="0"/>
              <w:wordWrap w:val="0"/>
              <w:topLinePunct/>
              <w:spacing w:before="0" w:beforeAutospacing="0" w:after="0" w:afterAutospacing="0" w:line="360" w:lineRule="auto"/>
              <w:ind w:left="0" w:right="0" w:firstLine="482" w:firstLineChars="200"/>
              <w:contextualSpacing/>
              <w:rPr>
                <w:rFonts w:hint="default" w:ascii="Times New Roman" w:hAnsi="Times New Roman" w:cs="Times New Roman"/>
                <w:color w:val="auto"/>
                <w:sz w:val="24"/>
                <w:highlight w:val="none"/>
              </w:rPr>
            </w:pP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val="en-US" w:eastAsia="zh-CN" w:bidi="ar"/>
              </w:rPr>
              <w:t>8</w:t>
            </w:r>
            <w:r>
              <w:rPr>
                <w:rFonts w:hint="default" w:ascii="Times New Roman" w:hAnsi="Times New Roman" w:cs="Times New Roman"/>
                <w:b/>
                <w:color w:val="auto"/>
                <w:kern w:val="0"/>
                <w:sz w:val="24"/>
                <w:highlight w:val="none"/>
                <w:lang w:eastAsia="zh-CN" w:bidi="ar"/>
              </w:rPr>
              <w:t>）</w:t>
            </w:r>
            <w:r>
              <w:rPr>
                <w:rFonts w:hint="default" w:ascii="Times New Roman" w:hAnsi="Times New Roman" w:cs="Times New Roman"/>
                <w:b/>
                <w:color w:val="auto"/>
                <w:kern w:val="0"/>
                <w:sz w:val="24"/>
                <w:highlight w:val="none"/>
                <w:lang w:bidi="ar"/>
              </w:rPr>
              <w:t>分析结论</w:t>
            </w:r>
          </w:p>
          <w:p w14:paraId="31490175">
            <w:pPr>
              <w:pStyle w:val="93"/>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Cs/>
                <w:color w:val="auto"/>
                <w:szCs w:val="24"/>
                <w:highlight w:val="none"/>
              </w:rPr>
            </w:pPr>
            <w:r>
              <w:rPr>
                <w:rFonts w:hint="default" w:ascii="Times New Roman" w:hAnsi="Times New Roman" w:cs="Times New Roman"/>
                <w:color w:val="auto"/>
                <w:kern w:val="0"/>
                <w:sz w:val="24"/>
                <w:highlight w:val="none"/>
                <w:lang w:bidi="ar"/>
              </w:rPr>
              <w:t>本项目风险潜势判定为I。本项目的最大可信事故为危险废物泄漏事故。根据分析结果，本项目在落实各项风险防范措施和应急处理措施，加强环境风险管理，制定完善的风险预案的前提下，环境风险可接受</w:t>
            </w:r>
            <w:r>
              <w:rPr>
                <w:rFonts w:hint="default" w:ascii="Times New Roman" w:hAnsi="Times New Roman" w:cs="Times New Roman"/>
                <w:bCs/>
                <w:color w:val="auto"/>
                <w:szCs w:val="24"/>
                <w:highlight w:val="none"/>
              </w:rPr>
              <w:t>。</w:t>
            </w:r>
          </w:p>
          <w:p w14:paraId="1EAD320F">
            <w:pPr>
              <w:pStyle w:val="105"/>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表</w:t>
            </w:r>
            <w:r>
              <w:rPr>
                <w:rFonts w:hint="default" w:ascii="Times New Roman" w:hAnsi="Times New Roman" w:cs="Times New Roman"/>
                <w:b/>
                <w:bCs/>
                <w:color w:val="auto"/>
                <w:kern w:val="0"/>
                <w:sz w:val="24"/>
                <w:szCs w:val="24"/>
                <w:highlight w:val="none"/>
                <w:lang w:val="en-US" w:eastAsia="zh-CN" w:bidi="ar"/>
              </w:rPr>
              <w:t>4</w:t>
            </w:r>
            <w:r>
              <w:rPr>
                <w:rFonts w:hint="default" w:ascii="Times New Roman" w:hAnsi="Times New Roman" w:cs="Times New Roman"/>
                <w:b/>
                <w:bCs/>
                <w:color w:val="auto"/>
                <w:kern w:val="0"/>
                <w:sz w:val="24"/>
                <w:szCs w:val="24"/>
                <w:highlight w:val="none"/>
                <w:lang w:bidi="ar"/>
              </w:rPr>
              <w:t>-</w:t>
            </w:r>
            <w:r>
              <w:rPr>
                <w:rFonts w:hint="eastAsia" w:cs="Times New Roman"/>
                <w:b/>
                <w:bCs/>
                <w:color w:val="auto"/>
                <w:kern w:val="0"/>
                <w:sz w:val="24"/>
                <w:szCs w:val="24"/>
                <w:highlight w:val="none"/>
                <w:lang w:val="en-US" w:eastAsia="zh-CN" w:bidi="ar"/>
              </w:rPr>
              <w:t>27</w:t>
            </w:r>
            <w:r>
              <w:rPr>
                <w:rFonts w:hint="default" w:ascii="Times New Roman" w:hAnsi="Times New Roman" w:cs="Times New Roman"/>
                <w:b/>
                <w:bCs/>
                <w:color w:val="auto"/>
                <w:kern w:val="0"/>
                <w:sz w:val="24"/>
                <w:szCs w:val="24"/>
                <w:highlight w:val="none"/>
                <w:lang w:bidi="ar"/>
              </w:rPr>
              <w:t>建设项目环境风险简单分析内容表</w:t>
            </w:r>
          </w:p>
          <w:tbl>
            <w:tblPr>
              <w:tblStyle w:val="46"/>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435"/>
              <w:gridCol w:w="1887"/>
              <w:gridCol w:w="1699"/>
              <w:gridCol w:w="1699"/>
            </w:tblGrid>
            <w:tr w14:paraId="09CA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bottom w:val="single" w:color="000000" w:sz="8" w:space="0"/>
                    <w:right w:val="single" w:color="000000" w:sz="8" w:space="0"/>
                  </w:tcBorders>
                  <w:noWrap w:val="0"/>
                  <w:vAlign w:val="center"/>
                </w:tcPr>
                <w:p w14:paraId="3C97190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6720" w:type="dxa"/>
                  <w:gridSpan w:val="4"/>
                  <w:tcBorders>
                    <w:left w:val="single" w:color="000000" w:sz="8" w:space="0"/>
                    <w:bottom w:val="single" w:color="000000" w:sz="8" w:space="0"/>
                  </w:tcBorders>
                  <w:noWrap w:val="0"/>
                  <w:vAlign w:val="center"/>
                </w:tcPr>
                <w:p w14:paraId="7EB4B88B">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广西北部湾国际集装箱码头有限公司集装箱修理项目</w:t>
                  </w:r>
                </w:p>
              </w:tc>
            </w:tr>
            <w:tr w14:paraId="2F7F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top w:val="single" w:color="000000" w:sz="8" w:space="0"/>
                    <w:bottom w:val="single" w:color="000000" w:sz="8" w:space="0"/>
                    <w:right w:val="single" w:color="000000" w:sz="8" w:space="0"/>
                  </w:tcBorders>
                  <w:noWrap w:val="0"/>
                  <w:vAlign w:val="center"/>
                </w:tcPr>
                <w:p w14:paraId="49068ADF">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6720" w:type="dxa"/>
                  <w:gridSpan w:val="4"/>
                  <w:tcBorders>
                    <w:top w:val="single" w:color="000000" w:sz="8" w:space="0"/>
                    <w:left w:val="single" w:color="000000" w:sz="8" w:space="0"/>
                    <w:bottom w:val="single" w:color="000000" w:sz="8" w:space="0"/>
                  </w:tcBorders>
                  <w:noWrap w:val="0"/>
                  <w:vAlign w:val="center"/>
                </w:tcPr>
                <w:p w14:paraId="587CDE00">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钦州港大榄坪南作业区后方陆域</w:t>
                  </w:r>
                </w:p>
              </w:tc>
            </w:tr>
            <w:tr w14:paraId="5DEE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tcBorders>
                    <w:top w:val="single" w:color="000000" w:sz="8" w:space="0"/>
                    <w:right w:val="single" w:color="000000" w:sz="8" w:space="0"/>
                  </w:tcBorders>
                  <w:noWrap w:val="0"/>
                  <w:vAlign w:val="center"/>
                </w:tcPr>
                <w:p w14:paraId="6ADFF58C">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1435" w:type="dxa"/>
                  <w:tcBorders>
                    <w:top w:val="single" w:color="000000" w:sz="8" w:space="0"/>
                    <w:left w:val="single" w:color="000000" w:sz="8" w:space="0"/>
                    <w:bottom w:val="single" w:color="000000" w:sz="8" w:space="0"/>
                    <w:right w:val="single" w:color="000000" w:sz="8" w:space="0"/>
                  </w:tcBorders>
                  <w:noWrap w:val="0"/>
                  <w:vAlign w:val="center"/>
                </w:tcPr>
                <w:p w14:paraId="34D6AC5E">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887" w:type="dxa"/>
                  <w:tcBorders>
                    <w:top w:val="single" w:color="000000" w:sz="8" w:space="0"/>
                    <w:left w:val="single" w:color="000000" w:sz="8" w:space="0"/>
                    <w:bottom w:val="single" w:color="000000" w:sz="8" w:space="0"/>
                    <w:right w:val="single" w:color="000000" w:sz="8" w:space="0"/>
                  </w:tcBorders>
                  <w:noWrap w:val="0"/>
                  <w:vAlign w:val="center"/>
                </w:tcPr>
                <w:p w14:paraId="1AEBD1C4">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108°39'15.878"</w:t>
                  </w:r>
                </w:p>
              </w:tc>
              <w:tc>
                <w:tcPr>
                  <w:tcW w:w="1699" w:type="dxa"/>
                  <w:tcBorders>
                    <w:top w:val="single" w:color="000000" w:sz="8" w:space="0"/>
                    <w:left w:val="single" w:color="000000" w:sz="8" w:space="0"/>
                    <w:bottom w:val="single" w:color="000000" w:sz="8" w:space="0"/>
                    <w:right w:val="single" w:color="000000" w:sz="8" w:space="0"/>
                  </w:tcBorders>
                  <w:noWrap w:val="0"/>
                  <w:vAlign w:val="center"/>
                </w:tcPr>
                <w:p w14:paraId="09D9C08F">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699" w:type="dxa"/>
                  <w:tcBorders>
                    <w:top w:val="single" w:color="000000" w:sz="8" w:space="0"/>
                    <w:left w:val="single" w:color="000000" w:sz="8" w:space="0"/>
                    <w:bottom w:val="single" w:color="000000" w:sz="8" w:space="0"/>
                  </w:tcBorders>
                  <w:noWrap w:val="0"/>
                  <w:vAlign w:val="center"/>
                </w:tcPr>
                <w:p w14:paraId="7B16C771">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21°40'32.556"</w:t>
                  </w:r>
                </w:p>
              </w:tc>
            </w:tr>
            <w:tr w14:paraId="2C7D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4D7CFB07">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6720" w:type="dxa"/>
                  <w:gridSpan w:val="4"/>
                  <w:tcBorders>
                    <w:top w:val="single" w:color="000000" w:sz="8" w:space="0"/>
                    <w:left w:val="single" w:color="000000" w:sz="8" w:space="0"/>
                    <w:bottom w:val="single" w:color="000000" w:sz="8" w:space="0"/>
                  </w:tcBorders>
                  <w:noWrap w:val="0"/>
                  <w:vAlign w:val="center"/>
                </w:tcPr>
                <w:p w14:paraId="50BF2623">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油漆、</w:t>
                  </w:r>
                  <w:r>
                    <w:rPr>
                      <w:rFonts w:hint="default" w:ascii="Times New Roman" w:hAnsi="Times New Roman" w:eastAsia="宋体" w:cs="Times New Roman"/>
                      <w:color w:val="auto"/>
                      <w:sz w:val="21"/>
                      <w:szCs w:val="21"/>
                      <w:highlight w:val="none"/>
                    </w:rPr>
                    <w:t>丙烷</w:t>
                  </w:r>
                  <w:r>
                    <w:rPr>
                      <w:rFonts w:hint="eastAsia"/>
                      <w:color w:val="auto"/>
                      <w:highlight w:val="none"/>
                      <w:lang w:eastAsia="zh-CN"/>
                    </w:rPr>
                    <w:t>、</w:t>
                  </w:r>
                  <w:r>
                    <w:rPr>
                      <w:rFonts w:hint="eastAsia"/>
                      <w:color w:val="auto"/>
                      <w:highlight w:val="none"/>
                      <w:lang w:val="en-US" w:eastAsia="zh-CN"/>
                    </w:rPr>
                    <w:t>废机油</w:t>
                  </w:r>
                </w:p>
              </w:tc>
            </w:tr>
            <w:tr w14:paraId="571E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46C78B52">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w:t>
                  </w:r>
                </w:p>
              </w:tc>
              <w:tc>
                <w:tcPr>
                  <w:tcW w:w="6720" w:type="dxa"/>
                  <w:gridSpan w:val="4"/>
                  <w:tcBorders>
                    <w:top w:val="single" w:color="000000" w:sz="8" w:space="0"/>
                    <w:left w:val="single" w:color="000000" w:sz="8" w:space="0"/>
                    <w:bottom w:val="single" w:color="000000" w:sz="8" w:space="0"/>
                  </w:tcBorders>
                  <w:noWrap w:val="0"/>
                  <w:vAlign w:val="center"/>
                </w:tcPr>
                <w:p w14:paraId="2520D316">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丙烷遇明火引发火灾、爆炸，产生有毒有害气体（有机废气、CO、烟尘等），造成周边空气污染。</w:t>
                  </w:r>
                </w:p>
                <w:p w14:paraId="7CFCC880">
                  <w:pPr>
                    <w:pStyle w:val="105"/>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油漆</w:t>
                  </w:r>
                  <w:r>
                    <w:rPr>
                      <w:rFonts w:hint="eastAsia" w:cs="Times New Roman"/>
                      <w:color w:val="auto"/>
                      <w:sz w:val="21"/>
                      <w:szCs w:val="21"/>
                      <w:highlight w:val="none"/>
                      <w:lang w:val="en-US" w:eastAsia="zh-CN"/>
                    </w:rPr>
                    <w:t>、废机油</w:t>
                  </w:r>
                  <w:r>
                    <w:rPr>
                      <w:rFonts w:hint="eastAsia" w:ascii="Times New Roman" w:hAnsi="Times New Roman" w:cs="Times New Roman"/>
                      <w:color w:val="auto"/>
                      <w:sz w:val="21"/>
                      <w:szCs w:val="21"/>
                      <w:highlight w:val="none"/>
                      <w:lang w:val="en-US" w:eastAsia="zh-CN"/>
                    </w:rPr>
                    <w:t>储存</w:t>
                  </w:r>
                  <w:r>
                    <w:rPr>
                      <w:rFonts w:hint="default" w:ascii="Times New Roman" w:hAnsi="Times New Roman" w:eastAsia="宋体" w:cs="Times New Roman"/>
                      <w:color w:val="auto"/>
                      <w:sz w:val="21"/>
                      <w:szCs w:val="21"/>
                      <w:highlight w:val="none"/>
                    </w:rPr>
                    <w:t>过程由于包装破损</w:t>
                  </w:r>
                  <w:r>
                    <w:rPr>
                      <w:rFonts w:hint="default" w:ascii="Times New Roman" w:hAnsi="Times New Roman" w:cs="Times New Roman"/>
                      <w:color w:val="auto"/>
                      <w:sz w:val="21"/>
                      <w:szCs w:val="21"/>
                      <w:highlight w:val="none"/>
                      <w:lang w:val="en-US" w:eastAsia="zh-CN"/>
                    </w:rPr>
                    <w:t>泄漏</w:t>
                  </w:r>
                  <w:r>
                    <w:rPr>
                      <w:rFonts w:hint="default" w:ascii="Times New Roman" w:hAnsi="Times New Roman" w:eastAsia="宋体" w:cs="Times New Roman"/>
                      <w:color w:val="auto"/>
                      <w:sz w:val="21"/>
                      <w:szCs w:val="21"/>
                      <w:highlight w:val="none"/>
                    </w:rPr>
                    <w:t>渗入地下水，污染土壤和地下水。</w:t>
                  </w:r>
                </w:p>
              </w:tc>
            </w:tr>
            <w:tr w14:paraId="5D14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bottom w:val="single" w:color="000000" w:sz="8" w:space="0"/>
                    <w:right w:val="single" w:color="000000" w:sz="8" w:space="0"/>
                  </w:tcBorders>
                  <w:noWrap w:val="0"/>
                  <w:vAlign w:val="center"/>
                </w:tcPr>
                <w:p w14:paraId="002D321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风险防治措施及要求</w:t>
                  </w:r>
                </w:p>
              </w:tc>
              <w:tc>
                <w:tcPr>
                  <w:tcW w:w="6720" w:type="dxa"/>
                  <w:gridSpan w:val="4"/>
                  <w:tcBorders>
                    <w:top w:val="single" w:color="000000" w:sz="8" w:space="0"/>
                    <w:left w:val="single" w:color="000000" w:sz="8" w:space="0"/>
                    <w:bottom w:val="single" w:color="000000" w:sz="8" w:space="0"/>
                  </w:tcBorders>
                  <w:noWrap w:val="0"/>
                  <w:vAlign w:val="center"/>
                </w:tcPr>
                <w:p w14:paraId="25F8106D">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加强安全生产教育，危险废物暂存间严禁明火，按规范配备消防器材，一旦发生火灾爆炸事故，应立即启动事故应急预案。</w:t>
                  </w:r>
                </w:p>
                <w:p w14:paraId="645A897F">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eastAsia" w:ascii="宋体" w:hAnsi="宋体" w:eastAsia="宋体" w:cs="Times New Roman"/>
                      <w:color w:val="auto"/>
                      <w:szCs w:val="21"/>
                      <w:highlight w:val="none"/>
                      <w:u w:val="none"/>
                      <w:lang w:val="en-US" w:eastAsia="zh-CN"/>
                    </w:rPr>
                    <w:t>严格按照相关设计规范和要求落实防护设施，制定安全操作规章制度，加强安全意识教育，加强监督管理，消除事故隐患。</w:t>
                  </w:r>
                </w:p>
                <w:p w14:paraId="1E633D4B">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eastAsia" w:ascii="宋体" w:hAnsi="宋体" w:eastAsia="宋体" w:cs="Times New Roman"/>
                      <w:color w:val="auto"/>
                      <w:szCs w:val="21"/>
                      <w:highlight w:val="none"/>
                      <w:u w:val="none"/>
                      <w:lang w:val="en-US" w:eastAsia="zh-CN"/>
                    </w:rPr>
                  </w:pPr>
                  <w:r>
                    <w:rPr>
                      <w:rFonts w:hint="default" w:ascii="Times New Roman" w:hAnsi="Times New Roman" w:eastAsia="宋体" w:cs="Times New Roman"/>
                      <w:color w:val="auto"/>
                      <w:sz w:val="21"/>
                      <w:szCs w:val="21"/>
                      <w:highlight w:val="none"/>
                    </w:rPr>
                    <w:t>（3）</w:t>
                  </w:r>
                  <w:r>
                    <w:rPr>
                      <w:rFonts w:hint="eastAsia" w:ascii="宋体" w:hAnsi="宋体" w:eastAsia="宋体" w:cs="Times New Roman"/>
                      <w:color w:val="auto"/>
                      <w:szCs w:val="21"/>
                      <w:highlight w:val="none"/>
                      <w:u w:val="none"/>
                      <w:lang w:val="en-US" w:eastAsia="zh-CN"/>
                    </w:rPr>
                    <w:t>对设备定期进行维修维护，并做好相关记录，防止设备故障造成漆料泄漏事故，同时建立巡检制度，发现泄漏事故及时采取措施。</w:t>
                  </w:r>
                </w:p>
                <w:p w14:paraId="06C2DDE4">
                  <w:pPr>
                    <w:keepNext w:val="0"/>
                    <w:keepLines w:val="0"/>
                    <w:pageBreakBefore w:val="0"/>
                    <w:numPr>
                      <w:ilvl w:val="0"/>
                      <w:numId w:val="0"/>
                    </w:numPr>
                    <w:suppressLineNumbers w:val="0"/>
                    <w:kinsoku/>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宋体" w:hAnsi="宋体" w:eastAsia="宋体" w:cs="Times New Roman"/>
                      <w:color w:val="auto"/>
                      <w:szCs w:val="21"/>
                      <w:highlight w:val="none"/>
                      <w:u w:val="none"/>
                      <w:lang w:val="en-US" w:eastAsia="zh-CN"/>
                    </w:rPr>
                  </w:pPr>
                  <w:r>
                    <w:rPr>
                      <w:rFonts w:hint="eastAsia" w:ascii="宋体" w:hAnsi="宋体" w:cs="Times New Roman"/>
                      <w:color w:val="auto"/>
                      <w:szCs w:val="21"/>
                      <w:highlight w:val="none"/>
                      <w:u w:val="none"/>
                      <w:lang w:val="en-US" w:eastAsia="zh-CN"/>
                    </w:rPr>
                    <w:t>（4）丙烷等易燃物质分区存放。</w:t>
                  </w:r>
                </w:p>
              </w:tc>
            </w:tr>
            <w:tr w14:paraId="277D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6" w:type="dxa"/>
                  <w:tcBorders>
                    <w:top w:val="single" w:color="000000" w:sz="8" w:space="0"/>
                    <w:right w:val="single" w:color="000000" w:sz="8" w:space="0"/>
                  </w:tcBorders>
                  <w:noWrap w:val="0"/>
                  <w:vAlign w:val="center"/>
                </w:tcPr>
                <w:p w14:paraId="18CBAA60">
                  <w:pPr>
                    <w:pStyle w:val="105"/>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ind w:left="0" w:right="0" w:firstLine="0" w:firstLineChars="0"/>
                    <w:contextualSpacing/>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填表说明（列出项目相关信息及评价说明）</w:t>
                  </w:r>
                </w:p>
              </w:tc>
              <w:tc>
                <w:tcPr>
                  <w:tcW w:w="6720" w:type="dxa"/>
                  <w:gridSpan w:val="4"/>
                  <w:tcBorders>
                    <w:top w:val="single" w:color="000000" w:sz="8" w:space="0"/>
                    <w:left w:val="single" w:color="000000" w:sz="8" w:space="0"/>
                  </w:tcBorders>
                  <w:noWrap w:val="0"/>
                  <w:vAlign w:val="center"/>
                </w:tcPr>
                <w:p w14:paraId="7CC6A7F4">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ind w:left="0" w:right="0"/>
                    <w:contextualSpacing/>
                    <w:jc w:val="left"/>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项目虽然存在发生风险事故的可能，但概率很低，在预先制</w:t>
                  </w:r>
                  <w:r>
                    <w:rPr>
                      <w:rFonts w:hint="default" w:ascii="Times New Roman" w:hAnsi="Times New Roman" w:cs="Times New Roman"/>
                      <w:color w:val="auto"/>
                      <w:sz w:val="21"/>
                      <w:szCs w:val="21"/>
                      <w:highlight w:val="none"/>
                      <w:lang w:val="en-US" w:eastAsia="zh-CN"/>
                    </w:rPr>
                    <w:t>定</w:t>
                  </w:r>
                  <w:r>
                    <w:rPr>
                      <w:rFonts w:hint="default" w:ascii="Times New Roman" w:hAnsi="Times New Roman" w:eastAsia="宋体" w:cs="Times New Roman"/>
                      <w:color w:val="auto"/>
                      <w:sz w:val="21"/>
                      <w:szCs w:val="21"/>
                      <w:highlight w:val="none"/>
                    </w:rPr>
                    <w:t>好应急预案的情况下，发生环境风险事故的后果较</w:t>
                  </w:r>
                  <w:r>
                    <w:rPr>
                      <w:rFonts w:hint="default" w:ascii="Times New Roman" w:hAnsi="Times New Roman" w:cs="Times New Roman"/>
                      <w:color w:val="auto"/>
                      <w:sz w:val="21"/>
                      <w:szCs w:val="21"/>
                      <w:highlight w:val="none"/>
                      <w:lang w:eastAsia="zh-CN"/>
                    </w:rPr>
                    <w:t>轻</w:t>
                  </w:r>
                  <w:r>
                    <w:rPr>
                      <w:rFonts w:hint="default" w:ascii="Times New Roman" w:hAnsi="Times New Roman" w:eastAsia="宋体" w:cs="Times New Roman"/>
                      <w:color w:val="auto"/>
                      <w:sz w:val="21"/>
                      <w:szCs w:val="21"/>
                      <w:highlight w:val="none"/>
                    </w:rPr>
                    <w:t>。项目应</w:t>
                  </w:r>
                  <w:r>
                    <w:rPr>
                      <w:rFonts w:hint="default" w:ascii="Times New Roman" w:hAnsi="Times New Roman" w:cs="Times New Roman"/>
                      <w:color w:val="auto"/>
                      <w:sz w:val="21"/>
                      <w:szCs w:val="21"/>
                      <w:highlight w:val="none"/>
                      <w:lang w:val="en-US" w:eastAsia="zh-CN"/>
                    </w:rPr>
                    <w:t>制定</w:t>
                  </w:r>
                  <w:r>
                    <w:rPr>
                      <w:rFonts w:hint="default" w:ascii="Times New Roman" w:hAnsi="Times New Roman" w:eastAsia="宋体" w:cs="Times New Roman"/>
                      <w:color w:val="auto"/>
                      <w:sz w:val="21"/>
                      <w:szCs w:val="21"/>
                      <w:highlight w:val="none"/>
                    </w:rPr>
                    <w:t>一套完整的应急预案，适用于事故发生后的管理，使工作人员明确在事故发生以后，应该采取怎样的应急措施和应急准备，把事故造成的损失降到最低。项目正常经营过程</w:t>
                  </w:r>
                  <w:r>
                    <w:rPr>
                      <w:rFonts w:hint="default" w:ascii="Times New Roman" w:hAnsi="Times New Roman"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rPr>
                    <w:t>环境风险水平是可以接受的</w:t>
                  </w:r>
                  <w:r>
                    <w:rPr>
                      <w:rFonts w:hint="default" w:ascii="Times New Roman" w:hAnsi="Times New Roman" w:cs="Times New Roman"/>
                      <w:color w:val="auto"/>
                      <w:kern w:val="0"/>
                      <w:sz w:val="21"/>
                      <w:szCs w:val="21"/>
                      <w:highlight w:val="none"/>
                      <w:lang w:bidi="ar"/>
                    </w:rPr>
                    <w:t>。</w:t>
                  </w:r>
                </w:p>
              </w:tc>
            </w:tr>
          </w:tbl>
          <w:p w14:paraId="615824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8、环境管理及环境监测</w:t>
            </w:r>
          </w:p>
          <w:p w14:paraId="22EA79E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（1）环境管理与污染源自行监测要求</w:t>
            </w:r>
          </w:p>
          <w:p w14:paraId="6F4397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根据本项目的生产特点，对环境管理机构的设置建议如下：</w:t>
            </w:r>
          </w:p>
          <w:p w14:paraId="78D12C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环境管理应由总经理主管负责，下设环境保护专职机构，并与各职能部门保持密切的联系，由专职环境保护管理和工作人员实施全公司的环境管理工作，其主要职责是：</w:t>
            </w:r>
          </w:p>
          <w:p w14:paraId="4BAD9E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①贯彻执行国家环境保护法规和标准；</w:t>
            </w:r>
          </w:p>
          <w:p w14:paraId="798F38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②接受环保主管部门的检查监督，定期上报各项环境管理工作的执行情况；</w:t>
            </w:r>
          </w:p>
          <w:p w14:paraId="4CBE02E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③组织制定公司各部门的环境管理规章制度；</w:t>
            </w:r>
          </w:p>
          <w:p w14:paraId="7F7D95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④负责环保设施的正常运转，以及环境监测计划的实施。</w:t>
            </w:r>
          </w:p>
          <w:p w14:paraId="76482FB8">
            <w:pPr>
              <w:keepNext w:val="0"/>
              <w:keepLines w:val="0"/>
              <w:numPr>
                <w:ilvl w:val="0"/>
                <w:numId w:val="8"/>
              </w:numPr>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环境监测计划</w:t>
            </w:r>
          </w:p>
          <w:p w14:paraId="0A857BB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项目环境监测的</w:t>
            </w:r>
            <w:r>
              <w:rPr>
                <w:rFonts w:hint="default" w:ascii="Times New Roman" w:hAnsi="Times New Roman" w:cs="Times New Roman"/>
                <w:color w:val="auto"/>
                <w:sz w:val="24"/>
                <w:highlight w:val="none"/>
                <w:lang w:eastAsia="zh-CN"/>
              </w:rPr>
              <w:t>目的是了</w:t>
            </w:r>
            <w:r>
              <w:rPr>
                <w:rFonts w:hint="default" w:ascii="Times New Roman" w:hAnsi="Times New Roman" w:cs="Times New Roman"/>
                <w:color w:val="auto"/>
                <w:sz w:val="24"/>
                <w:highlight w:val="none"/>
              </w:rPr>
              <w:t>解建设项目营运期对所在区域的环境质量</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影响，</w:t>
            </w:r>
            <w:r>
              <w:rPr>
                <w:rFonts w:hint="default" w:ascii="Times New Roman" w:hAnsi="Times New Roman" w:cs="Times New Roman"/>
                <w:color w:val="auto"/>
                <w:sz w:val="24"/>
                <w:highlight w:val="none"/>
                <w:lang w:eastAsia="zh-CN"/>
              </w:rPr>
              <w:t>能够</w:t>
            </w:r>
            <w:r>
              <w:rPr>
                <w:rFonts w:hint="default" w:ascii="Times New Roman" w:hAnsi="Times New Roman" w:cs="Times New Roman"/>
                <w:color w:val="auto"/>
                <w:sz w:val="24"/>
                <w:highlight w:val="none"/>
              </w:rPr>
              <w:t>及时向主管部门反馈信息，为项目的环境管理提供科学依据。在项目营运期应建立完整的监测制度，按规定的监测时段、监测频率进行监测。建议委托有资质的地方环境监测单位进行。项目所有</w:t>
            </w:r>
            <w:r>
              <w:rPr>
                <w:rFonts w:hint="default" w:ascii="Times New Roman" w:hAnsi="Times New Roman" w:cs="Times New Roman"/>
                <w:color w:val="auto"/>
                <w:sz w:val="24"/>
                <w:highlight w:val="none"/>
                <w:lang w:eastAsia="zh-CN"/>
              </w:rPr>
              <w:t>检测</w:t>
            </w:r>
            <w:r>
              <w:rPr>
                <w:rFonts w:hint="default" w:ascii="Times New Roman" w:hAnsi="Times New Roman" w:cs="Times New Roman"/>
                <w:color w:val="auto"/>
                <w:sz w:val="24"/>
                <w:highlight w:val="none"/>
              </w:rPr>
              <w:t>方法与分析方法采用现行国家或行业的有关标准或规范进行。当发生污染事故时，应根据具体情况相应增加监测频率，并进行追踪监测。</w:t>
            </w:r>
          </w:p>
          <w:p w14:paraId="05AB93D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根据《排污单位自行监测技术指南总则》（HJ819-2017）、</w:t>
            </w:r>
            <w:r>
              <w:rPr>
                <w:rFonts w:hint="default" w:ascii="Times New Roman" w:hAnsi="Times New Roman" w:cs="Times New Roman"/>
                <w:color w:val="auto"/>
                <w:sz w:val="24"/>
                <w:highlight w:val="none"/>
                <w:u w:val="none"/>
                <w:lang w:val="en-US" w:eastAsia="zh-CN"/>
              </w:rPr>
              <w:t>《排污单位自行监测技术指南涂装》</w:t>
            </w:r>
            <w:r>
              <w:rPr>
                <w:rFonts w:hint="default" w:ascii="Times New Roman" w:hAnsi="Times New Roman" w:cs="Times New Roman"/>
                <w:color w:val="auto"/>
                <w:sz w:val="24"/>
                <w:highlight w:val="none"/>
                <w:u w:val="none"/>
                <w:lang w:val="en-US" w:eastAsia="zh-CN"/>
              </w:rPr>
              <w:fldChar w:fldCharType="begin"/>
            </w:r>
            <w:r>
              <w:rPr>
                <w:rFonts w:hint="default" w:ascii="Times New Roman" w:hAnsi="Times New Roman" w:cs="Times New Roman"/>
                <w:color w:val="auto"/>
                <w:sz w:val="24"/>
                <w:highlight w:val="none"/>
                <w:u w:val="none"/>
                <w:lang w:val="en-US" w:eastAsia="zh-CN"/>
              </w:rPr>
              <w:instrText xml:space="preserve"> HYPERLINK "https://www.mee.gov.cn/ywgz/fgbz/bz/bzwb/jcffbz/202205/W020220517390963194735.pdf" </w:instrText>
            </w:r>
            <w:r>
              <w:rPr>
                <w:rFonts w:hint="default" w:ascii="Times New Roman" w:hAnsi="Times New Roman" w:cs="Times New Roman"/>
                <w:color w:val="auto"/>
                <w:sz w:val="24"/>
                <w:highlight w:val="none"/>
                <w:u w:val="none"/>
                <w:lang w:val="en-US" w:eastAsia="zh-CN"/>
              </w:rPr>
              <w:fldChar w:fldCharType="separate"/>
            </w:r>
            <w:r>
              <w:rPr>
                <w:rFonts w:hint="default" w:ascii="Times New Roman" w:hAnsi="Times New Roman" w:cs="Times New Roman"/>
                <w:color w:val="auto"/>
                <w:sz w:val="24"/>
                <w:highlight w:val="none"/>
                <w:u w:val="none"/>
                <w:lang w:val="en-US" w:eastAsia="zh-CN"/>
              </w:rPr>
              <w:t>(HJ1086—2020)</w:t>
            </w:r>
            <w:r>
              <w:rPr>
                <w:rFonts w:hint="default" w:ascii="Times New Roman" w:hAnsi="Times New Roman" w:cs="Times New Roman"/>
                <w:color w:val="auto"/>
                <w:sz w:val="24"/>
                <w:highlight w:val="none"/>
                <w:u w:val="none"/>
                <w:lang w:val="en-US" w:eastAsia="zh-CN"/>
              </w:rPr>
              <w:fldChar w:fldCharType="end"/>
            </w:r>
            <w:r>
              <w:rPr>
                <w:rFonts w:hint="default" w:ascii="Times New Roman" w:hAnsi="Times New Roman" w:cs="Times New Roman"/>
                <w:color w:val="auto"/>
                <w:sz w:val="24"/>
                <w:highlight w:val="none"/>
              </w:rPr>
              <w:t>，制定本项目</w:t>
            </w:r>
            <w:r>
              <w:rPr>
                <w:rFonts w:hint="default" w:ascii="Times New Roman" w:hAnsi="Times New Roman" w:cs="Times New Roman"/>
                <w:color w:val="auto"/>
                <w:sz w:val="24"/>
                <w:highlight w:val="none"/>
                <w:lang w:eastAsia="zh-CN"/>
              </w:rPr>
              <w:t>的环境</w:t>
            </w:r>
            <w:r>
              <w:rPr>
                <w:rFonts w:hint="default" w:ascii="Times New Roman" w:hAnsi="Times New Roman" w:cs="Times New Roman"/>
                <w:color w:val="auto"/>
                <w:sz w:val="24"/>
                <w:highlight w:val="none"/>
              </w:rPr>
              <w:t>监测计划，项目营运期环境监测计划见4-</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w:t>
            </w:r>
          </w:p>
          <w:p w14:paraId="7410A8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4-2</w:t>
            </w:r>
            <w:r>
              <w:rPr>
                <w:rFonts w:hint="eastAsia"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lang w:eastAsia="zh-CN"/>
              </w:rPr>
              <w:t>项目</w:t>
            </w:r>
            <w:r>
              <w:rPr>
                <w:rFonts w:hint="default" w:ascii="Times New Roman" w:hAnsi="Times New Roman" w:cs="Times New Roman"/>
                <w:b/>
                <w:color w:val="auto"/>
                <w:sz w:val="24"/>
                <w:szCs w:val="24"/>
                <w:highlight w:val="none"/>
              </w:rPr>
              <w:t>环境监测计划一览表</w:t>
            </w:r>
          </w:p>
          <w:tbl>
            <w:tblPr>
              <w:tblStyle w:val="46"/>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28" w:type="dxa"/>
                <w:bottom w:w="0" w:type="dxa"/>
                <w:right w:w="28" w:type="dxa"/>
              </w:tblCellMar>
            </w:tblPr>
            <w:tblGrid>
              <w:gridCol w:w="1458"/>
              <w:gridCol w:w="2070"/>
              <w:gridCol w:w="1382"/>
              <w:gridCol w:w="1160"/>
              <w:gridCol w:w="641"/>
              <w:gridCol w:w="1046"/>
              <w:gridCol w:w="706"/>
            </w:tblGrid>
            <w:tr w14:paraId="461A889C">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340" w:hRule="atLeast"/>
                <w:jc w:val="center"/>
              </w:trPr>
              <w:tc>
                <w:tcPr>
                  <w:tcW w:w="1458" w:type="dxa"/>
                  <w:tcBorders>
                    <w:tl2br w:val="nil"/>
                    <w:tr2bl w:val="nil"/>
                  </w:tcBorders>
                  <w:noWrap w:val="0"/>
                  <w:tcMar>
                    <w:top w:w="0" w:type="dxa"/>
                    <w:left w:w="113" w:type="dxa"/>
                    <w:bottom w:w="0" w:type="dxa"/>
                    <w:right w:w="113" w:type="dxa"/>
                  </w:tcMar>
                  <w:vAlign w:val="center"/>
                </w:tcPr>
                <w:p w14:paraId="0B395C02">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w:t>
                  </w:r>
                </w:p>
                <w:p w14:paraId="409A8B5D">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要素</w:t>
                  </w:r>
                </w:p>
              </w:tc>
              <w:tc>
                <w:tcPr>
                  <w:tcW w:w="2070" w:type="dxa"/>
                  <w:tcBorders>
                    <w:tl2br w:val="nil"/>
                    <w:tr2bl w:val="nil"/>
                  </w:tcBorders>
                  <w:noWrap w:val="0"/>
                  <w:tcMar>
                    <w:top w:w="0" w:type="dxa"/>
                    <w:left w:w="113" w:type="dxa"/>
                    <w:bottom w:w="0" w:type="dxa"/>
                    <w:right w:w="113" w:type="dxa"/>
                  </w:tcMar>
                  <w:vAlign w:val="center"/>
                </w:tcPr>
                <w:p w14:paraId="265FE931">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监测地点</w:t>
                  </w:r>
                </w:p>
              </w:tc>
              <w:tc>
                <w:tcPr>
                  <w:tcW w:w="1382" w:type="dxa"/>
                  <w:tcBorders>
                    <w:tl2br w:val="nil"/>
                    <w:tr2bl w:val="nil"/>
                  </w:tcBorders>
                  <w:noWrap w:val="0"/>
                  <w:tcMar>
                    <w:top w:w="0" w:type="dxa"/>
                    <w:left w:w="113" w:type="dxa"/>
                    <w:bottom w:w="0" w:type="dxa"/>
                    <w:right w:w="113" w:type="dxa"/>
                  </w:tcMar>
                  <w:vAlign w:val="center"/>
                </w:tcPr>
                <w:p w14:paraId="776B116B">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监测指标</w:t>
                  </w:r>
                </w:p>
              </w:tc>
              <w:tc>
                <w:tcPr>
                  <w:tcW w:w="1160" w:type="dxa"/>
                  <w:tcBorders>
                    <w:tl2br w:val="nil"/>
                    <w:tr2bl w:val="nil"/>
                  </w:tcBorders>
                  <w:noWrap w:val="0"/>
                  <w:tcMar>
                    <w:top w:w="0" w:type="dxa"/>
                    <w:left w:w="113" w:type="dxa"/>
                    <w:bottom w:w="0" w:type="dxa"/>
                    <w:right w:w="113" w:type="dxa"/>
                  </w:tcMar>
                  <w:vAlign w:val="center"/>
                </w:tcPr>
                <w:p w14:paraId="1C2088DB">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监测频次</w:t>
                  </w:r>
                </w:p>
              </w:tc>
              <w:tc>
                <w:tcPr>
                  <w:tcW w:w="641" w:type="dxa"/>
                  <w:tcBorders>
                    <w:tl2br w:val="nil"/>
                    <w:tr2bl w:val="nil"/>
                  </w:tcBorders>
                  <w:noWrap w:val="0"/>
                  <w:tcMar>
                    <w:top w:w="0" w:type="dxa"/>
                    <w:left w:w="113" w:type="dxa"/>
                    <w:bottom w:w="0" w:type="dxa"/>
                    <w:right w:w="113" w:type="dxa"/>
                  </w:tcMar>
                  <w:vAlign w:val="center"/>
                </w:tcPr>
                <w:p w14:paraId="0F2B47BD">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负责机构</w:t>
                  </w:r>
                </w:p>
              </w:tc>
              <w:tc>
                <w:tcPr>
                  <w:tcW w:w="1046" w:type="dxa"/>
                  <w:tcBorders>
                    <w:tl2br w:val="nil"/>
                    <w:tr2bl w:val="nil"/>
                  </w:tcBorders>
                  <w:noWrap w:val="0"/>
                  <w:tcMar>
                    <w:top w:w="0" w:type="dxa"/>
                    <w:left w:w="113" w:type="dxa"/>
                    <w:bottom w:w="0" w:type="dxa"/>
                    <w:right w:w="113" w:type="dxa"/>
                  </w:tcMar>
                  <w:vAlign w:val="center"/>
                </w:tcPr>
                <w:p w14:paraId="6CF4F0A3">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监测机构</w:t>
                  </w:r>
                </w:p>
              </w:tc>
              <w:tc>
                <w:tcPr>
                  <w:tcW w:w="706" w:type="dxa"/>
                  <w:tcBorders>
                    <w:tl2br w:val="nil"/>
                    <w:tr2bl w:val="nil"/>
                  </w:tcBorders>
                  <w:noWrap w:val="0"/>
                  <w:tcMar>
                    <w:top w:w="0" w:type="dxa"/>
                    <w:left w:w="113" w:type="dxa"/>
                    <w:bottom w:w="0" w:type="dxa"/>
                    <w:right w:w="113" w:type="dxa"/>
                  </w:tcMar>
                  <w:vAlign w:val="center"/>
                </w:tcPr>
                <w:p w14:paraId="74182042">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监督</w:t>
                  </w:r>
                  <w:r>
                    <w:rPr>
                      <w:rFonts w:hint="default" w:ascii="Times New Roman" w:hAnsi="Times New Roman" w:cs="Times New Roman"/>
                      <w:b/>
                      <w:bCs/>
                      <w:color w:val="auto"/>
                      <w:sz w:val="21"/>
                      <w:szCs w:val="21"/>
                      <w:highlight w:val="none"/>
                    </w:rPr>
                    <w:t>机构</w:t>
                  </w:r>
                </w:p>
              </w:tc>
            </w:tr>
            <w:tr w14:paraId="605971C8">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vMerge w:val="restart"/>
                  <w:tcBorders>
                    <w:tl2br w:val="nil"/>
                    <w:tr2bl w:val="nil"/>
                  </w:tcBorders>
                  <w:noWrap w:val="0"/>
                  <w:tcMar>
                    <w:top w:w="0" w:type="dxa"/>
                    <w:left w:w="113" w:type="dxa"/>
                    <w:bottom w:w="0" w:type="dxa"/>
                    <w:right w:w="113" w:type="dxa"/>
                  </w:tcMar>
                  <w:vAlign w:val="center"/>
                </w:tcPr>
                <w:p w14:paraId="33633C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有组织废气</w:t>
                  </w:r>
                </w:p>
              </w:tc>
              <w:tc>
                <w:tcPr>
                  <w:tcW w:w="2070" w:type="dxa"/>
                  <w:tcBorders>
                    <w:tl2br w:val="nil"/>
                    <w:tr2bl w:val="nil"/>
                  </w:tcBorders>
                  <w:noWrap w:val="0"/>
                  <w:tcMar>
                    <w:top w:w="0" w:type="dxa"/>
                    <w:left w:w="113" w:type="dxa"/>
                    <w:bottom w:w="0" w:type="dxa"/>
                    <w:right w:w="113" w:type="dxa"/>
                  </w:tcMar>
                  <w:vAlign w:val="center"/>
                </w:tcPr>
                <w:p w14:paraId="10C7A616">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DA001排气筒</w:t>
                  </w:r>
                </w:p>
              </w:tc>
              <w:tc>
                <w:tcPr>
                  <w:tcW w:w="1382" w:type="dxa"/>
                  <w:vMerge w:val="restart"/>
                  <w:tcBorders>
                    <w:tl2br w:val="nil"/>
                    <w:tr2bl w:val="nil"/>
                  </w:tcBorders>
                  <w:noWrap w:val="0"/>
                  <w:tcMar>
                    <w:top w:w="0" w:type="dxa"/>
                    <w:left w:w="113" w:type="dxa"/>
                    <w:bottom w:w="0" w:type="dxa"/>
                    <w:right w:w="113" w:type="dxa"/>
                  </w:tcMar>
                  <w:vAlign w:val="center"/>
                </w:tcPr>
                <w:p w14:paraId="5445E7CD">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pacing w:val="-2"/>
                      <w:highlight w:val="none"/>
                      <w:u w:val="none"/>
                      <w:lang w:val="en-US" w:eastAsia="zh-CN"/>
                    </w:rPr>
                    <w:t>甲苯</w:t>
                  </w:r>
                  <w:r>
                    <w:rPr>
                      <w:rFonts w:hint="default" w:ascii="Times New Roman" w:hAnsi="Times New Roman" w:cs="Times New Roman"/>
                      <w:color w:val="auto"/>
                      <w:spacing w:val="-2"/>
                      <w:highlight w:val="none"/>
                      <w:u w:val="none"/>
                    </w:rPr>
                    <w:t>、二</w:t>
                  </w: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p>
              </w:tc>
              <w:tc>
                <w:tcPr>
                  <w:tcW w:w="1160" w:type="dxa"/>
                  <w:vMerge w:val="restart"/>
                  <w:tcBorders>
                    <w:tl2br w:val="nil"/>
                    <w:tr2bl w:val="nil"/>
                  </w:tcBorders>
                  <w:noWrap w:val="0"/>
                  <w:tcMar>
                    <w:top w:w="0" w:type="dxa"/>
                    <w:left w:w="113" w:type="dxa"/>
                    <w:bottom w:w="0" w:type="dxa"/>
                    <w:right w:w="113" w:type="dxa"/>
                  </w:tcMar>
                  <w:vAlign w:val="center"/>
                </w:tcPr>
                <w:p w14:paraId="0C93CE70">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snapToGrid w:val="0"/>
                      <w:color w:val="auto"/>
                      <w:sz w:val="21"/>
                      <w:szCs w:val="21"/>
                      <w:highlight w:val="none"/>
                      <w:u w:val="none"/>
                      <w:lang w:bidi="zh-CN"/>
                    </w:rPr>
                    <w:t>1次/年</w:t>
                  </w:r>
                </w:p>
              </w:tc>
              <w:tc>
                <w:tcPr>
                  <w:tcW w:w="641" w:type="dxa"/>
                  <w:vMerge w:val="restart"/>
                  <w:tcBorders>
                    <w:tl2br w:val="nil"/>
                    <w:tr2bl w:val="nil"/>
                  </w:tcBorders>
                  <w:noWrap w:val="0"/>
                  <w:tcMar>
                    <w:top w:w="0" w:type="dxa"/>
                    <w:left w:w="113" w:type="dxa"/>
                    <w:bottom w:w="0" w:type="dxa"/>
                    <w:right w:w="113" w:type="dxa"/>
                  </w:tcMar>
                  <w:vAlign w:val="center"/>
                </w:tcPr>
                <w:p w14:paraId="079BD0C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42A42D8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046" w:type="dxa"/>
                  <w:vMerge w:val="restart"/>
                  <w:tcBorders>
                    <w:tl2br w:val="nil"/>
                    <w:tr2bl w:val="nil"/>
                  </w:tcBorders>
                  <w:noWrap w:val="0"/>
                  <w:tcMar>
                    <w:top w:w="0" w:type="dxa"/>
                    <w:left w:w="113" w:type="dxa"/>
                    <w:bottom w:w="0" w:type="dxa"/>
                    <w:right w:w="113" w:type="dxa"/>
                  </w:tcMar>
                  <w:vAlign w:val="center"/>
                </w:tcPr>
                <w:p w14:paraId="4559701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有资质的环境监测机构</w:t>
                  </w:r>
                </w:p>
              </w:tc>
              <w:tc>
                <w:tcPr>
                  <w:tcW w:w="706" w:type="dxa"/>
                  <w:vMerge w:val="restart"/>
                  <w:tcBorders>
                    <w:tl2br w:val="nil"/>
                    <w:tr2bl w:val="nil"/>
                  </w:tcBorders>
                  <w:noWrap w:val="0"/>
                  <w:tcMar>
                    <w:top w:w="0" w:type="dxa"/>
                    <w:left w:w="113" w:type="dxa"/>
                    <w:bottom w:w="0" w:type="dxa"/>
                    <w:right w:w="113" w:type="dxa"/>
                  </w:tcMar>
                  <w:vAlign w:val="center"/>
                </w:tcPr>
                <w:p w14:paraId="5D25861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钦州市生态环境局</w:t>
                  </w:r>
                </w:p>
              </w:tc>
            </w:tr>
            <w:tr w14:paraId="06A17892">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vMerge w:val="restart"/>
                  <w:tcBorders>
                    <w:tl2br w:val="nil"/>
                    <w:tr2bl w:val="nil"/>
                  </w:tcBorders>
                  <w:noWrap w:val="0"/>
                  <w:tcMar>
                    <w:top w:w="0" w:type="dxa"/>
                    <w:left w:w="113" w:type="dxa"/>
                    <w:bottom w:w="0" w:type="dxa"/>
                    <w:right w:w="113" w:type="dxa"/>
                  </w:tcMar>
                  <w:vAlign w:val="center"/>
                </w:tcPr>
                <w:p w14:paraId="52710EA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无组织废气</w:t>
                  </w:r>
                </w:p>
              </w:tc>
              <w:tc>
                <w:tcPr>
                  <w:tcW w:w="2070" w:type="dxa"/>
                  <w:tcBorders>
                    <w:tl2br w:val="nil"/>
                    <w:tr2bl w:val="nil"/>
                  </w:tcBorders>
                  <w:noWrap w:val="0"/>
                  <w:tcMar>
                    <w:top w:w="0" w:type="dxa"/>
                    <w:left w:w="113" w:type="dxa"/>
                    <w:bottom w:w="0" w:type="dxa"/>
                    <w:right w:w="113" w:type="dxa"/>
                  </w:tcMar>
                  <w:vAlign w:val="center"/>
                </w:tcPr>
                <w:p w14:paraId="18E0E5D8">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厂界四周</w:t>
                  </w:r>
                </w:p>
              </w:tc>
              <w:tc>
                <w:tcPr>
                  <w:tcW w:w="1382" w:type="dxa"/>
                  <w:tcBorders>
                    <w:tl2br w:val="nil"/>
                    <w:tr2bl w:val="nil"/>
                  </w:tcBorders>
                  <w:noWrap w:val="0"/>
                  <w:tcMar>
                    <w:top w:w="0" w:type="dxa"/>
                    <w:left w:w="113" w:type="dxa"/>
                    <w:bottom w:w="0" w:type="dxa"/>
                    <w:right w:w="113" w:type="dxa"/>
                  </w:tcMar>
                  <w:vAlign w:val="center"/>
                </w:tcPr>
                <w:p w14:paraId="0A8E56E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pacing w:val="-2"/>
                      <w:highlight w:val="none"/>
                      <w:u w:val="none"/>
                    </w:rPr>
                    <w:t>颗粒物、二</w:t>
                  </w: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r>
                    <w:rPr>
                      <w:rFonts w:hint="eastAsia" w:ascii="Times New Roman" w:hAnsi="Times New Roman" w:cs="Times New Roman"/>
                      <w:color w:val="auto"/>
                      <w:spacing w:val="-2"/>
                      <w:highlight w:val="none"/>
                      <w:u w:val="none"/>
                      <w:lang w:eastAsia="zh-CN"/>
                    </w:rPr>
                    <w:t>、</w:t>
                  </w:r>
                  <w:r>
                    <w:rPr>
                      <w:rFonts w:hint="eastAsia" w:ascii="Times New Roman" w:hAnsi="Times New Roman" w:cs="Times New Roman"/>
                      <w:color w:val="auto"/>
                      <w:spacing w:val="-2"/>
                      <w:highlight w:val="none"/>
                      <w:u w:val="none"/>
                      <w:lang w:val="en-US" w:eastAsia="zh-CN"/>
                    </w:rPr>
                    <w:t>甲苯</w:t>
                  </w:r>
                </w:p>
              </w:tc>
              <w:tc>
                <w:tcPr>
                  <w:tcW w:w="1160" w:type="dxa"/>
                  <w:tcBorders>
                    <w:tl2br w:val="nil"/>
                    <w:tr2bl w:val="nil"/>
                  </w:tcBorders>
                  <w:noWrap w:val="0"/>
                  <w:tcMar>
                    <w:top w:w="0" w:type="dxa"/>
                    <w:left w:w="113" w:type="dxa"/>
                    <w:bottom w:w="0" w:type="dxa"/>
                    <w:right w:w="113" w:type="dxa"/>
                  </w:tcMar>
                  <w:vAlign w:val="center"/>
                </w:tcPr>
                <w:p w14:paraId="6B2E1108">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snapToGrid w:val="0"/>
                      <w:color w:val="auto"/>
                      <w:sz w:val="21"/>
                      <w:szCs w:val="21"/>
                      <w:highlight w:val="none"/>
                      <w:u w:val="none"/>
                      <w:lang w:bidi="zh-CN"/>
                    </w:rPr>
                    <w:t>1</w:t>
                  </w:r>
                  <w:r>
                    <w:rPr>
                      <w:rFonts w:hint="default" w:ascii="Times New Roman" w:hAnsi="Times New Roman" w:cs="Times New Roman"/>
                      <w:snapToGrid w:val="0"/>
                      <w:color w:val="auto"/>
                      <w:sz w:val="21"/>
                      <w:szCs w:val="21"/>
                      <w:highlight w:val="none"/>
                      <w:u w:val="none"/>
                      <w:lang w:val="zh-CN" w:bidi="zh-CN"/>
                    </w:rPr>
                    <w:t>次/</w:t>
                  </w:r>
                  <w:r>
                    <w:rPr>
                      <w:rFonts w:hint="default" w:ascii="Times New Roman" w:hAnsi="Times New Roman" w:cs="Times New Roman"/>
                      <w:snapToGrid w:val="0"/>
                      <w:color w:val="auto"/>
                      <w:sz w:val="21"/>
                      <w:szCs w:val="21"/>
                      <w:highlight w:val="none"/>
                      <w:u w:val="none"/>
                      <w:lang w:val="en-US" w:bidi="zh-CN"/>
                    </w:rPr>
                    <w:t>半</w:t>
                  </w:r>
                  <w:r>
                    <w:rPr>
                      <w:rFonts w:hint="default" w:ascii="Times New Roman" w:hAnsi="Times New Roman" w:cs="Times New Roman"/>
                      <w:snapToGrid w:val="0"/>
                      <w:color w:val="auto"/>
                      <w:sz w:val="21"/>
                      <w:szCs w:val="21"/>
                      <w:highlight w:val="none"/>
                      <w:u w:val="none"/>
                      <w:lang w:val="zh-CN" w:bidi="zh-CN"/>
                    </w:rPr>
                    <w:t>年</w:t>
                  </w:r>
                </w:p>
              </w:tc>
              <w:tc>
                <w:tcPr>
                  <w:tcW w:w="641" w:type="dxa"/>
                  <w:vMerge w:val="continue"/>
                  <w:tcBorders>
                    <w:tl2br w:val="nil"/>
                    <w:tr2bl w:val="nil"/>
                  </w:tcBorders>
                  <w:noWrap w:val="0"/>
                  <w:tcMar>
                    <w:top w:w="0" w:type="dxa"/>
                    <w:left w:w="113" w:type="dxa"/>
                    <w:bottom w:w="0" w:type="dxa"/>
                    <w:right w:w="113" w:type="dxa"/>
                  </w:tcMar>
                  <w:vAlign w:val="center"/>
                </w:tcPr>
                <w:p w14:paraId="08EBA85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tcMar>
                    <w:top w:w="0" w:type="dxa"/>
                    <w:left w:w="113" w:type="dxa"/>
                    <w:bottom w:w="0" w:type="dxa"/>
                    <w:right w:w="113" w:type="dxa"/>
                  </w:tcMar>
                  <w:vAlign w:val="center"/>
                </w:tcPr>
                <w:p w14:paraId="60697EF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tcMar>
                    <w:top w:w="0" w:type="dxa"/>
                    <w:left w:w="113" w:type="dxa"/>
                    <w:bottom w:w="0" w:type="dxa"/>
                    <w:right w:w="113" w:type="dxa"/>
                  </w:tcMar>
                  <w:vAlign w:val="center"/>
                </w:tcPr>
                <w:p w14:paraId="06AD484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p>
              </w:tc>
            </w:tr>
            <w:tr w14:paraId="54EF1A91">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340" w:hRule="atLeast"/>
                <w:jc w:val="center"/>
              </w:trPr>
              <w:tc>
                <w:tcPr>
                  <w:tcW w:w="1458" w:type="dxa"/>
                  <w:vMerge w:val="continue"/>
                  <w:tcBorders>
                    <w:tl2br w:val="nil"/>
                    <w:tr2bl w:val="nil"/>
                  </w:tcBorders>
                  <w:noWrap w:val="0"/>
                  <w:vAlign w:val="center"/>
                </w:tcPr>
                <w:p w14:paraId="444F75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p>
              </w:tc>
              <w:tc>
                <w:tcPr>
                  <w:tcW w:w="2070" w:type="dxa"/>
                  <w:tcBorders>
                    <w:tl2br w:val="nil"/>
                    <w:tr2bl w:val="nil"/>
                  </w:tcBorders>
                  <w:noWrap w:val="0"/>
                  <w:tcMar>
                    <w:top w:w="0" w:type="dxa"/>
                    <w:left w:w="113" w:type="dxa"/>
                    <w:bottom w:w="0" w:type="dxa"/>
                    <w:right w:w="113" w:type="dxa"/>
                  </w:tcMar>
                  <w:vAlign w:val="center"/>
                </w:tcPr>
                <w:p w14:paraId="06AF88BC">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项目厂房外1个点</w:t>
                  </w:r>
                </w:p>
              </w:tc>
              <w:tc>
                <w:tcPr>
                  <w:tcW w:w="1382" w:type="dxa"/>
                  <w:tcBorders>
                    <w:tl2br w:val="nil"/>
                    <w:tr2bl w:val="nil"/>
                  </w:tcBorders>
                  <w:noWrap w:val="0"/>
                  <w:tcMar>
                    <w:top w:w="0" w:type="dxa"/>
                    <w:left w:w="113" w:type="dxa"/>
                    <w:bottom w:w="0" w:type="dxa"/>
                    <w:right w:w="113" w:type="dxa"/>
                  </w:tcMar>
                  <w:vAlign w:val="center"/>
                </w:tcPr>
                <w:p w14:paraId="025A896D">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Cs w:val="21"/>
                      <w:highlight w:val="none"/>
                      <w:u w:val="none"/>
                      <w:lang w:val="en-US" w:eastAsia="zh-CN"/>
                    </w:rPr>
                    <w:t>非甲烷总烃</w:t>
                  </w:r>
                </w:p>
              </w:tc>
              <w:tc>
                <w:tcPr>
                  <w:tcW w:w="1160" w:type="dxa"/>
                  <w:tcBorders>
                    <w:tl2br w:val="nil"/>
                    <w:tr2bl w:val="nil"/>
                  </w:tcBorders>
                  <w:noWrap w:val="0"/>
                  <w:vAlign w:val="center"/>
                </w:tcPr>
                <w:p w14:paraId="49B43A76">
                  <w:pPr>
                    <w:keepNext w:val="0"/>
                    <w:keepLines w:val="0"/>
                    <w:suppressLineNumbers w:val="0"/>
                    <w:adjustRightInd w:val="0"/>
                    <w:spacing w:before="0" w:beforeAutospacing="0" w:after="0" w:afterAutospacing="0"/>
                    <w:ind w:left="0" w:right="0"/>
                    <w:jc w:val="center"/>
                    <w:rPr>
                      <w:rFonts w:hint="default" w:ascii="Times New Roman" w:hAnsi="Times New Roman" w:cs="Times New Roman"/>
                      <w:snapToGrid w:val="0"/>
                      <w:color w:val="auto"/>
                      <w:sz w:val="21"/>
                      <w:szCs w:val="21"/>
                      <w:highlight w:val="none"/>
                      <w:u w:val="none"/>
                      <w:lang w:bidi="zh-CN"/>
                    </w:rPr>
                  </w:pPr>
                  <w:r>
                    <w:rPr>
                      <w:rFonts w:hint="default" w:ascii="Times New Roman" w:hAnsi="Times New Roman" w:cs="Times New Roman"/>
                      <w:color w:val="auto"/>
                      <w:szCs w:val="21"/>
                      <w:highlight w:val="none"/>
                      <w:u w:val="none"/>
                    </w:rPr>
                    <w:t>1次/</w:t>
                  </w:r>
                  <w:r>
                    <w:rPr>
                      <w:rFonts w:hint="default" w:ascii="Times New Roman" w:hAnsi="Times New Roman" w:cs="Times New Roman"/>
                      <w:color w:val="auto"/>
                      <w:szCs w:val="21"/>
                      <w:highlight w:val="none"/>
                      <w:u w:val="none"/>
                      <w:lang w:val="en-US" w:eastAsia="zh-CN"/>
                    </w:rPr>
                    <w:t>季度</w:t>
                  </w:r>
                </w:p>
              </w:tc>
              <w:tc>
                <w:tcPr>
                  <w:tcW w:w="641" w:type="dxa"/>
                  <w:vMerge w:val="continue"/>
                  <w:tcBorders>
                    <w:tl2br w:val="nil"/>
                    <w:tr2bl w:val="nil"/>
                  </w:tcBorders>
                  <w:noWrap w:val="0"/>
                  <w:vAlign w:val="center"/>
                </w:tcPr>
                <w:p w14:paraId="3C77C11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vAlign w:val="center"/>
                </w:tcPr>
                <w:p w14:paraId="4981F06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07B1AFC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r w14:paraId="56ABFB15">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tcBorders>
                    <w:tl2br w:val="nil"/>
                    <w:tr2bl w:val="nil"/>
                  </w:tcBorders>
                  <w:noWrap w:val="0"/>
                  <w:tcMar>
                    <w:top w:w="0" w:type="dxa"/>
                    <w:left w:w="113" w:type="dxa"/>
                    <w:bottom w:w="0" w:type="dxa"/>
                    <w:right w:w="113" w:type="dxa"/>
                  </w:tcMar>
                  <w:vAlign w:val="center"/>
                </w:tcPr>
                <w:p w14:paraId="37EDD703">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w:t>
                  </w:r>
                </w:p>
              </w:tc>
              <w:tc>
                <w:tcPr>
                  <w:tcW w:w="2070" w:type="dxa"/>
                  <w:tcBorders>
                    <w:tl2br w:val="nil"/>
                    <w:tr2bl w:val="nil"/>
                  </w:tcBorders>
                  <w:noWrap w:val="0"/>
                  <w:tcMar>
                    <w:top w:w="0" w:type="dxa"/>
                    <w:left w:w="113" w:type="dxa"/>
                    <w:bottom w:w="0" w:type="dxa"/>
                    <w:right w:w="113" w:type="dxa"/>
                  </w:tcMar>
                  <w:vAlign w:val="center"/>
                </w:tcPr>
                <w:p w14:paraId="2719D30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东、南、西、北厂界</w:t>
                  </w:r>
                </w:p>
              </w:tc>
              <w:tc>
                <w:tcPr>
                  <w:tcW w:w="1382" w:type="dxa"/>
                  <w:tcBorders>
                    <w:tl2br w:val="nil"/>
                    <w:tr2bl w:val="nil"/>
                  </w:tcBorders>
                  <w:noWrap w:val="0"/>
                  <w:tcMar>
                    <w:top w:w="0" w:type="dxa"/>
                    <w:left w:w="113" w:type="dxa"/>
                    <w:bottom w:w="0" w:type="dxa"/>
                    <w:right w:w="113" w:type="dxa"/>
                  </w:tcMar>
                  <w:vAlign w:val="center"/>
                </w:tcPr>
                <w:p w14:paraId="3F70044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等效连续A声级</w:t>
                  </w:r>
                </w:p>
              </w:tc>
              <w:tc>
                <w:tcPr>
                  <w:tcW w:w="1160" w:type="dxa"/>
                  <w:tcBorders>
                    <w:tl2br w:val="nil"/>
                    <w:tr2bl w:val="nil"/>
                  </w:tcBorders>
                  <w:noWrap w:val="0"/>
                  <w:tcMar>
                    <w:top w:w="0" w:type="dxa"/>
                    <w:left w:w="113" w:type="dxa"/>
                    <w:bottom w:w="0" w:type="dxa"/>
                    <w:right w:w="113" w:type="dxa"/>
                  </w:tcMar>
                  <w:vAlign w:val="center"/>
                </w:tcPr>
                <w:p w14:paraId="519E85A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1次/季度</w:t>
                  </w:r>
                </w:p>
              </w:tc>
              <w:tc>
                <w:tcPr>
                  <w:tcW w:w="641" w:type="dxa"/>
                  <w:vMerge w:val="continue"/>
                  <w:tcBorders>
                    <w:tl2br w:val="nil"/>
                    <w:tr2bl w:val="nil"/>
                  </w:tcBorders>
                  <w:noWrap w:val="0"/>
                  <w:vAlign w:val="center"/>
                </w:tcPr>
                <w:p w14:paraId="006B023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1046" w:type="dxa"/>
                  <w:vMerge w:val="continue"/>
                  <w:tcBorders>
                    <w:tl2br w:val="nil"/>
                    <w:tr2bl w:val="nil"/>
                  </w:tcBorders>
                  <w:noWrap w:val="0"/>
                  <w:vAlign w:val="center"/>
                </w:tcPr>
                <w:p w14:paraId="567CFA4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089DA9B9">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bl>
          <w:p w14:paraId="1E7F2B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9、</w:t>
            </w:r>
            <w:r>
              <w:rPr>
                <w:rFonts w:hint="default" w:ascii="Times New Roman" w:hAnsi="Times New Roman" w:cs="Times New Roman"/>
                <w:b/>
                <w:color w:val="auto"/>
                <w:sz w:val="24"/>
                <w:szCs w:val="24"/>
                <w:highlight w:val="none"/>
              </w:rPr>
              <w:t>竣工环保验收</w:t>
            </w:r>
          </w:p>
          <w:p w14:paraId="2342E6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根据《中华人民共和国环境影响评价法》和《建设项目环境保护管理条例》的有关规定，对建设项目环保设施验收内容及要求如下。</w:t>
            </w:r>
          </w:p>
          <w:p w14:paraId="45310F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环保设施验收</w:t>
            </w:r>
          </w:p>
          <w:p w14:paraId="47A99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none"/>
              </w:rPr>
              <w:t>在项目建设完成后，根据关于发布《建设项目竣工环境保护验收暂行办法》的公告，</w:t>
            </w:r>
            <w:r>
              <w:rPr>
                <w:rFonts w:hint="default" w:ascii="Times New Roman" w:hAnsi="Times New Roman" w:cs="Times New Roman"/>
                <w:color w:val="auto"/>
                <w:sz w:val="24"/>
                <w:highlight w:val="none"/>
                <w:u w:val="none"/>
                <w:lang w:eastAsia="zh-CN"/>
              </w:rPr>
              <w:t>对项目进行验收。</w:t>
            </w:r>
            <w:r>
              <w:rPr>
                <w:rFonts w:hint="default" w:ascii="Times New Roman" w:hAnsi="Times New Roman" w:cs="Times New Roman"/>
                <w:color w:val="auto"/>
                <w:sz w:val="24"/>
                <w:highlight w:val="none"/>
                <w:u w:val="none"/>
              </w:rPr>
              <w:t>项目环保设施</w:t>
            </w:r>
            <w:r>
              <w:rPr>
                <w:rFonts w:hint="default" w:ascii="Times New Roman" w:hAnsi="Times New Roman" w:cs="Times New Roman" w:eastAsiaTheme="majorEastAsia"/>
                <w:color w:val="auto"/>
                <w:sz w:val="24"/>
                <w:highlight w:val="none"/>
                <w:u w:val="none"/>
              </w:rPr>
              <w:t>“三同时”</w:t>
            </w:r>
            <w:r>
              <w:rPr>
                <w:rFonts w:hint="default" w:ascii="Times New Roman" w:hAnsi="Times New Roman" w:cs="Times New Roman"/>
                <w:color w:val="auto"/>
                <w:sz w:val="24"/>
                <w:highlight w:val="none"/>
                <w:u w:val="none"/>
              </w:rPr>
              <w:t>环保设施验收内容表</w:t>
            </w:r>
            <w:r>
              <w:rPr>
                <w:rFonts w:hint="default" w:ascii="Times New Roman" w:hAnsi="Times New Roman" w:cs="Times New Roman"/>
                <w:color w:val="auto"/>
                <w:sz w:val="24"/>
                <w:highlight w:val="none"/>
                <w:u w:val="none"/>
                <w:lang w:val="en-US" w:eastAsia="zh-CN"/>
              </w:rPr>
              <w:t>4-2</w:t>
            </w:r>
            <w:r>
              <w:rPr>
                <w:rFonts w:hint="eastAsia" w:cs="Times New Roman"/>
                <w:color w:val="auto"/>
                <w:sz w:val="24"/>
                <w:highlight w:val="none"/>
                <w:u w:val="none"/>
                <w:lang w:val="en-US" w:eastAsia="zh-CN"/>
              </w:rPr>
              <w:t>9</w:t>
            </w:r>
            <w:r>
              <w:rPr>
                <w:rFonts w:hint="default" w:ascii="Times New Roman" w:hAnsi="Times New Roman" w:cs="Times New Roman"/>
                <w:color w:val="auto"/>
                <w:sz w:val="24"/>
                <w:highlight w:val="none"/>
              </w:rPr>
              <w:t>。</w:t>
            </w:r>
          </w:p>
          <w:p w14:paraId="638C1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highlight w:val="none"/>
                <w:u w:val="none"/>
                <w:vertAlign w:val="baseline"/>
                <w:lang w:val="en-US" w:eastAsia="zh-CN"/>
              </w:rPr>
            </w:pPr>
            <w:r>
              <w:rPr>
                <w:rFonts w:hint="default" w:ascii="Times New Roman" w:hAnsi="Times New Roman" w:cs="Times New Roman"/>
                <w:b/>
                <w:color w:val="auto"/>
                <w:sz w:val="24"/>
                <w:szCs w:val="24"/>
                <w:highlight w:val="none"/>
                <w:u w:val="none"/>
              </w:rPr>
              <w:t>表</w:t>
            </w:r>
            <w:r>
              <w:rPr>
                <w:rFonts w:hint="default" w:ascii="Times New Roman" w:hAnsi="Times New Roman" w:cs="Times New Roman"/>
                <w:b/>
                <w:color w:val="auto"/>
                <w:sz w:val="24"/>
                <w:szCs w:val="24"/>
                <w:highlight w:val="none"/>
                <w:u w:val="none"/>
                <w:lang w:val="en-US" w:eastAsia="zh-CN"/>
              </w:rPr>
              <w:t>4-2</w:t>
            </w:r>
            <w:r>
              <w:rPr>
                <w:rFonts w:hint="eastAsia" w:cs="Times New Roman"/>
                <w:b/>
                <w:color w:val="auto"/>
                <w:sz w:val="24"/>
                <w:szCs w:val="24"/>
                <w:highlight w:val="none"/>
                <w:u w:val="none"/>
                <w:lang w:val="en-US" w:eastAsia="zh-CN"/>
              </w:rPr>
              <w:t>9</w:t>
            </w:r>
            <w:r>
              <w:rPr>
                <w:rFonts w:hint="default" w:ascii="Times New Roman" w:hAnsi="Times New Roman" w:cs="Times New Roman"/>
                <w:b/>
                <w:color w:val="auto"/>
                <w:sz w:val="24"/>
                <w:szCs w:val="24"/>
                <w:highlight w:val="none"/>
                <w:u w:val="none"/>
              </w:rPr>
              <w:t>本项目“三同时”环保设施验收一览</w:t>
            </w:r>
            <w:r>
              <w:rPr>
                <w:rFonts w:hint="default" w:ascii="Times New Roman" w:hAnsi="Times New Roman" w:cs="Times New Roman"/>
                <w:b/>
                <w:color w:val="auto"/>
                <w:sz w:val="24"/>
                <w:szCs w:val="24"/>
                <w:highlight w:val="none"/>
                <w:u w:val="none"/>
                <w:lang w:val="en-US" w:eastAsia="zh-CN"/>
              </w:rPr>
              <w:t>表</w:t>
            </w:r>
          </w:p>
          <w:tbl>
            <w:tblPr>
              <w:tblStyle w:val="46"/>
              <w:tblW w:w="851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8"/>
              <w:gridCol w:w="425"/>
              <w:gridCol w:w="800"/>
              <w:gridCol w:w="3213"/>
              <w:gridCol w:w="3322"/>
            </w:tblGrid>
            <w:tr w14:paraId="041B76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7" w:hRule="atLeast"/>
                <w:jc w:val="center"/>
              </w:trPr>
              <w:tc>
                <w:tcPr>
                  <w:tcW w:w="1983" w:type="dxa"/>
                  <w:gridSpan w:val="3"/>
                  <w:tcBorders>
                    <w:tl2br w:val="nil"/>
                    <w:tr2bl w:val="nil"/>
                  </w:tcBorders>
                  <w:noWrap w:val="0"/>
                  <w:vAlign w:val="center"/>
                </w:tcPr>
                <w:p w14:paraId="27B7EBCA">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验收项目</w:t>
                  </w:r>
                </w:p>
              </w:tc>
              <w:tc>
                <w:tcPr>
                  <w:tcW w:w="3213" w:type="dxa"/>
                  <w:tcBorders>
                    <w:tl2br w:val="nil"/>
                    <w:tr2bl w:val="nil"/>
                  </w:tcBorders>
                  <w:noWrap w:val="0"/>
                  <w:vAlign w:val="center"/>
                </w:tcPr>
                <w:p w14:paraId="70B4C209">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验收检查内容</w:t>
                  </w:r>
                </w:p>
              </w:tc>
              <w:tc>
                <w:tcPr>
                  <w:tcW w:w="3322" w:type="dxa"/>
                  <w:tcBorders>
                    <w:tl2br w:val="nil"/>
                    <w:tr2bl w:val="nil"/>
                  </w:tcBorders>
                  <w:noWrap w:val="0"/>
                  <w:vAlign w:val="center"/>
                </w:tcPr>
                <w:p w14:paraId="20BB825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预期治理效果</w:t>
                  </w:r>
                </w:p>
              </w:tc>
            </w:tr>
            <w:tr w14:paraId="2C751F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7" w:hRule="atLeast"/>
                <w:jc w:val="center"/>
              </w:trPr>
              <w:tc>
                <w:tcPr>
                  <w:tcW w:w="758" w:type="dxa"/>
                  <w:tcBorders>
                    <w:tl2br w:val="nil"/>
                    <w:tr2bl w:val="nil"/>
                  </w:tcBorders>
                  <w:noWrap w:val="0"/>
                  <w:vAlign w:val="center"/>
                </w:tcPr>
                <w:p w14:paraId="0C765019">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废水治理</w:t>
                  </w:r>
                </w:p>
              </w:tc>
              <w:tc>
                <w:tcPr>
                  <w:tcW w:w="425" w:type="dxa"/>
                  <w:tcBorders>
                    <w:tl2br w:val="nil"/>
                    <w:tr2bl w:val="nil"/>
                  </w:tcBorders>
                  <w:noWrap w:val="0"/>
                  <w:vAlign w:val="center"/>
                </w:tcPr>
                <w:p w14:paraId="0EB80E24">
                  <w:pPr>
                    <w:keepNext w:val="0"/>
                    <w:keepLines w:val="0"/>
                    <w:suppressLineNumbers w:val="0"/>
                    <w:tabs>
                      <w:tab w:val="left" w:pos="3225"/>
                    </w:tabs>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604E8225">
                  <w:pPr>
                    <w:keepNext w:val="0"/>
                    <w:keepLines w:val="0"/>
                    <w:suppressLineNumbers w:val="0"/>
                    <w:tabs>
                      <w:tab w:val="left" w:pos="3225"/>
                    </w:tabs>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3213" w:type="dxa"/>
                  <w:tcBorders>
                    <w:tl2br w:val="nil"/>
                    <w:tr2bl w:val="nil"/>
                  </w:tcBorders>
                  <w:noWrap w:val="0"/>
                  <w:vAlign w:val="center"/>
                </w:tcPr>
                <w:p w14:paraId="06D103A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生活污</w:t>
                  </w:r>
                  <w:r>
                    <w:rPr>
                      <w:rFonts w:hint="default" w:ascii="Times New Roman" w:hAnsi="Times New Roman" w:cs="Times New Roman"/>
                      <w:color w:val="auto"/>
                      <w:highlight w:val="none"/>
                      <w:u w:val="none" w:color="auto"/>
                    </w:rPr>
                    <w:t>水经化粪池预处理后</w:t>
                  </w:r>
                  <w:r>
                    <w:rPr>
                      <w:rFonts w:hint="default" w:ascii="Times New Roman" w:hAnsi="Times New Roman" w:cs="Times New Roman"/>
                      <w:color w:val="auto"/>
                      <w:highlight w:val="none"/>
                      <w:u w:val="none" w:color="auto"/>
                      <w:lang w:val="en-US" w:eastAsia="zh-CN"/>
                    </w:rPr>
                    <w:t>是否</w:t>
                  </w:r>
                  <w:r>
                    <w:rPr>
                      <w:rFonts w:hint="default" w:ascii="Times New Roman" w:hAnsi="Times New Roman" w:cs="Times New Roman"/>
                      <w:color w:val="auto"/>
                      <w:highlight w:val="none"/>
                      <w:u w:val="none" w:color="auto"/>
                    </w:rPr>
                    <w:t>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3322" w:type="dxa"/>
                  <w:tcBorders>
                    <w:tl2br w:val="nil"/>
                    <w:tr2bl w:val="nil"/>
                  </w:tcBorders>
                  <w:noWrap w:val="0"/>
                  <w:vAlign w:val="center"/>
                </w:tcPr>
                <w:p w14:paraId="750455E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达到</w:t>
                  </w:r>
                  <w:r>
                    <w:rPr>
                      <w:rFonts w:hint="default" w:ascii="Times New Roman" w:hAnsi="Times New Roman" w:eastAsia="宋体" w:cs="Times New Roman"/>
                      <w:caps w:val="0"/>
                      <w:color w:val="auto"/>
                      <w:kern w:val="2"/>
                      <w:sz w:val="21"/>
                      <w:szCs w:val="21"/>
                      <w:highlight w:val="none"/>
                      <w:u w:val="none" w:color="auto"/>
                      <w:lang w:val="en-US" w:eastAsia="zh-CN"/>
                    </w:rPr>
                    <w:t>大榄坪污水处理厂</w:t>
                  </w:r>
                  <w:r>
                    <w:rPr>
                      <w:rFonts w:hint="default" w:ascii="Times New Roman" w:hAnsi="Times New Roman" w:cs="Times New Roman"/>
                      <w:color w:val="auto"/>
                      <w:szCs w:val="21"/>
                      <w:highlight w:val="none"/>
                      <w:lang w:eastAsia="zh-CN"/>
                    </w:rPr>
                    <w:t>纳管水质要求</w:t>
                  </w:r>
                </w:p>
              </w:tc>
            </w:tr>
            <w:tr w14:paraId="738E9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28" w:hRule="atLeast"/>
                <w:jc w:val="center"/>
              </w:trPr>
              <w:tc>
                <w:tcPr>
                  <w:tcW w:w="758" w:type="dxa"/>
                  <w:vMerge w:val="restart"/>
                  <w:tcBorders>
                    <w:tl2br w:val="nil"/>
                    <w:tr2bl w:val="nil"/>
                  </w:tcBorders>
                  <w:noWrap w:val="0"/>
                  <w:vAlign w:val="center"/>
                </w:tcPr>
                <w:p w14:paraId="6899A1ED">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废气治理</w:t>
                  </w:r>
                </w:p>
              </w:tc>
              <w:tc>
                <w:tcPr>
                  <w:tcW w:w="425" w:type="dxa"/>
                  <w:vMerge w:val="restart"/>
                  <w:tcBorders>
                    <w:tl2br w:val="nil"/>
                    <w:tr2bl w:val="nil"/>
                  </w:tcBorders>
                  <w:noWrap w:val="0"/>
                  <w:vAlign w:val="center"/>
                </w:tcPr>
                <w:p w14:paraId="1D78C39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营运期</w:t>
                  </w:r>
                </w:p>
              </w:tc>
              <w:tc>
                <w:tcPr>
                  <w:tcW w:w="800" w:type="dxa"/>
                  <w:vMerge w:val="restart"/>
                  <w:tcBorders>
                    <w:tl2br w:val="nil"/>
                    <w:tr2bl w:val="nil"/>
                  </w:tcBorders>
                  <w:noWrap w:val="0"/>
                  <w:vAlign w:val="center"/>
                </w:tcPr>
                <w:p w14:paraId="40C0A3E6">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颗粒物</w:t>
                  </w:r>
                </w:p>
              </w:tc>
              <w:tc>
                <w:tcPr>
                  <w:tcW w:w="3213" w:type="dxa"/>
                  <w:tcBorders>
                    <w:bottom w:val="single" w:color="auto" w:sz="4" w:space="0"/>
                    <w:tl2br w:val="nil"/>
                    <w:tr2bl w:val="nil"/>
                  </w:tcBorders>
                  <w:noWrap w:val="0"/>
                  <w:vAlign w:val="center"/>
                </w:tcPr>
                <w:p w14:paraId="549BEDA6">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strike w:val="0"/>
                      <w:dstrike w:val="0"/>
                      <w:color w:val="auto"/>
                      <w:sz w:val="21"/>
                      <w:szCs w:val="21"/>
                      <w:highlight w:val="none"/>
                      <w:u w:val="none"/>
                    </w:rPr>
                  </w:pPr>
                  <w:r>
                    <w:rPr>
                      <w:rFonts w:hint="default" w:ascii="Times New Roman" w:hAnsi="Times New Roman" w:cs="Times New Roman"/>
                      <w:strike w:val="0"/>
                      <w:dstrike w:val="0"/>
                      <w:color w:val="auto"/>
                      <w:sz w:val="21"/>
                      <w:szCs w:val="21"/>
                      <w:highlight w:val="none"/>
                      <w:u w:val="none"/>
                      <w:lang w:val="en-US" w:eastAsia="zh-CN"/>
                    </w:rPr>
                    <w:t>集装箱修理切割、焊接、</w:t>
                  </w:r>
                  <w:r>
                    <w:rPr>
                      <w:rFonts w:hint="default" w:ascii="Times New Roman" w:hAnsi="Times New Roman" w:cs="Times New Roman"/>
                      <w:bCs/>
                      <w:strike w:val="0"/>
                      <w:dstrike w:val="0"/>
                      <w:color w:val="auto"/>
                      <w:szCs w:val="21"/>
                      <w:highlight w:val="none"/>
                      <w:u w:val="none"/>
                      <w:lang w:val="en-US" w:eastAsia="zh-CN"/>
                    </w:rPr>
                    <w:t>木板开料</w:t>
                  </w:r>
                  <w:r>
                    <w:rPr>
                      <w:rFonts w:hint="default" w:ascii="Times New Roman" w:hAnsi="Times New Roman" w:cs="Times New Roman"/>
                      <w:strike w:val="0"/>
                      <w:dstrike w:val="0"/>
                      <w:color w:val="auto"/>
                      <w:sz w:val="21"/>
                      <w:szCs w:val="21"/>
                      <w:highlight w:val="none"/>
                      <w:u w:val="none"/>
                    </w:rPr>
                    <w:t>是否设置于封闭厂房内；</w:t>
                  </w:r>
                  <w:r>
                    <w:rPr>
                      <w:rFonts w:hint="default" w:ascii="Times New Roman" w:hAnsi="Times New Roman" w:cs="Times New Roman"/>
                      <w:bCs/>
                      <w:strike w:val="0"/>
                      <w:dstrike w:val="0"/>
                      <w:color w:val="auto"/>
                      <w:szCs w:val="21"/>
                      <w:highlight w:val="none"/>
                      <w:u w:val="none"/>
                      <w:lang w:val="en-US" w:eastAsia="zh-CN"/>
                    </w:rPr>
                    <w:t>项目焊接</w:t>
                  </w:r>
                  <w:r>
                    <w:rPr>
                      <w:rFonts w:hint="default" w:ascii="Times New Roman" w:hAnsi="Times New Roman" w:cs="Times New Roman"/>
                      <w:strike w:val="0"/>
                      <w:dstrike w:val="0"/>
                      <w:color w:val="auto"/>
                      <w:highlight w:val="none"/>
                      <w:u w:val="none"/>
                      <w:lang w:val="en-US" w:eastAsia="zh-CN"/>
                    </w:rPr>
                    <w:t>烟尘是否</w:t>
                  </w:r>
                  <w:r>
                    <w:rPr>
                      <w:rFonts w:hint="default" w:ascii="Times New Roman" w:hAnsi="Times New Roman" w:cs="Times New Roman"/>
                      <w:bCs/>
                      <w:strike w:val="0"/>
                      <w:dstrike w:val="0"/>
                      <w:color w:val="auto"/>
                      <w:szCs w:val="21"/>
                      <w:highlight w:val="none"/>
                      <w:u w:val="none"/>
                      <w:lang w:val="en-US" w:eastAsia="zh-CN"/>
                    </w:rPr>
                    <w:t>采用</w:t>
                  </w:r>
                  <w:r>
                    <w:rPr>
                      <w:rFonts w:hint="default" w:ascii="Times New Roman" w:hAnsi="Times New Roman" w:cs="Times New Roman"/>
                      <w:bCs/>
                      <w:strike w:val="0"/>
                      <w:dstrike w:val="0"/>
                      <w:color w:val="auto"/>
                      <w:szCs w:val="21"/>
                      <w:highlight w:val="none"/>
                      <w:u w:val="none"/>
                    </w:rPr>
                    <w:t>移动式焊接烟尘净化器</w:t>
                  </w:r>
                  <w:r>
                    <w:rPr>
                      <w:rFonts w:hint="default" w:ascii="Times New Roman" w:hAnsi="Times New Roman" w:cs="Times New Roman"/>
                      <w:bCs/>
                      <w:strike w:val="0"/>
                      <w:dstrike w:val="0"/>
                      <w:color w:val="auto"/>
                      <w:szCs w:val="21"/>
                      <w:highlight w:val="none"/>
                      <w:u w:val="none"/>
                      <w:lang w:val="en-US" w:eastAsia="zh-CN"/>
                    </w:rPr>
                    <w:t>处理。</w:t>
                  </w:r>
                </w:p>
              </w:tc>
              <w:tc>
                <w:tcPr>
                  <w:tcW w:w="3322" w:type="dxa"/>
                  <w:vMerge w:val="restart"/>
                  <w:tcBorders>
                    <w:tl2br w:val="nil"/>
                    <w:tr2bl w:val="nil"/>
                  </w:tcBorders>
                  <w:noWrap w:val="0"/>
                  <w:vAlign w:val="center"/>
                </w:tcPr>
                <w:p w14:paraId="467B1BD3">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废气满足《大气污染物综合排放标准》（GB16297-1996）表2二级标准值</w:t>
                  </w:r>
                </w:p>
              </w:tc>
            </w:tr>
            <w:tr w14:paraId="7E08FC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90" w:hRule="atLeast"/>
                <w:jc w:val="center"/>
              </w:trPr>
              <w:tc>
                <w:tcPr>
                  <w:tcW w:w="758" w:type="dxa"/>
                  <w:vMerge w:val="continue"/>
                  <w:tcBorders>
                    <w:tl2br w:val="nil"/>
                    <w:tr2bl w:val="nil"/>
                  </w:tcBorders>
                  <w:noWrap w:val="0"/>
                  <w:vAlign w:val="center"/>
                </w:tcPr>
                <w:p w14:paraId="119B7415">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p>
              </w:tc>
              <w:tc>
                <w:tcPr>
                  <w:tcW w:w="425" w:type="dxa"/>
                  <w:vMerge w:val="continue"/>
                  <w:tcBorders>
                    <w:tl2br w:val="nil"/>
                    <w:tr2bl w:val="nil"/>
                  </w:tcBorders>
                  <w:noWrap w:val="0"/>
                  <w:vAlign w:val="center"/>
                </w:tcPr>
                <w:p w14:paraId="2FA6F74C">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p>
              </w:tc>
              <w:tc>
                <w:tcPr>
                  <w:tcW w:w="800" w:type="dxa"/>
                  <w:vMerge w:val="continue"/>
                  <w:tcBorders>
                    <w:tl2br w:val="nil"/>
                    <w:tr2bl w:val="nil"/>
                  </w:tcBorders>
                  <w:noWrap w:val="0"/>
                  <w:vAlign w:val="center"/>
                </w:tcPr>
                <w:p w14:paraId="52A236F3">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Cs w:val="21"/>
                      <w:highlight w:val="none"/>
                    </w:rPr>
                  </w:pPr>
                </w:p>
              </w:tc>
              <w:tc>
                <w:tcPr>
                  <w:tcW w:w="3213" w:type="dxa"/>
                  <w:tcBorders>
                    <w:top w:val="single" w:color="auto" w:sz="4" w:space="0"/>
                    <w:tl2br w:val="nil"/>
                    <w:tr2bl w:val="nil"/>
                  </w:tcBorders>
                  <w:noWrap w:val="0"/>
                  <w:vAlign w:val="center"/>
                </w:tcPr>
                <w:p w14:paraId="5F749385">
                  <w:pPr>
                    <w:pStyle w:val="55"/>
                    <w:keepNext w:val="0"/>
                    <w:keepLines w:val="0"/>
                    <w:suppressLineNumbers w:val="0"/>
                    <w:spacing w:before="0" w:beforeAutospacing="0" w:after="0" w:afterAutospacing="0" w:line="240" w:lineRule="auto"/>
                    <w:ind w:left="0" w:right="0"/>
                    <w:rPr>
                      <w:rFonts w:hint="default" w:ascii="Times New Roman" w:hAnsi="Times New Roman" w:cs="Times New Roman"/>
                      <w:bCs/>
                      <w:strike w:val="0"/>
                      <w:dstrike w:val="0"/>
                      <w:color w:val="auto"/>
                      <w:sz w:val="21"/>
                      <w:szCs w:val="21"/>
                      <w:highlight w:val="none"/>
                      <w:u w:val="none"/>
                      <w:lang w:eastAsia="zh-CN"/>
                    </w:rPr>
                  </w:pPr>
                  <w:r>
                    <w:rPr>
                      <w:rFonts w:hint="default" w:ascii="Times New Roman" w:hAnsi="Times New Roman" w:cs="Times New Roman"/>
                      <w:bCs/>
                      <w:strike w:val="0"/>
                      <w:dstrike w:val="0"/>
                      <w:color w:val="auto"/>
                      <w:sz w:val="21"/>
                      <w:szCs w:val="21"/>
                      <w:highlight w:val="none"/>
                      <w:u w:val="none"/>
                      <w:lang w:eastAsia="zh-CN"/>
                    </w:rPr>
                    <w:t>项目</w:t>
                  </w:r>
                  <w:r>
                    <w:rPr>
                      <w:rFonts w:hint="default" w:ascii="Times New Roman" w:hAnsi="Times New Roman" w:cs="Times New Roman"/>
                      <w:bCs/>
                      <w:strike w:val="0"/>
                      <w:dstrike w:val="0"/>
                      <w:color w:val="auto"/>
                      <w:sz w:val="21"/>
                      <w:szCs w:val="21"/>
                      <w:highlight w:val="none"/>
                      <w:u w:val="none"/>
                      <w:lang w:val="en-US" w:eastAsia="zh-CN"/>
                    </w:rPr>
                    <w:t>刷漆</w:t>
                  </w:r>
                  <w:r>
                    <w:rPr>
                      <w:rFonts w:hint="default" w:ascii="Times New Roman" w:hAnsi="Times New Roman" w:cs="Times New Roman"/>
                      <w:bCs/>
                      <w:strike w:val="0"/>
                      <w:dstrike w:val="0"/>
                      <w:color w:val="auto"/>
                      <w:sz w:val="21"/>
                      <w:szCs w:val="21"/>
                      <w:highlight w:val="none"/>
                      <w:u w:val="none"/>
                      <w:lang w:eastAsia="zh-CN"/>
                    </w:rPr>
                    <w:t>和晾干工序均位于密闭</w:t>
                  </w:r>
                  <w:r>
                    <w:rPr>
                      <w:rFonts w:hint="eastAsia" w:ascii="Times New Roman" w:hAnsi="Times New Roman" w:cs="Times New Roman"/>
                      <w:bCs/>
                      <w:strike w:val="0"/>
                      <w:dstrike w:val="0"/>
                      <w:color w:val="auto"/>
                      <w:sz w:val="21"/>
                      <w:szCs w:val="21"/>
                      <w:highlight w:val="none"/>
                      <w:u w:val="none"/>
                      <w:lang w:val="en-US" w:eastAsia="zh-CN"/>
                    </w:rPr>
                    <w:t>刷</w:t>
                  </w:r>
                  <w:r>
                    <w:rPr>
                      <w:rFonts w:hint="default" w:ascii="Times New Roman" w:hAnsi="Times New Roman" w:cs="Times New Roman"/>
                      <w:bCs/>
                      <w:strike w:val="0"/>
                      <w:dstrike w:val="0"/>
                      <w:color w:val="auto"/>
                      <w:sz w:val="21"/>
                      <w:szCs w:val="21"/>
                      <w:highlight w:val="none"/>
                      <w:u w:val="none"/>
                      <w:lang w:eastAsia="zh-CN"/>
                    </w:rPr>
                    <w:t>漆房内，</w:t>
                  </w:r>
                  <w:r>
                    <w:rPr>
                      <w:rFonts w:hint="default" w:ascii="Times New Roman" w:hAnsi="Times New Roman" w:cs="Times New Roman"/>
                      <w:bCs/>
                      <w:strike w:val="0"/>
                      <w:dstrike w:val="0"/>
                      <w:color w:val="auto"/>
                      <w:sz w:val="21"/>
                      <w:szCs w:val="21"/>
                      <w:highlight w:val="none"/>
                      <w:u w:val="none"/>
                      <w:lang w:val="en-US" w:eastAsia="zh-CN"/>
                    </w:rPr>
                    <w:t>刷漆</w:t>
                  </w:r>
                  <w:r>
                    <w:rPr>
                      <w:rFonts w:hint="default" w:ascii="Times New Roman" w:hAnsi="Times New Roman" w:cs="Times New Roman"/>
                      <w:bCs/>
                      <w:strike w:val="0"/>
                      <w:dstrike w:val="0"/>
                      <w:color w:val="auto"/>
                      <w:sz w:val="21"/>
                      <w:szCs w:val="21"/>
                      <w:highlight w:val="none"/>
                      <w:u w:val="none"/>
                      <w:lang w:eastAsia="zh-CN"/>
                    </w:rPr>
                    <w:t>和晾干废气经收集后，</w:t>
                  </w:r>
                  <w:r>
                    <w:rPr>
                      <w:rFonts w:hint="default" w:ascii="Times New Roman" w:hAnsi="Times New Roman" w:cs="Times New Roman"/>
                      <w:bCs/>
                      <w:strike w:val="0"/>
                      <w:dstrike w:val="0"/>
                      <w:color w:val="auto"/>
                      <w:sz w:val="21"/>
                      <w:szCs w:val="21"/>
                      <w:highlight w:val="none"/>
                      <w:u w:val="none"/>
                      <w:lang w:val="en-US" w:eastAsia="zh-CN"/>
                    </w:rPr>
                    <w:t>是否</w:t>
                  </w:r>
                  <w:r>
                    <w:rPr>
                      <w:rFonts w:hint="default" w:ascii="Times New Roman" w:hAnsi="Times New Roman" w:eastAsia="宋体" w:cs="Times New Roman"/>
                      <w:strike w:val="0"/>
                      <w:dstrike w:val="0"/>
                      <w:color w:val="auto"/>
                      <w:sz w:val="21"/>
                      <w:szCs w:val="21"/>
                      <w:highlight w:val="none"/>
                      <w:u w:val="none"/>
                    </w:rPr>
                    <w:t>负压收集废气、废气处理设置</w:t>
                  </w:r>
                  <w:r>
                    <w:rPr>
                      <w:rFonts w:hint="default" w:ascii="Times New Roman" w:hAnsi="Times New Roman" w:cs="Times New Roman"/>
                      <w:strike w:val="0"/>
                      <w:dstrike w:val="0"/>
                      <w:color w:val="auto"/>
                      <w:sz w:val="21"/>
                      <w:szCs w:val="21"/>
                      <w:highlight w:val="none"/>
                      <w:u w:val="none"/>
                      <w:lang w:val="en-US" w:eastAsia="zh-CN"/>
                    </w:rPr>
                    <w:t>二级</w:t>
                  </w:r>
                  <w:r>
                    <w:rPr>
                      <w:rFonts w:hint="default" w:ascii="Times New Roman" w:hAnsi="Times New Roman" w:eastAsia="宋体" w:cs="Times New Roman"/>
                      <w:strike w:val="0"/>
                      <w:dstrike w:val="0"/>
                      <w:color w:val="auto"/>
                      <w:sz w:val="21"/>
                      <w:szCs w:val="21"/>
                      <w:highlight w:val="none"/>
                      <w:u w:val="none"/>
                    </w:rPr>
                    <w:t>活性炭吸附装置，处理达标后经1根15m排气筒</w:t>
                  </w:r>
                  <w:r>
                    <w:rPr>
                      <w:rFonts w:hint="default" w:ascii="Times New Roman" w:hAnsi="Times New Roman" w:cs="Times New Roman"/>
                      <w:strike w:val="0"/>
                      <w:dstrike w:val="0"/>
                      <w:color w:val="auto"/>
                      <w:sz w:val="21"/>
                      <w:szCs w:val="21"/>
                      <w:highlight w:val="none"/>
                      <w:u w:val="none"/>
                      <w:lang w:eastAsia="zh-CN"/>
                    </w:rPr>
                    <w:t>（</w:t>
                  </w:r>
                  <w:r>
                    <w:rPr>
                      <w:rFonts w:hint="default" w:ascii="Times New Roman" w:hAnsi="Times New Roman" w:cs="Times New Roman"/>
                      <w:strike w:val="0"/>
                      <w:dstrike w:val="0"/>
                      <w:color w:val="auto"/>
                      <w:sz w:val="21"/>
                      <w:szCs w:val="21"/>
                      <w:highlight w:val="none"/>
                      <w:u w:val="none"/>
                      <w:lang w:val="en-US" w:eastAsia="zh-CN"/>
                    </w:rPr>
                    <w:t>DA001</w:t>
                  </w:r>
                  <w:r>
                    <w:rPr>
                      <w:rFonts w:hint="default" w:ascii="Times New Roman" w:hAnsi="Times New Roman" w:cs="Times New Roman"/>
                      <w:strike w:val="0"/>
                      <w:dstrike w:val="0"/>
                      <w:color w:val="auto"/>
                      <w:sz w:val="21"/>
                      <w:szCs w:val="21"/>
                      <w:highlight w:val="none"/>
                      <w:u w:val="none"/>
                      <w:lang w:eastAsia="zh-CN"/>
                    </w:rPr>
                    <w:t>）</w:t>
                  </w:r>
                  <w:r>
                    <w:rPr>
                      <w:rFonts w:hint="default" w:ascii="Times New Roman" w:hAnsi="Times New Roman" w:eastAsia="宋体" w:cs="Times New Roman"/>
                      <w:strike w:val="0"/>
                      <w:dstrike w:val="0"/>
                      <w:color w:val="auto"/>
                      <w:sz w:val="21"/>
                      <w:szCs w:val="21"/>
                      <w:highlight w:val="none"/>
                      <w:u w:val="none"/>
                    </w:rPr>
                    <w:t>排放</w:t>
                  </w:r>
                </w:p>
              </w:tc>
              <w:tc>
                <w:tcPr>
                  <w:tcW w:w="3322" w:type="dxa"/>
                  <w:vMerge w:val="continue"/>
                  <w:tcBorders>
                    <w:tl2br w:val="nil"/>
                    <w:tr2bl w:val="nil"/>
                  </w:tcBorders>
                  <w:noWrap w:val="0"/>
                  <w:vAlign w:val="center"/>
                </w:tcPr>
                <w:p w14:paraId="51EB7694">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r>
            <w:tr w14:paraId="121AAF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5" w:hRule="atLeast"/>
                <w:jc w:val="center"/>
              </w:trPr>
              <w:tc>
                <w:tcPr>
                  <w:tcW w:w="758" w:type="dxa"/>
                  <w:tcBorders>
                    <w:tl2br w:val="nil"/>
                    <w:tr2bl w:val="nil"/>
                  </w:tcBorders>
                  <w:noWrap w:val="0"/>
                  <w:vAlign w:val="center"/>
                </w:tcPr>
                <w:p w14:paraId="177899F7">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噪声治理</w:t>
                  </w:r>
                </w:p>
              </w:tc>
              <w:tc>
                <w:tcPr>
                  <w:tcW w:w="425" w:type="dxa"/>
                  <w:tcBorders>
                    <w:tl2br w:val="nil"/>
                    <w:tr2bl w:val="nil"/>
                  </w:tcBorders>
                  <w:noWrap w:val="0"/>
                  <w:vAlign w:val="center"/>
                </w:tcPr>
                <w:p w14:paraId="0BE275FB">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2301C34F">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噪声</w:t>
                  </w:r>
                </w:p>
              </w:tc>
              <w:tc>
                <w:tcPr>
                  <w:tcW w:w="3213" w:type="dxa"/>
                  <w:tcBorders>
                    <w:tl2br w:val="nil"/>
                    <w:tr2bl w:val="nil"/>
                  </w:tcBorders>
                  <w:noWrap w:val="0"/>
                  <w:vAlign w:val="center"/>
                </w:tcPr>
                <w:p w14:paraId="2C04D1D0">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是否设置隔音</w:t>
                  </w:r>
                  <w:r>
                    <w:rPr>
                      <w:rFonts w:hint="default" w:ascii="Times New Roman" w:hAnsi="Times New Roman" w:cs="Times New Roman"/>
                      <w:color w:val="auto"/>
                      <w:sz w:val="21"/>
                      <w:szCs w:val="21"/>
                      <w:highlight w:val="none"/>
                    </w:rPr>
                    <w:t>减振措施。</w:t>
                  </w:r>
                </w:p>
              </w:tc>
              <w:tc>
                <w:tcPr>
                  <w:tcW w:w="3322" w:type="dxa"/>
                  <w:tcBorders>
                    <w:tl2br w:val="nil"/>
                    <w:tr2bl w:val="nil"/>
                  </w:tcBorders>
                  <w:noWrap w:val="0"/>
                  <w:vAlign w:val="center"/>
                </w:tcPr>
                <w:p w14:paraId="6C9C0D10">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周界外声环境功能区</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r w14:paraId="0CAE2F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63" w:hRule="atLeast"/>
                <w:jc w:val="center"/>
              </w:trPr>
              <w:tc>
                <w:tcPr>
                  <w:tcW w:w="758" w:type="dxa"/>
                  <w:tcBorders>
                    <w:tl2br w:val="nil"/>
                    <w:tr2bl w:val="nil"/>
                  </w:tcBorders>
                  <w:noWrap w:val="0"/>
                  <w:vAlign w:val="center"/>
                </w:tcPr>
                <w:p w14:paraId="45923DB5">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固废治理</w:t>
                  </w:r>
                </w:p>
              </w:tc>
              <w:tc>
                <w:tcPr>
                  <w:tcW w:w="425" w:type="dxa"/>
                  <w:tcBorders>
                    <w:tl2br w:val="nil"/>
                    <w:tr2bl w:val="nil"/>
                  </w:tcBorders>
                  <w:noWrap w:val="0"/>
                  <w:vAlign w:val="center"/>
                </w:tcPr>
                <w:p w14:paraId="1DDB0038">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运营期</w:t>
                  </w:r>
                </w:p>
              </w:tc>
              <w:tc>
                <w:tcPr>
                  <w:tcW w:w="800" w:type="dxa"/>
                  <w:tcBorders>
                    <w:tl2br w:val="nil"/>
                    <w:tr2bl w:val="nil"/>
                  </w:tcBorders>
                  <w:noWrap w:val="0"/>
                  <w:vAlign w:val="center"/>
                </w:tcPr>
                <w:p w14:paraId="462B8BDB">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收集系统</w:t>
                  </w:r>
                </w:p>
              </w:tc>
              <w:tc>
                <w:tcPr>
                  <w:tcW w:w="3213" w:type="dxa"/>
                  <w:tcBorders>
                    <w:tl2br w:val="nil"/>
                    <w:tr2bl w:val="nil"/>
                  </w:tcBorders>
                  <w:noWrap w:val="0"/>
                  <w:vAlign w:val="center"/>
                </w:tcPr>
                <w:p w14:paraId="20084B5D">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生产固废</w:t>
                  </w:r>
                  <w:r>
                    <w:rPr>
                      <w:rFonts w:hint="default" w:ascii="Times New Roman" w:hAnsi="Times New Roman" w:cs="Times New Roman"/>
                      <w:color w:val="auto"/>
                      <w:szCs w:val="21"/>
                      <w:highlight w:val="none"/>
                    </w:rPr>
                    <w:t>是否</w:t>
                  </w:r>
                  <w:r>
                    <w:rPr>
                      <w:rFonts w:hint="default" w:ascii="Times New Roman" w:hAnsi="Times New Roman" w:cs="Times New Roman"/>
                      <w:color w:val="auto"/>
                      <w:szCs w:val="21"/>
                      <w:highlight w:val="none"/>
                      <w:lang w:val="en-US" w:eastAsia="zh-CN"/>
                    </w:rPr>
                    <w:t>设置有暂存间</w:t>
                  </w:r>
                  <w:r>
                    <w:rPr>
                      <w:rFonts w:hint="default" w:ascii="Times New Roman" w:hAnsi="Times New Roman" w:cs="Times New Roman"/>
                      <w:color w:val="auto"/>
                      <w:szCs w:val="21"/>
                      <w:highlight w:val="none"/>
                    </w:rPr>
                    <w:t>并</w:t>
                  </w:r>
                  <w:r>
                    <w:rPr>
                      <w:rFonts w:hint="default" w:ascii="Times New Roman" w:hAnsi="Times New Roman" w:cs="Times New Roman"/>
                      <w:color w:val="auto"/>
                      <w:szCs w:val="21"/>
                      <w:highlight w:val="none"/>
                      <w:lang w:val="en-US" w:eastAsia="zh-CN"/>
                    </w:rPr>
                    <w:t>委托</w:t>
                  </w:r>
                  <w:r>
                    <w:rPr>
                      <w:rFonts w:hint="default" w:ascii="Times New Roman" w:hAnsi="Times New Roman" w:cs="Times New Roman"/>
                      <w:color w:val="auto"/>
                      <w:szCs w:val="21"/>
                      <w:highlight w:val="none"/>
                    </w:rPr>
                    <w:t>综合利用</w:t>
                  </w:r>
                  <w:r>
                    <w:rPr>
                      <w:rFonts w:hint="default" w:ascii="Times New Roman" w:hAnsi="Times New Roman" w:cs="Times New Roman"/>
                      <w:bCs/>
                      <w:color w:val="auto"/>
                      <w:szCs w:val="21"/>
                      <w:highlight w:val="none"/>
                      <w:u w:val="none"/>
                    </w:rPr>
                    <w:t>，危险废物是否</w:t>
                  </w:r>
                  <w:r>
                    <w:rPr>
                      <w:rFonts w:hint="default" w:ascii="Times New Roman" w:hAnsi="Times New Roman" w:cs="Times New Roman"/>
                      <w:bCs/>
                      <w:color w:val="auto"/>
                      <w:szCs w:val="21"/>
                      <w:highlight w:val="none"/>
                      <w:u w:val="none"/>
                      <w:lang w:val="en-US" w:eastAsia="zh-CN"/>
                    </w:rPr>
                    <w:t>存放于危险废物暂存间</w:t>
                  </w:r>
                  <w:r>
                    <w:rPr>
                      <w:rFonts w:hint="default" w:ascii="Times New Roman" w:hAnsi="Times New Roman" w:cs="Times New Roman"/>
                      <w:bCs/>
                      <w:color w:val="auto"/>
                      <w:szCs w:val="21"/>
                      <w:highlight w:val="none"/>
                      <w:u w:val="none"/>
                    </w:rPr>
                    <w:t>；</w:t>
                  </w:r>
                  <w:r>
                    <w:rPr>
                      <w:rFonts w:hint="default" w:ascii="Times New Roman" w:hAnsi="Times New Roman" w:cs="Times New Roman"/>
                      <w:color w:val="auto"/>
                      <w:szCs w:val="21"/>
                      <w:highlight w:val="none"/>
                      <w:u w:val="none"/>
                    </w:rPr>
                    <w:t>生</w:t>
                  </w:r>
                  <w:r>
                    <w:rPr>
                      <w:rFonts w:hint="default" w:ascii="Times New Roman" w:hAnsi="Times New Roman" w:cs="Times New Roman"/>
                      <w:color w:val="auto"/>
                      <w:szCs w:val="21"/>
                      <w:highlight w:val="none"/>
                    </w:rPr>
                    <w:t>活垃圾是否有暂存装置并及时清运处理。</w:t>
                  </w:r>
                </w:p>
              </w:tc>
              <w:tc>
                <w:tcPr>
                  <w:tcW w:w="3322" w:type="dxa"/>
                  <w:tcBorders>
                    <w:tl2br w:val="nil"/>
                    <w:tr2bl w:val="nil"/>
                  </w:tcBorders>
                  <w:noWrap w:val="0"/>
                  <w:vAlign w:val="center"/>
                </w:tcPr>
                <w:p w14:paraId="16C1EA82">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《中华人民共和国固体废物污染环境防治法》；《危险废物贮存污染控制标准》（GB18597-20</w:t>
                  </w:r>
                  <w:r>
                    <w:rPr>
                      <w:rFonts w:hint="eastAsia" w:cs="Times New Roman"/>
                      <w:color w:val="auto"/>
                      <w:szCs w:val="21"/>
                      <w:highlight w:val="none"/>
                      <w:lang w:val="en-US" w:eastAsia="zh-CN"/>
                    </w:rPr>
                    <w:t>23</w:t>
                  </w:r>
                  <w:r>
                    <w:rPr>
                      <w:rFonts w:hint="default" w:ascii="Times New Roman" w:hAnsi="Times New Roman" w:cs="Times New Roman"/>
                      <w:color w:val="auto"/>
                      <w:szCs w:val="21"/>
                      <w:highlight w:val="none"/>
                    </w:rPr>
                    <w:t>）（2013年修订）中的有关规定</w:t>
                  </w:r>
                </w:p>
              </w:tc>
            </w:tr>
          </w:tbl>
          <w:p w14:paraId="4A14A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eastAsia="zh-CN"/>
              </w:rPr>
            </w:pPr>
          </w:p>
          <w:p w14:paraId="39EC5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验收监测</w:t>
            </w:r>
          </w:p>
          <w:p w14:paraId="6BA15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本项目环保设施</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三同时</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验收监测项目见表</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w:t>
            </w:r>
          </w:p>
          <w:p w14:paraId="540760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30</w:t>
            </w:r>
            <w:r>
              <w:rPr>
                <w:rFonts w:hint="default" w:ascii="Times New Roman" w:hAnsi="Times New Roman" w:cs="Times New Roman"/>
                <w:b/>
                <w:color w:val="auto"/>
                <w:sz w:val="24"/>
                <w:szCs w:val="24"/>
                <w:highlight w:val="none"/>
              </w:rPr>
              <w:t>本项目“三同时”验收监测一览</w:t>
            </w:r>
            <w:r>
              <w:rPr>
                <w:rFonts w:hint="default" w:ascii="Times New Roman" w:hAnsi="Times New Roman" w:cs="Times New Roman"/>
                <w:b/>
                <w:color w:val="auto"/>
                <w:sz w:val="24"/>
                <w:szCs w:val="24"/>
                <w:highlight w:val="none"/>
                <w:lang w:val="en-US" w:eastAsia="zh-CN"/>
              </w:rPr>
              <w:t>表</w:t>
            </w:r>
          </w:p>
          <w:tbl>
            <w:tblPr>
              <w:tblStyle w:val="46"/>
              <w:tblW w:w="8438"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28" w:type="dxa"/>
                <w:bottom w:w="0" w:type="dxa"/>
                <w:right w:w="28" w:type="dxa"/>
              </w:tblCellMar>
            </w:tblPr>
            <w:tblGrid>
              <w:gridCol w:w="1042"/>
              <w:gridCol w:w="1249"/>
              <w:gridCol w:w="994"/>
              <w:gridCol w:w="3135"/>
              <w:gridCol w:w="647"/>
              <w:gridCol w:w="667"/>
              <w:gridCol w:w="704"/>
            </w:tblGrid>
            <w:tr w14:paraId="4E7B448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587" w:hRule="atLeast"/>
                <w:jc w:val="center"/>
              </w:trPr>
              <w:tc>
                <w:tcPr>
                  <w:tcW w:w="1042" w:type="dxa"/>
                  <w:noWrap w:val="0"/>
                  <w:tcMar>
                    <w:top w:w="0" w:type="dxa"/>
                    <w:left w:w="113" w:type="dxa"/>
                    <w:bottom w:w="0" w:type="dxa"/>
                    <w:right w:w="113" w:type="dxa"/>
                  </w:tcMar>
                  <w:vAlign w:val="center"/>
                </w:tcPr>
                <w:p w14:paraId="32D28533">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监测要素</w:t>
                  </w:r>
                </w:p>
              </w:tc>
              <w:tc>
                <w:tcPr>
                  <w:tcW w:w="1249" w:type="dxa"/>
                  <w:noWrap w:val="0"/>
                  <w:tcMar>
                    <w:top w:w="0" w:type="dxa"/>
                    <w:left w:w="113" w:type="dxa"/>
                    <w:bottom w:w="0" w:type="dxa"/>
                    <w:right w:w="113" w:type="dxa"/>
                  </w:tcMar>
                  <w:vAlign w:val="center"/>
                </w:tcPr>
                <w:p w14:paraId="264CB5E2">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监测地点</w:t>
                  </w:r>
                </w:p>
              </w:tc>
              <w:tc>
                <w:tcPr>
                  <w:tcW w:w="994" w:type="dxa"/>
                  <w:noWrap w:val="0"/>
                  <w:tcMar>
                    <w:top w:w="0" w:type="dxa"/>
                    <w:left w:w="113" w:type="dxa"/>
                    <w:bottom w:w="0" w:type="dxa"/>
                    <w:right w:w="113" w:type="dxa"/>
                  </w:tcMar>
                  <w:vAlign w:val="center"/>
                </w:tcPr>
                <w:p w14:paraId="0946FD69">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3135" w:type="dxa"/>
                  <w:noWrap w:val="0"/>
                  <w:tcMar>
                    <w:top w:w="0" w:type="dxa"/>
                    <w:left w:w="113" w:type="dxa"/>
                    <w:bottom w:w="0" w:type="dxa"/>
                    <w:right w:w="113" w:type="dxa"/>
                  </w:tcMar>
                  <w:vAlign w:val="center"/>
                </w:tcPr>
                <w:p w14:paraId="430D9F28">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验收内容/执行标准</w:t>
                  </w:r>
                </w:p>
              </w:tc>
              <w:tc>
                <w:tcPr>
                  <w:tcW w:w="647" w:type="dxa"/>
                  <w:noWrap w:val="0"/>
                  <w:tcMar>
                    <w:top w:w="0" w:type="dxa"/>
                    <w:left w:w="113" w:type="dxa"/>
                    <w:bottom w:w="0" w:type="dxa"/>
                    <w:right w:w="113" w:type="dxa"/>
                  </w:tcMar>
                  <w:vAlign w:val="center"/>
                </w:tcPr>
                <w:p w14:paraId="3F2A3581">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负责机构</w:t>
                  </w:r>
                </w:p>
              </w:tc>
              <w:tc>
                <w:tcPr>
                  <w:tcW w:w="667" w:type="dxa"/>
                  <w:noWrap w:val="0"/>
                  <w:tcMar>
                    <w:top w:w="0" w:type="dxa"/>
                    <w:left w:w="113" w:type="dxa"/>
                    <w:bottom w:w="0" w:type="dxa"/>
                    <w:right w:w="113" w:type="dxa"/>
                  </w:tcMar>
                  <w:vAlign w:val="center"/>
                </w:tcPr>
                <w:p w14:paraId="7C3F03C8">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监测机构</w:t>
                  </w:r>
                </w:p>
              </w:tc>
              <w:tc>
                <w:tcPr>
                  <w:tcW w:w="704" w:type="dxa"/>
                  <w:noWrap w:val="0"/>
                  <w:tcMar>
                    <w:top w:w="0" w:type="dxa"/>
                    <w:left w:w="113" w:type="dxa"/>
                    <w:bottom w:w="0" w:type="dxa"/>
                    <w:right w:w="113" w:type="dxa"/>
                  </w:tcMar>
                  <w:vAlign w:val="center"/>
                </w:tcPr>
                <w:p w14:paraId="7CB64DC8">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w:t>
                  </w:r>
                </w:p>
                <w:p w14:paraId="0344E086">
                  <w:pPr>
                    <w:keepNext w:val="0"/>
                    <w:keepLines w:val="0"/>
                    <w:suppressLineNumbers w:val="0"/>
                    <w:spacing w:before="0" w:beforeAutospacing="0" w:after="0" w:afterAutospacing="0"/>
                    <w:ind w:left="-63" w:leftChars="-30" w:right="-88" w:rightChars="-4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机构</w:t>
                  </w:r>
                </w:p>
              </w:tc>
            </w:tr>
            <w:tr w14:paraId="551190D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1449" w:hRule="atLeast"/>
                <w:jc w:val="center"/>
              </w:trPr>
              <w:tc>
                <w:tcPr>
                  <w:tcW w:w="1042" w:type="dxa"/>
                  <w:vMerge w:val="restart"/>
                  <w:noWrap w:val="0"/>
                  <w:tcMar>
                    <w:top w:w="0" w:type="dxa"/>
                    <w:left w:w="113" w:type="dxa"/>
                    <w:bottom w:w="0" w:type="dxa"/>
                    <w:right w:w="113" w:type="dxa"/>
                  </w:tcMar>
                  <w:vAlign w:val="center"/>
                </w:tcPr>
                <w:p w14:paraId="2509927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环境空气</w:t>
                  </w:r>
                </w:p>
              </w:tc>
              <w:tc>
                <w:tcPr>
                  <w:tcW w:w="1249" w:type="dxa"/>
                  <w:noWrap w:val="0"/>
                  <w:tcMar>
                    <w:top w:w="0" w:type="dxa"/>
                    <w:left w:w="113" w:type="dxa"/>
                    <w:bottom w:w="0" w:type="dxa"/>
                    <w:right w:w="113" w:type="dxa"/>
                  </w:tcMar>
                  <w:vAlign w:val="center"/>
                </w:tcPr>
                <w:p w14:paraId="1B464369">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none"/>
                      <w:lang w:val="en-US" w:eastAsia="zh-CN"/>
                    </w:rPr>
                    <w:t>DA001排气筒</w:t>
                  </w:r>
                </w:p>
              </w:tc>
              <w:tc>
                <w:tcPr>
                  <w:tcW w:w="994" w:type="dxa"/>
                  <w:vMerge w:val="restart"/>
                  <w:noWrap w:val="0"/>
                  <w:tcMar>
                    <w:top w:w="0" w:type="dxa"/>
                    <w:left w:w="113" w:type="dxa"/>
                    <w:bottom w:w="0" w:type="dxa"/>
                    <w:right w:w="113" w:type="dxa"/>
                  </w:tcMar>
                  <w:vAlign w:val="center"/>
                </w:tcPr>
                <w:p w14:paraId="6A61EE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pacing w:val="-2"/>
                      <w:highlight w:val="none"/>
                      <w:lang w:val="en-US" w:eastAsia="zh-CN"/>
                    </w:rPr>
                    <w:t>甲苯</w:t>
                  </w:r>
                  <w:r>
                    <w:rPr>
                      <w:rFonts w:hint="default" w:ascii="Times New Roman" w:hAnsi="Times New Roman" w:cs="Times New Roman"/>
                      <w:color w:val="auto"/>
                      <w:spacing w:val="-2"/>
                      <w:highlight w:val="none"/>
                    </w:rPr>
                    <w:t>、二</w:t>
                  </w:r>
                  <w:r>
                    <w:rPr>
                      <w:rFonts w:hint="default" w:ascii="Times New Roman" w:hAnsi="Times New Roman" w:cs="Times New Roman"/>
                      <w:color w:val="auto"/>
                      <w:spacing w:val="-7"/>
                      <w:highlight w:val="none"/>
                    </w:rPr>
                    <w:t>甲苯、非甲</w:t>
                  </w:r>
                  <w:r>
                    <w:rPr>
                      <w:rFonts w:hint="default" w:ascii="Times New Roman" w:hAnsi="Times New Roman" w:cs="Times New Roman"/>
                      <w:color w:val="auto"/>
                      <w:spacing w:val="-2"/>
                      <w:highlight w:val="none"/>
                    </w:rPr>
                    <w:t>烷总烃</w:t>
                  </w:r>
                </w:p>
              </w:tc>
              <w:tc>
                <w:tcPr>
                  <w:tcW w:w="3135" w:type="dxa"/>
                  <w:noWrap w:val="0"/>
                  <w:tcMar>
                    <w:top w:w="0" w:type="dxa"/>
                    <w:left w:w="113" w:type="dxa"/>
                    <w:bottom w:w="0" w:type="dxa"/>
                    <w:right w:w="113" w:type="dxa"/>
                  </w:tcMar>
                  <w:vAlign w:val="center"/>
                </w:tcPr>
                <w:p w14:paraId="361693A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《大气污染物综合排放标准》表2中二级标准限值要求</w:t>
                  </w:r>
                </w:p>
              </w:tc>
              <w:tc>
                <w:tcPr>
                  <w:tcW w:w="647" w:type="dxa"/>
                  <w:vMerge w:val="restart"/>
                  <w:noWrap w:val="0"/>
                  <w:tcMar>
                    <w:top w:w="0" w:type="dxa"/>
                    <w:left w:w="113" w:type="dxa"/>
                    <w:bottom w:w="0" w:type="dxa"/>
                    <w:right w:w="113" w:type="dxa"/>
                  </w:tcMar>
                  <w:vAlign w:val="center"/>
                </w:tcPr>
                <w:p w14:paraId="2D4A411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27F383C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667" w:type="dxa"/>
                  <w:vMerge w:val="restart"/>
                  <w:noWrap w:val="0"/>
                  <w:tcMar>
                    <w:top w:w="0" w:type="dxa"/>
                    <w:left w:w="113" w:type="dxa"/>
                    <w:bottom w:w="0" w:type="dxa"/>
                    <w:right w:w="113" w:type="dxa"/>
                  </w:tcMar>
                  <w:vAlign w:val="center"/>
                </w:tcPr>
                <w:p w14:paraId="30215823">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有资质的环境监测机构</w:t>
                  </w:r>
                </w:p>
              </w:tc>
              <w:tc>
                <w:tcPr>
                  <w:tcW w:w="704" w:type="dxa"/>
                  <w:vMerge w:val="restart"/>
                  <w:noWrap w:val="0"/>
                  <w:tcMar>
                    <w:top w:w="0" w:type="dxa"/>
                    <w:left w:w="113" w:type="dxa"/>
                    <w:bottom w:w="0" w:type="dxa"/>
                    <w:right w:w="113" w:type="dxa"/>
                  </w:tcMar>
                  <w:vAlign w:val="center"/>
                </w:tcPr>
                <w:p w14:paraId="3E87DF8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0B65449F">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r>
            <w:tr w14:paraId="5175AA1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1464" w:hRule="atLeast"/>
                <w:jc w:val="center"/>
              </w:trPr>
              <w:tc>
                <w:tcPr>
                  <w:tcW w:w="1042" w:type="dxa"/>
                  <w:vMerge w:val="continue"/>
                  <w:noWrap w:val="0"/>
                  <w:tcMar>
                    <w:top w:w="0" w:type="dxa"/>
                    <w:left w:w="113" w:type="dxa"/>
                    <w:bottom w:w="0" w:type="dxa"/>
                    <w:right w:w="113" w:type="dxa"/>
                  </w:tcMar>
                  <w:vAlign w:val="center"/>
                </w:tcPr>
                <w:p w14:paraId="1507D97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9" w:type="dxa"/>
                  <w:noWrap w:val="0"/>
                  <w:tcMar>
                    <w:top w:w="0" w:type="dxa"/>
                    <w:left w:w="113" w:type="dxa"/>
                    <w:bottom w:w="0" w:type="dxa"/>
                    <w:right w:w="113" w:type="dxa"/>
                  </w:tcMar>
                  <w:vAlign w:val="center"/>
                </w:tcPr>
                <w:p w14:paraId="167432DB">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w:t>
                  </w:r>
                </w:p>
              </w:tc>
              <w:tc>
                <w:tcPr>
                  <w:tcW w:w="994" w:type="dxa"/>
                  <w:tcBorders>
                    <w:bottom w:val="single" w:color="auto" w:sz="4" w:space="0"/>
                  </w:tcBorders>
                  <w:noWrap w:val="0"/>
                  <w:tcMar>
                    <w:top w:w="0" w:type="dxa"/>
                    <w:left w:w="113" w:type="dxa"/>
                    <w:bottom w:w="0" w:type="dxa"/>
                    <w:right w:w="113" w:type="dxa"/>
                  </w:tcMar>
                  <w:vAlign w:val="center"/>
                </w:tcPr>
                <w:p w14:paraId="6A7564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highlight w:val="none"/>
                      <w:lang w:val="en-US" w:eastAsia="zh-CN"/>
                    </w:rPr>
                    <w:t>甲苯</w:t>
                  </w:r>
                  <w:r>
                    <w:rPr>
                      <w:rFonts w:hint="default" w:ascii="Times New Roman" w:hAnsi="Times New Roman" w:cs="Times New Roman"/>
                      <w:color w:val="auto"/>
                      <w:spacing w:val="-2"/>
                      <w:highlight w:val="none"/>
                    </w:rPr>
                    <w:t>、二</w:t>
                  </w:r>
                  <w:r>
                    <w:rPr>
                      <w:rFonts w:hint="default" w:ascii="Times New Roman" w:hAnsi="Times New Roman" w:cs="Times New Roman"/>
                      <w:color w:val="auto"/>
                      <w:spacing w:val="-7"/>
                      <w:highlight w:val="none"/>
                    </w:rPr>
                    <w:t>甲苯、非甲</w:t>
                  </w:r>
                  <w:r>
                    <w:rPr>
                      <w:rFonts w:hint="default" w:ascii="Times New Roman" w:hAnsi="Times New Roman" w:cs="Times New Roman"/>
                      <w:color w:val="auto"/>
                      <w:spacing w:val="-2"/>
                      <w:highlight w:val="none"/>
                    </w:rPr>
                    <w:t>烷总烃</w:t>
                  </w:r>
                  <w:r>
                    <w:rPr>
                      <w:rFonts w:hint="eastAsia" w:ascii="Times New Roman" w:hAnsi="Times New Roman" w:cs="Times New Roman"/>
                      <w:color w:val="auto"/>
                      <w:spacing w:val="-2"/>
                      <w:highlight w:val="none"/>
                      <w:lang w:eastAsia="zh-CN"/>
                    </w:rPr>
                    <w:t>、</w:t>
                  </w:r>
                  <w:r>
                    <w:rPr>
                      <w:rFonts w:hint="eastAsia" w:ascii="Times New Roman" w:hAnsi="Times New Roman" w:cs="Times New Roman"/>
                      <w:color w:val="auto"/>
                      <w:spacing w:val="-2"/>
                      <w:highlight w:val="none"/>
                      <w:lang w:val="en-US" w:eastAsia="zh-CN"/>
                    </w:rPr>
                    <w:t>颗粒物</w:t>
                  </w:r>
                </w:p>
              </w:tc>
              <w:tc>
                <w:tcPr>
                  <w:tcW w:w="3135" w:type="dxa"/>
                  <w:tcBorders>
                    <w:bottom w:val="single" w:color="auto" w:sz="4" w:space="0"/>
                  </w:tcBorders>
                  <w:noWrap w:val="0"/>
                  <w:tcMar>
                    <w:top w:w="0" w:type="dxa"/>
                    <w:left w:w="113" w:type="dxa"/>
                    <w:bottom w:w="0" w:type="dxa"/>
                    <w:right w:w="113" w:type="dxa"/>
                  </w:tcMar>
                  <w:vAlign w:val="center"/>
                </w:tcPr>
                <w:p w14:paraId="26D853A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《大气污染物综合排放标准》表2中无组织排放监控浓度限值</w:t>
                  </w:r>
                </w:p>
              </w:tc>
              <w:tc>
                <w:tcPr>
                  <w:tcW w:w="647" w:type="dxa"/>
                  <w:vMerge w:val="continue"/>
                  <w:noWrap w:val="0"/>
                  <w:tcMar>
                    <w:top w:w="0" w:type="dxa"/>
                    <w:left w:w="113" w:type="dxa"/>
                    <w:bottom w:w="0" w:type="dxa"/>
                    <w:right w:w="113" w:type="dxa"/>
                  </w:tcMar>
                  <w:vAlign w:val="center"/>
                </w:tcPr>
                <w:p w14:paraId="6ACB9E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tcMar>
                    <w:top w:w="0" w:type="dxa"/>
                    <w:left w:w="113" w:type="dxa"/>
                    <w:bottom w:w="0" w:type="dxa"/>
                    <w:right w:w="113" w:type="dxa"/>
                  </w:tcMar>
                  <w:vAlign w:val="center"/>
                </w:tcPr>
                <w:p w14:paraId="136B7E0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c>
                <w:tcPr>
                  <w:tcW w:w="704" w:type="dxa"/>
                  <w:vMerge w:val="continue"/>
                  <w:noWrap w:val="0"/>
                  <w:tcMar>
                    <w:top w:w="0" w:type="dxa"/>
                    <w:left w:w="113" w:type="dxa"/>
                    <w:bottom w:w="0" w:type="dxa"/>
                    <w:right w:w="113" w:type="dxa"/>
                  </w:tcMar>
                  <w:vAlign w:val="center"/>
                </w:tcPr>
                <w:p w14:paraId="525569A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r>
            <w:tr w14:paraId="2940ACF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887" w:hRule="atLeast"/>
                <w:jc w:val="center"/>
              </w:trPr>
              <w:tc>
                <w:tcPr>
                  <w:tcW w:w="1042" w:type="dxa"/>
                  <w:vMerge w:val="continue"/>
                  <w:noWrap w:val="0"/>
                  <w:vAlign w:val="center"/>
                </w:tcPr>
                <w:p w14:paraId="2CEAD08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9" w:type="dxa"/>
                  <w:noWrap w:val="0"/>
                  <w:tcMar>
                    <w:top w:w="0" w:type="dxa"/>
                    <w:left w:w="113" w:type="dxa"/>
                    <w:bottom w:w="0" w:type="dxa"/>
                    <w:right w:w="113" w:type="dxa"/>
                  </w:tcMar>
                  <w:vAlign w:val="center"/>
                </w:tcPr>
                <w:p w14:paraId="77DFB8E5">
                  <w:pPr>
                    <w:pStyle w:val="140"/>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项目厂房外1个点</w:t>
                  </w:r>
                </w:p>
              </w:tc>
              <w:tc>
                <w:tcPr>
                  <w:tcW w:w="994" w:type="dxa"/>
                  <w:tcBorders>
                    <w:top w:val="single" w:color="auto" w:sz="4" w:space="0"/>
                  </w:tcBorders>
                  <w:noWrap w:val="0"/>
                  <w:tcMar>
                    <w:top w:w="0" w:type="dxa"/>
                    <w:left w:w="113" w:type="dxa"/>
                    <w:bottom w:w="0" w:type="dxa"/>
                    <w:right w:w="113" w:type="dxa"/>
                  </w:tcMar>
                  <w:vAlign w:val="center"/>
                </w:tcPr>
                <w:p w14:paraId="7B4D3A5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3135" w:type="dxa"/>
                  <w:tcBorders>
                    <w:top w:val="single" w:color="auto" w:sz="4" w:space="0"/>
                  </w:tcBorders>
                  <w:noWrap w:val="0"/>
                  <w:vAlign w:val="center"/>
                </w:tcPr>
                <w:p w14:paraId="5EE1EAD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《挥发性有机物无组织排放控制标准》（GB37822-2019）的相关要求</w:t>
                  </w:r>
                </w:p>
              </w:tc>
              <w:tc>
                <w:tcPr>
                  <w:tcW w:w="647" w:type="dxa"/>
                  <w:vMerge w:val="continue"/>
                  <w:noWrap w:val="0"/>
                  <w:vAlign w:val="center"/>
                </w:tcPr>
                <w:p w14:paraId="2765D3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vAlign w:val="center"/>
                </w:tcPr>
                <w:p w14:paraId="4B3FA3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4" w:type="dxa"/>
                  <w:vMerge w:val="continue"/>
                  <w:noWrap w:val="0"/>
                  <w:vAlign w:val="center"/>
                </w:tcPr>
                <w:p w14:paraId="195376E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46BD6AF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897" w:hRule="atLeast"/>
                <w:jc w:val="center"/>
              </w:trPr>
              <w:tc>
                <w:tcPr>
                  <w:tcW w:w="1042" w:type="dxa"/>
                  <w:noWrap w:val="0"/>
                  <w:tcMar>
                    <w:top w:w="0" w:type="dxa"/>
                    <w:left w:w="113" w:type="dxa"/>
                    <w:bottom w:w="0" w:type="dxa"/>
                    <w:right w:w="113" w:type="dxa"/>
                  </w:tcMar>
                  <w:vAlign w:val="center"/>
                </w:tcPr>
                <w:p w14:paraId="2F3BF3F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0BB0280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249" w:type="dxa"/>
                  <w:noWrap w:val="0"/>
                  <w:tcMar>
                    <w:top w:w="0" w:type="dxa"/>
                    <w:left w:w="113" w:type="dxa"/>
                    <w:bottom w:w="0" w:type="dxa"/>
                    <w:right w:w="113" w:type="dxa"/>
                  </w:tcMar>
                  <w:vAlign w:val="center"/>
                </w:tcPr>
                <w:p w14:paraId="1254092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项目四面厂界</w:t>
                  </w:r>
                </w:p>
              </w:tc>
              <w:tc>
                <w:tcPr>
                  <w:tcW w:w="994" w:type="dxa"/>
                  <w:noWrap w:val="0"/>
                  <w:tcMar>
                    <w:top w:w="0" w:type="dxa"/>
                    <w:left w:w="113" w:type="dxa"/>
                    <w:bottom w:w="0" w:type="dxa"/>
                    <w:right w:w="113" w:type="dxa"/>
                  </w:tcMar>
                  <w:vAlign w:val="center"/>
                </w:tcPr>
                <w:p w14:paraId="4B15750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3135" w:type="dxa"/>
                  <w:noWrap w:val="0"/>
                  <w:tcMar>
                    <w:top w:w="0" w:type="dxa"/>
                    <w:left w:w="113" w:type="dxa"/>
                    <w:bottom w:w="0" w:type="dxa"/>
                    <w:right w:w="113" w:type="dxa"/>
                  </w:tcMar>
                  <w:vAlign w:val="center"/>
                </w:tcPr>
                <w:p w14:paraId="0CA8216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c>
                <w:tcPr>
                  <w:tcW w:w="647" w:type="dxa"/>
                  <w:vMerge w:val="continue"/>
                  <w:noWrap w:val="0"/>
                  <w:vAlign w:val="center"/>
                </w:tcPr>
                <w:p w14:paraId="558C5A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7" w:type="dxa"/>
                  <w:vMerge w:val="continue"/>
                  <w:noWrap w:val="0"/>
                  <w:vAlign w:val="center"/>
                </w:tcPr>
                <w:p w14:paraId="1E0C05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4" w:type="dxa"/>
                  <w:vMerge w:val="continue"/>
                  <w:noWrap w:val="0"/>
                  <w:vAlign w:val="center"/>
                </w:tcPr>
                <w:p w14:paraId="71A5E13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14:paraId="06B8E7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11、</w:t>
            </w:r>
            <w:r>
              <w:rPr>
                <w:rFonts w:hint="default" w:ascii="Times New Roman" w:hAnsi="Times New Roman" w:eastAsia="宋体" w:cs="Times New Roman"/>
                <w:b/>
                <w:bCs/>
                <w:color w:val="auto"/>
                <w:kern w:val="2"/>
                <w:sz w:val="24"/>
                <w:szCs w:val="24"/>
                <w:highlight w:val="none"/>
                <w:lang w:val="en-US" w:eastAsia="zh-CN" w:bidi="ar-SA"/>
              </w:rPr>
              <w:t>环保投资估算</w:t>
            </w:r>
          </w:p>
          <w:p w14:paraId="5985D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各项</w:t>
            </w:r>
            <w:r>
              <w:rPr>
                <w:rFonts w:hint="default" w:ascii="Times New Roman" w:hAnsi="Times New Roman" w:cs="Times New Roman"/>
                <w:color w:val="auto"/>
                <w:sz w:val="24"/>
                <w:highlight w:val="none"/>
              </w:rPr>
              <w:t>环保投资见表</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31</w:t>
            </w:r>
            <w:r>
              <w:rPr>
                <w:rFonts w:hint="default" w:ascii="Times New Roman" w:hAnsi="Times New Roman" w:cs="Times New Roman"/>
                <w:color w:val="auto"/>
                <w:sz w:val="24"/>
                <w:highlight w:val="none"/>
              </w:rPr>
              <w:t>。</w:t>
            </w:r>
          </w:p>
          <w:p w14:paraId="5C1689AD">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sz w:val="24"/>
                <w:szCs w:val="32"/>
                <w:highlight w:val="none"/>
              </w:rPr>
            </w:pPr>
            <w:r>
              <w:rPr>
                <w:rFonts w:hint="default" w:ascii="Times New Roman" w:hAnsi="Times New Roman" w:cs="Times New Roman"/>
                <w:b/>
                <w:color w:val="auto"/>
                <w:sz w:val="24"/>
                <w:szCs w:val="32"/>
                <w:highlight w:val="none"/>
              </w:rPr>
              <w:t>表</w:t>
            </w:r>
            <w:r>
              <w:rPr>
                <w:rFonts w:hint="default" w:ascii="Times New Roman" w:hAnsi="Times New Roman" w:cs="Times New Roman"/>
                <w:b/>
                <w:color w:val="auto"/>
                <w:sz w:val="24"/>
                <w:szCs w:val="32"/>
                <w:highlight w:val="none"/>
                <w:lang w:val="en-US" w:eastAsia="zh-CN"/>
              </w:rPr>
              <w:t>4-</w:t>
            </w:r>
            <w:r>
              <w:rPr>
                <w:rFonts w:hint="eastAsia" w:cs="Times New Roman"/>
                <w:b/>
                <w:color w:val="auto"/>
                <w:sz w:val="24"/>
                <w:szCs w:val="32"/>
                <w:highlight w:val="none"/>
                <w:lang w:val="en-US" w:eastAsia="zh-CN"/>
              </w:rPr>
              <w:t>31</w:t>
            </w:r>
            <w:r>
              <w:rPr>
                <w:rFonts w:hint="default" w:ascii="Times New Roman" w:hAnsi="Times New Roman" w:cs="Times New Roman"/>
                <w:b/>
                <w:color w:val="auto"/>
                <w:sz w:val="24"/>
                <w:szCs w:val="32"/>
                <w:highlight w:val="none"/>
              </w:rPr>
              <w:t>环保投资估算一览表</w:t>
            </w:r>
          </w:p>
          <w:tbl>
            <w:tblPr>
              <w:tblStyle w:val="46"/>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690"/>
              <w:gridCol w:w="1440"/>
              <w:gridCol w:w="3705"/>
              <w:gridCol w:w="1607"/>
            </w:tblGrid>
            <w:tr w14:paraId="6812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96" w:type="dxa"/>
                  <w:tcBorders>
                    <w:tl2br w:val="nil"/>
                    <w:tr2bl w:val="nil"/>
                  </w:tcBorders>
                  <w:noWrap w:val="0"/>
                  <w:vAlign w:val="center"/>
                </w:tcPr>
                <w:p w14:paraId="288853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序号</w:t>
                  </w:r>
                </w:p>
              </w:tc>
              <w:tc>
                <w:tcPr>
                  <w:tcW w:w="2130" w:type="dxa"/>
                  <w:gridSpan w:val="2"/>
                  <w:tcBorders>
                    <w:tl2br w:val="nil"/>
                    <w:tr2bl w:val="nil"/>
                  </w:tcBorders>
                  <w:noWrap w:val="0"/>
                  <w:vAlign w:val="center"/>
                </w:tcPr>
                <w:p w14:paraId="47FC324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类型</w:t>
                  </w:r>
                </w:p>
              </w:tc>
              <w:tc>
                <w:tcPr>
                  <w:tcW w:w="3705" w:type="dxa"/>
                  <w:tcBorders>
                    <w:tl2br w:val="nil"/>
                    <w:tr2bl w:val="nil"/>
                  </w:tcBorders>
                  <w:noWrap w:val="0"/>
                  <w:vAlign w:val="center"/>
                </w:tcPr>
                <w:p w14:paraId="4540EEF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lang w:eastAsia="zh-CN"/>
                    </w:rPr>
                    <w:t>环保投资内容</w:t>
                  </w:r>
                </w:p>
              </w:tc>
              <w:tc>
                <w:tcPr>
                  <w:tcW w:w="1607" w:type="dxa"/>
                  <w:tcBorders>
                    <w:tl2br w:val="nil"/>
                    <w:tr2bl w:val="nil"/>
                  </w:tcBorders>
                  <w:noWrap w:val="0"/>
                  <w:vAlign w:val="center"/>
                </w:tcPr>
                <w:p w14:paraId="3881957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环保投资</w:t>
                  </w:r>
                </w:p>
                <w:p w14:paraId="7C62E8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（万元）</w:t>
                  </w:r>
                </w:p>
              </w:tc>
            </w:tr>
            <w:tr w14:paraId="6A61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6" w:type="dxa"/>
                  <w:vMerge w:val="restart"/>
                  <w:tcBorders>
                    <w:tl2br w:val="nil"/>
                    <w:tr2bl w:val="nil"/>
                  </w:tcBorders>
                  <w:noWrap w:val="0"/>
                  <w:vAlign w:val="center"/>
                </w:tcPr>
                <w:p w14:paraId="07539D0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bookmarkStart w:id="15" w:name="OLE_LINK2" w:colFirst="5" w:colLast="5"/>
                  <w:r>
                    <w:rPr>
                      <w:rFonts w:hint="default" w:ascii="Times New Roman" w:hAnsi="Times New Roman" w:cs="Times New Roman"/>
                      <w:color w:val="auto"/>
                      <w:sz w:val="21"/>
                      <w:szCs w:val="21"/>
                      <w:highlight w:val="none"/>
                      <w:u w:val="none"/>
                    </w:rPr>
                    <w:t>1</w:t>
                  </w:r>
                </w:p>
              </w:tc>
              <w:tc>
                <w:tcPr>
                  <w:tcW w:w="690" w:type="dxa"/>
                  <w:vMerge w:val="restart"/>
                  <w:tcBorders>
                    <w:tl2br w:val="nil"/>
                    <w:tr2bl w:val="nil"/>
                  </w:tcBorders>
                  <w:noWrap w:val="0"/>
                  <w:vAlign w:val="center"/>
                </w:tcPr>
                <w:p w14:paraId="2E72716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运营期</w:t>
                  </w:r>
                </w:p>
              </w:tc>
              <w:tc>
                <w:tcPr>
                  <w:tcW w:w="1440" w:type="dxa"/>
                  <w:vMerge w:val="restart"/>
                  <w:tcBorders>
                    <w:tl2br w:val="nil"/>
                    <w:tr2bl w:val="nil"/>
                  </w:tcBorders>
                  <w:noWrap w:val="0"/>
                  <w:vAlign w:val="center"/>
                </w:tcPr>
                <w:p w14:paraId="6C28235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废气治理</w:t>
                  </w:r>
                </w:p>
              </w:tc>
              <w:tc>
                <w:tcPr>
                  <w:tcW w:w="3705" w:type="dxa"/>
                  <w:tcBorders>
                    <w:tl2br w:val="nil"/>
                    <w:tr2bl w:val="nil"/>
                  </w:tcBorders>
                  <w:noWrap w:val="0"/>
                  <w:vAlign w:val="center"/>
                </w:tcPr>
                <w:p w14:paraId="2D09F2B6">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rPr>
                    <w:t>采用</w:t>
                  </w:r>
                  <w:r>
                    <w:rPr>
                      <w:rFonts w:hint="default" w:ascii="Times New Roman" w:hAnsi="Times New Roman" w:cs="Times New Roman"/>
                      <w:color w:val="auto"/>
                      <w:sz w:val="21"/>
                      <w:szCs w:val="21"/>
                      <w:highlight w:val="none"/>
                      <w:u w:val="none"/>
                      <w:lang w:val="en-US" w:eastAsia="zh-CN"/>
                    </w:rPr>
                    <w:t>1套</w:t>
                  </w:r>
                  <w:r>
                    <w:rPr>
                      <w:rFonts w:hint="eastAsia" w:cs="Times New Roman"/>
                      <w:color w:val="auto"/>
                      <w:sz w:val="21"/>
                      <w:szCs w:val="21"/>
                      <w:highlight w:val="none"/>
                      <w:u w:val="none"/>
                      <w:lang w:val="en-US" w:eastAsia="zh-CN"/>
                    </w:rPr>
                    <w:t>二级活性炭吸附</w:t>
                  </w:r>
                  <w:r>
                    <w:rPr>
                      <w:rFonts w:hint="default" w:ascii="Times New Roman" w:hAnsi="Times New Roman" w:cs="Times New Roman"/>
                      <w:color w:val="auto"/>
                      <w:sz w:val="21"/>
                      <w:szCs w:val="21"/>
                      <w:highlight w:val="none"/>
                      <w:u w:val="none"/>
                      <w:lang w:val="en-US" w:eastAsia="zh-CN"/>
                    </w:rPr>
                    <w:t>+15m排气筒</w:t>
                  </w:r>
                </w:p>
              </w:tc>
              <w:tc>
                <w:tcPr>
                  <w:tcW w:w="1607" w:type="dxa"/>
                  <w:tcBorders>
                    <w:tl2br w:val="nil"/>
                    <w:tr2bl w:val="nil"/>
                  </w:tcBorders>
                  <w:noWrap w:val="0"/>
                  <w:vAlign w:val="center"/>
                </w:tcPr>
                <w:p w14:paraId="6DB057C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8</w:t>
                  </w:r>
                </w:p>
              </w:tc>
            </w:tr>
            <w:tr w14:paraId="37B5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6" w:type="dxa"/>
                  <w:vMerge w:val="continue"/>
                  <w:tcBorders>
                    <w:tl2br w:val="nil"/>
                    <w:tr2bl w:val="nil"/>
                  </w:tcBorders>
                  <w:noWrap w:val="0"/>
                  <w:vAlign w:val="center"/>
                </w:tcPr>
                <w:p w14:paraId="1945563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690" w:type="dxa"/>
                  <w:vMerge w:val="continue"/>
                  <w:tcBorders>
                    <w:tl2br w:val="nil"/>
                    <w:tr2bl w:val="nil"/>
                  </w:tcBorders>
                  <w:noWrap w:val="0"/>
                  <w:vAlign w:val="center"/>
                </w:tcPr>
                <w:p w14:paraId="4036124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1440" w:type="dxa"/>
                  <w:vMerge w:val="continue"/>
                  <w:tcBorders>
                    <w:tl2br w:val="nil"/>
                    <w:tr2bl w:val="nil"/>
                  </w:tcBorders>
                  <w:noWrap w:val="0"/>
                  <w:vAlign w:val="center"/>
                </w:tcPr>
                <w:p w14:paraId="031F457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p>
              </w:tc>
              <w:tc>
                <w:tcPr>
                  <w:tcW w:w="3705" w:type="dxa"/>
                  <w:tcBorders>
                    <w:tl2br w:val="nil"/>
                    <w:tr2bl w:val="nil"/>
                  </w:tcBorders>
                  <w:noWrap w:val="0"/>
                  <w:vAlign w:val="center"/>
                </w:tcPr>
                <w:p w14:paraId="27D08020">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rPr>
                    <w:t>1台移动式焊接烟尘净化器</w:t>
                  </w:r>
                </w:p>
              </w:tc>
              <w:tc>
                <w:tcPr>
                  <w:tcW w:w="1607" w:type="dxa"/>
                  <w:tcBorders>
                    <w:tl2br w:val="nil"/>
                    <w:tr2bl w:val="nil"/>
                  </w:tcBorders>
                  <w:noWrap w:val="0"/>
                  <w:vAlign w:val="center"/>
                </w:tcPr>
                <w:p w14:paraId="4726443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p>
              </w:tc>
            </w:tr>
            <w:tr w14:paraId="4578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96" w:type="dxa"/>
                  <w:tcBorders>
                    <w:tl2br w:val="nil"/>
                    <w:tr2bl w:val="nil"/>
                  </w:tcBorders>
                  <w:shd w:val="clear" w:color="auto" w:fill="auto"/>
                  <w:noWrap w:val="0"/>
                  <w:vAlign w:val="center"/>
                </w:tcPr>
                <w:p w14:paraId="1B7493A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690" w:type="dxa"/>
                  <w:vMerge w:val="continue"/>
                  <w:tcBorders>
                    <w:tl2br w:val="nil"/>
                    <w:tr2bl w:val="nil"/>
                  </w:tcBorders>
                  <w:noWrap w:val="0"/>
                  <w:vAlign w:val="center"/>
                </w:tcPr>
                <w:p w14:paraId="66071FF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rPr>
                  </w:pPr>
                </w:p>
              </w:tc>
              <w:tc>
                <w:tcPr>
                  <w:tcW w:w="1440" w:type="dxa"/>
                  <w:tcBorders>
                    <w:tl2br w:val="nil"/>
                    <w:tr2bl w:val="nil"/>
                  </w:tcBorders>
                  <w:noWrap w:val="0"/>
                  <w:vAlign w:val="center"/>
                </w:tcPr>
                <w:p w14:paraId="555CE6CC">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废水治理</w:t>
                  </w:r>
                </w:p>
              </w:tc>
              <w:tc>
                <w:tcPr>
                  <w:tcW w:w="3705" w:type="dxa"/>
                  <w:tcBorders>
                    <w:tl2br w:val="nil"/>
                    <w:tr2bl w:val="nil"/>
                  </w:tcBorders>
                  <w:noWrap w:val="0"/>
                  <w:vAlign w:val="center"/>
                </w:tcPr>
                <w:p w14:paraId="2D4E94A4">
                  <w:pPr>
                    <w:keepNext w:val="0"/>
                    <w:keepLines w:val="0"/>
                    <w:pageBreakBefore w:val="0"/>
                    <w:widowControl w:val="0"/>
                    <w:suppressLineNumbers w:val="0"/>
                    <w:tabs>
                      <w:tab w:val="left" w:pos="3225"/>
                    </w:tabs>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化粪池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依托码头项目</w:t>
                  </w:r>
                  <w:r>
                    <w:rPr>
                      <w:rFonts w:hint="default" w:ascii="Times New Roman" w:hAnsi="Times New Roman" w:cs="Times New Roman"/>
                      <w:color w:val="auto"/>
                      <w:sz w:val="21"/>
                      <w:szCs w:val="21"/>
                      <w:highlight w:val="none"/>
                      <w:lang w:eastAsia="zh-CN"/>
                    </w:rPr>
                    <w:t>）</w:t>
                  </w:r>
                </w:p>
              </w:tc>
              <w:tc>
                <w:tcPr>
                  <w:tcW w:w="1607" w:type="dxa"/>
                  <w:tcBorders>
                    <w:tl2br w:val="nil"/>
                    <w:tr2bl w:val="nil"/>
                  </w:tcBorders>
                  <w:noWrap w:val="0"/>
                  <w:vAlign w:val="center"/>
                </w:tcPr>
                <w:p w14:paraId="1997EB4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w:t>
                  </w:r>
                </w:p>
              </w:tc>
            </w:tr>
            <w:tr w14:paraId="06A9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96" w:type="dxa"/>
                  <w:tcBorders>
                    <w:tl2br w:val="nil"/>
                    <w:tr2bl w:val="nil"/>
                  </w:tcBorders>
                  <w:shd w:val="clear" w:color="auto" w:fill="auto"/>
                  <w:noWrap w:val="0"/>
                  <w:vAlign w:val="center"/>
                </w:tcPr>
                <w:p w14:paraId="23596DB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690" w:type="dxa"/>
                  <w:vMerge w:val="continue"/>
                  <w:tcBorders>
                    <w:tl2br w:val="nil"/>
                    <w:tr2bl w:val="nil"/>
                  </w:tcBorders>
                  <w:noWrap w:val="0"/>
                  <w:vAlign w:val="center"/>
                </w:tcPr>
                <w:p w14:paraId="7934B3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40" w:type="dxa"/>
                  <w:tcBorders>
                    <w:tl2br w:val="nil"/>
                    <w:tr2bl w:val="nil"/>
                  </w:tcBorders>
                  <w:noWrap w:val="0"/>
                  <w:vAlign w:val="center"/>
                </w:tcPr>
                <w:p w14:paraId="20FA855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3705" w:type="dxa"/>
                  <w:tcBorders>
                    <w:tl2br w:val="nil"/>
                    <w:tr2bl w:val="nil"/>
                  </w:tcBorders>
                  <w:noWrap w:val="0"/>
                  <w:vAlign w:val="center"/>
                </w:tcPr>
                <w:p w14:paraId="290A431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采用低噪声设备</w:t>
                  </w:r>
                </w:p>
              </w:tc>
              <w:tc>
                <w:tcPr>
                  <w:tcW w:w="1607" w:type="dxa"/>
                  <w:tcBorders>
                    <w:tl2br w:val="nil"/>
                    <w:tr2bl w:val="nil"/>
                  </w:tcBorders>
                  <w:noWrap w:val="0"/>
                  <w:vAlign w:val="center"/>
                </w:tcPr>
                <w:p w14:paraId="1B2C39D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w:t>
                  </w:r>
                </w:p>
              </w:tc>
            </w:tr>
            <w:tr w14:paraId="241B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96" w:type="dxa"/>
                  <w:tcBorders>
                    <w:tl2br w:val="nil"/>
                    <w:tr2bl w:val="nil"/>
                  </w:tcBorders>
                  <w:shd w:val="clear" w:color="auto" w:fill="auto"/>
                  <w:noWrap w:val="0"/>
                  <w:vAlign w:val="center"/>
                </w:tcPr>
                <w:p w14:paraId="0580A9C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690" w:type="dxa"/>
                  <w:vMerge w:val="continue"/>
                  <w:tcBorders>
                    <w:tl2br w:val="nil"/>
                    <w:tr2bl w:val="nil"/>
                  </w:tcBorders>
                  <w:noWrap w:val="0"/>
                  <w:vAlign w:val="center"/>
                </w:tcPr>
                <w:p w14:paraId="29C8BA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440" w:type="dxa"/>
                  <w:tcBorders>
                    <w:tl2br w:val="nil"/>
                    <w:tr2bl w:val="nil"/>
                  </w:tcBorders>
                  <w:noWrap w:val="0"/>
                  <w:vAlign w:val="center"/>
                </w:tcPr>
                <w:p w14:paraId="65D4FA1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705" w:type="dxa"/>
                  <w:tcBorders>
                    <w:tl2br w:val="nil"/>
                    <w:tr2bl w:val="nil"/>
                  </w:tcBorders>
                  <w:noWrap w:val="0"/>
                  <w:vAlign w:val="center"/>
                </w:tcPr>
                <w:p w14:paraId="61D1AA2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一般固废暂存间</w:t>
                  </w:r>
                  <w:r>
                    <w:rPr>
                      <w:rFonts w:hint="default" w:ascii="Times New Roman" w:hAnsi="Times New Roman" w:cs="Times New Roman"/>
                      <w:color w:val="auto"/>
                      <w:sz w:val="21"/>
                      <w:szCs w:val="21"/>
                      <w:highlight w:val="none"/>
                    </w:rPr>
                    <w:t>、生活垃圾收集桶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lang w:eastAsia="zh-CN"/>
                    </w:rPr>
                    <w:t>暂存间（</w:t>
                  </w:r>
                  <w:r>
                    <w:rPr>
                      <w:rFonts w:hint="default" w:ascii="Times New Roman" w:hAnsi="Times New Roman" w:cs="Times New Roman"/>
                      <w:color w:val="auto"/>
                      <w:sz w:val="21"/>
                      <w:szCs w:val="21"/>
                      <w:highlight w:val="none"/>
                      <w:lang w:val="en-US" w:eastAsia="zh-CN"/>
                    </w:rPr>
                    <w:t>依托码头项目</w:t>
                  </w:r>
                  <w:r>
                    <w:rPr>
                      <w:rFonts w:hint="default" w:ascii="Times New Roman" w:hAnsi="Times New Roman" w:cs="Times New Roman"/>
                      <w:color w:val="auto"/>
                      <w:sz w:val="21"/>
                      <w:szCs w:val="21"/>
                      <w:highlight w:val="none"/>
                      <w:lang w:eastAsia="zh-CN"/>
                    </w:rPr>
                    <w:t>）</w:t>
                  </w:r>
                </w:p>
              </w:tc>
              <w:tc>
                <w:tcPr>
                  <w:tcW w:w="1607" w:type="dxa"/>
                  <w:tcBorders>
                    <w:tl2br w:val="nil"/>
                    <w:tr2bl w:val="nil"/>
                  </w:tcBorders>
                  <w:noWrap w:val="0"/>
                  <w:vAlign w:val="center"/>
                </w:tcPr>
                <w:p w14:paraId="7F7205A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w:t>
                  </w:r>
                </w:p>
              </w:tc>
            </w:tr>
            <w:tr w14:paraId="70E5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731" w:type="dxa"/>
                  <w:gridSpan w:val="4"/>
                  <w:tcBorders>
                    <w:tl2br w:val="nil"/>
                    <w:tr2bl w:val="nil"/>
                  </w:tcBorders>
                  <w:shd w:val="clear" w:color="auto" w:fill="auto"/>
                  <w:noWrap w:val="0"/>
                  <w:vAlign w:val="center"/>
                </w:tcPr>
                <w:p w14:paraId="78F8605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1607" w:type="dxa"/>
                  <w:tcBorders>
                    <w:tl2br w:val="nil"/>
                    <w:tr2bl w:val="nil"/>
                  </w:tcBorders>
                  <w:noWrap w:val="0"/>
                  <w:vAlign w:val="center"/>
                </w:tcPr>
                <w:p w14:paraId="4AA1300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15</w:t>
                  </w:r>
                </w:p>
              </w:tc>
            </w:tr>
            <w:bookmarkEnd w:id="15"/>
          </w:tbl>
          <w:p w14:paraId="06510E6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360" w:lineRule="auto"/>
              <w:ind w:left="210" w:leftChars="10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由表</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可知，本项目营运期环保投资估算为</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万元，占项目总投资</w:t>
            </w:r>
            <w:r>
              <w:rPr>
                <w:rFonts w:hint="default" w:ascii="Times New Roman" w:hAnsi="Times New Roman" w:cs="Times New Roman"/>
                <w:color w:val="auto"/>
                <w:sz w:val="24"/>
                <w:highlight w:val="none"/>
                <w:lang w:val="en-US" w:eastAsia="zh-CN"/>
              </w:rPr>
              <w:t>200</w:t>
            </w:r>
            <w:r>
              <w:rPr>
                <w:rFonts w:hint="default" w:ascii="Times New Roman" w:hAnsi="Times New Roman" w:cs="Times New Roman"/>
                <w:color w:val="auto"/>
                <w:sz w:val="24"/>
                <w:highlight w:val="none"/>
              </w:rPr>
              <w:t>万元的</w:t>
            </w:r>
            <w:r>
              <w:rPr>
                <w:rFonts w:hint="default" w:ascii="Times New Roman" w:hAnsi="Times New Roman" w:cs="Times New Roman"/>
                <w:color w:val="auto"/>
                <w:sz w:val="24"/>
                <w:highlight w:val="none"/>
                <w:lang w:val="en-US" w:eastAsia="zh-CN"/>
              </w:rPr>
              <w:t>7.5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highlight w:val="none"/>
              </w:rPr>
              <w:t>。环境保护投资是实施环境管理计划、落实环境管理措施的资金保证。该部分环保投资的投入，为项目营造出一个良好的生产环境，确保各个污染物的达标排放，具有良好的环境效益。</w:t>
            </w:r>
          </w:p>
          <w:bookmarkEnd w:id="14"/>
          <w:p w14:paraId="3102D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11、排污许可</w:t>
            </w:r>
          </w:p>
          <w:p w14:paraId="79314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szCs w:val="24"/>
                <w:highlight w:val="none"/>
                <w:u w:val="none"/>
                <w:lang w:eastAsia="zh-CN"/>
              </w:rPr>
            </w:pPr>
            <w:r>
              <w:rPr>
                <w:rFonts w:hint="default" w:ascii="Times New Roman" w:hAnsi="Times New Roman" w:cs="Times New Roman"/>
                <w:color w:val="auto"/>
                <w:sz w:val="24"/>
                <w:highlight w:val="none"/>
                <w:u w:val="none"/>
                <w:lang w:eastAsia="zh-CN"/>
              </w:rPr>
              <w:t>广西北部湾国际集装箱码头有限公司</w:t>
            </w:r>
            <w:r>
              <w:rPr>
                <w:rFonts w:hint="default" w:ascii="Times New Roman" w:hAnsi="Times New Roman" w:cs="Times New Roman"/>
                <w:color w:val="auto"/>
                <w:sz w:val="24"/>
                <w:highlight w:val="none"/>
                <w:u w:val="none"/>
                <w:lang w:val="en-US" w:eastAsia="zh-CN"/>
              </w:rPr>
              <w:t>现有工程</w:t>
            </w:r>
            <w:r>
              <w:rPr>
                <w:rFonts w:hint="default" w:ascii="Times New Roman" w:hAnsi="Times New Roman" w:cs="Times New Roman"/>
                <w:color w:val="auto"/>
                <w:sz w:val="24"/>
                <w:highlight w:val="none"/>
                <w:u w:val="none"/>
                <w:lang w:eastAsia="zh-CN"/>
              </w:rPr>
              <w:t>已</w:t>
            </w:r>
            <w:r>
              <w:rPr>
                <w:rFonts w:hint="default" w:ascii="Times New Roman" w:hAnsi="Times New Roman" w:cs="Times New Roman"/>
                <w:color w:val="auto"/>
                <w:sz w:val="24"/>
                <w:highlight w:val="none"/>
                <w:u w:val="none"/>
                <w:lang w:val="en-US" w:eastAsia="zh-CN"/>
              </w:rPr>
              <w:t>取得排污许可登记回执</w:t>
            </w:r>
            <w:r>
              <w:rPr>
                <w:rFonts w:hint="default" w:ascii="Times New Roman" w:hAnsi="Times New Roman" w:cs="Times New Roman"/>
                <w:color w:val="auto"/>
                <w:sz w:val="24"/>
                <w:highlight w:val="none"/>
                <w:u w:val="none"/>
                <w:lang w:eastAsia="zh-CN"/>
              </w:rPr>
              <w:t>（详见附件</w:t>
            </w:r>
            <w:r>
              <w:rPr>
                <w:rFonts w:hint="default" w:ascii="Times New Roman" w:hAnsi="Times New Roman" w:cs="Times New Roman"/>
                <w:color w:val="auto"/>
                <w:sz w:val="24"/>
                <w:highlight w:val="none"/>
                <w:u w:val="none"/>
                <w:lang w:val="en-US" w:eastAsia="zh-CN"/>
              </w:rPr>
              <w:t>8</w:t>
            </w:r>
            <w:r>
              <w:rPr>
                <w:rFonts w:hint="default" w:ascii="Times New Roman" w:hAnsi="Times New Roman" w:cs="Times New Roman"/>
                <w:color w:val="auto"/>
                <w:sz w:val="24"/>
                <w:highlight w:val="none"/>
                <w:u w:val="none"/>
                <w:lang w:eastAsia="zh-CN"/>
              </w:rPr>
              <w:t>），证书编号：91450000MA5K90Y698001X。</w:t>
            </w:r>
          </w:p>
          <w:p w14:paraId="148FB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380" w:firstLineChars="200"/>
              <w:jc w:val="left"/>
              <w:textAlignment w:val="auto"/>
              <w:rPr>
                <w:rFonts w:hint="default" w:ascii="Times New Roman" w:hAnsi="Times New Roman" w:cs="Times New Roman"/>
                <w:bCs/>
                <w:color w:val="auto"/>
                <w:spacing w:val="-10"/>
                <w:szCs w:val="21"/>
                <w:highlight w:val="none"/>
              </w:rPr>
            </w:pPr>
          </w:p>
        </w:tc>
      </w:tr>
    </w:tbl>
    <w:p w14:paraId="646DF06E">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ADD610">
      <w:pPr>
        <w:pStyle w:val="41"/>
        <w:jc w:val="center"/>
        <w:outlineLvl w:val="0"/>
        <w:rPr>
          <w:rFonts w:hint="default" w:ascii="Times New Roman" w:hAnsi="Times New Roman" w:eastAsia="黑体" w:cs="Times New Roman"/>
          <w:snapToGrid w:val="0"/>
          <w:color w:val="auto"/>
          <w:sz w:val="30"/>
          <w:szCs w:val="30"/>
          <w:highlight w:val="none"/>
        </w:rPr>
      </w:pPr>
      <w:bookmarkStart w:id="16" w:name="_Toc1949"/>
      <w:r>
        <w:rPr>
          <w:rFonts w:hint="default" w:ascii="Times New Roman" w:hAnsi="Times New Roman" w:eastAsia="黑体" w:cs="Times New Roman"/>
          <w:snapToGrid w:val="0"/>
          <w:color w:val="auto"/>
          <w:sz w:val="30"/>
          <w:szCs w:val="30"/>
          <w:highlight w:val="none"/>
        </w:rPr>
        <w:t>五、</w:t>
      </w:r>
      <w:bookmarkStart w:id="17" w:name="_Hlk54167917"/>
      <w:r>
        <w:rPr>
          <w:rFonts w:hint="default" w:ascii="Times New Roman" w:hAnsi="Times New Roman" w:eastAsia="黑体" w:cs="Times New Roman"/>
          <w:snapToGrid w:val="0"/>
          <w:color w:val="auto"/>
          <w:sz w:val="30"/>
          <w:szCs w:val="30"/>
          <w:highlight w:val="none"/>
        </w:rPr>
        <w:t>环境保护措施监督检查清单</w:t>
      </w:r>
      <w:bookmarkEnd w:id="16"/>
      <w:bookmarkEnd w:id="17"/>
    </w:p>
    <w:tbl>
      <w:tblPr>
        <w:tblStyle w:val="4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37"/>
        <w:gridCol w:w="5"/>
        <w:gridCol w:w="1404"/>
        <w:gridCol w:w="5"/>
        <w:gridCol w:w="2212"/>
        <w:gridCol w:w="5"/>
        <w:gridCol w:w="3037"/>
      </w:tblGrid>
      <w:tr w14:paraId="7645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2A21E04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内容</w:t>
            </w:r>
          </w:p>
          <w:p w14:paraId="2C97578A">
            <w:pPr>
              <w:keepNext w:val="0"/>
              <w:keepLines w:val="0"/>
              <w:widowControl/>
              <w:suppressLineNumbers w:val="0"/>
              <w:spacing w:before="0" w:beforeAutospacing="0" w:after="0" w:afterAutospacing="0" w:line="300" w:lineRule="exact"/>
              <w:ind w:left="0" w:right="40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要素</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4EA53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排放口</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编号、名称</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/污染源</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CF75A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污染物项目</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046378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环境保护措施</w:t>
            </w:r>
          </w:p>
        </w:tc>
        <w:tc>
          <w:tcPr>
            <w:tcW w:w="3042" w:type="dxa"/>
            <w:gridSpan w:val="2"/>
            <w:tcBorders>
              <w:top w:val="single" w:color="auto" w:sz="4" w:space="0"/>
              <w:left w:val="single" w:color="auto" w:sz="4" w:space="0"/>
              <w:bottom w:val="single" w:color="auto" w:sz="4" w:space="0"/>
              <w:right w:val="single" w:color="auto" w:sz="4" w:space="0"/>
            </w:tcBorders>
            <w:noWrap w:val="0"/>
            <w:vAlign w:val="center"/>
          </w:tcPr>
          <w:p w14:paraId="722635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sz w:val="21"/>
                <w:szCs w:val="21"/>
                <w:highlight w:val="none"/>
              </w:rPr>
              <w:t>执行标准</w:t>
            </w:r>
          </w:p>
        </w:tc>
      </w:tr>
      <w:tr w14:paraId="1E85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150" w:type="dxa"/>
            <w:vMerge w:val="restart"/>
            <w:tcBorders>
              <w:top w:val="single" w:color="auto" w:sz="4" w:space="0"/>
              <w:left w:val="single" w:color="auto" w:sz="4" w:space="0"/>
              <w:right w:val="single" w:color="auto" w:sz="4" w:space="0"/>
            </w:tcBorders>
            <w:noWrap w:val="0"/>
            <w:vAlign w:val="center"/>
          </w:tcPr>
          <w:p w14:paraId="72BECE7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大气环境</w:t>
            </w:r>
          </w:p>
        </w:tc>
        <w:tc>
          <w:tcPr>
            <w:tcW w:w="1237" w:type="dxa"/>
            <w:tcBorders>
              <w:top w:val="single" w:color="auto" w:sz="4" w:space="0"/>
              <w:left w:val="single" w:color="auto" w:sz="4" w:space="0"/>
              <w:right w:val="single" w:color="auto" w:sz="4" w:space="0"/>
            </w:tcBorders>
            <w:noWrap w:val="0"/>
            <w:vAlign w:val="center"/>
          </w:tcPr>
          <w:p w14:paraId="47366DC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刷漆、晾干DA001排气筒</w:t>
            </w:r>
          </w:p>
        </w:tc>
        <w:tc>
          <w:tcPr>
            <w:tcW w:w="1409" w:type="dxa"/>
            <w:gridSpan w:val="2"/>
            <w:tcBorders>
              <w:top w:val="single" w:color="auto" w:sz="4" w:space="0"/>
              <w:left w:val="single" w:color="auto" w:sz="4" w:space="0"/>
              <w:right w:val="single" w:color="auto" w:sz="4" w:space="0"/>
            </w:tcBorders>
            <w:noWrap w:val="0"/>
            <w:vAlign w:val="center"/>
          </w:tcPr>
          <w:p w14:paraId="6743327B">
            <w:pPr>
              <w:pStyle w:val="143"/>
              <w:keepNext w:val="0"/>
              <w:keepLines w:val="0"/>
              <w:suppressLineNumbers w:val="0"/>
              <w:spacing w:before="69" w:beforeAutospacing="0" w:after="0" w:afterAutospacing="0" w:line="221" w:lineRule="auto"/>
              <w:ind w:left="115" w:right="0"/>
              <w:rPr>
                <w:rFonts w:hint="default" w:ascii="Times New Roman" w:hAnsi="Times New Roman" w:cs="Times New Roman"/>
                <w:color w:val="auto"/>
                <w:highlight w:val="none"/>
                <w:u w:val="none"/>
              </w:rPr>
            </w:pPr>
            <w:r>
              <w:rPr>
                <w:rFonts w:hint="eastAsia" w:ascii="Times New Roman" w:hAnsi="Times New Roman" w:cs="Times New Roman"/>
                <w:color w:val="auto"/>
                <w:spacing w:val="-2"/>
                <w:highlight w:val="none"/>
                <w:u w:val="none"/>
                <w:lang w:val="en-US" w:eastAsia="zh-CN"/>
              </w:rPr>
              <w:t>甲苯</w:t>
            </w:r>
            <w:r>
              <w:rPr>
                <w:rFonts w:hint="default" w:ascii="Times New Roman" w:hAnsi="Times New Roman" w:cs="Times New Roman"/>
                <w:color w:val="auto"/>
                <w:spacing w:val="-2"/>
                <w:highlight w:val="none"/>
                <w:u w:val="none"/>
              </w:rPr>
              <w:t>、二</w:t>
            </w:r>
          </w:p>
          <w:p w14:paraId="5A1EA8A0">
            <w:pPr>
              <w:keepNext w:val="0"/>
              <w:keepLines w:val="0"/>
              <w:suppressLineNumbers w:val="0"/>
              <w:tabs>
                <w:tab w:val="left" w:pos="624"/>
              </w:tabs>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pacing w:val="-7"/>
                <w:highlight w:val="none"/>
                <w:u w:val="none"/>
              </w:rPr>
              <w:t>甲苯、非甲</w:t>
            </w:r>
            <w:r>
              <w:rPr>
                <w:rFonts w:hint="default" w:ascii="Times New Roman" w:hAnsi="Times New Roman" w:cs="Times New Roman"/>
                <w:color w:val="auto"/>
                <w:spacing w:val="-2"/>
                <w:highlight w:val="none"/>
                <w:u w:val="none"/>
              </w:rPr>
              <w:t>烷总烃</w:t>
            </w:r>
          </w:p>
        </w:tc>
        <w:tc>
          <w:tcPr>
            <w:tcW w:w="2217" w:type="dxa"/>
            <w:gridSpan w:val="2"/>
            <w:tcBorders>
              <w:top w:val="single" w:color="auto" w:sz="4" w:space="0"/>
              <w:left w:val="single" w:color="auto" w:sz="4" w:space="0"/>
              <w:right w:val="single" w:color="auto" w:sz="4" w:space="0"/>
            </w:tcBorders>
            <w:noWrap w:val="0"/>
            <w:vAlign w:val="center"/>
          </w:tcPr>
          <w:p w14:paraId="6CC9689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spacing w:val="-6"/>
                <w:highlight w:val="none"/>
                <w:u w:val="none"/>
              </w:rPr>
              <w:t>废气</w:t>
            </w:r>
            <w:r>
              <w:rPr>
                <w:rFonts w:hint="default" w:ascii="Times New Roman" w:hAnsi="Times New Roman" w:cs="Times New Roman"/>
                <w:color w:val="auto"/>
                <w:spacing w:val="-1"/>
                <w:highlight w:val="none"/>
                <w:u w:val="none"/>
              </w:rPr>
              <w:t>经“</w:t>
            </w:r>
            <w:r>
              <w:rPr>
                <w:rFonts w:hint="eastAsia" w:cs="Times New Roman"/>
                <w:color w:val="auto"/>
                <w:spacing w:val="-1"/>
                <w:highlight w:val="none"/>
                <w:u w:val="none"/>
                <w:lang w:eastAsia="zh-CN"/>
              </w:rPr>
              <w:t>二级活性炭吸附</w:t>
            </w:r>
            <w:r>
              <w:rPr>
                <w:rFonts w:hint="default" w:ascii="Times New Roman" w:hAnsi="Times New Roman" w:cs="Times New Roman"/>
                <w:color w:val="auto"/>
                <w:spacing w:val="-1"/>
                <w:highlight w:val="none"/>
                <w:u w:val="none"/>
              </w:rPr>
              <w:t>”装置处理</w:t>
            </w:r>
            <w:r>
              <w:rPr>
                <w:rFonts w:hint="default" w:ascii="Times New Roman" w:hAnsi="Times New Roman" w:cs="Times New Roman"/>
                <w:color w:val="auto"/>
                <w:kern w:val="2"/>
                <w:sz w:val="21"/>
                <w:szCs w:val="21"/>
                <w:highlight w:val="none"/>
                <w:u w:val="none"/>
                <w:lang w:val="en-US" w:eastAsia="zh-CN" w:bidi="ar-SA"/>
              </w:rPr>
              <w:t>+15m排气筒</w:t>
            </w:r>
          </w:p>
        </w:tc>
        <w:tc>
          <w:tcPr>
            <w:tcW w:w="3042" w:type="dxa"/>
            <w:gridSpan w:val="2"/>
            <w:tcBorders>
              <w:top w:val="single" w:color="auto" w:sz="4" w:space="0"/>
              <w:left w:val="single" w:color="auto" w:sz="4" w:space="0"/>
              <w:right w:val="single" w:color="auto" w:sz="4" w:space="0"/>
            </w:tcBorders>
            <w:noWrap w:val="0"/>
            <w:vAlign w:val="center"/>
          </w:tcPr>
          <w:p w14:paraId="75D502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《大气污染物综合排放标准》表2中二级标准限值要求</w:t>
            </w:r>
          </w:p>
        </w:tc>
      </w:tr>
      <w:tr w14:paraId="4D76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0" w:type="dxa"/>
            <w:vMerge w:val="continue"/>
            <w:tcBorders>
              <w:left w:val="single" w:color="auto" w:sz="4" w:space="0"/>
              <w:right w:val="single" w:color="auto" w:sz="4" w:space="0"/>
            </w:tcBorders>
            <w:noWrap w:val="0"/>
            <w:vAlign w:val="center"/>
          </w:tcPr>
          <w:p w14:paraId="4ED44E2D">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p>
        </w:tc>
        <w:tc>
          <w:tcPr>
            <w:tcW w:w="1237" w:type="dxa"/>
            <w:tcBorders>
              <w:top w:val="single" w:color="auto" w:sz="4" w:space="0"/>
              <w:left w:val="single" w:color="auto" w:sz="4" w:space="0"/>
              <w:right w:val="single" w:color="auto" w:sz="4" w:space="0"/>
            </w:tcBorders>
            <w:noWrap w:val="0"/>
            <w:vAlign w:val="center"/>
          </w:tcPr>
          <w:p w14:paraId="5534F2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Cs w:val="21"/>
                <w:highlight w:val="none"/>
                <w:u w:val="none"/>
                <w:lang w:val="en-US" w:eastAsia="zh-CN"/>
              </w:rPr>
              <w:t>焊接</w:t>
            </w:r>
            <w:r>
              <w:rPr>
                <w:rFonts w:hint="default" w:ascii="Times New Roman" w:hAnsi="Times New Roman" w:cs="Times New Roman"/>
                <w:color w:val="auto"/>
                <w:highlight w:val="none"/>
                <w:u w:val="none"/>
                <w:lang w:val="en-US" w:eastAsia="zh-CN"/>
              </w:rPr>
              <w:t>烟尘</w:t>
            </w:r>
            <w:r>
              <w:rPr>
                <w:rFonts w:hint="default" w:ascii="Times New Roman" w:hAnsi="Times New Roman" w:cs="Times New Roman"/>
                <w:color w:val="auto"/>
                <w:kern w:val="2"/>
                <w:sz w:val="21"/>
                <w:szCs w:val="21"/>
                <w:highlight w:val="none"/>
                <w:lang w:val="en-US" w:eastAsia="zh-CN" w:bidi="ar-SA"/>
              </w:rPr>
              <w:t>无组织废气</w:t>
            </w:r>
          </w:p>
        </w:tc>
        <w:tc>
          <w:tcPr>
            <w:tcW w:w="1409" w:type="dxa"/>
            <w:gridSpan w:val="2"/>
            <w:tcBorders>
              <w:left w:val="single" w:color="auto" w:sz="4" w:space="0"/>
              <w:bottom w:val="single" w:color="auto" w:sz="4" w:space="0"/>
              <w:right w:val="single" w:color="auto" w:sz="4" w:space="0"/>
            </w:tcBorders>
            <w:noWrap w:val="0"/>
            <w:vAlign w:val="center"/>
          </w:tcPr>
          <w:p w14:paraId="192DA5F2">
            <w:pPr>
              <w:pStyle w:val="143"/>
              <w:keepNext w:val="0"/>
              <w:keepLines w:val="0"/>
              <w:suppressLineNumbers w:val="0"/>
              <w:spacing w:before="69" w:beforeAutospacing="0" w:after="0" w:afterAutospacing="0" w:line="221" w:lineRule="auto"/>
              <w:ind w:left="115"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highlight w:val="none"/>
                <w:u w:val="none"/>
              </w:rPr>
              <w:t>颗粒物</w:t>
            </w:r>
          </w:p>
        </w:tc>
        <w:tc>
          <w:tcPr>
            <w:tcW w:w="2217" w:type="dxa"/>
            <w:gridSpan w:val="2"/>
            <w:tcBorders>
              <w:top w:val="single" w:color="auto" w:sz="4" w:space="0"/>
              <w:left w:val="single" w:color="auto" w:sz="4" w:space="0"/>
              <w:right w:val="single" w:color="auto" w:sz="4" w:space="0"/>
            </w:tcBorders>
            <w:noWrap w:val="0"/>
            <w:vAlign w:val="center"/>
          </w:tcPr>
          <w:p w14:paraId="3C94C2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Cs/>
                <w:color w:val="auto"/>
                <w:szCs w:val="21"/>
                <w:highlight w:val="none"/>
                <w:u w:val="none"/>
              </w:rPr>
              <w:t>移动式焊接烟尘净化器</w:t>
            </w:r>
            <w:r>
              <w:rPr>
                <w:rFonts w:hint="default" w:ascii="Times New Roman" w:hAnsi="Times New Roman" w:cs="Times New Roman"/>
                <w:bCs/>
                <w:color w:val="auto"/>
                <w:szCs w:val="21"/>
                <w:highlight w:val="none"/>
                <w:u w:val="none"/>
                <w:lang w:val="en-US" w:eastAsia="zh-CN"/>
              </w:rPr>
              <w:t>处理</w:t>
            </w:r>
          </w:p>
        </w:tc>
        <w:tc>
          <w:tcPr>
            <w:tcW w:w="3042" w:type="dxa"/>
            <w:gridSpan w:val="2"/>
            <w:vMerge w:val="restart"/>
            <w:tcBorders>
              <w:top w:val="single" w:color="auto" w:sz="4" w:space="0"/>
              <w:left w:val="single" w:color="auto" w:sz="4" w:space="0"/>
              <w:right w:val="single" w:color="auto" w:sz="4" w:space="0"/>
            </w:tcBorders>
            <w:noWrap w:val="0"/>
            <w:vAlign w:val="center"/>
          </w:tcPr>
          <w:p w14:paraId="51F4AB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《大气污染物综合排放标准》（GB16297-1996）表2中无组织排放监控浓度限值</w:t>
            </w:r>
          </w:p>
        </w:tc>
      </w:tr>
      <w:tr w14:paraId="59EC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150" w:type="dxa"/>
            <w:vMerge w:val="continue"/>
            <w:tcBorders>
              <w:left w:val="single" w:color="auto" w:sz="4" w:space="0"/>
              <w:right w:val="single" w:color="auto" w:sz="4" w:space="0"/>
            </w:tcBorders>
            <w:noWrap w:val="0"/>
            <w:vAlign w:val="center"/>
          </w:tcPr>
          <w:p w14:paraId="0A9946F1">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p>
        </w:tc>
        <w:tc>
          <w:tcPr>
            <w:tcW w:w="1237" w:type="dxa"/>
            <w:tcBorders>
              <w:top w:val="single" w:color="auto" w:sz="4" w:space="0"/>
              <w:left w:val="single" w:color="auto" w:sz="4" w:space="0"/>
              <w:right w:val="single" w:color="auto" w:sz="4" w:space="0"/>
            </w:tcBorders>
            <w:shd w:val="clear" w:color="auto" w:fill="auto"/>
            <w:noWrap w:val="0"/>
            <w:vAlign w:val="center"/>
          </w:tcPr>
          <w:p w14:paraId="0DF291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项目无组织废气</w:t>
            </w:r>
          </w:p>
        </w:tc>
        <w:tc>
          <w:tcPr>
            <w:tcW w:w="1409" w:type="dxa"/>
            <w:gridSpan w:val="2"/>
            <w:tcBorders>
              <w:left w:val="single" w:color="auto" w:sz="4" w:space="0"/>
              <w:bottom w:val="single" w:color="auto" w:sz="4" w:space="0"/>
              <w:right w:val="single" w:color="auto" w:sz="4" w:space="0"/>
            </w:tcBorders>
            <w:shd w:val="clear" w:color="auto" w:fill="auto"/>
            <w:noWrap w:val="0"/>
            <w:vAlign w:val="center"/>
          </w:tcPr>
          <w:p w14:paraId="4F17DA54">
            <w:pPr>
              <w:pStyle w:val="143"/>
              <w:keepNext w:val="0"/>
              <w:keepLines w:val="0"/>
              <w:suppressLineNumbers w:val="0"/>
              <w:spacing w:before="69" w:beforeAutospacing="0" w:after="0" w:afterAutospacing="0" w:line="221" w:lineRule="auto"/>
              <w:ind w:left="115" w:leftChars="0" w:right="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cs="Times New Roman"/>
                <w:color w:val="auto"/>
                <w:spacing w:val="-2"/>
                <w:highlight w:val="none"/>
              </w:rPr>
              <w:t>颗粒物、二</w:t>
            </w:r>
            <w:r>
              <w:rPr>
                <w:rFonts w:hint="default" w:ascii="Times New Roman" w:hAnsi="Times New Roman" w:cs="Times New Roman"/>
                <w:color w:val="auto"/>
                <w:spacing w:val="-7"/>
                <w:highlight w:val="none"/>
              </w:rPr>
              <w:t>甲苯、</w:t>
            </w:r>
            <w:r>
              <w:rPr>
                <w:rFonts w:hint="eastAsia" w:ascii="Times New Roman" w:hAnsi="Times New Roman" w:cs="Times New Roman"/>
                <w:color w:val="auto"/>
                <w:spacing w:val="-7"/>
                <w:highlight w:val="none"/>
                <w:lang w:val="en-US" w:eastAsia="zh-CN"/>
              </w:rPr>
              <w:t>甲苯、</w:t>
            </w:r>
            <w:r>
              <w:rPr>
                <w:rFonts w:hint="default" w:ascii="Times New Roman" w:hAnsi="Times New Roman" w:cs="Times New Roman"/>
                <w:color w:val="auto"/>
                <w:spacing w:val="-7"/>
                <w:highlight w:val="none"/>
              </w:rPr>
              <w:t>非甲</w:t>
            </w:r>
            <w:r>
              <w:rPr>
                <w:rFonts w:hint="default" w:ascii="Times New Roman" w:hAnsi="Times New Roman" w:cs="Times New Roman"/>
                <w:color w:val="auto"/>
                <w:spacing w:val="-2"/>
                <w:highlight w:val="none"/>
              </w:rPr>
              <w:t>烷总烃</w:t>
            </w:r>
          </w:p>
        </w:tc>
        <w:tc>
          <w:tcPr>
            <w:tcW w:w="2217" w:type="dxa"/>
            <w:gridSpan w:val="2"/>
            <w:tcBorders>
              <w:top w:val="single" w:color="auto" w:sz="4" w:space="0"/>
              <w:left w:val="single" w:color="auto" w:sz="4" w:space="0"/>
              <w:right w:val="single" w:color="auto" w:sz="4" w:space="0"/>
            </w:tcBorders>
            <w:shd w:val="clear" w:color="auto" w:fill="auto"/>
            <w:noWrap w:val="0"/>
            <w:vAlign w:val="center"/>
          </w:tcPr>
          <w:p w14:paraId="60DFEE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车间通风</w:t>
            </w:r>
          </w:p>
        </w:tc>
        <w:tc>
          <w:tcPr>
            <w:tcW w:w="3042" w:type="dxa"/>
            <w:gridSpan w:val="2"/>
            <w:vMerge w:val="continue"/>
            <w:tcBorders>
              <w:left w:val="single" w:color="auto" w:sz="4" w:space="0"/>
              <w:right w:val="single" w:color="auto" w:sz="4" w:space="0"/>
            </w:tcBorders>
            <w:noWrap w:val="0"/>
            <w:vAlign w:val="center"/>
          </w:tcPr>
          <w:p w14:paraId="1536FB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C7D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tcBorders>
              <w:top w:val="single" w:color="000000" w:sz="4" w:space="0"/>
              <w:left w:val="single" w:color="auto" w:sz="4" w:space="0"/>
              <w:right w:val="single" w:color="auto" w:sz="4" w:space="0"/>
            </w:tcBorders>
            <w:noWrap w:val="0"/>
            <w:vAlign w:val="center"/>
          </w:tcPr>
          <w:p w14:paraId="3CAF7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Cs w:val="21"/>
                <w:highlight w:val="none"/>
              </w:rPr>
              <w:t>地表水环境</w:t>
            </w:r>
          </w:p>
        </w:tc>
        <w:tc>
          <w:tcPr>
            <w:tcW w:w="1242" w:type="dxa"/>
            <w:gridSpan w:val="2"/>
            <w:tcBorders>
              <w:top w:val="single" w:color="000000" w:sz="4" w:space="0"/>
              <w:left w:val="single" w:color="auto" w:sz="4" w:space="0"/>
              <w:bottom w:val="single" w:color="auto" w:sz="4" w:space="0"/>
              <w:right w:val="single" w:color="auto" w:sz="4" w:space="0"/>
            </w:tcBorders>
            <w:noWrap w:val="0"/>
            <w:vAlign w:val="top"/>
          </w:tcPr>
          <w:p w14:paraId="17FDA883">
            <w:pPr>
              <w:keepNext w:val="0"/>
              <w:keepLines w:val="0"/>
              <w:suppressLineNumbers w:val="0"/>
              <w:spacing w:before="0" w:beforeAutospacing="0" w:after="0" w:afterAutospacing="0" w:line="244" w:lineRule="auto"/>
              <w:ind w:left="0" w:right="0"/>
              <w:rPr>
                <w:rFonts w:hint="default" w:ascii="Times New Roman" w:hAnsi="Times New Roman" w:cs="Times New Roman"/>
                <w:color w:val="auto"/>
                <w:sz w:val="21"/>
                <w:highlight w:val="none"/>
              </w:rPr>
            </w:pPr>
          </w:p>
          <w:p w14:paraId="5A8C6CC7">
            <w:pPr>
              <w:pStyle w:val="143"/>
              <w:keepNext w:val="0"/>
              <w:keepLines w:val="0"/>
              <w:suppressLineNumbers w:val="0"/>
              <w:spacing w:before="68" w:beforeAutospacing="0" w:after="0" w:afterAutospacing="0" w:line="229" w:lineRule="auto"/>
              <w:ind w:left="0" w:leftChars="0" w:right="55" w:rightChars="0" w:firstLine="0" w:firstLine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Times New Roman" w:cs="Times New Roman"/>
                <w:color w:val="auto"/>
                <w:spacing w:val="-1"/>
                <w:highlight w:val="none"/>
              </w:rPr>
              <w:t>DW001</w:t>
            </w:r>
            <w:r>
              <w:rPr>
                <w:rFonts w:hint="default" w:ascii="Times New Roman" w:hAnsi="Times New Roman" w:cs="Times New Roman"/>
                <w:color w:val="auto"/>
                <w:spacing w:val="-1"/>
                <w:highlight w:val="none"/>
              </w:rPr>
              <w:t>生活</w:t>
            </w:r>
            <w:r>
              <w:rPr>
                <w:rFonts w:hint="default" w:ascii="Times New Roman" w:hAnsi="Times New Roman" w:cs="Times New Roman"/>
                <w:color w:val="auto"/>
                <w:spacing w:val="-2"/>
                <w:highlight w:val="none"/>
              </w:rPr>
              <w:t>污水</w:t>
            </w:r>
          </w:p>
        </w:tc>
        <w:tc>
          <w:tcPr>
            <w:tcW w:w="1409" w:type="dxa"/>
            <w:gridSpan w:val="2"/>
            <w:tcBorders>
              <w:top w:val="single" w:color="000000" w:sz="4" w:space="0"/>
              <w:left w:val="single" w:color="auto" w:sz="4" w:space="0"/>
              <w:bottom w:val="single" w:color="auto" w:sz="4" w:space="0"/>
              <w:right w:val="single" w:color="auto" w:sz="4" w:space="0"/>
            </w:tcBorders>
            <w:noWrap w:val="0"/>
            <w:vAlign w:val="top"/>
          </w:tcPr>
          <w:p w14:paraId="30B469EC">
            <w:pPr>
              <w:pStyle w:val="143"/>
              <w:keepNext w:val="0"/>
              <w:keepLines w:val="0"/>
              <w:suppressLineNumbers w:val="0"/>
              <w:spacing w:before="78" w:beforeAutospacing="0" w:after="0" w:afterAutospacing="0" w:line="181" w:lineRule="auto"/>
              <w:ind w:left="315" w:right="0"/>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COD</w:t>
            </w:r>
            <w:r>
              <w:rPr>
                <w:rFonts w:hint="default" w:ascii="Times New Roman" w:hAnsi="Times New Roman" w:cs="Times New Roman"/>
                <w:color w:val="auto"/>
                <w:spacing w:val="-2"/>
                <w:highlight w:val="none"/>
              </w:rPr>
              <w:t>、</w:t>
            </w:r>
          </w:p>
          <w:p w14:paraId="5DEEC78D">
            <w:pPr>
              <w:pStyle w:val="143"/>
              <w:keepNext w:val="0"/>
              <w:keepLines w:val="0"/>
              <w:suppressLineNumbers w:val="0"/>
              <w:spacing w:before="29" w:beforeAutospacing="0" w:after="0" w:afterAutospacing="0" w:line="229" w:lineRule="auto"/>
              <w:ind w:left="114" w:right="139" w:firstLine="54"/>
              <w:rPr>
                <w:rFonts w:hint="default" w:ascii="Times New Roman" w:hAnsi="Times New Roman" w:cs="Times New Roman"/>
                <w:color w:val="auto"/>
                <w:highlight w:val="none"/>
              </w:rPr>
            </w:pPr>
            <w:r>
              <w:rPr>
                <w:rFonts w:hint="default" w:ascii="Times New Roman" w:hAnsi="Times New Roman" w:eastAsia="Times New Roman" w:cs="Times New Roman"/>
                <w:color w:val="auto"/>
                <w:spacing w:val="-2"/>
                <w:highlight w:val="none"/>
              </w:rPr>
              <w:t>BOD</w:t>
            </w:r>
            <w:r>
              <w:rPr>
                <w:rFonts w:hint="default" w:ascii="Times New Roman" w:hAnsi="Times New Roman" w:eastAsia="Times New Roman" w:cs="Times New Roman"/>
                <w:color w:val="auto"/>
                <w:spacing w:val="-2"/>
                <w:position w:val="-1"/>
                <w:sz w:val="13"/>
                <w:szCs w:val="13"/>
                <w:highlight w:val="none"/>
              </w:rPr>
              <w:t>5</w:t>
            </w:r>
            <w:r>
              <w:rPr>
                <w:rFonts w:hint="default" w:ascii="Times New Roman" w:hAnsi="Times New Roman" w:cs="Times New Roman"/>
                <w:color w:val="auto"/>
                <w:spacing w:val="-2"/>
                <w:highlight w:val="none"/>
              </w:rPr>
              <w:t>、氨</w:t>
            </w:r>
            <w:r>
              <w:rPr>
                <w:rFonts w:hint="default" w:ascii="Times New Roman" w:hAnsi="Times New Roman" w:cs="Times New Roman"/>
                <w:color w:val="auto"/>
                <w:spacing w:val="-7"/>
                <w:highlight w:val="none"/>
              </w:rPr>
              <w:t>氮、总氮、</w:t>
            </w:r>
          </w:p>
          <w:p w14:paraId="31DF224F">
            <w:pPr>
              <w:pStyle w:val="143"/>
              <w:keepNext w:val="0"/>
              <w:keepLines w:val="0"/>
              <w:suppressLineNumbers w:val="0"/>
              <w:spacing w:before="23" w:beforeAutospacing="0" w:after="0" w:afterAutospacing="0" w:line="198" w:lineRule="auto"/>
              <w:ind w:left="215" w:leftChars="0" w:right="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pacing w:val="-3"/>
                <w:highlight w:val="none"/>
              </w:rPr>
              <w:t>总磷、</w:t>
            </w:r>
            <w:r>
              <w:rPr>
                <w:rFonts w:hint="default" w:ascii="Times New Roman" w:hAnsi="Times New Roman" w:eastAsia="Times New Roman" w:cs="Times New Roman"/>
                <w:color w:val="auto"/>
                <w:spacing w:val="-3"/>
                <w:highlight w:val="none"/>
              </w:rPr>
              <w:t>SS</w:t>
            </w:r>
          </w:p>
        </w:tc>
        <w:tc>
          <w:tcPr>
            <w:tcW w:w="2217" w:type="dxa"/>
            <w:gridSpan w:val="2"/>
            <w:tcBorders>
              <w:top w:val="single" w:color="000000" w:sz="4" w:space="0"/>
              <w:left w:val="single" w:color="auto" w:sz="4" w:space="0"/>
              <w:bottom w:val="single" w:color="auto" w:sz="4" w:space="0"/>
              <w:right w:val="single" w:color="auto" w:sz="4" w:space="0"/>
            </w:tcBorders>
            <w:noWrap w:val="0"/>
            <w:vAlign w:val="top"/>
          </w:tcPr>
          <w:p w14:paraId="69814A9D">
            <w:pPr>
              <w:pStyle w:val="143"/>
              <w:keepNext w:val="0"/>
              <w:keepLines w:val="0"/>
              <w:suppressLineNumbers w:val="0"/>
              <w:spacing w:before="68" w:beforeAutospacing="0" w:after="0" w:afterAutospacing="0" w:line="229" w:lineRule="auto"/>
              <w:ind w:left="0" w:right="181" w:right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highlight w:val="none"/>
                <w:u w:val="none" w:color="auto"/>
              </w:rPr>
              <w:t>化粪池预处理后排入市政污水管网，最</w:t>
            </w:r>
            <w:r>
              <w:rPr>
                <w:rFonts w:hint="default" w:ascii="Times New Roman" w:hAnsi="Times New Roman"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p>
        </w:tc>
        <w:tc>
          <w:tcPr>
            <w:tcW w:w="3037" w:type="dxa"/>
            <w:tcBorders>
              <w:top w:val="single" w:color="000000" w:sz="4" w:space="0"/>
              <w:left w:val="single" w:color="auto" w:sz="4" w:space="0"/>
              <w:bottom w:val="single" w:color="auto" w:sz="4" w:space="0"/>
              <w:right w:val="single" w:color="auto" w:sz="4" w:space="0"/>
            </w:tcBorders>
            <w:noWrap w:val="0"/>
            <w:vAlign w:val="top"/>
          </w:tcPr>
          <w:p w14:paraId="6CB72C96">
            <w:pPr>
              <w:pStyle w:val="143"/>
              <w:keepNext w:val="0"/>
              <w:keepLines w:val="0"/>
              <w:suppressLineNumbers w:val="0"/>
              <w:spacing w:before="175" w:beforeAutospacing="0" w:after="0" w:afterAutospacing="0" w:line="234" w:lineRule="auto"/>
              <w:ind w:left="0" w:leftChars="0" w:right="79" w:rightChars="0" w:firstLine="0" w:firstLineChars="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《污水综合排放标准》（DB12/356-2018）（三级）</w:t>
            </w:r>
            <w:r>
              <w:rPr>
                <w:rFonts w:hint="eastAsia" w:ascii="宋体" w:hAnsi="宋体"/>
                <w:b w:val="0"/>
                <w:bCs w:val="0"/>
                <w:color w:val="auto"/>
                <w:sz w:val="21"/>
                <w:szCs w:val="21"/>
                <w:highlight w:val="none"/>
                <w:u w:val="none"/>
                <w:lang w:val="en-US" w:eastAsia="zh-CN"/>
              </w:rPr>
              <w:t>及</w:t>
            </w:r>
            <w:r>
              <w:rPr>
                <w:rFonts w:hint="eastAsia" w:ascii="宋体" w:hAnsi="宋体"/>
                <w:b w:val="0"/>
                <w:bCs w:val="0"/>
                <w:color w:val="auto"/>
                <w:sz w:val="21"/>
                <w:szCs w:val="21"/>
                <w:highlight w:val="none"/>
                <w:u w:val="none"/>
                <w:lang w:eastAsia="zh-CN"/>
              </w:rPr>
              <w:t>大榄坪污水处理厂</w:t>
            </w:r>
            <w:r>
              <w:rPr>
                <w:rFonts w:hint="eastAsia" w:ascii="宋体" w:hAnsi="宋体"/>
                <w:b w:val="0"/>
                <w:bCs w:val="0"/>
                <w:color w:val="auto"/>
                <w:sz w:val="21"/>
                <w:szCs w:val="21"/>
                <w:highlight w:val="none"/>
                <w:u w:val="none"/>
                <w:lang w:val="en-US" w:eastAsia="zh-CN"/>
              </w:rPr>
              <w:t>进水水质要求</w:t>
            </w:r>
            <w:r>
              <w:rPr>
                <w:rFonts w:hint="default" w:ascii="Times New Roman" w:hAnsi="Times New Roman" w:eastAsia="宋体" w:cs="Times New Roman"/>
                <w:caps w:val="0"/>
                <w:color w:val="auto"/>
                <w:sz w:val="21"/>
                <w:szCs w:val="21"/>
                <w:highlight w:val="none"/>
                <w:u w:val="none"/>
                <w:lang w:eastAsia="zh-CN"/>
              </w:rPr>
              <w:t>，</w:t>
            </w:r>
            <w:r>
              <w:rPr>
                <w:rFonts w:hint="default" w:ascii="Times New Roman" w:hAnsi="Times New Roman" w:eastAsia="宋体" w:cs="Times New Roman"/>
                <w:caps w:val="0"/>
                <w:color w:val="auto"/>
                <w:sz w:val="21"/>
                <w:szCs w:val="21"/>
                <w:highlight w:val="none"/>
                <w:u w:val="none"/>
                <w:lang w:val="en-US" w:eastAsia="zh-CN"/>
              </w:rPr>
              <w:t>接入</w:t>
            </w:r>
            <w:r>
              <w:rPr>
                <w:rFonts w:hint="default" w:ascii="Times New Roman" w:hAnsi="Times New Roman" w:eastAsia="宋体" w:cs="Times New Roman"/>
                <w:caps w:val="0"/>
                <w:color w:val="auto"/>
                <w:sz w:val="21"/>
                <w:szCs w:val="21"/>
                <w:highlight w:val="none"/>
                <w:u w:val="none"/>
              </w:rPr>
              <w:t>大榄坪污水处理厂。</w:t>
            </w:r>
          </w:p>
        </w:tc>
      </w:tr>
      <w:tr w14:paraId="5EA4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tcBorders>
              <w:left w:val="single" w:color="auto" w:sz="4" w:space="0"/>
              <w:right w:val="single" w:color="auto" w:sz="4" w:space="0"/>
            </w:tcBorders>
            <w:noWrap w:val="0"/>
            <w:vAlign w:val="center"/>
          </w:tcPr>
          <w:p w14:paraId="05F0238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声环境</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73425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highlight w:val="none"/>
              </w:rPr>
              <w:t>设备运行</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6237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等效A声级</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624FA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u w:val="none"/>
                <w:lang w:val="en-US"/>
              </w:rPr>
              <w:t>做好生产设备维护工作，</w:t>
            </w:r>
            <w:r>
              <w:rPr>
                <w:rFonts w:hint="default" w:ascii="Times New Roman" w:hAnsi="Times New Roman" w:cs="Times New Roman"/>
                <w:caps w:val="0"/>
                <w:smallCaps w:val="0"/>
                <w:color w:val="auto"/>
                <w:sz w:val="21"/>
                <w:szCs w:val="21"/>
                <w:highlight w:val="none"/>
                <w:u w:val="none"/>
                <w:lang w:val="en-US" w:eastAsia="zh-CN"/>
              </w:rPr>
              <w:t>选用低噪声设备</w:t>
            </w:r>
          </w:p>
        </w:tc>
        <w:tc>
          <w:tcPr>
            <w:tcW w:w="3042" w:type="dxa"/>
            <w:gridSpan w:val="2"/>
            <w:tcBorders>
              <w:top w:val="single" w:color="auto" w:sz="4" w:space="0"/>
              <w:left w:val="single" w:color="auto" w:sz="4" w:space="0"/>
              <w:right w:val="single" w:color="auto" w:sz="4" w:space="0"/>
            </w:tcBorders>
            <w:noWrap w:val="0"/>
            <w:vAlign w:val="center"/>
          </w:tcPr>
          <w:p w14:paraId="220B0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《工业企业厂界环境噪声排放标准》</w:t>
            </w:r>
            <w:r>
              <w:rPr>
                <w:rFonts w:hint="default" w:ascii="Times New Roman" w:hAnsi="Times New Roman"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rPr>
              <w:t>GB12348-2008</w:t>
            </w:r>
            <w:r>
              <w:rPr>
                <w:rFonts w:hint="default" w:ascii="Times New Roman" w:hAnsi="Times New Roman"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lang w:val="en-US" w:eastAsia="zh-CN"/>
              </w:rPr>
              <w:t>3</w:t>
            </w:r>
            <w:r>
              <w:rPr>
                <w:rFonts w:hint="default" w:ascii="Times New Roman" w:hAnsi="Times New Roman" w:cs="Times New Roman"/>
                <w:color w:val="auto"/>
                <w:spacing w:val="4"/>
                <w:sz w:val="21"/>
                <w:szCs w:val="21"/>
                <w:highlight w:val="none"/>
              </w:rPr>
              <w:t>类</w:t>
            </w:r>
            <w:r>
              <w:rPr>
                <w:rFonts w:hint="default" w:ascii="Times New Roman" w:hAnsi="Times New Roman" w:cs="Times New Roman"/>
                <w:color w:val="auto"/>
                <w:spacing w:val="4"/>
                <w:sz w:val="21"/>
                <w:szCs w:val="21"/>
                <w:highlight w:val="none"/>
                <w:lang w:eastAsia="zh-CN"/>
              </w:rPr>
              <w:t>标准</w:t>
            </w:r>
          </w:p>
        </w:tc>
      </w:tr>
      <w:tr w14:paraId="47A7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tcBorders>
              <w:left w:val="single" w:color="auto" w:sz="4" w:space="0"/>
              <w:right w:val="single" w:color="auto" w:sz="4" w:space="0"/>
            </w:tcBorders>
            <w:noWrap w:val="0"/>
            <w:vAlign w:val="center"/>
          </w:tcPr>
          <w:p w14:paraId="6EB03BC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w:t>
            </w:r>
          </w:p>
        </w:tc>
        <w:tc>
          <w:tcPr>
            <w:tcW w:w="1237" w:type="dxa"/>
            <w:tcBorders>
              <w:left w:val="single" w:color="auto" w:sz="4" w:space="0"/>
              <w:bottom w:val="single" w:color="auto" w:sz="4" w:space="0"/>
              <w:right w:val="single" w:color="auto" w:sz="4" w:space="0"/>
            </w:tcBorders>
            <w:noWrap w:val="0"/>
            <w:vAlign w:val="center"/>
          </w:tcPr>
          <w:p w14:paraId="4ED901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2"/>
                <w:sz w:val="21"/>
                <w:szCs w:val="21"/>
                <w:highlight w:val="none"/>
                <w:lang w:val="en-US" w:eastAsia="zh-CN" w:bidi="ar-SA"/>
              </w:rPr>
              <w:t>危险废物暂存间</w:t>
            </w:r>
            <w:r>
              <w:rPr>
                <w:rFonts w:hint="eastAsia" w:cs="Times New Roman"/>
                <w:color w:val="auto"/>
                <w:kern w:val="2"/>
                <w:sz w:val="21"/>
                <w:szCs w:val="21"/>
                <w:highlight w:val="none"/>
                <w:lang w:val="en-US" w:eastAsia="zh-CN" w:bidi="ar-SA"/>
              </w:rPr>
              <w:t>（依托）</w:t>
            </w:r>
          </w:p>
        </w:tc>
        <w:tc>
          <w:tcPr>
            <w:tcW w:w="1409" w:type="dxa"/>
            <w:gridSpan w:val="2"/>
            <w:tcBorders>
              <w:left w:val="single" w:color="auto" w:sz="4" w:space="0"/>
              <w:right w:val="single" w:color="auto" w:sz="4" w:space="0"/>
            </w:tcBorders>
            <w:noWrap w:val="0"/>
            <w:vAlign w:val="center"/>
          </w:tcPr>
          <w:p w14:paraId="713A9F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危险废物</w:t>
            </w:r>
          </w:p>
        </w:tc>
        <w:tc>
          <w:tcPr>
            <w:tcW w:w="2217" w:type="dxa"/>
            <w:gridSpan w:val="2"/>
            <w:tcBorders>
              <w:left w:val="single" w:color="auto" w:sz="4" w:space="0"/>
              <w:right w:val="single" w:color="auto" w:sz="4" w:space="0"/>
            </w:tcBorders>
            <w:noWrap w:val="0"/>
            <w:vAlign w:val="center"/>
          </w:tcPr>
          <w:p w14:paraId="5FDD515D">
            <w:pPr>
              <w:keepNext w:val="0"/>
              <w:keepLines w:val="0"/>
              <w:pageBreakBefore w:val="0"/>
              <w:suppressLineNumbers w:val="0"/>
              <w:tabs>
                <w:tab w:val="left" w:pos="62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分类分区临时贮存于危废暂存间，</w:t>
            </w:r>
            <w:r>
              <w:rPr>
                <w:rFonts w:hint="default" w:ascii="Times New Roman" w:hAnsi="Times New Roman" w:cs="Times New Roman"/>
                <w:color w:val="auto"/>
                <w:sz w:val="21"/>
                <w:szCs w:val="21"/>
                <w:highlight w:val="none"/>
                <w:lang w:eastAsia="zh-CN"/>
              </w:rPr>
              <w:t>定期</w:t>
            </w:r>
            <w:r>
              <w:rPr>
                <w:rFonts w:hint="default" w:ascii="Times New Roman" w:hAnsi="Times New Roman" w:cs="Times New Roman"/>
                <w:color w:val="auto"/>
                <w:sz w:val="21"/>
                <w:szCs w:val="21"/>
                <w:highlight w:val="none"/>
              </w:rPr>
              <w:t>委托有</w:t>
            </w:r>
            <w:r>
              <w:rPr>
                <w:rFonts w:hint="default" w:ascii="Times New Roman" w:hAnsi="Times New Roman" w:cs="Times New Roman"/>
                <w:color w:val="auto"/>
                <w:sz w:val="21"/>
                <w:szCs w:val="21"/>
                <w:highlight w:val="none"/>
                <w:lang w:eastAsia="zh-CN"/>
              </w:rPr>
              <w:t>危险废物</w:t>
            </w:r>
            <w:r>
              <w:rPr>
                <w:rFonts w:hint="default" w:ascii="Times New Roman" w:hAnsi="Times New Roman" w:cs="Times New Roman"/>
                <w:color w:val="auto"/>
                <w:sz w:val="21"/>
                <w:szCs w:val="21"/>
                <w:highlight w:val="none"/>
              </w:rPr>
              <w:t>处置资质的单位进行处置</w:t>
            </w:r>
          </w:p>
        </w:tc>
        <w:tc>
          <w:tcPr>
            <w:tcW w:w="3042" w:type="dxa"/>
            <w:gridSpan w:val="2"/>
            <w:tcBorders>
              <w:left w:val="single" w:color="auto" w:sz="4" w:space="0"/>
              <w:right w:val="single" w:color="auto" w:sz="4" w:space="0"/>
            </w:tcBorders>
            <w:noWrap w:val="0"/>
            <w:vAlign w:val="center"/>
          </w:tcPr>
          <w:p w14:paraId="5FFE1D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p>
        </w:tc>
      </w:tr>
      <w:tr w14:paraId="59AA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1FCFD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19C9E3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源头控制，分区防渗</w:t>
            </w:r>
          </w:p>
        </w:tc>
      </w:tr>
      <w:tr w14:paraId="6448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62C94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09DA68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bidi="en-US"/>
              </w:rPr>
              <w:t>无</w:t>
            </w:r>
          </w:p>
        </w:tc>
      </w:tr>
      <w:tr w14:paraId="08D0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59FB8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14:paraId="62F2F6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防范措施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06636DE3">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①严格按照相关设计规范和要求落实防护设施，制定安全操作规章制度，加强安全意识教育，加强监督管理，消除事故隐患。</w:t>
            </w:r>
          </w:p>
          <w:p w14:paraId="192A2D61">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②各类油漆、危险废物包装应完好无损，不同危险废物之间应隔开存放。</w:t>
            </w:r>
          </w:p>
          <w:p w14:paraId="4205AC27">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③配备相应的置换桶，废机油、漆料等发生泄漏时可以安全转移。</w:t>
            </w:r>
          </w:p>
          <w:p w14:paraId="06906513">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④</w:t>
            </w:r>
            <w:bookmarkStart w:id="18" w:name="OLE_LINK44"/>
            <w:r>
              <w:rPr>
                <w:rFonts w:hint="eastAsia" w:ascii="宋体" w:hAnsi="宋体" w:eastAsia="宋体" w:cs="Times New Roman"/>
                <w:color w:val="auto"/>
                <w:szCs w:val="21"/>
                <w:highlight w:val="none"/>
                <w:u w:val="none"/>
                <w:lang w:val="en-US" w:eastAsia="zh-CN"/>
              </w:rPr>
              <w:t>油漆库、危险废物贮存库内设置堵截泄漏的围堰</w:t>
            </w:r>
            <w:bookmarkEnd w:id="18"/>
            <w:r>
              <w:rPr>
                <w:rFonts w:hint="eastAsia" w:ascii="宋体" w:hAnsi="宋体" w:eastAsia="宋体" w:cs="Times New Roman"/>
                <w:color w:val="auto"/>
                <w:szCs w:val="21"/>
                <w:highlight w:val="none"/>
                <w:u w:val="none"/>
                <w:lang w:val="en-US" w:eastAsia="zh-CN"/>
              </w:rPr>
              <w:t>，其与地面、墙面裙脚和墙体等应采用坚固的材料建造，表面无裂缝。</w:t>
            </w:r>
          </w:p>
          <w:p w14:paraId="21331B1D">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⑤油漆库和危险废物贮存库保持一定的通风条件，并配备相应消防设施(如灭火器等)。</w:t>
            </w:r>
          </w:p>
          <w:p w14:paraId="578E676A">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⑥</w:t>
            </w:r>
            <w:r>
              <w:rPr>
                <w:rFonts w:hint="eastAsia" w:ascii="宋体" w:hAnsi="宋体" w:cs="Times New Roman"/>
                <w:color w:val="auto"/>
                <w:szCs w:val="21"/>
                <w:highlight w:val="none"/>
                <w:u w:val="none"/>
                <w:lang w:val="en-US" w:eastAsia="zh-CN"/>
              </w:rPr>
              <w:t>刷漆</w:t>
            </w:r>
            <w:r>
              <w:rPr>
                <w:rFonts w:hint="eastAsia" w:ascii="宋体" w:hAnsi="宋体" w:eastAsia="宋体" w:cs="Times New Roman"/>
                <w:color w:val="auto"/>
                <w:szCs w:val="21"/>
                <w:highlight w:val="none"/>
                <w:u w:val="none"/>
                <w:lang w:val="en-US" w:eastAsia="zh-CN"/>
              </w:rPr>
              <w:t>车间设警戒标语和标识牌，设干粉灭火器，并设置排风扇，正常工况开启30%，保持车间内通风畅通。若发生泄漏事故应开启全部排风扇。</w:t>
            </w:r>
          </w:p>
          <w:p w14:paraId="1F053447">
            <w:pPr>
              <w:keepNext w:val="0"/>
              <w:keepLines w:val="0"/>
              <w:suppressLineNumbers w:val="0"/>
              <w:adjustRightInd w:val="0"/>
              <w:snapToGrid w:val="0"/>
              <w:spacing w:before="0" w:beforeAutospacing="0" w:after="0" w:afterAutospacing="0" w:line="240" w:lineRule="auto"/>
              <w:ind w:left="0" w:right="0" w:firstLine="420" w:firstLineChars="200"/>
              <w:jc w:val="both"/>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⑦对设备定期进行维修维护，并做好相关记录，防止设备故障造成漆料泄漏事故，同时建立巡检制度，发现泄漏事故及时采取措施。</w:t>
            </w:r>
          </w:p>
          <w:p w14:paraId="4D9D7548">
            <w:pPr>
              <w:keepNext w:val="0"/>
              <w:keepLines w:val="0"/>
              <w:suppressLineNumbers w:val="0"/>
              <w:adjustRightInd w:val="0"/>
              <w:snapToGrid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cs="Times New Roman"/>
                <w:color w:val="auto"/>
                <w:szCs w:val="21"/>
                <w:highlight w:val="none"/>
                <w:u w:val="none"/>
                <w:lang w:val="en-US" w:eastAsia="zh-CN"/>
              </w:rPr>
              <w:t>⑧</w:t>
            </w:r>
            <w:r>
              <w:rPr>
                <w:rFonts w:hint="default" w:ascii="Times New Roman" w:hAnsi="Times New Roman" w:eastAsia="宋体" w:cs="Times New Roman"/>
                <w:color w:val="auto"/>
                <w:sz w:val="21"/>
                <w:szCs w:val="21"/>
                <w:highlight w:val="none"/>
                <w:u w:val="none"/>
                <w:lang w:eastAsia="zh-CN"/>
              </w:rPr>
              <w:t>项目纳入现有项目（</w:t>
            </w:r>
            <w:r>
              <w:rPr>
                <w:rFonts w:hint="default" w:ascii="Times New Roman" w:hAnsi="Times New Roman" w:eastAsia="宋体" w:cs="Times New Roman"/>
                <w:color w:val="auto"/>
                <w:sz w:val="21"/>
                <w:szCs w:val="21"/>
                <w:highlight w:val="none"/>
                <w:u w:val="none"/>
                <w:lang w:val="en-US" w:eastAsia="zh-CN"/>
              </w:rPr>
              <w:t>广西北部湾国际集装箱码头有限公司</w:t>
            </w:r>
            <w:r>
              <w:rPr>
                <w:rFonts w:hint="default" w:ascii="Times New Roman" w:hAnsi="Times New Roman" w:eastAsia="宋体" w:cs="Times New Roman"/>
                <w:color w:val="auto"/>
                <w:sz w:val="21"/>
                <w:szCs w:val="21"/>
                <w:highlight w:val="none"/>
                <w:u w:val="none"/>
                <w:lang w:eastAsia="zh-CN"/>
              </w:rPr>
              <w:t>）统一</w:t>
            </w:r>
            <w:r>
              <w:rPr>
                <w:rFonts w:hint="default" w:ascii="Times New Roman" w:hAnsi="Times New Roman" w:cs="Times New Roman"/>
                <w:color w:val="auto"/>
                <w:sz w:val="21"/>
                <w:szCs w:val="21"/>
                <w:highlight w:val="none"/>
                <w:u w:val="none"/>
                <w:lang w:eastAsia="zh-CN"/>
              </w:rPr>
              <w:t>管理、现有项目（</w:t>
            </w:r>
            <w:r>
              <w:rPr>
                <w:rFonts w:hint="default" w:ascii="Times New Roman" w:hAnsi="Times New Roman" w:eastAsia="宋体" w:cs="Times New Roman"/>
                <w:color w:val="auto"/>
                <w:sz w:val="21"/>
                <w:szCs w:val="21"/>
                <w:highlight w:val="none"/>
                <w:u w:val="none"/>
                <w:lang w:val="en-US" w:eastAsia="zh-CN"/>
              </w:rPr>
              <w:t>广西北部湾国际集装箱码头有限公司</w:t>
            </w:r>
            <w:r>
              <w:rPr>
                <w:rFonts w:hint="default" w:ascii="Times New Roman" w:hAnsi="Times New Roman" w:cs="Times New Roman"/>
                <w:color w:val="auto"/>
                <w:sz w:val="21"/>
                <w:szCs w:val="21"/>
                <w:highlight w:val="none"/>
                <w:u w:val="none"/>
                <w:lang w:eastAsia="zh-CN"/>
              </w:rPr>
              <w:t>）已按相关规定制定突发环境事件应急预案</w:t>
            </w:r>
            <w:r>
              <w:rPr>
                <w:rFonts w:hint="default" w:ascii="Times New Roman" w:hAnsi="Times New Roman" w:eastAsia="宋体" w:cs="Times New Roman"/>
                <w:color w:val="auto"/>
                <w:sz w:val="21"/>
                <w:szCs w:val="21"/>
                <w:highlight w:val="none"/>
                <w:u w:val="none"/>
              </w:rPr>
              <w:t>。</w:t>
            </w:r>
          </w:p>
        </w:tc>
      </w:tr>
      <w:tr w14:paraId="6386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3E63D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14:paraId="6C223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管理要求</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27A1B380">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排污口规范化管理：废气排放口、噪声源和固体废物贮存必须按照国家和地方的有关规定进行建设，应符合“一明显、二合理、三便于”的要求，即环保标志明显，排污口（接管口）设置合理，便于采集样品、便于监测计量、便于监督管理。同时要求按照</w:t>
            </w:r>
            <w:r>
              <w:rPr>
                <w:rFonts w:hint="eastAsia" w:ascii="宋体" w:hAnsi="宋体" w:cs="Times New Roman"/>
                <w:color w:val="auto"/>
                <w:szCs w:val="21"/>
                <w:highlight w:val="none"/>
                <w:u w:val="none"/>
                <w:lang w:val="en-US" w:eastAsia="zh-CN"/>
              </w:rPr>
              <w:t>生态环境部</w:t>
            </w:r>
            <w:r>
              <w:rPr>
                <w:rFonts w:hint="eastAsia" w:ascii="宋体" w:hAnsi="宋体" w:eastAsia="宋体" w:cs="Times New Roman"/>
                <w:color w:val="auto"/>
                <w:szCs w:val="21"/>
                <w:highlight w:val="none"/>
                <w:u w:val="none"/>
                <w:lang w:val="en-US" w:eastAsia="zh-CN"/>
              </w:rPr>
              <w:t>制定的《环境保护图形标志实施细则（试行）》的规定，设置与排污口相应的图形标志牌。</w:t>
            </w:r>
          </w:p>
          <w:p w14:paraId="37D38A24">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eastAsia="zh-CN"/>
              </w:rPr>
              <w:t>排污许可制度：根据《固定污染源排污许可分类管理名录（2019年版）》，建设单位生产属于“三十八、金属制品、机械和设备修理业43—94.金属制品修理---</w:t>
            </w:r>
            <w:r>
              <w:rPr>
                <w:rFonts w:hint="eastAsia" w:ascii="宋体" w:hAnsi="宋体" w:cs="Times New Roman"/>
                <w:color w:val="auto"/>
                <w:szCs w:val="21"/>
                <w:highlight w:val="none"/>
                <w:u w:val="none"/>
                <w:lang w:val="en-US" w:eastAsia="zh-CN"/>
              </w:rPr>
              <w:t>其他</w:t>
            </w:r>
            <w:r>
              <w:rPr>
                <w:rFonts w:hint="eastAsia" w:ascii="宋体" w:hAnsi="宋体" w:eastAsia="宋体" w:cs="Times New Roman"/>
                <w:color w:val="auto"/>
                <w:szCs w:val="21"/>
                <w:highlight w:val="none"/>
                <w:u w:val="none"/>
                <w:lang w:val="en-US" w:eastAsia="zh-CN"/>
              </w:rPr>
              <w:t>”类别，属于实施</w:t>
            </w:r>
            <w:r>
              <w:rPr>
                <w:rFonts w:hint="eastAsia" w:ascii="宋体" w:hAnsi="宋体" w:cs="Times New Roman"/>
                <w:color w:val="auto"/>
                <w:szCs w:val="21"/>
                <w:highlight w:val="none"/>
                <w:u w:val="none"/>
                <w:lang w:val="en-US" w:eastAsia="zh-CN"/>
              </w:rPr>
              <w:t>登记</w:t>
            </w:r>
            <w:r>
              <w:rPr>
                <w:rFonts w:hint="eastAsia" w:ascii="宋体" w:hAnsi="宋体" w:eastAsia="宋体" w:cs="Times New Roman"/>
                <w:color w:val="auto"/>
                <w:szCs w:val="21"/>
                <w:highlight w:val="none"/>
                <w:u w:val="none"/>
                <w:lang w:val="en-US" w:eastAsia="zh-CN"/>
              </w:rPr>
              <w:t>管理的类别，建设单位应当在启动生产设施或者发生实际排污之前进行排污</w:t>
            </w:r>
            <w:r>
              <w:rPr>
                <w:rFonts w:hint="eastAsia" w:ascii="宋体" w:hAnsi="宋体" w:cs="Times New Roman"/>
                <w:color w:val="auto"/>
                <w:szCs w:val="21"/>
                <w:highlight w:val="none"/>
                <w:u w:val="none"/>
                <w:lang w:val="en-US" w:eastAsia="zh-CN"/>
              </w:rPr>
              <w:t>登记</w:t>
            </w:r>
            <w:r>
              <w:rPr>
                <w:rFonts w:hint="eastAsia" w:ascii="宋体" w:hAnsi="宋体" w:eastAsia="宋体" w:cs="Times New Roman"/>
                <w:color w:val="auto"/>
                <w:szCs w:val="21"/>
                <w:highlight w:val="none"/>
                <w:u w:val="none"/>
                <w:lang w:val="en-US" w:eastAsia="zh-CN"/>
              </w:rPr>
              <w:t>。</w:t>
            </w:r>
          </w:p>
          <w:p w14:paraId="144F86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ascii="宋体" w:hAnsi="宋体" w:eastAsia="宋体" w:cs="Times New Roman"/>
                <w:color w:val="auto"/>
                <w:szCs w:val="21"/>
                <w:highlight w:val="none"/>
                <w:u w:val="none"/>
                <w:lang w:val="en-US" w:eastAsia="zh-CN"/>
              </w:rPr>
              <w:t>环保验收：本项目竣工后建设单位应依据《建设项目环境保护管理条例》和《建设项目竣工环境保护验收暂行办法</w:t>
            </w:r>
            <w:r>
              <w:rPr>
                <w:rFonts w:hint="eastAsia" w:ascii="宋体" w:hAnsi="宋体" w:cs="Times New Roman"/>
                <w:color w:val="auto"/>
                <w:szCs w:val="21"/>
                <w:highlight w:val="none"/>
                <w:u w:val="none"/>
                <w:lang w:val="en-US" w:eastAsia="zh-CN"/>
              </w:rPr>
              <w:t>》《</w:t>
            </w:r>
            <w:r>
              <w:rPr>
                <w:rFonts w:hint="eastAsia" w:ascii="宋体" w:hAnsi="宋体" w:eastAsia="宋体" w:cs="Times New Roman"/>
                <w:color w:val="auto"/>
                <w:szCs w:val="21"/>
                <w:highlight w:val="none"/>
                <w:u w:val="none"/>
                <w:lang w:val="en-US" w:eastAsia="zh-CN"/>
              </w:rPr>
              <w:t>建设项目竣工环境保护验收技术指南污染影响类》等相关文件，对配套建设的环境保护设施进行验收，编制验收报告。</w:t>
            </w:r>
          </w:p>
        </w:tc>
      </w:tr>
    </w:tbl>
    <w:p w14:paraId="2E1C30A2">
      <w:pPr>
        <w:pStyle w:val="4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bookmarkStart w:id="19" w:name="_Toc19274"/>
      <w:r>
        <w:rPr>
          <w:rFonts w:hint="default" w:ascii="Times New Roman" w:hAnsi="Times New Roman" w:eastAsia="黑体" w:cs="Times New Roman"/>
          <w:snapToGrid w:val="0"/>
          <w:color w:val="auto"/>
          <w:sz w:val="30"/>
          <w:szCs w:val="30"/>
          <w:highlight w:val="none"/>
        </w:rPr>
        <w:t>六、结论</w:t>
      </w:r>
      <w:bookmarkEnd w:id="19"/>
    </w:p>
    <w:tbl>
      <w:tblPr>
        <w:tblStyle w:val="4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1A3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6" w:hRule="atLeast"/>
          <w:jc w:val="center"/>
        </w:trPr>
        <w:tc>
          <w:tcPr>
            <w:tcW w:w="8865" w:type="dxa"/>
            <w:noWrap w:val="0"/>
            <w:vAlign w:val="top"/>
          </w:tcPr>
          <w:p w14:paraId="6BEA29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广西北部湾国际集装箱码头有限公司集装箱修理项目</w:t>
            </w:r>
            <w:r>
              <w:rPr>
                <w:rFonts w:hint="default" w:ascii="Times New Roman" w:hAnsi="Times New Roman" w:cs="Times New Roman"/>
                <w:color w:val="auto"/>
                <w:sz w:val="24"/>
                <w:highlight w:val="none"/>
              </w:rPr>
              <w:t>符合国家产业政策，选址符合当地规划。项目总</w:t>
            </w:r>
            <w:r>
              <w:rPr>
                <w:rFonts w:hint="default" w:ascii="Times New Roman" w:hAnsi="Times New Roman" w:cs="Times New Roman"/>
                <w:color w:val="auto"/>
                <w:sz w:val="24"/>
                <w:highlight w:val="none"/>
                <w:lang w:eastAsia="zh-CN"/>
              </w:rPr>
              <w:t>平</w:t>
            </w:r>
            <w:r>
              <w:rPr>
                <w:rFonts w:hint="default" w:ascii="Times New Roman" w:hAnsi="Times New Roman" w:cs="Times New Roman"/>
                <w:color w:val="auto"/>
                <w:sz w:val="24"/>
                <w:highlight w:val="none"/>
              </w:rPr>
              <w:t>布置基本合理，拟采取的污染防治措施属于可行技术，可使污染物达标排放。项目只要全面严格落实环境影响报告表和工程设计提出的环保对策及措施，严格执行“三同时”制度，确保项目产生的污染物达标排放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则本项目的建设从</w:t>
            </w:r>
            <w:r>
              <w:rPr>
                <w:rFonts w:hint="default" w:ascii="Times New Roman" w:hAnsi="Times New Roman" w:cs="Times New Roman"/>
                <w:color w:val="auto"/>
                <w:sz w:val="24"/>
                <w:highlight w:val="none"/>
                <w:lang w:eastAsia="zh-CN"/>
              </w:rPr>
              <w:t>环境保护</w:t>
            </w:r>
            <w:r>
              <w:rPr>
                <w:rFonts w:hint="default" w:ascii="Times New Roman" w:hAnsi="Times New Roman" w:cs="Times New Roman"/>
                <w:color w:val="auto"/>
                <w:sz w:val="24"/>
                <w:highlight w:val="none"/>
              </w:rPr>
              <w:t>角度上</w:t>
            </w:r>
            <w:r>
              <w:rPr>
                <w:rFonts w:hint="default" w:ascii="Times New Roman" w:hAnsi="Times New Roman" w:cs="Times New Roman"/>
                <w:color w:val="auto"/>
                <w:sz w:val="24"/>
                <w:highlight w:val="none"/>
                <w:lang w:eastAsia="zh-CN"/>
              </w:rPr>
              <w:t>分析</w:t>
            </w:r>
            <w:r>
              <w:rPr>
                <w:rFonts w:hint="default" w:ascii="Times New Roman" w:hAnsi="Times New Roman" w:cs="Times New Roman"/>
                <w:color w:val="auto"/>
                <w:sz w:val="24"/>
                <w:highlight w:val="none"/>
              </w:rPr>
              <w:t>是可行的</w:t>
            </w:r>
            <w:r>
              <w:rPr>
                <w:rFonts w:hint="default" w:ascii="Times New Roman" w:hAnsi="Times New Roman" w:cs="Times New Roman"/>
                <w:color w:val="auto"/>
                <w:sz w:val="24"/>
                <w:highlight w:val="none"/>
                <w:lang w:eastAsia="zh-CN"/>
              </w:rPr>
              <w:t>。</w:t>
            </w:r>
          </w:p>
        </w:tc>
      </w:tr>
    </w:tbl>
    <w:p w14:paraId="4D089E3C">
      <w:pPr>
        <w:rPr>
          <w:rFonts w:hint="default" w:ascii="Times New Roman" w:hAnsi="Times New Roman" w:cs="Times New Roman"/>
          <w:color w:val="auto"/>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A424FE2">
      <w:pPr>
        <w:pStyle w:val="41"/>
        <w:adjustRightInd w:val="0"/>
        <w:snapToGrid w:val="0"/>
        <w:spacing w:before="0" w:beforeAutospacing="0" w:after="0" w:afterAutospacing="0"/>
        <w:jc w:val="center"/>
        <w:outlineLvl w:val="9"/>
        <w:rPr>
          <w:rFonts w:hint="default" w:ascii="Times New Roman" w:hAnsi="Times New Roman" w:cs="Times New Roman"/>
          <w:b/>
          <w:bCs/>
          <w:snapToGrid w:val="0"/>
          <w:color w:val="auto"/>
          <w:sz w:val="38"/>
          <w:szCs w:val="38"/>
          <w:highlight w:val="none"/>
          <w:u w:val="none"/>
        </w:rPr>
      </w:pPr>
      <w:r>
        <w:rPr>
          <w:rFonts w:hint="default" w:ascii="Times New Roman" w:hAnsi="Times New Roman" w:cs="Times New Roman"/>
          <w:b/>
          <w:bCs/>
          <w:snapToGrid w:val="0"/>
          <w:color w:val="auto"/>
          <w:sz w:val="38"/>
          <w:szCs w:val="38"/>
          <w:highlight w:val="none"/>
          <w:u w:val="none"/>
        </w:rPr>
        <w:t>建设项目污染物排放量汇总表</w:t>
      </w:r>
    </w:p>
    <w:tbl>
      <w:tblPr>
        <w:tblStyle w:val="46"/>
        <w:tblW w:w="138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778"/>
        <w:gridCol w:w="1607"/>
        <w:gridCol w:w="1276"/>
        <w:gridCol w:w="1701"/>
        <w:gridCol w:w="1559"/>
        <w:gridCol w:w="1761"/>
        <w:gridCol w:w="1959"/>
        <w:gridCol w:w="1282"/>
      </w:tblGrid>
      <w:tr w14:paraId="543FC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tcBorders>
              <w:tl2br w:val="single" w:color="auto" w:sz="4" w:space="0"/>
            </w:tcBorders>
            <w:tcMar>
              <w:left w:w="28" w:type="dxa"/>
              <w:right w:w="28" w:type="dxa"/>
            </w:tcMar>
            <w:vAlign w:val="center"/>
          </w:tcPr>
          <w:p w14:paraId="17C8F0E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right"/>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项目</w:t>
            </w:r>
          </w:p>
          <w:p w14:paraId="4826C37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left"/>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分类</w:t>
            </w:r>
          </w:p>
        </w:tc>
        <w:tc>
          <w:tcPr>
            <w:tcW w:w="1778" w:type="dxa"/>
            <w:tcMar>
              <w:left w:w="28" w:type="dxa"/>
              <w:right w:w="28" w:type="dxa"/>
            </w:tcMar>
            <w:vAlign w:val="center"/>
          </w:tcPr>
          <w:p w14:paraId="65374F9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污染物名称</w:t>
            </w:r>
          </w:p>
        </w:tc>
        <w:tc>
          <w:tcPr>
            <w:tcW w:w="1607" w:type="dxa"/>
            <w:tcMar>
              <w:left w:w="28" w:type="dxa"/>
              <w:right w:w="28" w:type="dxa"/>
            </w:tcMar>
            <w:vAlign w:val="center"/>
          </w:tcPr>
          <w:p w14:paraId="296CC10D">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现有工程</w:t>
            </w:r>
          </w:p>
          <w:p w14:paraId="7385157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1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①</w:t>
            </w:r>
            <w:r>
              <w:rPr>
                <w:rFonts w:hint="default" w:ascii="Times New Roman" w:hAnsi="Times New Roman" w:cs="Times New Roman"/>
                <w:snapToGrid w:val="0"/>
                <w:color w:val="auto"/>
                <w:spacing w:val="-6"/>
                <w:kern w:val="21"/>
                <w:sz w:val="24"/>
                <w:szCs w:val="20"/>
                <w:highlight w:val="none"/>
                <w:u w:val="none"/>
              </w:rPr>
              <w:fldChar w:fldCharType="end"/>
            </w:r>
          </w:p>
        </w:tc>
        <w:tc>
          <w:tcPr>
            <w:tcW w:w="1276" w:type="dxa"/>
            <w:tcMar>
              <w:left w:w="28" w:type="dxa"/>
              <w:right w:w="28" w:type="dxa"/>
            </w:tcMar>
            <w:vAlign w:val="center"/>
          </w:tcPr>
          <w:p w14:paraId="31B66B0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现有工程</w:t>
            </w:r>
          </w:p>
          <w:p w14:paraId="0D6320F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许可排放量</w:t>
            </w:r>
          </w:p>
          <w:p w14:paraId="57E79878">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2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snapToGrid w:val="0"/>
                <w:color w:val="auto"/>
                <w:spacing w:val="-6"/>
                <w:kern w:val="21"/>
                <w:sz w:val="24"/>
                <w:szCs w:val="20"/>
                <w:highlight w:val="none"/>
                <w:u w:val="none"/>
              </w:rPr>
              <w:t>②</w:t>
            </w:r>
            <w:r>
              <w:rPr>
                <w:rFonts w:hint="default" w:ascii="Times New Roman" w:hAnsi="Times New Roman" w:cs="Times New Roman"/>
                <w:snapToGrid w:val="0"/>
                <w:color w:val="auto"/>
                <w:spacing w:val="-6"/>
                <w:kern w:val="21"/>
                <w:sz w:val="24"/>
                <w:szCs w:val="20"/>
                <w:highlight w:val="none"/>
                <w:u w:val="none"/>
              </w:rPr>
              <w:fldChar w:fldCharType="end"/>
            </w:r>
          </w:p>
        </w:tc>
        <w:tc>
          <w:tcPr>
            <w:tcW w:w="1701" w:type="dxa"/>
            <w:tcMar>
              <w:left w:w="28" w:type="dxa"/>
              <w:right w:w="28" w:type="dxa"/>
            </w:tcMar>
            <w:vAlign w:val="center"/>
          </w:tcPr>
          <w:p w14:paraId="7DFE37DD">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在建工程</w:t>
            </w:r>
          </w:p>
          <w:p w14:paraId="7B7A16B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3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③</w:t>
            </w:r>
            <w:r>
              <w:rPr>
                <w:rFonts w:hint="default" w:ascii="Times New Roman" w:hAnsi="Times New Roman" w:cs="Times New Roman"/>
                <w:snapToGrid w:val="0"/>
                <w:color w:val="auto"/>
                <w:spacing w:val="-6"/>
                <w:kern w:val="21"/>
                <w:sz w:val="24"/>
                <w:szCs w:val="20"/>
                <w:highlight w:val="none"/>
                <w:u w:val="none"/>
              </w:rPr>
              <w:fldChar w:fldCharType="end"/>
            </w:r>
          </w:p>
        </w:tc>
        <w:tc>
          <w:tcPr>
            <w:tcW w:w="1559" w:type="dxa"/>
            <w:tcMar>
              <w:left w:w="28" w:type="dxa"/>
              <w:right w:w="28" w:type="dxa"/>
            </w:tcMar>
            <w:vAlign w:val="center"/>
          </w:tcPr>
          <w:p w14:paraId="52D0B4F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本项目</w:t>
            </w:r>
          </w:p>
          <w:p w14:paraId="7F70151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排放量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t>固体废物产生量</w:t>
            </w:r>
            <w:r>
              <w:rPr>
                <w:rFonts w:hint="eastAsia" w:ascii="Times New Roman" w:cs="Times New Roman"/>
                <w:snapToGrid w:val="0"/>
                <w:color w:val="auto"/>
                <w:spacing w:val="-6"/>
                <w:kern w:val="21"/>
                <w:sz w:val="24"/>
                <w:szCs w:val="20"/>
                <w:highlight w:val="none"/>
                <w:u w:val="none"/>
                <w:lang w:eastAsia="zh-CN"/>
              </w:rPr>
              <w:t>）</w:t>
            </w: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4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④</w:t>
            </w:r>
            <w:r>
              <w:rPr>
                <w:rFonts w:hint="default" w:ascii="Times New Roman" w:hAnsi="Times New Roman" w:cs="Times New Roman"/>
                <w:snapToGrid w:val="0"/>
                <w:color w:val="auto"/>
                <w:spacing w:val="-6"/>
                <w:kern w:val="21"/>
                <w:sz w:val="24"/>
                <w:szCs w:val="20"/>
                <w:highlight w:val="none"/>
                <w:u w:val="none"/>
              </w:rPr>
              <w:fldChar w:fldCharType="end"/>
            </w:r>
          </w:p>
        </w:tc>
        <w:tc>
          <w:tcPr>
            <w:tcW w:w="1761" w:type="dxa"/>
            <w:tcMar>
              <w:left w:w="28" w:type="dxa"/>
              <w:right w:w="28" w:type="dxa"/>
            </w:tcMar>
            <w:vAlign w:val="center"/>
          </w:tcPr>
          <w:p w14:paraId="12A3449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以新带老削减量</w:t>
            </w:r>
          </w:p>
          <w:p w14:paraId="7B783AB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t>新建项目不填</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fldChar w:fldCharType="begin"/>
            </w:r>
            <w:r>
              <w:rPr>
                <w:rFonts w:hint="default" w:ascii="Times New Roman" w:hAnsi="Times New Roman" w:cs="Times New Roman"/>
                <w:snapToGrid w:val="0"/>
                <w:color w:val="auto"/>
                <w:spacing w:val="-16"/>
                <w:kern w:val="21"/>
                <w:sz w:val="24"/>
                <w:szCs w:val="20"/>
                <w:highlight w:val="none"/>
                <w:u w:val="none"/>
              </w:rPr>
              <w:instrText xml:space="preserve"> = 5 \* GB3 \* MERGEFORMAT </w:instrText>
            </w:r>
            <w:r>
              <w:rPr>
                <w:rFonts w:hint="default" w:ascii="Times New Roman" w:hAnsi="Times New Roman" w:cs="Times New Roman"/>
                <w:snapToGrid w:val="0"/>
                <w:color w:val="auto"/>
                <w:spacing w:val="-1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⑤</w:t>
            </w:r>
            <w:r>
              <w:rPr>
                <w:rFonts w:hint="default" w:ascii="Times New Roman" w:hAnsi="Times New Roman" w:cs="Times New Roman"/>
                <w:snapToGrid w:val="0"/>
                <w:color w:val="auto"/>
                <w:spacing w:val="-16"/>
                <w:kern w:val="21"/>
                <w:sz w:val="24"/>
                <w:szCs w:val="20"/>
                <w:highlight w:val="none"/>
                <w:u w:val="none"/>
              </w:rPr>
              <w:fldChar w:fldCharType="end"/>
            </w:r>
          </w:p>
        </w:tc>
        <w:tc>
          <w:tcPr>
            <w:tcW w:w="1959" w:type="dxa"/>
            <w:tcMar>
              <w:left w:w="28" w:type="dxa"/>
              <w:right w:w="28" w:type="dxa"/>
            </w:tcMar>
            <w:vAlign w:val="center"/>
          </w:tcPr>
          <w:p w14:paraId="3B23A52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本项目建成后</w:t>
            </w:r>
          </w:p>
          <w:p w14:paraId="554BCCC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16"/>
                <w:kern w:val="21"/>
                <w:sz w:val="24"/>
                <w:szCs w:val="20"/>
                <w:highlight w:val="none"/>
                <w:u w:val="none"/>
              </w:rPr>
            </w:pPr>
            <w:r>
              <w:rPr>
                <w:rFonts w:hint="default" w:ascii="Times New Roman" w:hAnsi="Times New Roman" w:cs="Times New Roman"/>
                <w:snapToGrid w:val="0"/>
                <w:color w:val="auto"/>
                <w:spacing w:val="-16"/>
                <w:kern w:val="21"/>
                <w:sz w:val="24"/>
                <w:szCs w:val="20"/>
                <w:highlight w:val="none"/>
                <w:u w:val="none"/>
              </w:rPr>
              <w:t>全厂排放量</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t>固体废物产生量</w:t>
            </w:r>
            <w:r>
              <w:rPr>
                <w:rFonts w:hint="eastAsia" w:ascii="Times New Roman" w:cs="Times New Roman"/>
                <w:snapToGrid w:val="0"/>
                <w:color w:val="auto"/>
                <w:spacing w:val="-16"/>
                <w:kern w:val="21"/>
                <w:sz w:val="24"/>
                <w:szCs w:val="20"/>
                <w:highlight w:val="none"/>
                <w:u w:val="none"/>
                <w:lang w:eastAsia="zh-CN"/>
              </w:rPr>
              <w:t>）</w:t>
            </w:r>
            <w:r>
              <w:rPr>
                <w:rFonts w:hint="default" w:ascii="Times New Roman" w:hAnsi="Times New Roman" w:cs="Times New Roman"/>
                <w:snapToGrid w:val="0"/>
                <w:color w:val="auto"/>
                <w:spacing w:val="-16"/>
                <w:kern w:val="21"/>
                <w:sz w:val="24"/>
                <w:szCs w:val="20"/>
                <w:highlight w:val="none"/>
                <w:u w:val="none"/>
              </w:rPr>
              <w:fldChar w:fldCharType="begin"/>
            </w:r>
            <w:r>
              <w:rPr>
                <w:rFonts w:hint="default" w:ascii="Times New Roman" w:hAnsi="Times New Roman" w:cs="Times New Roman"/>
                <w:snapToGrid w:val="0"/>
                <w:color w:val="auto"/>
                <w:spacing w:val="-16"/>
                <w:kern w:val="21"/>
                <w:sz w:val="24"/>
                <w:szCs w:val="20"/>
                <w:highlight w:val="none"/>
                <w:u w:val="none"/>
              </w:rPr>
              <w:instrText xml:space="preserve"> = 6 \* GB3 \* MERGEFORMAT </w:instrText>
            </w:r>
            <w:r>
              <w:rPr>
                <w:rFonts w:hint="default" w:ascii="Times New Roman" w:hAnsi="Times New Roman" w:cs="Times New Roman"/>
                <w:snapToGrid w:val="0"/>
                <w:color w:val="auto"/>
                <w:spacing w:val="-1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⑥</w:t>
            </w:r>
            <w:r>
              <w:rPr>
                <w:rFonts w:hint="default" w:ascii="Times New Roman" w:hAnsi="Times New Roman" w:cs="Times New Roman"/>
                <w:snapToGrid w:val="0"/>
                <w:color w:val="auto"/>
                <w:spacing w:val="-16"/>
                <w:kern w:val="21"/>
                <w:sz w:val="24"/>
                <w:szCs w:val="20"/>
                <w:highlight w:val="none"/>
                <w:u w:val="none"/>
              </w:rPr>
              <w:fldChar w:fldCharType="end"/>
            </w:r>
          </w:p>
        </w:tc>
        <w:tc>
          <w:tcPr>
            <w:tcW w:w="1282" w:type="dxa"/>
            <w:tcMar>
              <w:left w:w="28" w:type="dxa"/>
              <w:right w:w="28" w:type="dxa"/>
            </w:tcMar>
            <w:vAlign w:val="center"/>
          </w:tcPr>
          <w:p w14:paraId="160B2ED4">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t>变化量</w:t>
            </w:r>
          </w:p>
          <w:p w14:paraId="24386C25">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spacing w:val="-6"/>
                <w:kern w:val="21"/>
                <w:sz w:val="24"/>
                <w:szCs w:val="20"/>
                <w:highlight w:val="none"/>
                <w:u w:val="none"/>
              </w:rPr>
            </w:pPr>
            <w:r>
              <w:rPr>
                <w:rFonts w:hint="default" w:ascii="Times New Roman" w:hAnsi="Times New Roman" w:cs="Times New Roman"/>
                <w:snapToGrid w:val="0"/>
                <w:color w:val="auto"/>
                <w:spacing w:val="-6"/>
                <w:kern w:val="21"/>
                <w:sz w:val="24"/>
                <w:szCs w:val="20"/>
                <w:highlight w:val="none"/>
                <w:u w:val="none"/>
              </w:rPr>
              <w:fldChar w:fldCharType="begin"/>
            </w:r>
            <w:r>
              <w:rPr>
                <w:rFonts w:hint="default" w:ascii="Times New Roman" w:hAnsi="Times New Roman" w:cs="Times New Roman"/>
                <w:snapToGrid w:val="0"/>
                <w:color w:val="auto"/>
                <w:spacing w:val="-6"/>
                <w:kern w:val="21"/>
                <w:sz w:val="24"/>
                <w:szCs w:val="20"/>
                <w:highlight w:val="none"/>
                <w:u w:val="none"/>
              </w:rPr>
              <w:instrText xml:space="preserve"> = 7 \* GB3 \* MERGEFORMAT </w:instrText>
            </w:r>
            <w:r>
              <w:rPr>
                <w:rFonts w:hint="default" w:ascii="Times New Roman" w:hAnsi="Times New Roman" w:cs="Times New Roman"/>
                <w:snapToGrid w:val="0"/>
                <w:color w:val="auto"/>
                <w:spacing w:val="-6"/>
                <w:kern w:val="21"/>
                <w:sz w:val="24"/>
                <w:szCs w:val="20"/>
                <w:highlight w:val="none"/>
                <w:u w:val="none"/>
              </w:rPr>
              <w:fldChar w:fldCharType="separate"/>
            </w:r>
            <w:r>
              <w:rPr>
                <w:rFonts w:hint="default" w:ascii="Times New Roman" w:hAnsi="Times New Roman" w:cs="Times New Roman"/>
                <w:color w:val="auto"/>
                <w:kern w:val="2"/>
                <w:sz w:val="24"/>
                <w:szCs w:val="20"/>
                <w:highlight w:val="none"/>
                <w:u w:val="none"/>
              </w:rPr>
              <w:t>⑦</w:t>
            </w:r>
            <w:r>
              <w:rPr>
                <w:rFonts w:hint="default" w:ascii="Times New Roman" w:hAnsi="Times New Roman" w:cs="Times New Roman"/>
                <w:snapToGrid w:val="0"/>
                <w:color w:val="auto"/>
                <w:spacing w:val="-6"/>
                <w:kern w:val="21"/>
                <w:sz w:val="24"/>
                <w:szCs w:val="20"/>
                <w:highlight w:val="none"/>
                <w:u w:val="none"/>
              </w:rPr>
              <w:fldChar w:fldCharType="end"/>
            </w:r>
          </w:p>
        </w:tc>
      </w:tr>
      <w:tr w14:paraId="442AC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0BA911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废气</w:t>
            </w:r>
          </w:p>
        </w:tc>
        <w:tc>
          <w:tcPr>
            <w:tcW w:w="1778" w:type="dxa"/>
            <w:vAlign w:val="center"/>
          </w:tcPr>
          <w:p w14:paraId="3B23BB9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颗粒物</w:t>
            </w:r>
          </w:p>
        </w:tc>
        <w:tc>
          <w:tcPr>
            <w:tcW w:w="1607" w:type="dxa"/>
            <w:vAlign w:val="center"/>
          </w:tcPr>
          <w:p w14:paraId="52136D3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13AD2C0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19F191A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C83250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c>
          <w:tcPr>
            <w:tcW w:w="1761" w:type="dxa"/>
            <w:vAlign w:val="center"/>
          </w:tcPr>
          <w:p w14:paraId="0C269E9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F396AB0">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c>
          <w:tcPr>
            <w:tcW w:w="1282" w:type="dxa"/>
            <w:vAlign w:val="center"/>
          </w:tcPr>
          <w:p w14:paraId="52556F1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none"/>
              </w:rPr>
            </w:pPr>
            <w:r>
              <w:rPr>
                <w:rFonts w:hint="default" w:ascii="Times New Roman" w:hAnsi="Times New Roman" w:eastAsia="宋体" w:cs="Times New Roman"/>
                <w:color w:val="auto"/>
                <w:sz w:val="21"/>
                <w:szCs w:val="21"/>
                <w:highlight w:val="none"/>
                <w:u w:val="none"/>
                <w:lang w:val="en-US" w:eastAsia="zh-CN"/>
              </w:rPr>
              <w:t>0.01</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Cs w:val="21"/>
                <w:highlight w:val="none"/>
                <w:u w:val="none"/>
              </w:rPr>
              <w:t>t/a</w:t>
            </w:r>
          </w:p>
        </w:tc>
      </w:tr>
      <w:tr w14:paraId="14D9E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33959C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53B1896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lang w:val="en-US" w:eastAsia="zh-CN"/>
              </w:rPr>
            </w:pPr>
            <w:r>
              <w:rPr>
                <w:rFonts w:hint="default" w:ascii="Times New Roman" w:hAnsi="Times New Roman" w:cs="Times New Roman"/>
                <w:snapToGrid w:val="0"/>
                <w:color w:val="auto"/>
                <w:kern w:val="21"/>
                <w:szCs w:val="21"/>
                <w:highlight w:val="none"/>
                <w:u w:val="single"/>
                <w:lang w:val="en-US" w:eastAsia="zh-CN"/>
              </w:rPr>
              <w:t>非甲烷总烃</w:t>
            </w:r>
          </w:p>
        </w:tc>
        <w:tc>
          <w:tcPr>
            <w:tcW w:w="1607" w:type="dxa"/>
            <w:vAlign w:val="center"/>
          </w:tcPr>
          <w:p w14:paraId="209A41C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276" w:type="dxa"/>
            <w:vAlign w:val="center"/>
          </w:tcPr>
          <w:p w14:paraId="4EAC082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701" w:type="dxa"/>
            <w:vAlign w:val="center"/>
          </w:tcPr>
          <w:p w14:paraId="24504FE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559" w:type="dxa"/>
            <w:vAlign w:val="center"/>
          </w:tcPr>
          <w:p w14:paraId="713635F2">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c>
          <w:tcPr>
            <w:tcW w:w="1761" w:type="dxa"/>
            <w:shd w:val="clear" w:color="auto" w:fill="auto"/>
            <w:vAlign w:val="center"/>
          </w:tcPr>
          <w:p w14:paraId="0DF9F16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959" w:type="dxa"/>
            <w:shd w:val="clear" w:color="auto" w:fill="auto"/>
            <w:vAlign w:val="center"/>
          </w:tcPr>
          <w:p w14:paraId="1132DFFC">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c>
          <w:tcPr>
            <w:tcW w:w="1282" w:type="dxa"/>
            <w:shd w:val="clear" w:color="auto" w:fill="auto"/>
            <w:vAlign w:val="center"/>
          </w:tcPr>
          <w:p w14:paraId="4AFA6534">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0.253</w:t>
            </w:r>
            <w:r>
              <w:rPr>
                <w:rFonts w:hint="default" w:ascii="Times New Roman" w:hAnsi="Times New Roman" w:cs="Times New Roman"/>
                <w:color w:val="auto"/>
                <w:szCs w:val="21"/>
                <w:highlight w:val="none"/>
                <w:u w:val="single"/>
              </w:rPr>
              <w:t>t/a</w:t>
            </w:r>
          </w:p>
        </w:tc>
      </w:tr>
      <w:tr w14:paraId="14EF3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9D66340">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shd w:val="clear" w:color="auto" w:fill="auto"/>
            <w:vAlign w:val="center"/>
          </w:tcPr>
          <w:p w14:paraId="1C98159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lang w:val="en-US" w:eastAsia="zh-CN"/>
              </w:rPr>
              <w:t>二甲苯</w:t>
            </w:r>
          </w:p>
        </w:tc>
        <w:tc>
          <w:tcPr>
            <w:tcW w:w="1607" w:type="dxa"/>
            <w:shd w:val="clear" w:color="auto" w:fill="auto"/>
            <w:vAlign w:val="center"/>
          </w:tcPr>
          <w:p w14:paraId="2277FBE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276" w:type="dxa"/>
            <w:shd w:val="clear" w:color="auto" w:fill="auto"/>
            <w:vAlign w:val="center"/>
          </w:tcPr>
          <w:p w14:paraId="1E81E56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701" w:type="dxa"/>
            <w:shd w:val="clear" w:color="auto" w:fill="auto"/>
            <w:vAlign w:val="center"/>
          </w:tcPr>
          <w:p w14:paraId="19E43B1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559" w:type="dxa"/>
            <w:shd w:val="clear" w:color="auto" w:fill="auto"/>
            <w:vAlign w:val="center"/>
          </w:tcPr>
          <w:p w14:paraId="595C3311">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c>
          <w:tcPr>
            <w:tcW w:w="1761" w:type="dxa"/>
            <w:shd w:val="clear" w:color="auto" w:fill="auto"/>
            <w:vAlign w:val="center"/>
          </w:tcPr>
          <w:p w14:paraId="28598C2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lang w:val="en-US" w:eastAsia="zh-CN" w:bidi="ar-SA"/>
              </w:rPr>
            </w:pPr>
            <w:r>
              <w:rPr>
                <w:rFonts w:hint="default" w:ascii="Times New Roman" w:hAnsi="Times New Roman" w:cs="Times New Roman"/>
                <w:snapToGrid w:val="0"/>
                <w:color w:val="auto"/>
                <w:kern w:val="21"/>
                <w:szCs w:val="21"/>
                <w:highlight w:val="none"/>
                <w:u w:val="single"/>
              </w:rPr>
              <w:t>/</w:t>
            </w:r>
          </w:p>
        </w:tc>
        <w:tc>
          <w:tcPr>
            <w:tcW w:w="1959" w:type="dxa"/>
            <w:shd w:val="clear" w:color="auto" w:fill="auto"/>
            <w:vAlign w:val="center"/>
          </w:tcPr>
          <w:p w14:paraId="742CDC2B">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c>
          <w:tcPr>
            <w:tcW w:w="1282" w:type="dxa"/>
            <w:shd w:val="clear" w:color="auto" w:fill="auto"/>
            <w:vAlign w:val="center"/>
          </w:tcPr>
          <w:p w14:paraId="7E4E0F0A">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0.084</w:t>
            </w:r>
            <w:r>
              <w:rPr>
                <w:rFonts w:hint="default" w:ascii="Times New Roman" w:hAnsi="Times New Roman" w:cs="Times New Roman"/>
                <w:color w:val="auto"/>
                <w:szCs w:val="21"/>
                <w:highlight w:val="none"/>
                <w:u w:val="single"/>
              </w:rPr>
              <w:t>t/a</w:t>
            </w:r>
          </w:p>
        </w:tc>
      </w:tr>
      <w:tr w14:paraId="748A7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B69B88F">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32372E8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lang w:val="en-US" w:eastAsia="zh-CN"/>
              </w:rPr>
            </w:pPr>
            <w:r>
              <w:rPr>
                <w:rFonts w:hint="default" w:ascii="Times New Roman" w:hAnsi="Times New Roman" w:cs="Times New Roman"/>
                <w:snapToGrid w:val="0"/>
                <w:color w:val="auto"/>
                <w:kern w:val="21"/>
                <w:szCs w:val="21"/>
                <w:highlight w:val="none"/>
                <w:u w:val="single"/>
                <w:lang w:val="en-US" w:eastAsia="zh-CN"/>
              </w:rPr>
              <w:t>甲苯</w:t>
            </w:r>
          </w:p>
        </w:tc>
        <w:tc>
          <w:tcPr>
            <w:tcW w:w="1607" w:type="dxa"/>
            <w:vAlign w:val="center"/>
          </w:tcPr>
          <w:p w14:paraId="28DE63B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276" w:type="dxa"/>
            <w:vAlign w:val="center"/>
          </w:tcPr>
          <w:p w14:paraId="70D2625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701" w:type="dxa"/>
            <w:vAlign w:val="center"/>
          </w:tcPr>
          <w:p w14:paraId="55099AF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559" w:type="dxa"/>
            <w:vAlign w:val="center"/>
          </w:tcPr>
          <w:p w14:paraId="3CD1DACD">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c>
          <w:tcPr>
            <w:tcW w:w="1761" w:type="dxa"/>
            <w:vAlign w:val="center"/>
          </w:tcPr>
          <w:p w14:paraId="006CA3A9">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single"/>
              </w:rPr>
            </w:pPr>
            <w:r>
              <w:rPr>
                <w:rFonts w:hint="default" w:ascii="Times New Roman" w:hAnsi="Times New Roman" w:cs="Times New Roman"/>
                <w:snapToGrid w:val="0"/>
                <w:color w:val="auto"/>
                <w:kern w:val="21"/>
                <w:szCs w:val="21"/>
                <w:highlight w:val="none"/>
                <w:u w:val="single"/>
              </w:rPr>
              <w:t>/</w:t>
            </w:r>
          </w:p>
        </w:tc>
        <w:tc>
          <w:tcPr>
            <w:tcW w:w="1959" w:type="dxa"/>
            <w:vAlign w:val="center"/>
          </w:tcPr>
          <w:p w14:paraId="323064B1">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c>
          <w:tcPr>
            <w:tcW w:w="1282" w:type="dxa"/>
            <w:vAlign w:val="center"/>
          </w:tcPr>
          <w:p w14:paraId="5F1B12A9">
            <w:pPr>
              <w:keepNext w:val="0"/>
              <w:keepLines w:val="0"/>
              <w:suppressLineNumbers w:val="0"/>
              <w:adjustRightInd w:val="0"/>
              <w:snapToGrid w:val="0"/>
              <w:spacing w:before="40" w:beforeAutospacing="0" w:after="40" w:afterAutospacing="0" w:line="280" w:lineRule="exact"/>
              <w:ind w:left="0" w:right="0"/>
              <w:jc w:val="center"/>
              <w:rPr>
                <w:rFonts w:hint="default" w:ascii="Times New Roman" w:hAnsi="Times New Roman" w:cs="Times New Roman"/>
                <w:color w:val="auto"/>
                <w:szCs w:val="21"/>
                <w:highlight w:val="none"/>
                <w:u w:val="single"/>
              </w:rPr>
            </w:pPr>
            <w:r>
              <w:rPr>
                <w:rFonts w:hint="eastAsia" w:ascii="Times New Roman" w:hAnsi="Times New Roman" w:eastAsia="宋体" w:cs="Times New Roman"/>
                <w:color w:val="auto"/>
                <w:sz w:val="21"/>
                <w:szCs w:val="21"/>
                <w:highlight w:val="none"/>
                <w:u w:val="single"/>
                <w:lang w:val="en-US" w:eastAsia="zh-CN"/>
              </w:rPr>
              <w:t>0.034</w:t>
            </w:r>
            <w:r>
              <w:rPr>
                <w:rFonts w:hint="default" w:ascii="Times New Roman" w:hAnsi="Times New Roman" w:cs="Times New Roman"/>
                <w:color w:val="auto"/>
                <w:szCs w:val="21"/>
                <w:highlight w:val="none"/>
                <w:u w:val="single"/>
              </w:rPr>
              <w:t>t/a</w:t>
            </w:r>
          </w:p>
        </w:tc>
      </w:tr>
      <w:tr w14:paraId="6616A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64EC174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废水</w:t>
            </w:r>
          </w:p>
        </w:tc>
        <w:tc>
          <w:tcPr>
            <w:tcW w:w="1778" w:type="dxa"/>
            <w:vAlign w:val="center"/>
          </w:tcPr>
          <w:p w14:paraId="0EA4B14A">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Cs w:val="21"/>
                <w:highlight w:val="none"/>
                <w:u w:val="none"/>
              </w:rPr>
              <w:t>COD</w:t>
            </w:r>
          </w:p>
        </w:tc>
        <w:tc>
          <w:tcPr>
            <w:tcW w:w="1607" w:type="dxa"/>
            <w:vAlign w:val="center"/>
          </w:tcPr>
          <w:p w14:paraId="7D6DCAC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7B0098B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65F313E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4BE01DF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c>
          <w:tcPr>
            <w:tcW w:w="1761" w:type="dxa"/>
            <w:vAlign w:val="center"/>
          </w:tcPr>
          <w:p w14:paraId="34DF1CE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CCB600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c>
          <w:tcPr>
            <w:tcW w:w="1282" w:type="dxa"/>
            <w:vAlign w:val="center"/>
          </w:tcPr>
          <w:p w14:paraId="6006782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0.0303</w:t>
            </w:r>
            <w:r>
              <w:rPr>
                <w:rFonts w:hint="default" w:ascii="Times New Roman" w:hAnsi="Times New Roman" w:cs="Times New Roman"/>
                <w:color w:val="auto"/>
                <w:szCs w:val="21"/>
                <w:highlight w:val="none"/>
                <w:u w:val="none"/>
              </w:rPr>
              <w:t>t/a</w:t>
            </w:r>
          </w:p>
        </w:tc>
      </w:tr>
      <w:tr w14:paraId="7B501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781CE5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46FA6ED5">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BOD</w:t>
            </w:r>
            <w:r>
              <w:rPr>
                <w:rFonts w:hint="default" w:ascii="Times New Roman" w:hAnsi="Times New Roman" w:cs="Times New Roman"/>
                <w:color w:val="auto"/>
                <w:szCs w:val="21"/>
                <w:highlight w:val="none"/>
                <w:u w:val="none"/>
                <w:vertAlign w:val="subscript"/>
                <w:lang w:val="en-US" w:eastAsia="zh-CN"/>
              </w:rPr>
              <w:t>5</w:t>
            </w:r>
          </w:p>
        </w:tc>
        <w:tc>
          <w:tcPr>
            <w:tcW w:w="1607" w:type="dxa"/>
            <w:vAlign w:val="center"/>
          </w:tcPr>
          <w:p w14:paraId="60E6EE4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5EB37EC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BA3AD7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7FC436C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c>
          <w:tcPr>
            <w:tcW w:w="1761" w:type="dxa"/>
            <w:vAlign w:val="center"/>
          </w:tcPr>
          <w:p w14:paraId="43CFD339">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6F63DE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c>
          <w:tcPr>
            <w:tcW w:w="1282" w:type="dxa"/>
            <w:vAlign w:val="center"/>
          </w:tcPr>
          <w:p w14:paraId="08D0F95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0.0130</w:t>
            </w:r>
            <w:r>
              <w:rPr>
                <w:rFonts w:hint="default" w:ascii="Times New Roman" w:hAnsi="Times New Roman" w:cs="Times New Roman"/>
                <w:color w:val="auto"/>
                <w:szCs w:val="21"/>
                <w:highlight w:val="none"/>
                <w:u w:val="none"/>
              </w:rPr>
              <w:t>t/a</w:t>
            </w:r>
          </w:p>
        </w:tc>
      </w:tr>
      <w:tr w14:paraId="047E0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89BA59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7BEFF9A7">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SS</w:t>
            </w:r>
          </w:p>
        </w:tc>
        <w:tc>
          <w:tcPr>
            <w:tcW w:w="1607" w:type="dxa"/>
            <w:vAlign w:val="center"/>
          </w:tcPr>
          <w:p w14:paraId="34451F1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4F8FA3E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4302266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074B54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c>
          <w:tcPr>
            <w:tcW w:w="1761" w:type="dxa"/>
            <w:vAlign w:val="center"/>
          </w:tcPr>
          <w:p w14:paraId="120689D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01CB78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c>
          <w:tcPr>
            <w:tcW w:w="1282" w:type="dxa"/>
            <w:vAlign w:val="center"/>
          </w:tcPr>
          <w:p w14:paraId="284524E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eastAsia="宋体" w:cs="Times New Roman"/>
                <w:caps w:val="0"/>
                <w:color w:val="auto"/>
                <w:sz w:val="21"/>
                <w:szCs w:val="21"/>
                <w:highlight w:val="none"/>
                <w:u w:val="none"/>
                <w:lang w:val="en-US" w:eastAsia="zh-CN"/>
              </w:rPr>
              <w:t>0.0071</w:t>
            </w:r>
            <w:r>
              <w:rPr>
                <w:rFonts w:hint="default" w:ascii="Times New Roman" w:hAnsi="Times New Roman" w:cs="Times New Roman"/>
                <w:color w:val="auto"/>
                <w:szCs w:val="21"/>
                <w:highlight w:val="none"/>
                <w:u w:val="none"/>
              </w:rPr>
              <w:t>t/a</w:t>
            </w:r>
          </w:p>
        </w:tc>
      </w:tr>
      <w:tr w14:paraId="7F6B3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FACB30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D30983D">
            <w:pPr>
              <w:pStyle w:val="126"/>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Cs w:val="21"/>
                <w:highlight w:val="none"/>
                <w:u w:val="none"/>
              </w:rPr>
              <w:t>NH</w:t>
            </w:r>
            <w:r>
              <w:rPr>
                <w:rFonts w:hint="default" w:ascii="Times New Roman" w:hAnsi="Times New Roman" w:cs="Times New Roman"/>
                <w:color w:val="auto"/>
                <w:szCs w:val="21"/>
                <w:highlight w:val="none"/>
                <w:u w:val="none"/>
                <w:vertAlign w:val="subscript"/>
              </w:rPr>
              <w:t>3</w:t>
            </w:r>
            <w:r>
              <w:rPr>
                <w:rFonts w:hint="default" w:ascii="Times New Roman" w:hAnsi="Times New Roman" w:cs="Times New Roman"/>
                <w:color w:val="auto"/>
                <w:szCs w:val="21"/>
                <w:highlight w:val="none"/>
                <w:u w:val="none"/>
              </w:rPr>
              <w:t>-N</w:t>
            </w:r>
          </w:p>
        </w:tc>
        <w:tc>
          <w:tcPr>
            <w:tcW w:w="1607" w:type="dxa"/>
            <w:vAlign w:val="center"/>
          </w:tcPr>
          <w:p w14:paraId="16DF46E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631536C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66CF1D5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1093D51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c>
          <w:tcPr>
            <w:tcW w:w="1761" w:type="dxa"/>
            <w:vAlign w:val="center"/>
          </w:tcPr>
          <w:p w14:paraId="2D08F29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56B1AAA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c>
          <w:tcPr>
            <w:tcW w:w="1282" w:type="dxa"/>
            <w:vAlign w:val="center"/>
          </w:tcPr>
          <w:p w14:paraId="2AE0499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color w:val="auto"/>
                <w:kern w:val="0"/>
                <w:szCs w:val="21"/>
                <w:highlight w:val="none"/>
                <w:u w:val="none"/>
                <w:lang w:eastAsia="zh-CN" w:bidi="ar"/>
              </w:rPr>
            </w:pPr>
            <w:r>
              <w:rPr>
                <w:rFonts w:hint="default" w:ascii="Times New Roman" w:hAnsi="Times New Roman" w:eastAsia="宋体" w:cs="Times New Roman"/>
                <w:caps w:val="0"/>
                <w:color w:val="auto"/>
                <w:sz w:val="21"/>
                <w:szCs w:val="21"/>
                <w:highlight w:val="none"/>
                <w:u w:val="none"/>
                <w:lang w:val="en-US" w:eastAsia="zh-CN"/>
              </w:rPr>
              <w:t>0.0044</w:t>
            </w:r>
            <w:r>
              <w:rPr>
                <w:rFonts w:hint="default" w:ascii="Times New Roman" w:hAnsi="Times New Roman" w:cs="Times New Roman"/>
                <w:color w:val="auto"/>
                <w:szCs w:val="21"/>
                <w:highlight w:val="none"/>
                <w:u w:val="none"/>
              </w:rPr>
              <w:t>t/a</w:t>
            </w:r>
          </w:p>
        </w:tc>
      </w:tr>
      <w:tr w14:paraId="700F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1F1CFEC8">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一般</w:t>
            </w:r>
          </w:p>
          <w:p w14:paraId="0C6A7E2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固体</w:t>
            </w:r>
          </w:p>
          <w:p w14:paraId="468FA486">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废物</w:t>
            </w:r>
          </w:p>
        </w:tc>
        <w:tc>
          <w:tcPr>
            <w:tcW w:w="1778" w:type="dxa"/>
            <w:vAlign w:val="center"/>
          </w:tcPr>
          <w:p w14:paraId="1AEEA9C6">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清扫废物</w:t>
            </w:r>
          </w:p>
        </w:tc>
        <w:tc>
          <w:tcPr>
            <w:tcW w:w="1607" w:type="dxa"/>
            <w:vAlign w:val="center"/>
          </w:tcPr>
          <w:p w14:paraId="69555DE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4EC7C70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7B713F6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3151417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c>
          <w:tcPr>
            <w:tcW w:w="1761" w:type="dxa"/>
            <w:vAlign w:val="center"/>
          </w:tcPr>
          <w:p w14:paraId="71E9D1A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15EE56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c>
          <w:tcPr>
            <w:tcW w:w="1282" w:type="dxa"/>
            <w:vAlign w:val="center"/>
          </w:tcPr>
          <w:p w14:paraId="5265B8C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eastAsia" w:cs="Times New Roman"/>
                <w:color w:val="auto"/>
                <w:sz w:val="21"/>
                <w:szCs w:val="21"/>
                <w:highlight w:val="none"/>
                <w:u w:val="none"/>
                <w:lang w:val="en-US" w:eastAsia="zh-CN"/>
              </w:rPr>
              <w:t>36</w:t>
            </w:r>
            <w:r>
              <w:rPr>
                <w:rFonts w:hint="default" w:ascii="Times New Roman" w:hAnsi="Times New Roman" w:cs="Times New Roman"/>
                <w:color w:val="auto"/>
                <w:szCs w:val="21"/>
                <w:highlight w:val="none"/>
                <w:u w:val="none"/>
              </w:rPr>
              <w:t>t/a</w:t>
            </w:r>
          </w:p>
        </w:tc>
      </w:tr>
      <w:tr w14:paraId="45792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790B639">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62E6E2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废焊丝</w:t>
            </w:r>
          </w:p>
        </w:tc>
        <w:tc>
          <w:tcPr>
            <w:tcW w:w="1607" w:type="dxa"/>
            <w:vAlign w:val="center"/>
          </w:tcPr>
          <w:p w14:paraId="3B21C64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12861BC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1B79FA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61377F6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c>
          <w:tcPr>
            <w:tcW w:w="1761" w:type="dxa"/>
            <w:vAlign w:val="center"/>
          </w:tcPr>
          <w:p w14:paraId="7BA10F2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E500E9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c>
          <w:tcPr>
            <w:tcW w:w="1282" w:type="dxa"/>
            <w:vAlign w:val="center"/>
          </w:tcPr>
          <w:p w14:paraId="093061A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lang w:val="en-US" w:eastAsia="zh-CN"/>
              </w:rPr>
              <w:t>0.</w:t>
            </w:r>
            <w:r>
              <w:rPr>
                <w:rFonts w:hint="eastAsia"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Cs w:val="21"/>
                <w:highlight w:val="none"/>
                <w:u w:val="none"/>
              </w:rPr>
              <w:t>t/a</w:t>
            </w:r>
          </w:p>
        </w:tc>
      </w:tr>
      <w:tr w14:paraId="51383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01DB5A00">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2BC391E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废木屑</w:t>
            </w:r>
          </w:p>
        </w:tc>
        <w:tc>
          <w:tcPr>
            <w:tcW w:w="1607" w:type="dxa"/>
            <w:vAlign w:val="center"/>
          </w:tcPr>
          <w:p w14:paraId="36BD804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30CE445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74A85A0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79BADC9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c>
          <w:tcPr>
            <w:tcW w:w="1761" w:type="dxa"/>
            <w:vAlign w:val="center"/>
          </w:tcPr>
          <w:p w14:paraId="72D74D3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52E532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c>
          <w:tcPr>
            <w:tcW w:w="1282" w:type="dxa"/>
            <w:vAlign w:val="center"/>
          </w:tcPr>
          <w:p w14:paraId="015383A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color w:val="auto"/>
                <w:sz w:val="21"/>
                <w:szCs w:val="21"/>
                <w:highlight w:val="none"/>
                <w:u w:val="none"/>
                <w:lang w:val="en-US" w:eastAsia="zh-CN"/>
              </w:rPr>
              <w:t>0.1</w:t>
            </w:r>
            <w:r>
              <w:rPr>
                <w:rFonts w:hint="default" w:ascii="Times New Roman" w:hAnsi="Times New Roman" w:cs="Times New Roman"/>
                <w:color w:val="auto"/>
                <w:szCs w:val="21"/>
                <w:highlight w:val="none"/>
                <w:u w:val="none"/>
              </w:rPr>
              <w:t>t/a</w:t>
            </w:r>
          </w:p>
        </w:tc>
      </w:tr>
      <w:tr w14:paraId="34641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3F32172">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p>
        </w:tc>
        <w:tc>
          <w:tcPr>
            <w:tcW w:w="1778" w:type="dxa"/>
            <w:vAlign w:val="center"/>
          </w:tcPr>
          <w:p w14:paraId="1492663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生活垃圾</w:t>
            </w:r>
          </w:p>
        </w:tc>
        <w:tc>
          <w:tcPr>
            <w:tcW w:w="1607" w:type="dxa"/>
            <w:vAlign w:val="center"/>
          </w:tcPr>
          <w:p w14:paraId="0C7202A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276" w:type="dxa"/>
            <w:vAlign w:val="center"/>
          </w:tcPr>
          <w:p w14:paraId="200EE4B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701" w:type="dxa"/>
            <w:vAlign w:val="center"/>
          </w:tcPr>
          <w:p w14:paraId="3DAA6E4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559" w:type="dxa"/>
            <w:vAlign w:val="center"/>
          </w:tcPr>
          <w:p w14:paraId="011E783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kern w:val="0"/>
                <w:szCs w:val="21"/>
                <w:highlight w:val="none"/>
                <w:u w:val="none"/>
                <w:lang w:val="en-US" w:eastAsia="zh-CN" w:bidi="ar"/>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c>
          <w:tcPr>
            <w:tcW w:w="1761" w:type="dxa"/>
            <w:vAlign w:val="center"/>
          </w:tcPr>
          <w:p w14:paraId="1D28002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7E6C695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c>
          <w:tcPr>
            <w:tcW w:w="1282" w:type="dxa"/>
            <w:vAlign w:val="center"/>
          </w:tcPr>
          <w:p w14:paraId="1AA8DCA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rPr>
            </w:pPr>
            <w:r>
              <w:rPr>
                <w:rFonts w:hint="eastAsia" w:cs="Times New Roman"/>
                <w:color w:val="auto"/>
                <w:sz w:val="21"/>
                <w:szCs w:val="21"/>
                <w:highlight w:val="none"/>
                <w:u w:val="none"/>
                <w:lang w:val="en-US" w:eastAsia="zh-CN"/>
              </w:rPr>
              <w:t>1.98</w:t>
            </w:r>
            <w:r>
              <w:rPr>
                <w:rFonts w:hint="default" w:ascii="Times New Roman" w:hAnsi="Times New Roman" w:cs="Times New Roman"/>
                <w:color w:val="auto"/>
                <w:szCs w:val="21"/>
                <w:highlight w:val="none"/>
                <w:u w:val="none"/>
              </w:rPr>
              <w:t>t/a</w:t>
            </w:r>
          </w:p>
        </w:tc>
      </w:tr>
      <w:tr w14:paraId="323FD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8B3970C">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危险</w:t>
            </w:r>
          </w:p>
          <w:p w14:paraId="158D07AB">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 w:val="24"/>
                <w:szCs w:val="20"/>
                <w:highlight w:val="none"/>
                <w:u w:val="none"/>
              </w:rPr>
            </w:pPr>
            <w:r>
              <w:rPr>
                <w:rFonts w:hint="default" w:ascii="Times New Roman" w:hAnsi="Times New Roman" w:cs="Times New Roman"/>
                <w:snapToGrid w:val="0"/>
                <w:color w:val="auto"/>
                <w:kern w:val="21"/>
                <w:sz w:val="24"/>
                <w:szCs w:val="20"/>
                <w:highlight w:val="none"/>
                <w:u w:val="none"/>
              </w:rPr>
              <w:t>废物</w:t>
            </w:r>
          </w:p>
        </w:tc>
        <w:tc>
          <w:tcPr>
            <w:tcW w:w="1778" w:type="dxa"/>
            <w:vAlign w:val="center"/>
          </w:tcPr>
          <w:p w14:paraId="61455C8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废油漆桶</w:t>
            </w:r>
          </w:p>
        </w:tc>
        <w:tc>
          <w:tcPr>
            <w:tcW w:w="1607" w:type="dxa"/>
            <w:vAlign w:val="center"/>
          </w:tcPr>
          <w:p w14:paraId="69301F6B">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10527A20">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1E90FA5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FE3B22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c>
          <w:tcPr>
            <w:tcW w:w="1761" w:type="dxa"/>
            <w:vAlign w:val="center"/>
          </w:tcPr>
          <w:p w14:paraId="427C62C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EE18FE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c>
          <w:tcPr>
            <w:tcW w:w="1282" w:type="dxa"/>
            <w:vAlign w:val="center"/>
          </w:tcPr>
          <w:p w14:paraId="60AB8ED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0.168</w:t>
            </w:r>
            <w:r>
              <w:rPr>
                <w:rFonts w:hint="default" w:ascii="Times New Roman" w:hAnsi="Times New Roman" w:cs="Times New Roman"/>
                <w:color w:val="auto"/>
                <w:szCs w:val="21"/>
                <w:highlight w:val="none"/>
                <w:u w:val="none"/>
              </w:rPr>
              <w:t>t/a</w:t>
            </w:r>
          </w:p>
        </w:tc>
      </w:tr>
      <w:tr w14:paraId="2859E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069596E">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1EFE1FA7">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废漆渣</w:t>
            </w:r>
          </w:p>
        </w:tc>
        <w:tc>
          <w:tcPr>
            <w:tcW w:w="1607" w:type="dxa"/>
            <w:vAlign w:val="center"/>
          </w:tcPr>
          <w:p w14:paraId="36F7CA5F">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48E87092">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606EB11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41EACBA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c>
          <w:tcPr>
            <w:tcW w:w="1761" w:type="dxa"/>
            <w:vAlign w:val="center"/>
          </w:tcPr>
          <w:p w14:paraId="4DC1594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6879B6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c>
          <w:tcPr>
            <w:tcW w:w="1282" w:type="dxa"/>
            <w:vAlign w:val="center"/>
          </w:tcPr>
          <w:p w14:paraId="0168B17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eastAsia" w:cs="Times New Roman"/>
                <w:color w:val="auto"/>
                <w:sz w:val="21"/>
                <w:szCs w:val="21"/>
                <w:highlight w:val="none"/>
                <w:u w:val="none"/>
                <w:lang w:val="en-US" w:eastAsia="zh-CN"/>
              </w:rPr>
              <w:t>0.015</w:t>
            </w:r>
            <w:r>
              <w:rPr>
                <w:rFonts w:hint="default" w:ascii="Times New Roman" w:hAnsi="Times New Roman" w:cs="Times New Roman"/>
                <w:color w:val="auto"/>
                <w:szCs w:val="21"/>
                <w:highlight w:val="none"/>
                <w:u w:val="none"/>
              </w:rPr>
              <w:t>t/a</w:t>
            </w:r>
          </w:p>
        </w:tc>
      </w:tr>
      <w:tr w14:paraId="09885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817EF1A">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7777E17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3"/>
                <w:sz w:val="21"/>
                <w:szCs w:val="21"/>
                <w:highlight w:val="none"/>
                <w:lang w:val="en-US" w:eastAsia="zh-CN"/>
              </w:rPr>
              <w:t>废滚筒</w:t>
            </w:r>
          </w:p>
        </w:tc>
        <w:tc>
          <w:tcPr>
            <w:tcW w:w="1607" w:type="dxa"/>
            <w:shd w:val="clear" w:color="auto" w:fill="auto"/>
            <w:vAlign w:val="center"/>
          </w:tcPr>
          <w:p w14:paraId="383A544C">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276" w:type="dxa"/>
            <w:shd w:val="clear" w:color="auto" w:fill="auto"/>
            <w:vAlign w:val="center"/>
          </w:tcPr>
          <w:p w14:paraId="1CFD8641">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701" w:type="dxa"/>
            <w:shd w:val="clear" w:color="auto" w:fill="auto"/>
            <w:vAlign w:val="center"/>
          </w:tcPr>
          <w:p w14:paraId="5CD5832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08090EB1">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c>
          <w:tcPr>
            <w:tcW w:w="1761" w:type="dxa"/>
            <w:vAlign w:val="center"/>
          </w:tcPr>
          <w:p w14:paraId="51F877A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2880268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c>
          <w:tcPr>
            <w:tcW w:w="1282" w:type="dxa"/>
            <w:vAlign w:val="center"/>
          </w:tcPr>
          <w:p w14:paraId="7A0B708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1.3425</w:t>
            </w:r>
            <w:r>
              <w:rPr>
                <w:rFonts w:hint="default" w:ascii="Times New Roman" w:hAnsi="Times New Roman" w:cs="Times New Roman"/>
                <w:color w:val="auto"/>
                <w:szCs w:val="21"/>
                <w:highlight w:val="none"/>
                <w:u w:val="none"/>
              </w:rPr>
              <w:t>t/a</w:t>
            </w:r>
          </w:p>
        </w:tc>
      </w:tr>
      <w:tr w14:paraId="0EC00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649DD6D3">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14BB3DE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废活性炭</w:t>
            </w:r>
          </w:p>
        </w:tc>
        <w:tc>
          <w:tcPr>
            <w:tcW w:w="1607" w:type="dxa"/>
            <w:vAlign w:val="center"/>
          </w:tcPr>
          <w:p w14:paraId="2D1EB73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533B99E5">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47918A0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23BD31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c>
          <w:tcPr>
            <w:tcW w:w="1761" w:type="dxa"/>
            <w:vAlign w:val="center"/>
          </w:tcPr>
          <w:p w14:paraId="3FC7C19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959" w:type="dxa"/>
            <w:vAlign w:val="center"/>
          </w:tcPr>
          <w:p w14:paraId="2EA56407">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c>
          <w:tcPr>
            <w:tcW w:w="1282" w:type="dxa"/>
            <w:vAlign w:val="center"/>
          </w:tcPr>
          <w:p w14:paraId="3A6F0070">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0.85</w:t>
            </w:r>
            <w:r>
              <w:rPr>
                <w:rFonts w:hint="default" w:ascii="Times New Roman" w:hAnsi="Times New Roman" w:cs="Times New Roman"/>
                <w:color w:val="auto"/>
                <w:szCs w:val="21"/>
                <w:highlight w:val="none"/>
                <w:u w:val="none"/>
              </w:rPr>
              <w:t>t/a</w:t>
            </w:r>
          </w:p>
        </w:tc>
      </w:tr>
      <w:tr w14:paraId="2FCF8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C377931">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07732B82">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pacing w:val="-1"/>
                <w:sz w:val="21"/>
                <w:szCs w:val="21"/>
                <w:highlight w:val="none"/>
                <w:lang w:val="en-US" w:eastAsia="zh-CN"/>
              </w:rPr>
              <w:t>含油抹布</w:t>
            </w:r>
          </w:p>
        </w:tc>
        <w:tc>
          <w:tcPr>
            <w:tcW w:w="1607" w:type="dxa"/>
            <w:shd w:val="clear" w:color="auto" w:fill="auto"/>
            <w:vAlign w:val="center"/>
          </w:tcPr>
          <w:p w14:paraId="46695C2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276" w:type="dxa"/>
            <w:shd w:val="clear" w:color="auto" w:fill="auto"/>
            <w:vAlign w:val="center"/>
          </w:tcPr>
          <w:p w14:paraId="32133367">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701" w:type="dxa"/>
            <w:shd w:val="clear" w:color="auto" w:fill="auto"/>
            <w:vAlign w:val="center"/>
          </w:tcPr>
          <w:p w14:paraId="2D2998CB">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u w:val="none"/>
                <w:lang w:val="en-US" w:eastAsia="zh-CN" w:bidi="ar-SA"/>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0ED71B0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c>
          <w:tcPr>
            <w:tcW w:w="1761" w:type="dxa"/>
            <w:vAlign w:val="center"/>
          </w:tcPr>
          <w:p w14:paraId="4E9FBDE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34C256E9">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c>
          <w:tcPr>
            <w:tcW w:w="1282" w:type="dxa"/>
            <w:vAlign w:val="center"/>
          </w:tcPr>
          <w:p w14:paraId="59C839E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0.05</w:t>
            </w:r>
            <w:r>
              <w:rPr>
                <w:rFonts w:hint="default" w:ascii="Times New Roman" w:hAnsi="Times New Roman" w:cs="Times New Roman"/>
                <w:color w:val="auto"/>
                <w:szCs w:val="21"/>
                <w:highlight w:val="none"/>
                <w:u w:val="none"/>
              </w:rPr>
              <w:t>t/a</w:t>
            </w:r>
          </w:p>
        </w:tc>
      </w:tr>
      <w:tr w14:paraId="41D1C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8352E63">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514A854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w:t>
            </w:r>
          </w:p>
        </w:tc>
        <w:tc>
          <w:tcPr>
            <w:tcW w:w="1607" w:type="dxa"/>
            <w:vAlign w:val="center"/>
          </w:tcPr>
          <w:p w14:paraId="36A1AAF5">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6E05438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7A743893">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1765656B">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c>
          <w:tcPr>
            <w:tcW w:w="1761" w:type="dxa"/>
            <w:vAlign w:val="center"/>
          </w:tcPr>
          <w:p w14:paraId="4CC862E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6C586FF3">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c>
          <w:tcPr>
            <w:tcW w:w="1282" w:type="dxa"/>
            <w:vAlign w:val="center"/>
          </w:tcPr>
          <w:p w14:paraId="7F1C18F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0.010</w:t>
            </w:r>
            <w:r>
              <w:rPr>
                <w:rFonts w:hint="default" w:ascii="Times New Roman" w:hAnsi="Times New Roman" w:cs="Times New Roman"/>
                <w:color w:val="auto"/>
                <w:szCs w:val="21"/>
                <w:highlight w:val="none"/>
                <w:u w:val="none"/>
              </w:rPr>
              <w:t>t/a</w:t>
            </w:r>
          </w:p>
        </w:tc>
      </w:tr>
      <w:tr w14:paraId="2BAE2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70A45132">
            <w:pPr>
              <w:pStyle w:val="81"/>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cs="Times New Roman"/>
                <w:snapToGrid w:val="0"/>
                <w:color w:val="auto"/>
                <w:kern w:val="21"/>
                <w:szCs w:val="21"/>
                <w:highlight w:val="none"/>
                <w:u w:val="none"/>
              </w:rPr>
            </w:pPr>
          </w:p>
        </w:tc>
        <w:tc>
          <w:tcPr>
            <w:tcW w:w="1778" w:type="dxa"/>
            <w:vAlign w:val="center"/>
          </w:tcPr>
          <w:p w14:paraId="2188053E">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废机油桶</w:t>
            </w:r>
          </w:p>
        </w:tc>
        <w:tc>
          <w:tcPr>
            <w:tcW w:w="1607" w:type="dxa"/>
            <w:vAlign w:val="center"/>
          </w:tcPr>
          <w:p w14:paraId="11D32EBE">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276" w:type="dxa"/>
            <w:vAlign w:val="center"/>
          </w:tcPr>
          <w:p w14:paraId="484E0646">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701" w:type="dxa"/>
            <w:vAlign w:val="center"/>
          </w:tcPr>
          <w:p w14:paraId="1596F7BF">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snapToGrid w:val="0"/>
                <w:color w:val="auto"/>
                <w:kern w:val="21"/>
                <w:szCs w:val="21"/>
                <w:highlight w:val="none"/>
                <w:u w:val="none"/>
                <w:lang w:val="en-US" w:eastAsia="zh-CN"/>
              </w:rPr>
              <w:t>/</w:t>
            </w:r>
          </w:p>
        </w:tc>
        <w:tc>
          <w:tcPr>
            <w:tcW w:w="1559" w:type="dxa"/>
            <w:vAlign w:val="center"/>
          </w:tcPr>
          <w:p w14:paraId="39AAF274">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c>
          <w:tcPr>
            <w:tcW w:w="1761" w:type="dxa"/>
            <w:vAlign w:val="center"/>
          </w:tcPr>
          <w:p w14:paraId="1AF0E0D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cs="Times New Roman"/>
                <w:snapToGrid w:val="0"/>
                <w:color w:val="auto"/>
                <w:kern w:val="21"/>
                <w:szCs w:val="21"/>
                <w:highlight w:val="none"/>
                <w:u w:val="none"/>
              </w:rPr>
            </w:pPr>
            <w:r>
              <w:rPr>
                <w:rFonts w:hint="default" w:ascii="Times New Roman" w:hAnsi="Times New Roman" w:cs="Times New Roman"/>
                <w:snapToGrid w:val="0"/>
                <w:color w:val="auto"/>
                <w:kern w:val="21"/>
                <w:szCs w:val="21"/>
                <w:highlight w:val="none"/>
                <w:u w:val="none"/>
              </w:rPr>
              <w:t>/</w:t>
            </w:r>
          </w:p>
        </w:tc>
        <w:tc>
          <w:tcPr>
            <w:tcW w:w="1959" w:type="dxa"/>
            <w:vAlign w:val="center"/>
          </w:tcPr>
          <w:p w14:paraId="176F8598">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c>
          <w:tcPr>
            <w:tcW w:w="1282" w:type="dxa"/>
            <w:vAlign w:val="center"/>
          </w:tcPr>
          <w:p w14:paraId="4816E9B5">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cs="Times New Roman"/>
                <w:snapToGrid w:val="0"/>
                <w:color w:val="auto"/>
                <w:kern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0.020</w:t>
            </w:r>
            <w:r>
              <w:rPr>
                <w:rFonts w:hint="default" w:ascii="Times New Roman" w:hAnsi="Times New Roman" w:cs="Times New Roman"/>
                <w:color w:val="auto"/>
                <w:szCs w:val="21"/>
                <w:highlight w:val="none"/>
                <w:u w:val="none"/>
              </w:rPr>
              <w:t>t/a</w:t>
            </w:r>
          </w:p>
        </w:tc>
      </w:tr>
    </w:tbl>
    <w:p w14:paraId="643A6ECE">
      <w:pPr>
        <w:pStyle w:val="44"/>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u w:val="none"/>
        </w:rPr>
        <w:t>注：</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1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①</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3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③</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4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④</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5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⑤</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7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⑦</w:t>
      </w:r>
      <w:r>
        <w:rPr>
          <w:rFonts w:hint="default" w:ascii="Times New Roman" w:hAnsi="Times New Roman" w:cs="Times New Roman"/>
          <w:snapToGrid w:val="0"/>
          <w:color w:val="auto"/>
          <w:spacing w:val="-6"/>
          <w:kern w:val="21"/>
          <w:szCs w:val="21"/>
          <w:highlight w:val="none"/>
          <w:u w:val="none"/>
        </w:rPr>
        <w:fldChar w:fldCharType="end"/>
      </w:r>
      <w:r>
        <w:rPr>
          <w:rFonts w:hint="default" w:ascii="Times New Roman" w:hAnsi="Times New Roman" w:cs="Times New Roman"/>
          <w:snapToGrid w:val="0"/>
          <w:color w:val="auto"/>
          <w:spacing w:val="-6"/>
          <w:kern w:val="21"/>
          <w:szCs w:val="21"/>
          <w:highlight w:val="none"/>
          <w:u w:val="none"/>
        </w:rPr>
        <w:t>=</w:t>
      </w:r>
      <w:r>
        <w:rPr>
          <w:rFonts w:hint="default" w:ascii="Times New Roman" w:hAnsi="Times New Roman" w:cs="Times New Roman"/>
          <w:snapToGrid w:val="0"/>
          <w:color w:val="auto"/>
          <w:spacing w:val="-16"/>
          <w:kern w:val="21"/>
          <w:szCs w:val="21"/>
          <w:highlight w:val="none"/>
          <w:u w:val="none"/>
        </w:rPr>
        <w:fldChar w:fldCharType="begin"/>
      </w:r>
      <w:r>
        <w:rPr>
          <w:rFonts w:hint="default" w:ascii="Times New Roman" w:hAnsi="Times New Roman" w:cs="Times New Roman"/>
          <w:snapToGrid w:val="0"/>
          <w:color w:val="auto"/>
          <w:spacing w:val="-16"/>
          <w:kern w:val="21"/>
          <w:szCs w:val="21"/>
          <w:highlight w:val="none"/>
          <w:u w:val="none"/>
        </w:rPr>
        <w:instrText xml:space="preserve"> = 6 \* GB3 \* MERGEFORMAT </w:instrText>
      </w:r>
      <w:r>
        <w:rPr>
          <w:rFonts w:hint="default" w:ascii="Times New Roman" w:hAnsi="Times New Roman" w:cs="Times New Roman"/>
          <w:snapToGrid w:val="0"/>
          <w:color w:val="auto"/>
          <w:spacing w:val="-16"/>
          <w:kern w:val="21"/>
          <w:szCs w:val="21"/>
          <w:highlight w:val="none"/>
          <w:u w:val="none"/>
        </w:rPr>
        <w:fldChar w:fldCharType="separate"/>
      </w:r>
      <w:r>
        <w:rPr>
          <w:rFonts w:hint="default" w:ascii="Times New Roman" w:hAnsi="Times New Roman" w:cs="Times New Roman"/>
          <w:color w:val="auto"/>
          <w:szCs w:val="21"/>
          <w:highlight w:val="none"/>
          <w:u w:val="none"/>
        </w:rPr>
        <w:t>⑥</w:t>
      </w:r>
      <w:r>
        <w:rPr>
          <w:rFonts w:hint="default" w:ascii="Times New Roman" w:hAnsi="Times New Roman" w:cs="Times New Roman"/>
          <w:snapToGrid w:val="0"/>
          <w:color w:val="auto"/>
          <w:spacing w:val="-16"/>
          <w:kern w:val="21"/>
          <w:szCs w:val="21"/>
          <w:highlight w:val="none"/>
          <w:u w:val="none"/>
        </w:rPr>
        <w:fldChar w:fldCharType="end"/>
      </w:r>
      <w:r>
        <w:rPr>
          <w:rFonts w:hint="default" w:ascii="Times New Roman" w:hAnsi="Times New Roman" w:cs="Times New Roman"/>
          <w:snapToGrid w:val="0"/>
          <w:color w:val="auto"/>
          <w:spacing w:val="-16"/>
          <w:kern w:val="21"/>
          <w:szCs w:val="21"/>
          <w:highlight w:val="none"/>
          <w:u w:val="none"/>
        </w:rPr>
        <w:t>-</w:t>
      </w:r>
      <w:r>
        <w:rPr>
          <w:rFonts w:hint="default" w:ascii="Times New Roman" w:hAnsi="Times New Roman" w:cs="Times New Roman"/>
          <w:snapToGrid w:val="0"/>
          <w:color w:val="auto"/>
          <w:spacing w:val="-6"/>
          <w:kern w:val="21"/>
          <w:szCs w:val="21"/>
          <w:highlight w:val="none"/>
          <w:u w:val="none"/>
        </w:rPr>
        <w:fldChar w:fldCharType="begin"/>
      </w:r>
      <w:r>
        <w:rPr>
          <w:rFonts w:hint="default" w:ascii="Times New Roman" w:hAnsi="Times New Roman" w:cs="Times New Roman"/>
          <w:snapToGrid w:val="0"/>
          <w:color w:val="auto"/>
          <w:spacing w:val="-6"/>
          <w:kern w:val="21"/>
          <w:szCs w:val="21"/>
          <w:highlight w:val="none"/>
          <w:u w:val="none"/>
        </w:rPr>
        <w:instrText xml:space="preserve"> = 1 \* GB3 \* MERGEFORMAT </w:instrText>
      </w:r>
      <w:r>
        <w:rPr>
          <w:rFonts w:hint="default" w:ascii="Times New Roman" w:hAnsi="Times New Roman" w:cs="Times New Roman"/>
          <w:snapToGrid w:val="0"/>
          <w:color w:val="auto"/>
          <w:spacing w:val="-6"/>
          <w:kern w:val="21"/>
          <w:szCs w:val="21"/>
          <w:highlight w:val="none"/>
          <w:u w:val="none"/>
        </w:rPr>
        <w:fldChar w:fldCharType="separate"/>
      </w:r>
      <w:r>
        <w:rPr>
          <w:rFonts w:hint="default" w:ascii="Times New Roman" w:hAnsi="Times New Roman" w:cs="Times New Roman"/>
          <w:color w:val="auto"/>
          <w:szCs w:val="21"/>
          <w:highlight w:val="none"/>
          <w:u w:val="none"/>
        </w:rPr>
        <w:t>①</w:t>
      </w:r>
      <w:r>
        <w:rPr>
          <w:rFonts w:hint="default" w:ascii="Times New Roman" w:hAnsi="Times New Roman" w:cs="Times New Roman"/>
          <w:snapToGrid w:val="0"/>
          <w:color w:val="auto"/>
          <w:spacing w:val="-6"/>
          <w:kern w:val="21"/>
          <w:szCs w:val="21"/>
          <w:highlight w:val="none"/>
          <w:u w:val="none"/>
        </w:rPr>
        <w:fldChar w:fldCharType="end"/>
      </w:r>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Arial Unicode MS">
    <w:altName w:val="宋体"/>
    <w:panose1 w:val="020B0604020202020204"/>
    <w:charset w:val="86"/>
    <w:family w:val="roman"/>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0B0BD">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1974">
    <w:pPr>
      <w:pStyle w:val="27"/>
      <w:framePr w:wrap="around" w:vAnchor="text" w:hAnchor="margin" w:xAlign="center" w:y="1"/>
      <w:rPr>
        <w:rFonts w:hint="eastAsia" w:eastAsia="宋体"/>
        <w:lang w:eastAsia="zh-CN"/>
      </w:rPr>
    </w:pPr>
    <w:r>
      <w:fldChar w:fldCharType="begin"/>
    </w:r>
    <w:r>
      <w:rPr>
        <w:rStyle w:val="49"/>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00D">
    <w:pPr>
      <w:pStyle w:val="2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B2D2FD">
                          <w:pPr>
                            <w:pStyle w:val="2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ccd7DgAQAAwwMAAA4AAAAA&#10;AAAAAQAgAAAAHgEAAGRycy9lMm9Eb2MueG1sUEsFBgAAAAAGAAYAWQEAAHAFAAAAAA==&#10;">
              <v:fill on="f" focussize="0,0"/>
              <v:stroke on="f"/>
              <v:imagedata o:title=""/>
              <o:lock v:ext="edit" aspectratio="f"/>
              <v:textbox inset="0mm,0mm,0mm,0mm" style="mso-fit-shape-to-text:t;">
                <w:txbxContent>
                  <w:p w14:paraId="61B2D2FD">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68C5">
    <w:pPr>
      <w:pStyle w:val="27"/>
      <w:ind w:right="360" w:firstLine="360"/>
      <w:jc w:val="lef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91F68">
                          <w:pPr>
                            <w:pStyle w:val="27"/>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gc17wOIBAADDAwAADgAA&#10;AAAAAAABACAAAAAeAQAAZHJzL2Uyb0RvYy54bWxQSwUGAAAAAAYABgBZAQAAcgUAAAAA&#10;">
              <v:fill on="f" focussize="0,0"/>
              <v:stroke on="f"/>
              <v:imagedata o:title=""/>
              <o:lock v:ext="edit" aspectratio="f"/>
              <v:textbox inset="0mm,0mm,0mm,0mm" style="mso-fit-shape-to-text:t;">
                <w:txbxContent>
                  <w:p w14:paraId="6D991F68">
                    <w:pPr>
                      <w:pStyle w:val="2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226E">
    <w:pPr>
      <w:pStyle w:val="2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75835">
                          <w:pPr>
                            <w:pStyle w:val="27"/>
                          </w:pPr>
                          <w:r>
                            <w:fldChar w:fldCharType="begin"/>
                          </w:r>
                          <w:r>
                            <w:instrText xml:space="preserve"> PAGE  \* MERGEFORMAT </w:instrText>
                          </w:r>
                          <w:r>
                            <w:fldChar w:fldCharType="separate"/>
                          </w:r>
                          <w:r>
                            <w:t>58</w:t>
                          </w:r>
                          <w: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TCeP4QEAAMMDAAAOAAAA&#10;AAAAAAEAIAAAAB4BAABkcnMvZTJvRG9jLnhtbFBLBQYAAAAABgAGAFkBAABxBQAAAAA=&#10;">
              <v:fill on="f" focussize="0,0"/>
              <v:stroke on="f"/>
              <v:imagedata o:title=""/>
              <o:lock v:ext="edit" aspectratio="f"/>
              <v:textbox inset="0mm,0mm,0mm,0mm" style="mso-fit-shape-to-text:t;">
                <w:txbxContent>
                  <w:p w14:paraId="1EB75835">
                    <w:pPr>
                      <w:pStyle w:val="2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E19FB"/>
    <w:multiLevelType w:val="singleLevel"/>
    <w:tmpl w:val="802E19FB"/>
    <w:lvl w:ilvl="0" w:tentative="0">
      <w:start w:val="5"/>
      <w:numFmt w:val="decimal"/>
      <w:suff w:val="nothing"/>
      <w:lvlText w:val="%1、"/>
      <w:lvlJc w:val="left"/>
    </w:lvl>
  </w:abstractNum>
  <w:abstractNum w:abstractNumId="1">
    <w:nsid w:val="AAAB345C"/>
    <w:multiLevelType w:val="singleLevel"/>
    <w:tmpl w:val="AAAB345C"/>
    <w:lvl w:ilvl="0" w:tentative="0">
      <w:start w:val="3"/>
      <w:numFmt w:val="decimal"/>
      <w:suff w:val="nothing"/>
      <w:lvlText w:val="%1、"/>
      <w:lvlJc w:val="left"/>
    </w:lvl>
  </w:abstractNum>
  <w:abstractNum w:abstractNumId="2">
    <w:nsid w:val="C5EEA12B"/>
    <w:multiLevelType w:val="singleLevel"/>
    <w:tmpl w:val="C5EEA12B"/>
    <w:lvl w:ilvl="0" w:tentative="0">
      <w:start w:val="1"/>
      <w:numFmt w:val="decimal"/>
      <w:suff w:val="nothing"/>
      <w:lvlText w:val="%1、"/>
      <w:lvlJc w:val="left"/>
      <w:rPr>
        <w:rFonts w:hint="default"/>
        <w:color w:val="auto"/>
      </w:rPr>
    </w:lvl>
  </w:abstractNum>
  <w:abstractNum w:abstractNumId="3">
    <w:nsid w:val="EB5A1692"/>
    <w:multiLevelType w:val="singleLevel"/>
    <w:tmpl w:val="EB5A1692"/>
    <w:lvl w:ilvl="0" w:tentative="0">
      <w:start w:val="8"/>
      <w:numFmt w:val="decimal"/>
      <w:suff w:val="nothing"/>
      <w:lvlText w:val="%1、"/>
      <w:lvlJc w:val="left"/>
    </w:lvl>
  </w:abstractNum>
  <w:abstractNum w:abstractNumId="4">
    <w:nsid w:val="00094955"/>
    <w:multiLevelType w:val="singleLevel"/>
    <w:tmpl w:val="00094955"/>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5">
    <w:nsid w:val="0B8453A8"/>
    <w:multiLevelType w:val="multilevel"/>
    <w:tmpl w:val="0B8453A8"/>
    <w:lvl w:ilvl="0" w:tentative="0">
      <w:start w:val="1"/>
      <w:numFmt w:val="chineseCounting"/>
      <w:suff w:val="nothing"/>
      <w:lvlText w:val="第%1章 "/>
      <w:lvlJc w:val="left"/>
      <w:pPr>
        <w:ind w:left="432" w:hanging="432"/>
      </w:pPr>
      <w:rPr>
        <w:rFonts w:hint="eastAsia"/>
        <w:sz w:val="32"/>
        <w:szCs w:val="32"/>
      </w:rPr>
    </w:lvl>
    <w:lvl w:ilvl="1" w:tentative="0">
      <w:start w:val="1"/>
      <w:numFmt w:val="decimal"/>
      <w:pStyle w:val="3"/>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6">
    <w:nsid w:val="1C4D8EC1"/>
    <w:multiLevelType w:val="singleLevel"/>
    <w:tmpl w:val="1C4D8EC1"/>
    <w:lvl w:ilvl="0" w:tentative="0">
      <w:start w:val="1"/>
      <w:numFmt w:val="decimal"/>
      <w:suff w:val="nothing"/>
      <w:lvlText w:val="%1、"/>
      <w:lvlJc w:val="left"/>
    </w:lvl>
  </w:abstractNum>
  <w:abstractNum w:abstractNumId="7">
    <w:nsid w:val="42C270EA"/>
    <w:multiLevelType w:val="singleLevel"/>
    <w:tmpl w:val="42C270EA"/>
    <w:lvl w:ilvl="0" w:tentative="0">
      <w:start w:val="2"/>
      <w:numFmt w:val="decimal"/>
      <w:suff w:val="nothing"/>
      <w:lvlText w:val="（%1）"/>
      <w:lvlJc w:val="left"/>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zYzhkZjgyNTI0MTVjNTdkMmY1MmE2OTQ2NTI0ZjEifQ=="/>
    <w:docVar w:name="KSO_WPS_MARK_KEY" w:val="a6912c84-8a11-4ec2-9567-c3898aeb86f1"/>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343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586"/>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0D11"/>
    <w:rsid w:val="0056106A"/>
    <w:rsid w:val="005719E1"/>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5B4F"/>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7C7"/>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13882"/>
    <w:rsid w:val="01290F7E"/>
    <w:rsid w:val="015743DF"/>
    <w:rsid w:val="015D1E09"/>
    <w:rsid w:val="01815776"/>
    <w:rsid w:val="01921178"/>
    <w:rsid w:val="01BB5A85"/>
    <w:rsid w:val="01D75643"/>
    <w:rsid w:val="01D80AB5"/>
    <w:rsid w:val="020310C3"/>
    <w:rsid w:val="02697903"/>
    <w:rsid w:val="027D6A71"/>
    <w:rsid w:val="02B15F68"/>
    <w:rsid w:val="02D16876"/>
    <w:rsid w:val="02F54FC6"/>
    <w:rsid w:val="02F96569"/>
    <w:rsid w:val="031A4A2D"/>
    <w:rsid w:val="031E20DF"/>
    <w:rsid w:val="032633D2"/>
    <w:rsid w:val="033B6E7D"/>
    <w:rsid w:val="03EA7B21"/>
    <w:rsid w:val="04141555"/>
    <w:rsid w:val="041A2F36"/>
    <w:rsid w:val="043065CE"/>
    <w:rsid w:val="0451290D"/>
    <w:rsid w:val="047E1055"/>
    <w:rsid w:val="04952722"/>
    <w:rsid w:val="049D5915"/>
    <w:rsid w:val="054434B6"/>
    <w:rsid w:val="055E17DC"/>
    <w:rsid w:val="05663F59"/>
    <w:rsid w:val="056D178C"/>
    <w:rsid w:val="058D47C2"/>
    <w:rsid w:val="05A84F79"/>
    <w:rsid w:val="05D60D15"/>
    <w:rsid w:val="05F83EAE"/>
    <w:rsid w:val="060271E4"/>
    <w:rsid w:val="063E7D85"/>
    <w:rsid w:val="069D3059"/>
    <w:rsid w:val="06A606E5"/>
    <w:rsid w:val="06E548BD"/>
    <w:rsid w:val="06F35958"/>
    <w:rsid w:val="07146974"/>
    <w:rsid w:val="0728596A"/>
    <w:rsid w:val="07293586"/>
    <w:rsid w:val="07295285"/>
    <w:rsid w:val="07385794"/>
    <w:rsid w:val="074642CA"/>
    <w:rsid w:val="07636392"/>
    <w:rsid w:val="07770C56"/>
    <w:rsid w:val="07785AD0"/>
    <w:rsid w:val="07EA70C4"/>
    <w:rsid w:val="08057688"/>
    <w:rsid w:val="081F3244"/>
    <w:rsid w:val="08642BCB"/>
    <w:rsid w:val="08D52636"/>
    <w:rsid w:val="08E01778"/>
    <w:rsid w:val="08E13DE7"/>
    <w:rsid w:val="08EC64B1"/>
    <w:rsid w:val="08EE193E"/>
    <w:rsid w:val="08FE65DD"/>
    <w:rsid w:val="090364EB"/>
    <w:rsid w:val="09073C6E"/>
    <w:rsid w:val="092217DD"/>
    <w:rsid w:val="092642FB"/>
    <w:rsid w:val="093A5D1F"/>
    <w:rsid w:val="093A7294"/>
    <w:rsid w:val="09842C00"/>
    <w:rsid w:val="09930D7B"/>
    <w:rsid w:val="09A16DE9"/>
    <w:rsid w:val="09BF087B"/>
    <w:rsid w:val="09D866E1"/>
    <w:rsid w:val="09ED69F7"/>
    <w:rsid w:val="0A193C90"/>
    <w:rsid w:val="0A201326"/>
    <w:rsid w:val="0A263993"/>
    <w:rsid w:val="0A2D3AC2"/>
    <w:rsid w:val="0A33420A"/>
    <w:rsid w:val="0A412539"/>
    <w:rsid w:val="0A474359"/>
    <w:rsid w:val="0A771075"/>
    <w:rsid w:val="0A8F2454"/>
    <w:rsid w:val="0AA755DF"/>
    <w:rsid w:val="0AB06D21"/>
    <w:rsid w:val="0AD2422A"/>
    <w:rsid w:val="0ADC1B07"/>
    <w:rsid w:val="0B051C86"/>
    <w:rsid w:val="0B120D44"/>
    <w:rsid w:val="0B1306DF"/>
    <w:rsid w:val="0B2500C4"/>
    <w:rsid w:val="0B364E4C"/>
    <w:rsid w:val="0B602A5E"/>
    <w:rsid w:val="0BB079A9"/>
    <w:rsid w:val="0BBE064B"/>
    <w:rsid w:val="0BD27BF6"/>
    <w:rsid w:val="0BE502CE"/>
    <w:rsid w:val="0BFD2892"/>
    <w:rsid w:val="0C05627A"/>
    <w:rsid w:val="0C0C0258"/>
    <w:rsid w:val="0C0C67CD"/>
    <w:rsid w:val="0C3B3C7D"/>
    <w:rsid w:val="0C424F35"/>
    <w:rsid w:val="0C855C09"/>
    <w:rsid w:val="0CAB2EAE"/>
    <w:rsid w:val="0D07185D"/>
    <w:rsid w:val="0D1F38FD"/>
    <w:rsid w:val="0D2C3CDA"/>
    <w:rsid w:val="0D3F1592"/>
    <w:rsid w:val="0D573CB8"/>
    <w:rsid w:val="0D5A168B"/>
    <w:rsid w:val="0D621C7D"/>
    <w:rsid w:val="0D705975"/>
    <w:rsid w:val="0D9E7450"/>
    <w:rsid w:val="0DA323C4"/>
    <w:rsid w:val="0DC16DA6"/>
    <w:rsid w:val="0DDC125D"/>
    <w:rsid w:val="0DE43183"/>
    <w:rsid w:val="0DEB5B4C"/>
    <w:rsid w:val="0E43308A"/>
    <w:rsid w:val="0E580393"/>
    <w:rsid w:val="0E73034D"/>
    <w:rsid w:val="0ECB185D"/>
    <w:rsid w:val="0F100285"/>
    <w:rsid w:val="0F13775A"/>
    <w:rsid w:val="0F5F45FE"/>
    <w:rsid w:val="0F67724C"/>
    <w:rsid w:val="0F71337B"/>
    <w:rsid w:val="0F900A8A"/>
    <w:rsid w:val="0F9A112B"/>
    <w:rsid w:val="0FDE750E"/>
    <w:rsid w:val="0FF93847"/>
    <w:rsid w:val="1024111D"/>
    <w:rsid w:val="104355C3"/>
    <w:rsid w:val="10566C01"/>
    <w:rsid w:val="10651161"/>
    <w:rsid w:val="106D2F64"/>
    <w:rsid w:val="10772B9A"/>
    <w:rsid w:val="10A537BE"/>
    <w:rsid w:val="10A669FF"/>
    <w:rsid w:val="10B63710"/>
    <w:rsid w:val="10C37A4F"/>
    <w:rsid w:val="10C67A22"/>
    <w:rsid w:val="10F10820"/>
    <w:rsid w:val="111C2F7A"/>
    <w:rsid w:val="113111E9"/>
    <w:rsid w:val="113E6BE1"/>
    <w:rsid w:val="1156788B"/>
    <w:rsid w:val="115B2D88"/>
    <w:rsid w:val="11665CA1"/>
    <w:rsid w:val="12485112"/>
    <w:rsid w:val="125F11D4"/>
    <w:rsid w:val="12791770"/>
    <w:rsid w:val="12A46107"/>
    <w:rsid w:val="12C81DAF"/>
    <w:rsid w:val="12CF7AEA"/>
    <w:rsid w:val="12D76496"/>
    <w:rsid w:val="130E3A31"/>
    <w:rsid w:val="13144A01"/>
    <w:rsid w:val="132F62D2"/>
    <w:rsid w:val="134448A0"/>
    <w:rsid w:val="13475574"/>
    <w:rsid w:val="137C012D"/>
    <w:rsid w:val="13951726"/>
    <w:rsid w:val="13954387"/>
    <w:rsid w:val="13A645D2"/>
    <w:rsid w:val="140756E5"/>
    <w:rsid w:val="1410239F"/>
    <w:rsid w:val="142F15AD"/>
    <w:rsid w:val="14396509"/>
    <w:rsid w:val="143E381F"/>
    <w:rsid w:val="1455495A"/>
    <w:rsid w:val="145C1E3F"/>
    <w:rsid w:val="146849FD"/>
    <w:rsid w:val="147C759E"/>
    <w:rsid w:val="1481490C"/>
    <w:rsid w:val="14DD2C3C"/>
    <w:rsid w:val="152F4368"/>
    <w:rsid w:val="154A75C3"/>
    <w:rsid w:val="15A06918"/>
    <w:rsid w:val="15B44710"/>
    <w:rsid w:val="15BB45B7"/>
    <w:rsid w:val="15D5502C"/>
    <w:rsid w:val="16087E1D"/>
    <w:rsid w:val="160E4E2D"/>
    <w:rsid w:val="16132D8A"/>
    <w:rsid w:val="161F618A"/>
    <w:rsid w:val="16225C7A"/>
    <w:rsid w:val="1629336A"/>
    <w:rsid w:val="16325AD1"/>
    <w:rsid w:val="164125A5"/>
    <w:rsid w:val="16483EE1"/>
    <w:rsid w:val="168431D0"/>
    <w:rsid w:val="168B1A72"/>
    <w:rsid w:val="16A21074"/>
    <w:rsid w:val="16A56D61"/>
    <w:rsid w:val="16BC7326"/>
    <w:rsid w:val="171611EE"/>
    <w:rsid w:val="172779EC"/>
    <w:rsid w:val="172C5B40"/>
    <w:rsid w:val="17701D14"/>
    <w:rsid w:val="17735226"/>
    <w:rsid w:val="17763EDC"/>
    <w:rsid w:val="179130B8"/>
    <w:rsid w:val="17953714"/>
    <w:rsid w:val="17B21A3F"/>
    <w:rsid w:val="17CA0378"/>
    <w:rsid w:val="17E04D5C"/>
    <w:rsid w:val="18423E15"/>
    <w:rsid w:val="186103DB"/>
    <w:rsid w:val="18623348"/>
    <w:rsid w:val="189C095D"/>
    <w:rsid w:val="189F624C"/>
    <w:rsid w:val="18A736B2"/>
    <w:rsid w:val="18B343D8"/>
    <w:rsid w:val="18C912DC"/>
    <w:rsid w:val="18F03E0E"/>
    <w:rsid w:val="18F32344"/>
    <w:rsid w:val="18F41B50"/>
    <w:rsid w:val="19856C4C"/>
    <w:rsid w:val="19930502"/>
    <w:rsid w:val="199434D8"/>
    <w:rsid w:val="19A44BE7"/>
    <w:rsid w:val="19B62E54"/>
    <w:rsid w:val="19C472DF"/>
    <w:rsid w:val="19D11E91"/>
    <w:rsid w:val="1A0055EA"/>
    <w:rsid w:val="1A136F80"/>
    <w:rsid w:val="1A187AC0"/>
    <w:rsid w:val="1A1C66C0"/>
    <w:rsid w:val="1A42393B"/>
    <w:rsid w:val="1A7325FB"/>
    <w:rsid w:val="1AAD45DE"/>
    <w:rsid w:val="1AD75285"/>
    <w:rsid w:val="1AF03B30"/>
    <w:rsid w:val="1AFB1F85"/>
    <w:rsid w:val="1B046F80"/>
    <w:rsid w:val="1B3267B5"/>
    <w:rsid w:val="1B3B244F"/>
    <w:rsid w:val="1B3F2E2B"/>
    <w:rsid w:val="1B40161D"/>
    <w:rsid w:val="1B441859"/>
    <w:rsid w:val="1B4B525A"/>
    <w:rsid w:val="1B5E76F6"/>
    <w:rsid w:val="1B6606B1"/>
    <w:rsid w:val="1B7C407F"/>
    <w:rsid w:val="1B972935"/>
    <w:rsid w:val="1BA43D67"/>
    <w:rsid w:val="1BA8703D"/>
    <w:rsid w:val="1BBC1E36"/>
    <w:rsid w:val="1C0A5A8F"/>
    <w:rsid w:val="1C5E7925"/>
    <w:rsid w:val="1C5F3784"/>
    <w:rsid w:val="1C737230"/>
    <w:rsid w:val="1C8E5E18"/>
    <w:rsid w:val="1CB4328F"/>
    <w:rsid w:val="1CED13FC"/>
    <w:rsid w:val="1CFD070F"/>
    <w:rsid w:val="1D137143"/>
    <w:rsid w:val="1D1A544D"/>
    <w:rsid w:val="1D296824"/>
    <w:rsid w:val="1D383FD6"/>
    <w:rsid w:val="1D4C59BE"/>
    <w:rsid w:val="1D5F6196"/>
    <w:rsid w:val="1D6132A5"/>
    <w:rsid w:val="1D7A7AAC"/>
    <w:rsid w:val="1D7E12A1"/>
    <w:rsid w:val="1D843856"/>
    <w:rsid w:val="1D8E56D5"/>
    <w:rsid w:val="1DA14F9C"/>
    <w:rsid w:val="1DB1371D"/>
    <w:rsid w:val="1DB37642"/>
    <w:rsid w:val="1DFD14A7"/>
    <w:rsid w:val="1DFE521F"/>
    <w:rsid w:val="1E19339E"/>
    <w:rsid w:val="1E536D50"/>
    <w:rsid w:val="1E7A43DA"/>
    <w:rsid w:val="1E8C45D9"/>
    <w:rsid w:val="1E93188B"/>
    <w:rsid w:val="1E9341F3"/>
    <w:rsid w:val="1EBC3159"/>
    <w:rsid w:val="1EBE5C3A"/>
    <w:rsid w:val="1EDB2B69"/>
    <w:rsid w:val="1EDB621F"/>
    <w:rsid w:val="1F0B3750"/>
    <w:rsid w:val="1F4D52A5"/>
    <w:rsid w:val="1F54774F"/>
    <w:rsid w:val="1FD55B0C"/>
    <w:rsid w:val="1FD95790"/>
    <w:rsid w:val="1FE7539E"/>
    <w:rsid w:val="20207B94"/>
    <w:rsid w:val="20225588"/>
    <w:rsid w:val="20607ACB"/>
    <w:rsid w:val="20671BE0"/>
    <w:rsid w:val="20841864"/>
    <w:rsid w:val="20963CB8"/>
    <w:rsid w:val="20A81A1B"/>
    <w:rsid w:val="20B07FB6"/>
    <w:rsid w:val="20B646FB"/>
    <w:rsid w:val="20D70B82"/>
    <w:rsid w:val="20E20311"/>
    <w:rsid w:val="20E47E06"/>
    <w:rsid w:val="212170FD"/>
    <w:rsid w:val="213B74B1"/>
    <w:rsid w:val="214A5DEA"/>
    <w:rsid w:val="215A2310"/>
    <w:rsid w:val="21767A96"/>
    <w:rsid w:val="219B5455"/>
    <w:rsid w:val="21A1039B"/>
    <w:rsid w:val="21C16322"/>
    <w:rsid w:val="21C41373"/>
    <w:rsid w:val="21CD73E2"/>
    <w:rsid w:val="21DE318A"/>
    <w:rsid w:val="21EF5B80"/>
    <w:rsid w:val="22526EB5"/>
    <w:rsid w:val="22536ECA"/>
    <w:rsid w:val="2254540E"/>
    <w:rsid w:val="22576990"/>
    <w:rsid w:val="22715FC0"/>
    <w:rsid w:val="22783FC3"/>
    <w:rsid w:val="22EF552E"/>
    <w:rsid w:val="22F015DA"/>
    <w:rsid w:val="22F10BA7"/>
    <w:rsid w:val="22F47480"/>
    <w:rsid w:val="23072161"/>
    <w:rsid w:val="230E0197"/>
    <w:rsid w:val="231548C7"/>
    <w:rsid w:val="23220EF6"/>
    <w:rsid w:val="232A43C0"/>
    <w:rsid w:val="23312C59"/>
    <w:rsid w:val="23A06601"/>
    <w:rsid w:val="23B02B18"/>
    <w:rsid w:val="23DE1C48"/>
    <w:rsid w:val="23F6158E"/>
    <w:rsid w:val="240210CD"/>
    <w:rsid w:val="240D2DD2"/>
    <w:rsid w:val="24111A26"/>
    <w:rsid w:val="24113F48"/>
    <w:rsid w:val="242C02B3"/>
    <w:rsid w:val="2454465C"/>
    <w:rsid w:val="245D23C7"/>
    <w:rsid w:val="24A81A41"/>
    <w:rsid w:val="24B2781A"/>
    <w:rsid w:val="24B42EF2"/>
    <w:rsid w:val="24BF09F7"/>
    <w:rsid w:val="24E27EA4"/>
    <w:rsid w:val="24EE1B26"/>
    <w:rsid w:val="24FA3BEE"/>
    <w:rsid w:val="25197744"/>
    <w:rsid w:val="252572D8"/>
    <w:rsid w:val="252D53FE"/>
    <w:rsid w:val="25487772"/>
    <w:rsid w:val="257A4194"/>
    <w:rsid w:val="257F5031"/>
    <w:rsid w:val="258660AB"/>
    <w:rsid w:val="25A33899"/>
    <w:rsid w:val="25A42208"/>
    <w:rsid w:val="25B12B77"/>
    <w:rsid w:val="25C459B0"/>
    <w:rsid w:val="25CE640F"/>
    <w:rsid w:val="25EC2D81"/>
    <w:rsid w:val="25F066B0"/>
    <w:rsid w:val="25FE285F"/>
    <w:rsid w:val="2604714B"/>
    <w:rsid w:val="264A7253"/>
    <w:rsid w:val="264D223C"/>
    <w:rsid w:val="266F72B9"/>
    <w:rsid w:val="26A73E96"/>
    <w:rsid w:val="26D134D1"/>
    <w:rsid w:val="26FB24E9"/>
    <w:rsid w:val="27074885"/>
    <w:rsid w:val="27147861"/>
    <w:rsid w:val="27223D2C"/>
    <w:rsid w:val="273870AC"/>
    <w:rsid w:val="277057A2"/>
    <w:rsid w:val="27D52B4D"/>
    <w:rsid w:val="282615FA"/>
    <w:rsid w:val="28296293"/>
    <w:rsid w:val="2835183D"/>
    <w:rsid w:val="286330DD"/>
    <w:rsid w:val="287E263E"/>
    <w:rsid w:val="288212C1"/>
    <w:rsid w:val="28924EE2"/>
    <w:rsid w:val="28A41BFF"/>
    <w:rsid w:val="28CD5292"/>
    <w:rsid w:val="28D1536A"/>
    <w:rsid w:val="28E374B9"/>
    <w:rsid w:val="28E47158"/>
    <w:rsid w:val="28EC6872"/>
    <w:rsid w:val="28F5501D"/>
    <w:rsid w:val="29206EB8"/>
    <w:rsid w:val="29233D8C"/>
    <w:rsid w:val="29265194"/>
    <w:rsid w:val="29595666"/>
    <w:rsid w:val="29874881"/>
    <w:rsid w:val="298F31CF"/>
    <w:rsid w:val="299E77DA"/>
    <w:rsid w:val="29CC4423"/>
    <w:rsid w:val="29E325E0"/>
    <w:rsid w:val="2A043D7C"/>
    <w:rsid w:val="2A16744D"/>
    <w:rsid w:val="2A217B07"/>
    <w:rsid w:val="2A452503"/>
    <w:rsid w:val="2A5C37F4"/>
    <w:rsid w:val="2A7D7BE7"/>
    <w:rsid w:val="2A8A65D7"/>
    <w:rsid w:val="2A8F0091"/>
    <w:rsid w:val="2A8F4FC0"/>
    <w:rsid w:val="2B0F3335"/>
    <w:rsid w:val="2B3239BA"/>
    <w:rsid w:val="2BA936A8"/>
    <w:rsid w:val="2BAB1934"/>
    <w:rsid w:val="2BCE3130"/>
    <w:rsid w:val="2BF471A4"/>
    <w:rsid w:val="2C0C77C5"/>
    <w:rsid w:val="2C1D0F66"/>
    <w:rsid w:val="2C315A5A"/>
    <w:rsid w:val="2C471B3F"/>
    <w:rsid w:val="2C4B1C25"/>
    <w:rsid w:val="2C537EA7"/>
    <w:rsid w:val="2C633F3F"/>
    <w:rsid w:val="2C65458F"/>
    <w:rsid w:val="2C6B5B85"/>
    <w:rsid w:val="2CB74F17"/>
    <w:rsid w:val="2CBA5E47"/>
    <w:rsid w:val="2CFE2375"/>
    <w:rsid w:val="2D0218A2"/>
    <w:rsid w:val="2D212190"/>
    <w:rsid w:val="2D2753CB"/>
    <w:rsid w:val="2D2A56E9"/>
    <w:rsid w:val="2D3834EB"/>
    <w:rsid w:val="2D9E56F5"/>
    <w:rsid w:val="2DAE4976"/>
    <w:rsid w:val="2DC914A6"/>
    <w:rsid w:val="2DE20F96"/>
    <w:rsid w:val="2E262354"/>
    <w:rsid w:val="2E306B72"/>
    <w:rsid w:val="2E667F96"/>
    <w:rsid w:val="2E7162DB"/>
    <w:rsid w:val="2E8226AB"/>
    <w:rsid w:val="2E863CB5"/>
    <w:rsid w:val="2ECA7F8C"/>
    <w:rsid w:val="2EE73BE0"/>
    <w:rsid w:val="2EF35FAE"/>
    <w:rsid w:val="2F0438FD"/>
    <w:rsid w:val="2F3D574F"/>
    <w:rsid w:val="2F77098D"/>
    <w:rsid w:val="2F8F2BCC"/>
    <w:rsid w:val="2F935779"/>
    <w:rsid w:val="2F951B8C"/>
    <w:rsid w:val="2F9E0181"/>
    <w:rsid w:val="2FA61A0D"/>
    <w:rsid w:val="2FD065E6"/>
    <w:rsid w:val="2FD96870"/>
    <w:rsid w:val="2FDD7D68"/>
    <w:rsid w:val="2FE14059"/>
    <w:rsid w:val="30580BC9"/>
    <w:rsid w:val="30C12042"/>
    <w:rsid w:val="30C157F1"/>
    <w:rsid w:val="30D35E84"/>
    <w:rsid w:val="3118171C"/>
    <w:rsid w:val="311E2ED7"/>
    <w:rsid w:val="313D33E3"/>
    <w:rsid w:val="315619EE"/>
    <w:rsid w:val="315C449C"/>
    <w:rsid w:val="31615451"/>
    <w:rsid w:val="316B566C"/>
    <w:rsid w:val="3186310A"/>
    <w:rsid w:val="318A1641"/>
    <w:rsid w:val="319B3534"/>
    <w:rsid w:val="319C47BF"/>
    <w:rsid w:val="31B82709"/>
    <w:rsid w:val="31C1262A"/>
    <w:rsid w:val="31D05482"/>
    <w:rsid w:val="31D67BED"/>
    <w:rsid w:val="31F44517"/>
    <w:rsid w:val="321921D0"/>
    <w:rsid w:val="3231596F"/>
    <w:rsid w:val="32317CE2"/>
    <w:rsid w:val="323E4159"/>
    <w:rsid w:val="32400B34"/>
    <w:rsid w:val="324F4E37"/>
    <w:rsid w:val="324F5BF1"/>
    <w:rsid w:val="327A2C6E"/>
    <w:rsid w:val="329B0E37"/>
    <w:rsid w:val="329E6876"/>
    <w:rsid w:val="32D85BE7"/>
    <w:rsid w:val="32FB554B"/>
    <w:rsid w:val="33060643"/>
    <w:rsid w:val="333015F2"/>
    <w:rsid w:val="33440C80"/>
    <w:rsid w:val="334B6320"/>
    <w:rsid w:val="335858DF"/>
    <w:rsid w:val="336B7954"/>
    <w:rsid w:val="33917406"/>
    <w:rsid w:val="339C6E3C"/>
    <w:rsid w:val="33B679E6"/>
    <w:rsid w:val="33D934D4"/>
    <w:rsid w:val="33FE2F6A"/>
    <w:rsid w:val="340E07E5"/>
    <w:rsid w:val="34235BF7"/>
    <w:rsid w:val="34270BD4"/>
    <w:rsid w:val="342A3D4C"/>
    <w:rsid w:val="34444B26"/>
    <w:rsid w:val="34461A37"/>
    <w:rsid w:val="34800EB3"/>
    <w:rsid w:val="34AB11F7"/>
    <w:rsid w:val="34AD213F"/>
    <w:rsid w:val="34BE56E2"/>
    <w:rsid w:val="34D83195"/>
    <w:rsid w:val="34FB5BBD"/>
    <w:rsid w:val="35152820"/>
    <w:rsid w:val="352E5F92"/>
    <w:rsid w:val="353B77E2"/>
    <w:rsid w:val="35714FD5"/>
    <w:rsid w:val="358B32FA"/>
    <w:rsid w:val="358C5FA8"/>
    <w:rsid w:val="359851AF"/>
    <w:rsid w:val="35C15DF1"/>
    <w:rsid w:val="36074A7F"/>
    <w:rsid w:val="363C58FB"/>
    <w:rsid w:val="3650189A"/>
    <w:rsid w:val="36686EDD"/>
    <w:rsid w:val="366C5FEE"/>
    <w:rsid w:val="36923549"/>
    <w:rsid w:val="36A34277"/>
    <w:rsid w:val="36AF6C5F"/>
    <w:rsid w:val="36B75FBF"/>
    <w:rsid w:val="36BD0C45"/>
    <w:rsid w:val="36C669C5"/>
    <w:rsid w:val="36D74804"/>
    <w:rsid w:val="37046FAB"/>
    <w:rsid w:val="370940E1"/>
    <w:rsid w:val="370B658B"/>
    <w:rsid w:val="371D3777"/>
    <w:rsid w:val="376411FA"/>
    <w:rsid w:val="376E08C8"/>
    <w:rsid w:val="37BA2F5A"/>
    <w:rsid w:val="37E00298"/>
    <w:rsid w:val="38433B03"/>
    <w:rsid w:val="38633360"/>
    <w:rsid w:val="38703B3C"/>
    <w:rsid w:val="387147B7"/>
    <w:rsid w:val="389B393F"/>
    <w:rsid w:val="38AC1268"/>
    <w:rsid w:val="38B302F9"/>
    <w:rsid w:val="38B445F0"/>
    <w:rsid w:val="38BD7EA9"/>
    <w:rsid w:val="38C874CF"/>
    <w:rsid w:val="38CF5B01"/>
    <w:rsid w:val="38D74781"/>
    <w:rsid w:val="38D94970"/>
    <w:rsid w:val="38E71109"/>
    <w:rsid w:val="38F12CD3"/>
    <w:rsid w:val="38F94775"/>
    <w:rsid w:val="392971ED"/>
    <w:rsid w:val="39325651"/>
    <w:rsid w:val="39670D4E"/>
    <w:rsid w:val="399073A3"/>
    <w:rsid w:val="3A7E45A9"/>
    <w:rsid w:val="3A872856"/>
    <w:rsid w:val="3AC42054"/>
    <w:rsid w:val="3ADB49CC"/>
    <w:rsid w:val="3AE8373F"/>
    <w:rsid w:val="3AFB3277"/>
    <w:rsid w:val="3B037579"/>
    <w:rsid w:val="3B274A2D"/>
    <w:rsid w:val="3B365BA1"/>
    <w:rsid w:val="3B3763D1"/>
    <w:rsid w:val="3B3E1B8C"/>
    <w:rsid w:val="3BB21837"/>
    <w:rsid w:val="3BD335CE"/>
    <w:rsid w:val="3BEB19DF"/>
    <w:rsid w:val="3BF517C9"/>
    <w:rsid w:val="3BFC279A"/>
    <w:rsid w:val="3BFD046C"/>
    <w:rsid w:val="3C067321"/>
    <w:rsid w:val="3C261771"/>
    <w:rsid w:val="3C2F6E1E"/>
    <w:rsid w:val="3C4F64BA"/>
    <w:rsid w:val="3C6D73A0"/>
    <w:rsid w:val="3C865454"/>
    <w:rsid w:val="3C8F7316"/>
    <w:rsid w:val="3CAC61B9"/>
    <w:rsid w:val="3CB90837"/>
    <w:rsid w:val="3CDA245A"/>
    <w:rsid w:val="3D046676"/>
    <w:rsid w:val="3D053A7C"/>
    <w:rsid w:val="3D0E3D6B"/>
    <w:rsid w:val="3D17241B"/>
    <w:rsid w:val="3D1E06B7"/>
    <w:rsid w:val="3D84044A"/>
    <w:rsid w:val="3DC079A3"/>
    <w:rsid w:val="3E1A3557"/>
    <w:rsid w:val="3E412642"/>
    <w:rsid w:val="3E4525A5"/>
    <w:rsid w:val="3E7A02B3"/>
    <w:rsid w:val="3EA22C9C"/>
    <w:rsid w:val="3EA8599B"/>
    <w:rsid w:val="3EB6606B"/>
    <w:rsid w:val="3EDA0523"/>
    <w:rsid w:val="3F087854"/>
    <w:rsid w:val="3F1E4982"/>
    <w:rsid w:val="3F2226C4"/>
    <w:rsid w:val="3F473ED8"/>
    <w:rsid w:val="3F483AE6"/>
    <w:rsid w:val="3F782056"/>
    <w:rsid w:val="3F7852B0"/>
    <w:rsid w:val="3F9C05CF"/>
    <w:rsid w:val="3FD37E62"/>
    <w:rsid w:val="3FE756BB"/>
    <w:rsid w:val="3FFD6C8D"/>
    <w:rsid w:val="401B7113"/>
    <w:rsid w:val="401C6553"/>
    <w:rsid w:val="40275AB8"/>
    <w:rsid w:val="40415B7F"/>
    <w:rsid w:val="40791CCB"/>
    <w:rsid w:val="407A6407"/>
    <w:rsid w:val="40814ACF"/>
    <w:rsid w:val="40866C82"/>
    <w:rsid w:val="409143B5"/>
    <w:rsid w:val="40A12A21"/>
    <w:rsid w:val="40A210B7"/>
    <w:rsid w:val="40C117DE"/>
    <w:rsid w:val="40C34442"/>
    <w:rsid w:val="40D10A4C"/>
    <w:rsid w:val="40D32D93"/>
    <w:rsid w:val="40F167F2"/>
    <w:rsid w:val="41353B24"/>
    <w:rsid w:val="414C62F9"/>
    <w:rsid w:val="41F127BA"/>
    <w:rsid w:val="41F67064"/>
    <w:rsid w:val="4200449D"/>
    <w:rsid w:val="423A3BCC"/>
    <w:rsid w:val="424E57D2"/>
    <w:rsid w:val="4269219B"/>
    <w:rsid w:val="42B26C49"/>
    <w:rsid w:val="42D00689"/>
    <w:rsid w:val="42E067E4"/>
    <w:rsid w:val="430128AF"/>
    <w:rsid w:val="430E649F"/>
    <w:rsid w:val="43110D36"/>
    <w:rsid w:val="43340C18"/>
    <w:rsid w:val="433A6FE6"/>
    <w:rsid w:val="43480868"/>
    <w:rsid w:val="4350713C"/>
    <w:rsid w:val="435766B4"/>
    <w:rsid w:val="436653E0"/>
    <w:rsid w:val="437F59AC"/>
    <w:rsid w:val="43C4431A"/>
    <w:rsid w:val="43D13B58"/>
    <w:rsid w:val="440C3942"/>
    <w:rsid w:val="44135D17"/>
    <w:rsid w:val="44342E12"/>
    <w:rsid w:val="444924A1"/>
    <w:rsid w:val="44AE3233"/>
    <w:rsid w:val="44B3406C"/>
    <w:rsid w:val="44B951CC"/>
    <w:rsid w:val="44CD14E0"/>
    <w:rsid w:val="44D23531"/>
    <w:rsid w:val="44F20B0B"/>
    <w:rsid w:val="452120C1"/>
    <w:rsid w:val="452E5F4C"/>
    <w:rsid w:val="4546468E"/>
    <w:rsid w:val="45580B94"/>
    <w:rsid w:val="45612018"/>
    <w:rsid w:val="45741EDD"/>
    <w:rsid w:val="458946E9"/>
    <w:rsid w:val="45A47C0E"/>
    <w:rsid w:val="45A53B2C"/>
    <w:rsid w:val="45AA51C1"/>
    <w:rsid w:val="45F4468E"/>
    <w:rsid w:val="46026DAB"/>
    <w:rsid w:val="461940F5"/>
    <w:rsid w:val="46277E37"/>
    <w:rsid w:val="46577FD6"/>
    <w:rsid w:val="465C25E8"/>
    <w:rsid w:val="465F5FAB"/>
    <w:rsid w:val="466043D6"/>
    <w:rsid w:val="466639FB"/>
    <w:rsid w:val="467401E2"/>
    <w:rsid w:val="4691012F"/>
    <w:rsid w:val="46965745"/>
    <w:rsid w:val="46B207D1"/>
    <w:rsid w:val="46D955A7"/>
    <w:rsid w:val="46E464B1"/>
    <w:rsid w:val="46F26E20"/>
    <w:rsid w:val="47133957"/>
    <w:rsid w:val="47152B0E"/>
    <w:rsid w:val="474863C0"/>
    <w:rsid w:val="474E3412"/>
    <w:rsid w:val="478A0E65"/>
    <w:rsid w:val="47904D6B"/>
    <w:rsid w:val="47970A81"/>
    <w:rsid w:val="47A07E0C"/>
    <w:rsid w:val="47C0708E"/>
    <w:rsid w:val="47D772EC"/>
    <w:rsid w:val="47E40AF5"/>
    <w:rsid w:val="47EE4D13"/>
    <w:rsid w:val="47F40975"/>
    <w:rsid w:val="480511AF"/>
    <w:rsid w:val="48343468"/>
    <w:rsid w:val="485D65E9"/>
    <w:rsid w:val="4870272E"/>
    <w:rsid w:val="48A6252B"/>
    <w:rsid w:val="48AA7310"/>
    <w:rsid w:val="48B3143C"/>
    <w:rsid w:val="48EF45ED"/>
    <w:rsid w:val="49264A0F"/>
    <w:rsid w:val="494E5001"/>
    <w:rsid w:val="497B5755"/>
    <w:rsid w:val="49AA39E1"/>
    <w:rsid w:val="49D55921"/>
    <w:rsid w:val="49DC7715"/>
    <w:rsid w:val="4A023139"/>
    <w:rsid w:val="4A1D229B"/>
    <w:rsid w:val="4A25750C"/>
    <w:rsid w:val="4A4E166D"/>
    <w:rsid w:val="4A6D4A0F"/>
    <w:rsid w:val="4A7B576F"/>
    <w:rsid w:val="4A943EB3"/>
    <w:rsid w:val="4AC10C96"/>
    <w:rsid w:val="4AE16ECA"/>
    <w:rsid w:val="4AF561A9"/>
    <w:rsid w:val="4B1E6683"/>
    <w:rsid w:val="4B3654C8"/>
    <w:rsid w:val="4B3A447A"/>
    <w:rsid w:val="4BB02E05"/>
    <w:rsid w:val="4BD539D3"/>
    <w:rsid w:val="4BE44913"/>
    <w:rsid w:val="4BEE05F9"/>
    <w:rsid w:val="4C09031F"/>
    <w:rsid w:val="4C345239"/>
    <w:rsid w:val="4C347DED"/>
    <w:rsid w:val="4C370C3F"/>
    <w:rsid w:val="4C4A0649"/>
    <w:rsid w:val="4C51283A"/>
    <w:rsid w:val="4C527899"/>
    <w:rsid w:val="4C606620"/>
    <w:rsid w:val="4C645408"/>
    <w:rsid w:val="4C7E5ECA"/>
    <w:rsid w:val="4C876AA5"/>
    <w:rsid w:val="4C9E6834"/>
    <w:rsid w:val="4CA1338F"/>
    <w:rsid w:val="4CC52CF1"/>
    <w:rsid w:val="4CD960CD"/>
    <w:rsid w:val="4CDD5E7C"/>
    <w:rsid w:val="4CE72B73"/>
    <w:rsid w:val="4CFA7FAE"/>
    <w:rsid w:val="4CFC6F47"/>
    <w:rsid w:val="4D0E00FB"/>
    <w:rsid w:val="4D100DC2"/>
    <w:rsid w:val="4D176606"/>
    <w:rsid w:val="4D371807"/>
    <w:rsid w:val="4D761657"/>
    <w:rsid w:val="4D897DB2"/>
    <w:rsid w:val="4D9D7ADC"/>
    <w:rsid w:val="4DB8448E"/>
    <w:rsid w:val="4DD408CC"/>
    <w:rsid w:val="4DEC4FB0"/>
    <w:rsid w:val="4E075D8A"/>
    <w:rsid w:val="4E564138"/>
    <w:rsid w:val="4E616671"/>
    <w:rsid w:val="4E6D2E13"/>
    <w:rsid w:val="4E7C2D1C"/>
    <w:rsid w:val="4E7D7917"/>
    <w:rsid w:val="4EB1136E"/>
    <w:rsid w:val="4EBC67ED"/>
    <w:rsid w:val="4EC00FAD"/>
    <w:rsid w:val="4ECB5EDA"/>
    <w:rsid w:val="4ED002EE"/>
    <w:rsid w:val="4EE023A9"/>
    <w:rsid w:val="4EEB73D6"/>
    <w:rsid w:val="4F530DF5"/>
    <w:rsid w:val="4F864C21"/>
    <w:rsid w:val="4F9843DC"/>
    <w:rsid w:val="4F9C3DCC"/>
    <w:rsid w:val="4FA818F0"/>
    <w:rsid w:val="4FB67BB9"/>
    <w:rsid w:val="4FC62A8C"/>
    <w:rsid w:val="4FE20F0D"/>
    <w:rsid w:val="4FE51552"/>
    <w:rsid w:val="500E76FB"/>
    <w:rsid w:val="504C4769"/>
    <w:rsid w:val="50504C4B"/>
    <w:rsid w:val="5079349F"/>
    <w:rsid w:val="507E6F9A"/>
    <w:rsid w:val="508C0416"/>
    <w:rsid w:val="509C6E7C"/>
    <w:rsid w:val="50B2180A"/>
    <w:rsid w:val="50BE3465"/>
    <w:rsid w:val="512B7338"/>
    <w:rsid w:val="5162104E"/>
    <w:rsid w:val="51993BE7"/>
    <w:rsid w:val="51A67EEC"/>
    <w:rsid w:val="522B58DB"/>
    <w:rsid w:val="52347255"/>
    <w:rsid w:val="524F15CA"/>
    <w:rsid w:val="52943481"/>
    <w:rsid w:val="52A95164"/>
    <w:rsid w:val="52B23907"/>
    <w:rsid w:val="52B70F1D"/>
    <w:rsid w:val="52B94C95"/>
    <w:rsid w:val="52BC6EBE"/>
    <w:rsid w:val="52FE0AFA"/>
    <w:rsid w:val="531243A6"/>
    <w:rsid w:val="538B7AB7"/>
    <w:rsid w:val="539F1B42"/>
    <w:rsid w:val="53A039CC"/>
    <w:rsid w:val="53A1505A"/>
    <w:rsid w:val="53C84ACD"/>
    <w:rsid w:val="53C932DB"/>
    <w:rsid w:val="53DD4803"/>
    <w:rsid w:val="53DE5230"/>
    <w:rsid w:val="53E1254D"/>
    <w:rsid w:val="54063E08"/>
    <w:rsid w:val="540B1521"/>
    <w:rsid w:val="543437E8"/>
    <w:rsid w:val="544C09FC"/>
    <w:rsid w:val="54596730"/>
    <w:rsid w:val="54616D7E"/>
    <w:rsid w:val="54787D96"/>
    <w:rsid w:val="54AA0D3A"/>
    <w:rsid w:val="54CA318A"/>
    <w:rsid w:val="54F73313"/>
    <w:rsid w:val="54F80955"/>
    <w:rsid w:val="551202C3"/>
    <w:rsid w:val="55376345"/>
    <w:rsid w:val="554C1DF1"/>
    <w:rsid w:val="555170A7"/>
    <w:rsid w:val="557818E9"/>
    <w:rsid w:val="5587536D"/>
    <w:rsid w:val="55881E40"/>
    <w:rsid w:val="559B174B"/>
    <w:rsid w:val="55BD4A9D"/>
    <w:rsid w:val="55BF747C"/>
    <w:rsid w:val="55C47171"/>
    <w:rsid w:val="55CE0CF4"/>
    <w:rsid w:val="55E20B76"/>
    <w:rsid w:val="561A3C9D"/>
    <w:rsid w:val="561F16FE"/>
    <w:rsid w:val="56384123"/>
    <w:rsid w:val="5681017A"/>
    <w:rsid w:val="569F0646"/>
    <w:rsid w:val="56B22A9C"/>
    <w:rsid w:val="56D104AB"/>
    <w:rsid w:val="56E03BFA"/>
    <w:rsid w:val="57236FED"/>
    <w:rsid w:val="576E387E"/>
    <w:rsid w:val="57B12F69"/>
    <w:rsid w:val="57B72A76"/>
    <w:rsid w:val="57C3426C"/>
    <w:rsid w:val="57CE1F93"/>
    <w:rsid w:val="57E65176"/>
    <w:rsid w:val="58202F88"/>
    <w:rsid w:val="583F2C37"/>
    <w:rsid w:val="58586CFE"/>
    <w:rsid w:val="585B059D"/>
    <w:rsid w:val="58615BB3"/>
    <w:rsid w:val="58737694"/>
    <w:rsid w:val="587E296C"/>
    <w:rsid w:val="588743D1"/>
    <w:rsid w:val="5887701A"/>
    <w:rsid w:val="58AC328B"/>
    <w:rsid w:val="58DA7713"/>
    <w:rsid w:val="58DE7204"/>
    <w:rsid w:val="59002F2A"/>
    <w:rsid w:val="59021AA2"/>
    <w:rsid w:val="591946E0"/>
    <w:rsid w:val="593B3244"/>
    <w:rsid w:val="59446C96"/>
    <w:rsid w:val="597D170A"/>
    <w:rsid w:val="598A50B6"/>
    <w:rsid w:val="598E270A"/>
    <w:rsid w:val="599E63EA"/>
    <w:rsid w:val="59C0439F"/>
    <w:rsid w:val="59C87F83"/>
    <w:rsid w:val="59D707DD"/>
    <w:rsid w:val="59EC0F8F"/>
    <w:rsid w:val="5A3572F7"/>
    <w:rsid w:val="5A403EEE"/>
    <w:rsid w:val="5AB55F11"/>
    <w:rsid w:val="5ABE2233"/>
    <w:rsid w:val="5AC12D4C"/>
    <w:rsid w:val="5AC6120D"/>
    <w:rsid w:val="5B24177B"/>
    <w:rsid w:val="5B2910A2"/>
    <w:rsid w:val="5B2F5017"/>
    <w:rsid w:val="5B5C6334"/>
    <w:rsid w:val="5B760605"/>
    <w:rsid w:val="5B7C3225"/>
    <w:rsid w:val="5B9E71EA"/>
    <w:rsid w:val="5BDF5D95"/>
    <w:rsid w:val="5BFE7528"/>
    <w:rsid w:val="5C297F2A"/>
    <w:rsid w:val="5C761E49"/>
    <w:rsid w:val="5C8B76A2"/>
    <w:rsid w:val="5CAF2C65"/>
    <w:rsid w:val="5CD62F36"/>
    <w:rsid w:val="5D015710"/>
    <w:rsid w:val="5D5809B5"/>
    <w:rsid w:val="5D5E6B65"/>
    <w:rsid w:val="5DA6792B"/>
    <w:rsid w:val="5DC866D4"/>
    <w:rsid w:val="5DCB7B6C"/>
    <w:rsid w:val="5DFE0CB1"/>
    <w:rsid w:val="5E0C4813"/>
    <w:rsid w:val="5E211941"/>
    <w:rsid w:val="5E2467F1"/>
    <w:rsid w:val="5EBE687C"/>
    <w:rsid w:val="5EC9009E"/>
    <w:rsid w:val="5F1378BF"/>
    <w:rsid w:val="5F1A2B43"/>
    <w:rsid w:val="5F454CAB"/>
    <w:rsid w:val="5F5F6BC4"/>
    <w:rsid w:val="5F631BA4"/>
    <w:rsid w:val="5F6B79B1"/>
    <w:rsid w:val="5F9A7BFD"/>
    <w:rsid w:val="5FB837BB"/>
    <w:rsid w:val="5FBE576C"/>
    <w:rsid w:val="5FE01AB3"/>
    <w:rsid w:val="5FF01C5D"/>
    <w:rsid w:val="5FF05552"/>
    <w:rsid w:val="5FF90DC7"/>
    <w:rsid w:val="60210759"/>
    <w:rsid w:val="60483AFC"/>
    <w:rsid w:val="60485F29"/>
    <w:rsid w:val="604D2EC1"/>
    <w:rsid w:val="606E61B2"/>
    <w:rsid w:val="60765F74"/>
    <w:rsid w:val="608B5A34"/>
    <w:rsid w:val="6099669F"/>
    <w:rsid w:val="609E798F"/>
    <w:rsid w:val="60AE5D4F"/>
    <w:rsid w:val="60BA0556"/>
    <w:rsid w:val="60CC405A"/>
    <w:rsid w:val="610971EF"/>
    <w:rsid w:val="610E5F0C"/>
    <w:rsid w:val="61162F82"/>
    <w:rsid w:val="612C6F7A"/>
    <w:rsid w:val="61481EA8"/>
    <w:rsid w:val="614E5143"/>
    <w:rsid w:val="61595648"/>
    <w:rsid w:val="616D2AAB"/>
    <w:rsid w:val="61AD584E"/>
    <w:rsid w:val="61D513C0"/>
    <w:rsid w:val="61E215D8"/>
    <w:rsid w:val="61F50299"/>
    <w:rsid w:val="62165C60"/>
    <w:rsid w:val="62176173"/>
    <w:rsid w:val="621B3775"/>
    <w:rsid w:val="622877A8"/>
    <w:rsid w:val="622A5DEE"/>
    <w:rsid w:val="622E43B8"/>
    <w:rsid w:val="623525E0"/>
    <w:rsid w:val="62364782"/>
    <w:rsid w:val="62976675"/>
    <w:rsid w:val="62A96C94"/>
    <w:rsid w:val="62C5378A"/>
    <w:rsid w:val="63310E36"/>
    <w:rsid w:val="636B1FDC"/>
    <w:rsid w:val="637D7BF8"/>
    <w:rsid w:val="637E4E1B"/>
    <w:rsid w:val="6394356A"/>
    <w:rsid w:val="63C61B2C"/>
    <w:rsid w:val="63D40BE9"/>
    <w:rsid w:val="63DD751D"/>
    <w:rsid w:val="63E776F7"/>
    <w:rsid w:val="63F37E31"/>
    <w:rsid w:val="63FD5A3D"/>
    <w:rsid w:val="64102431"/>
    <w:rsid w:val="641763BA"/>
    <w:rsid w:val="641D1014"/>
    <w:rsid w:val="64460353"/>
    <w:rsid w:val="64701E66"/>
    <w:rsid w:val="648942C5"/>
    <w:rsid w:val="64A5243A"/>
    <w:rsid w:val="64B11C70"/>
    <w:rsid w:val="64B17EC2"/>
    <w:rsid w:val="64C5008F"/>
    <w:rsid w:val="64C9520C"/>
    <w:rsid w:val="64CA2D32"/>
    <w:rsid w:val="64F531DE"/>
    <w:rsid w:val="65373578"/>
    <w:rsid w:val="65630900"/>
    <w:rsid w:val="659118EA"/>
    <w:rsid w:val="65955A16"/>
    <w:rsid w:val="65F04A1A"/>
    <w:rsid w:val="663558F5"/>
    <w:rsid w:val="66763342"/>
    <w:rsid w:val="668A0C14"/>
    <w:rsid w:val="66AA03D9"/>
    <w:rsid w:val="66E005EB"/>
    <w:rsid w:val="66E14363"/>
    <w:rsid w:val="66EC51E2"/>
    <w:rsid w:val="670B6774"/>
    <w:rsid w:val="671F124A"/>
    <w:rsid w:val="673152EA"/>
    <w:rsid w:val="67332E10"/>
    <w:rsid w:val="6753700F"/>
    <w:rsid w:val="677A33C6"/>
    <w:rsid w:val="67A32D96"/>
    <w:rsid w:val="67AB6E4B"/>
    <w:rsid w:val="67E63ED9"/>
    <w:rsid w:val="67FD72F7"/>
    <w:rsid w:val="68037866"/>
    <w:rsid w:val="6809302F"/>
    <w:rsid w:val="68143F18"/>
    <w:rsid w:val="681F6961"/>
    <w:rsid w:val="68224E4F"/>
    <w:rsid w:val="68345A15"/>
    <w:rsid w:val="68444162"/>
    <w:rsid w:val="68610A2F"/>
    <w:rsid w:val="686E6B75"/>
    <w:rsid w:val="687D687A"/>
    <w:rsid w:val="68805514"/>
    <w:rsid w:val="6884650A"/>
    <w:rsid w:val="68993147"/>
    <w:rsid w:val="68D84CE5"/>
    <w:rsid w:val="69316E2F"/>
    <w:rsid w:val="6938051E"/>
    <w:rsid w:val="69390486"/>
    <w:rsid w:val="694803E4"/>
    <w:rsid w:val="694E2071"/>
    <w:rsid w:val="69766163"/>
    <w:rsid w:val="697A3B33"/>
    <w:rsid w:val="697B45FB"/>
    <w:rsid w:val="697D48A2"/>
    <w:rsid w:val="698F0590"/>
    <w:rsid w:val="699A7177"/>
    <w:rsid w:val="69A21E16"/>
    <w:rsid w:val="69AB1384"/>
    <w:rsid w:val="69B32389"/>
    <w:rsid w:val="69B77272"/>
    <w:rsid w:val="69D44760"/>
    <w:rsid w:val="69EB5C31"/>
    <w:rsid w:val="6A0140F8"/>
    <w:rsid w:val="6A0D5B9B"/>
    <w:rsid w:val="6A276BDB"/>
    <w:rsid w:val="6A520EC7"/>
    <w:rsid w:val="6A56197D"/>
    <w:rsid w:val="6A674352"/>
    <w:rsid w:val="6A6E4160"/>
    <w:rsid w:val="6A6E5F0E"/>
    <w:rsid w:val="6A842A4E"/>
    <w:rsid w:val="6A866F29"/>
    <w:rsid w:val="6A8A2E93"/>
    <w:rsid w:val="6AA42F83"/>
    <w:rsid w:val="6AAB5146"/>
    <w:rsid w:val="6AC326FD"/>
    <w:rsid w:val="6AC87F12"/>
    <w:rsid w:val="6ACF510E"/>
    <w:rsid w:val="6AEE6C44"/>
    <w:rsid w:val="6AF87E20"/>
    <w:rsid w:val="6AFF2708"/>
    <w:rsid w:val="6B322639"/>
    <w:rsid w:val="6B40098D"/>
    <w:rsid w:val="6B547B53"/>
    <w:rsid w:val="6B5C2A4B"/>
    <w:rsid w:val="6B6C78D9"/>
    <w:rsid w:val="6B735ED1"/>
    <w:rsid w:val="6B822A38"/>
    <w:rsid w:val="6BC56373"/>
    <w:rsid w:val="6BD10E4A"/>
    <w:rsid w:val="6BE7241B"/>
    <w:rsid w:val="6BFD48AB"/>
    <w:rsid w:val="6C540255"/>
    <w:rsid w:val="6C636C38"/>
    <w:rsid w:val="6C653DE8"/>
    <w:rsid w:val="6C6C049B"/>
    <w:rsid w:val="6C726AFA"/>
    <w:rsid w:val="6CE451E7"/>
    <w:rsid w:val="6CE573D6"/>
    <w:rsid w:val="6CF46B9E"/>
    <w:rsid w:val="6D037D21"/>
    <w:rsid w:val="6D2025D4"/>
    <w:rsid w:val="6D2531FB"/>
    <w:rsid w:val="6D761CA9"/>
    <w:rsid w:val="6DB34098"/>
    <w:rsid w:val="6DB545B6"/>
    <w:rsid w:val="6DDB0DE7"/>
    <w:rsid w:val="6DE02FB4"/>
    <w:rsid w:val="6DE728C1"/>
    <w:rsid w:val="6DEC4E71"/>
    <w:rsid w:val="6E1B6DB2"/>
    <w:rsid w:val="6E361463"/>
    <w:rsid w:val="6E514CED"/>
    <w:rsid w:val="6EB563D5"/>
    <w:rsid w:val="6ECC74D2"/>
    <w:rsid w:val="6ED11FA3"/>
    <w:rsid w:val="6ED92677"/>
    <w:rsid w:val="6EDB0232"/>
    <w:rsid w:val="6F225983"/>
    <w:rsid w:val="6F327E52"/>
    <w:rsid w:val="6F3C3363"/>
    <w:rsid w:val="6F4E0949"/>
    <w:rsid w:val="6F541517"/>
    <w:rsid w:val="6F6674DB"/>
    <w:rsid w:val="6F7F2F54"/>
    <w:rsid w:val="6F8658DB"/>
    <w:rsid w:val="6F8D2902"/>
    <w:rsid w:val="6FAA79E8"/>
    <w:rsid w:val="6FEB6463"/>
    <w:rsid w:val="6FED3D79"/>
    <w:rsid w:val="6FEF207E"/>
    <w:rsid w:val="6FFC5590"/>
    <w:rsid w:val="700A0406"/>
    <w:rsid w:val="705F2370"/>
    <w:rsid w:val="706510B7"/>
    <w:rsid w:val="706D1DD0"/>
    <w:rsid w:val="707256A2"/>
    <w:rsid w:val="70856B87"/>
    <w:rsid w:val="709B37D5"/>
    <w:rsid w:val="70BE16ED"/>
    <w:rsid w:val="70BE1B0E"/>
    <w:rsid w:val="70C97DB9"/>
    <w:rsid w:val="70D527EE"/>
    <w:rsid w:val="70DA238F"/>
    <w:rsid w:val="70F91A99"/>
    <w:rsid w:val="710122F7"/>
    <w:rsid w:val="71014DF6"/>
    <w:rsid w:val="711565DA"/>
    <w:rsid w:val="71280686"/>
    <w:rsid w:val="713D1ADB"/>
    <w:rsid w:val="71416E1B"/>
    <w:rsid w:val="714E4ED0"/>
    <w:rsid w:val="715B5300"/>
    <w:rsid w:val="7163037E"/>
    <w:rsid w:val="71632544"/>
    <w:rsid w:val="71A0764E"/>
    <w:rsid w:val="71A259F0"/>
    <w:rsid w:val="71A60683"/>
    <w:rsid w:val="71AC3EEB"/>
    <w:rsid w:val="71D27F8A"/>
    <w:rsid w:val="71DD70FC"/>
    <w:rsid w:val="71F26047"/>
    <w:rsid w:val="722717C4"/>
    <w:rsid w:val="724D6224"/>
    <w:rsid w:val="72553024"/>
    <w:rsid w:val="726748F5"/>
    <w:rsid w:val="72783187"/>
    <w:rsid w:val="72A97E2B"/>
    <w:rsid w:val="72E871A5"/>
    <w:rsid w:val="73122968"/>
    <w:rsid w:val="731F5D5E"/>
    <w:rsid w:val="73335F46"/>
    <w:rsid w:val="7343262D"/>
    <w:rsid w:val="734E06E8"/>
    <w:rsid w:val="73633F81"/>
    <w:rsid w:val="73A03E9E"/>
    <w:rsid w:val="73A36C1B"/>
    <w:rsid w:val="73C51AD5"/>
    <w:rsid w:val="73C76D53"/>
    <w:rsid w:val="73CF2113"/>
    <w:rsid w:val="73D859B4"/>
    <w:rsid w:val="73D979E8"/>
    <w:rsid w:val="741E793C"/>
    <w:rsid w:val="741F64F7"/>
    <w:rsid w:val="743F3084"/>
    <w:rsid w:val="7451017C"/>
    <w:rsid w:val="745E3944"/>
    <w:rsid w:val="74793E2D"/>
    <w:rsid w:val="748A6A75"/>
    <w:rsid w:val="74920044"/>
    <w:rsid w:val="74962C31"/>
    <w:rsid w:val="749D7B1B"/>
    <w:rsid w:val="74BD640F"/>
    <w:rsid w:val="74BF6341"/>
    <w:rsid w:val="74CA7DE7"/>
    <w:rsid w:val="751A5610"/>
    <w:rsid w:val="753D7FC4"/>
    <w:rsid w:val="7544268D"/>
    <w:rsid w:val="75450A73"/>
    <w:rsid w:val="75595003"/>
    <w:rsid w:val="75752846"/>
    <w:rsid w:val="75832D5B"/>
    <w:rsid w:val="75923248"/>
    <w:rsid w:val="75952EE8"/>
    <w:rsid w:val="75CF2FA5"/>
    <w:rsid w:val="75DC0B17"/>
    <w:rsid w:val="75DF5F11"/>
    <w:rsid w:val="75EA7E94"/>
    <w:rsid w:val="761C35E7"/>
    <w:rsid w:val="761D76CA"/>
    <w:rsid w:val="7635099D"/>
    <w:rsid w:val="7663637D"/>
    <w:rsid w:val="766C1E9B"/>
    <w:rsid w:val="767701A5"/>
    <w:rsid w:val="767C19B2"/>
    <w:rsid w:val="767D5E56"/>
    <w:rsid w:val="7693396D"/>
    <w:rsid w:val="769B04B9"/>
    <w:rsid w:val="76AF2A83"/>
    <w:rsid w:val="76E73DB8"/>
    <w:rsid w:val="77762421"/>
    <w:rsid w:val="7780404A"/>
    <w:rsid w:val="77B56B1F"/>
    <w:rsid w:val="77E836D5"/>
    <w:rsid w:val="77EA3146"/>
    <w:rsid w:val="780F09F4"/>
    <w:rsid w:val="782A04CC"/>
    <w:rsid w:val="782F143B"/>
    <w:rsid w:val="78393BDC"/>
    <w:rsid w:val="78417189"/>
    <w:rsid w:val="784D1858"/>
    <w:rsid w:val="78594C49"/>
    <w:rsid w:val="78A90480"/>
    <w:rsid w:val="792261D9"/>
    <w:rsid w:val="79257911"/>
    <w:rsid w:val="79315096"/>
    <w:rsid w:val="796E25C4"/>
    <w:rsid w:val="798412AA"/>
    <w:rsid w:val="798626E2"/>
    <w:rsid w:val="799373B4"/>
    <w:rsid w:val="79A41123"/>
    <w:rsid w:val="79B55907"/>
    <w:rsid w:val="79DD7973"/>
    <w:rsid w:val="79FD2ABD"/>
    <w:rsid w:val="79FF07DE"/>
    <w:rsid w:val="7A150154"/>
    <w:rsid w:val="7A1C7734"/>
    <w:rsid w:val="7A364017"/>
    <w:rsid w:val="7A432F13"/>
    <w:rsid w:val="7A7C2E9A"/>
    <w:rsid w:val="7A801259"/>
    <w:rsid w:val="7A8265E1"/>
    <w:rsid w:val="7ACF0C4A"/>
    <w:rsid w:val="7ADA4124"/>
    <w:rsid w:val="7B193C74"/>
    <w:rsid w:val="7B377B77"/>
    <w:rsid w:val="7B5E2EDF"/>
    <w:rsid w:val="7B686D42"/>
    <w:rsid w:val="7B841746"/>
    <w:rsid w:val="7B932CB7"/>
    <w:rsid w:val="7B9531DE"/>
    <w:rsid w:val="7BD70DB4"/>
    <w:rsid w:val="7BDF0A19"/>
    <w:rsid w:val="7BF2699E"/>
    <w:rsid w:val="7C0A3615"/>
    <w:rsid w:val="7C105077"/>
    <w:rsid w:val="7C6C5AC7"/>
    <w:rsid w:val="7CB042D7"/>
    <w:rsid w:val="7CC0521D"/>
    <w:rsid w:val="7CC6544B"/>
    <w:rsid w:val="7CE03480"/>
    <w:rsid w:val="7D0239FF"/>
    <w:rsid w:val="7D0351A7"/>
    <w:rsid w:val="7D0719AF"/>
    <w:rsid w:val="7D192034"/>
    <w:rsid w:val="7D1F130D"/>
    <w:rsid w:val="7D470174"/>
    <w:rsid w:val="7D5E40CD"/>
    <w:rsid w:val="7D930474"/>
    <w:rsid w:val="7DBD44A5"/>
    <w:rsid w:val="7DCD56F2"/>
    <w:rsid w:val="7DD341A6"/>
    <w:rsid w:val="7DD50F04"/>
    <w:rsid w:val="7DFF3643"/>
    <w:rsid w:val="7E0232BA"/>
    <w:rsid w:val="7E2E5C88"/>
    <w:rsid w:val="7E3D5ECB"/>
    <w:rsid w:val="7E4D5557"/>
    <w:rsid w:val="7E573431"/>
    <w:rsid w:val="7E5D7D49"/>
    <w:rsid w:val="7E620312"/>
    <w:rsid w:val="7E6D67B0"/>
    <w:rsid w:val="7E7F64E4"/>
    <w:rsid w:val="7EA000A2"/>
    <w:rsid w:val="7EA67ADC"/>
    <w:rsid w:val="7EC565EC"/>
    <w:rsid w:val="7EE822DB"/>
    <w:rsid w:val="7EEB787B"/>
    <w:rsid w:val="7F001CE7"/>
    <w:rsid w:val="7F03664B"/>
    <w:rsid w:val="7F343663"/>
    <w:rsid w:val="7F505F1E"/>
    <w:rsid w:val="7F614A89"/>
    <w:rsid w:val="7F6D27E0"/>
    <w:rsid w:val="7F6D7827"/>
    <w:rsid w:val="7F762A2D"/>
    <w:rsid w:val="7F963EF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qFormat="1"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locked/>
    <w:uiPriority w:val="0"/>
    <w:pPr>
      <w:keepNext/>
      <w:keepLines/>
      <w:numPr>
        <w:ilvl w:val="1"/>
        <w:numId w:val="1"/>
      </w:numPr>
      <w:spacing w:before="50" w:beforeLines="50" w:after="50" w:afterLines="50"/>
      <w:ind w:left="575" w:hanging="575" w:firstLineChars="0"/>
      <w:outlineLvl w:val="1"/>
    </w:pPr>
    <w:rPr>
      <w:rFonts w:ascii="Times New Roman" w:hAnsi="Times New Roman" w:eastAsia="宋体"/>
      <w:b/>
      <w:bCs/>
      <w:sz w:val="30"/>
      <w:szCs w:val="32"/>
    </w:rPr>
  </w:style>
  <w:style w:type="paragraph" w:styleId="4">
    <w:name w:val="heading 3"/>
    <w:basedOn w:val="1"/>
    <w:next w:val="1"/>
    <w:qFormat/>
    <w:locked/>
    <w:uiPriority w:val="1"/>
    <w:pPr>
      <w:spacing w:before="161"/>
      <w:ind w:left="708"/>
      <w:outlineLvl w:val="2"/>
    </w:pPr>
    <w:rPr>
      <w:rFonts w:ascii="宋体" w:hAnsi="宋体" w:eastAsia="宋体" w:cs="宋体"/>
      <w:b/>
      <w:bCs/>
      <w:sz w:val="24"/>
      <w:szCs w:val="24"/>
      <w:lang w:val="zh-CN" w:eastAsia="zh-CN" w:bidi="zh-CN"/>
    </w:rPr>
  </w:style>
  <w:style w:type="paragraph" w:styleId="5">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qFormat/>
    <w:locked/>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8">
    <w:name w:val="Default Paragraph Font"/>
    <w:semiHidden/>
    <w:qFormat/>
    <w:uiPriority w:val="0"/>
  </w:style>
  <w:style w:type="table" w:default="1" w:styleId="4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Note Heading"/>
    <w:basedOn w:val="1"/>
    <w:next w:val="1"/>
    <w:qFormat/>
    <w:locked/>
    <w:uiPriority w:val="0"/>
    <w:pPr>
      <w:jc w:val="center"/>
    </w:pPr>
  </w:style>
  <w:style w:type="paragraph" w:styleId="9">
    <w:name w:val="E-mail Signature"/>
    <w:basedOn w:val="1"/>
    <w:next w:val="10"/>
    <w:unhideWhenUsed/>
    <w:qFormat/>
    <w:locked/>
    <w:uiPriority w:val="99"/>
    <w:pPr>
      <w:spacing w:line="460" w:lineRule="exact"/>
      <w:ind w:firstLine="200"/>
    </w:pPr>
  </w:style>
  <w:style w:type="paragraph" w:customStyle="1" w:styleId="10">
    <w:name w:val="文章"/>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1">
    <w:name w:val="List"/>
    <w:basedOn w:val="1"/>
    <w:next w:val="12"/>
    <w:qFormat/>
    <w:locked/>
    <w:uiPriority w:val="0"/>
    <w:pPr>
      <w:adjustRightInd w:val="0"/>
      <w:spacing w:line="360" w:lineRule="auto"/>
      <w:ind w:left="420" w:hanging="420"/>
      <w:textAlignment w:val="baseline"/>
    </w:pPr>
    <w:rPr>
      <w:rFonts w:ascii="宋体"/>
      <w:kern w:val="0"/>
      <w:sz w:val="24"/>
      <w:szCs w:val="20"/>
    </w:rPr>
  </w:style>
  <w:style w:type="paragraph" w:styleId="12">
    <w:name w:val="List Bullet 2"/>
    <w:basedOn w:val="1"/>
    <w:next w:val="13"/>
    <w:qFormat/>
    <w:locked/>
    <w:uiPriority w:val="0"/>
    <w:pPr>
      <w:numPr>
        <w:ilvl w:val="0"/>
        <w:numId w:val="2"/>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14">
    <w:name w:val="正文缩进1"/>
    <w:basedOn w:val="1"/>
    <w:next w:val="15"/>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Normal Indent"/>
    <w:basedOn w:val="1"/>
    <w:next w:val="1"/>
    <w:qFormat/>
    <w:locked/>
    <w:uiPriority w:val="0"/>
    <w:pPr>
      <w:keepNext w:val="0"/>
      <w:keepLines w:val="0"/>
      <w:widowControl w:val="0"/>
      <w:suppressLineNumbers w:val="0"/>
      <w:spacing w:before="0" w:beforeAutospacing="0" w:after="0" w:afterAutospacing="0" w:line="480" w:lineRule="exact"/>
      <w:ind w:left="0" w:right="0" w:firstLine="556" w:firstLineChars="0"/>
      <w:jc w:val="left"/>
    </w:pPr>
    <w:rPr>
      <w:rFonts w:hint="default" w:ascii="仿宋_GB2312" w:hAnsi="Calibri" w:eastAsia="仿宋_GB2312" w:cs="仿宋_GB2312"/>
      <w:kern w:val="0"/>
      <w:sz w:val="28"/>
      <w:szCs w:val="28"/>
      <w:lang w:val="en-US" w:eastAsia="zh-CN" w:bidi="ar"/>
    </w:rPr>
  </w:style>
  <w:style w:type="paragraph" w:styleId="17">
    <w:name w:val="caption"/>
    <w:basedOn w:val="1"/>
    <w:next w:val="1"/>
    <w:qFormat/>
    <w:locked/>
    <w:uiPriority w:val="0"/>
    <w:rPr>
      <w:rFonts w:ascii="Arial" w:hAnsi="Arial" w:eastAsia="黑体" w:cs="Arial"/>
      <w:sz w:val="20"/>
    </w:rPr>
  </w:style>
  <w:style w:type="paragraph" w:styleId="18">
    <w:name w:val="annotation text"/>
    <w:basedOn w:val="1"/>
    <w:link w:val="71"/>
    <w:semiHidden/>
    <w:qFormat/>
    <w:uiPriority w:val="0"/>
    <w:pPr>
      <w:jc w:val="left"/>
    </w:pPr>
    <w:rPr>
      <w:kern w:val="0"/>
      <w:sz w:val="24"/>
      <w:szCs w:val="20"/>
    </w:rPr>
  </w:style>
  <w:style w:type="paragraph" w:styleId="19">
    <w:name w:val="Body Text"/>
    <w:basedOn w:val="1"/>
    <w:link w:val="72"/>
    <w:qFormat/>
    <w:uiPriority w:val="0"/>
    <w:pPr>
      <w:widowControl/>
      <w:snapToGrid w:val="0"/>
      <w:spacing w:before="60" w:after="160" w:line="259" w:lineRule="auto"/>
      <w:ind w:right="113"/>
    </w:pPr>
    <w:rPr>
      <w:kern w:val="0"/>
      <w:sz w:val="18"/>
      <w:szCs w:val="20"/>
    </w:rPr>
  </w:style>
  <w:style w:type="paragraph" w:styleId="20">
    <w:name w:val="Body Text Indent"/>
    <w:basedOn w:val="1"/>
    <w:next w:val="21"/>
    <w:link w:val="70"/>
    <w:qFormat/>
    <w:uiPriority w:val="0"/>
    <w:pPr>
      <w:spacing w:after="120"/>
      <w:ind w:left="420" w:leftChars="200"/>
    </w:pPr>
    <w:rPr>
      <w:kern w:val="0"/>
      <w:sz w:val="24"/>
      <w:szCs w:val="20"/>
    </w:rPr>
  </w:style>
  <w:style w:type="paragraph" w:styleId="21">
    <w:name w:val="Body Text Indent 2"/>
    <w:basedOn w:val="1"/>
    <w:next w:val="1"/>
    <w:qFormat/>
    <w:locked/>
    <w:uiPriority w:val="0"/>
    <w:pPr>
      <w:spacing w:line="360" w:lineRule="auto"/>
      <w:ind w:firstLine="480" w:firstLineChars="200"/>
    </w:pPr>
    <w:rPr>
      <w:rFonts w:ascii="宋体" w:hAnsi="宋体"/>
      <w:kern w:val="0"/>
      <w:sz w:val="24"/>
    </w:rPr>
  </w:style>
  <w:style w:type="paragraph" w:styleId="22">
    <w:name w:val="Block Text"/>
    <w:basedOn w:val="1"/>
    <w:qFormat/>
    <w:locked/>
    <w:uiPriority w:val="0"/>
    <w:pPr>
      <w:spacing w:after="120" w:afterLines="0" w:line="240" w:lineRule="auto"/>
      <w:ind w:left="1440" w:leftChars="700" w:right="1440" w:rightChars="700" w:firstLine="0" w:firstLineChars="0"/>
    </w:pPr>
    <w:rPr>
      <w:sz w:val="21"/>
      <w:szCs w:val="24"/>
    </w:rPr>
  </w:style>
  <w:style w:type="paragraph" w:styleId="23">
    <w:name w:val="Plain Text"/>
    <w:basedOn w:val="1"/>
    <w:qFormat/>
    <w:locked/>
    <w:uiPriority w:val="0"/>
    <w:rPr>
      <w:rFonts w:ascii="宋体" w:hAnsi="Courier New"/>
    </w:rPr>
  </w:style>
  <w:style w:type="paragraph" w:styleId="24">
    <w:name w:val="toc 8"/>
    <w:basedOn w:val="1"/>
    <w:next w:val="1"/>
    <w:qFormat/>
    <w:locked/>
    <w:uiPriority w:val="0"/>
    <w:pPr>
      <w:widowControl w:val="0"/>
      <w:ind w:left="1470"/>
    </w:pPr>
    <w:rPr>
      <w:rFonts w:ascii="Calibri" w:hAnsi="Calibri" w:eastAsiaTheme="minorEastAsia" w:cstheme="minorBidi"/>
      <w:kern w:val="2"/>
      <w:sz w:val="18"/>
      <w:szCs w:val="18"/>
      <w:lang w:val="en-US" w:eastAsia="zh-CN" w:bidi="ar-SA"/>
    </w:rPr>
  </w:style>
  <w:style w:type="paragraph" w:styleId="25">
    <w:name w:val="Date"/>
    <w:basedOn w:val="1"/>
    <w:next w:val="1"/>
    <w:link w:val="73"/>
    <w:qFormat/>
    <w:uiPriority w:val="0"/>
    <w:pPr>
      <w:ind w:left="100" w:leftChars="2500"/>
    </w:pPr>
    <w:rPr>
      <w:kern w:val="0"/>
      <w:sz w:val="24"/>
      <w:szCs w:val="20"/>
    </w:rPr>
  </w:style>
  <w:style w:type="paragraph" w:styleId="26">
    <w:name w:val="Balloon Text"/>
    <w:basedOn w:val="1"/>
    <w:link w:val="74"/>
    <w:semiHidden/>
    <w:qFormat/>
    <w:uiPriority w:val="0"/>
    <w:rPr>
      <w:kern w:val="0"/>
      <w:sz w:val="18"/>
      <w:szCs w:val="20"/>
    </w:rPr>
  </w:style>
  <w:style w:type="paragraph" w:styleId="27">
    <w:name w:val="footer"/>
    <w:basedOn w:val="1"/>
    <w:link w:val="75"/>
    <w:qFormat/>
    <w:uiPriority w:val="99"/>
    <w:pPr>
      <w:tabs>
        <w:tab w:val="center" w:pos="4153"/>
        <w:tab w:val="right" w:pos="8306"/>
      </w:tabs>
      <w:snapToGrid w:val="0"/>
      <w:jc w:val="left"/>
    </w:pPr>
    <w:rPr>
      <w:kern w:val="0"/>
      <w:sz w:val="18"/>
      <w:szCs w:val="20"/>
    </w:rPr>
  </w:style>
  <w:style w:type="paragraph" w:styleId="28">
    <w:name w:val="header"/>
    <w:basedOn w:val="1"/>
    <w:next w:val="27"/>
    <w:link w:val="61"/>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qFormat/>
    <w:locked/>
    <w:uiPriority w:val="39"/>
    <w:pPr>
      <w:tabs>
        <w:tab w:val="right" w:leader="dot" w:pos="8834"/>
      </w:tabs>
      <w:spacing w:line="500" w:lineRule="exact"/>
    </w:pPr>
  </w:style>
  <w:style w:type="paragraph" w:styleId="30">
    <w:name w:val="index heading"/>
    <w:basedOn w:val="1"/>
    <w:next w:val="31"/>
    <w:qFormat/>
    <w:locked/>
    <w:uiPriority w:val="0"/>
  </w:style>
  <w:style w:type="paragraph" w:styleId="31">
    <w:name w:val="index 1"/>
    <w:basedOn w:val="1"/>
    <w:next w:val="1"/>
    <w:qFormat/>
    <w:locked/>
    <w:uiPriority w:val="0"/>
    <w:pPr>
      <w:spacing w:line="320" w:lineRule="exact"/>
      <w:jc w:val="center"/>
    </w:pPr>
    <w:rPr>
      <w:color w:val="000000"/>
      <w:szCs w:val="21"/>
    </w:rPr>
  </w:style>
  <w:style w:type="paragraph" w:styleId="32">
    <w:name w:val="List 5"/>
    <w:basedOn w:val="1"/>
    <w:next w:val="33"/>
    <w:qFormat/>
    <w:locked/>
    <w:uiPriority w:val="0"/>
    <w:pPr>
      <w:widowControl/>
      <w:autoSpaceDE/>
      <w:autoSpaceDN/>
      <w:spacing w:before="0" w:after="0" w:line="440" w:lineRule="exact"/>
      <w:ind w:left="100" w:hanging="200"/>
    </w:pPr>
    <w:rPr>
      <w:rFonts w:ascii="宋体" w:eastAsia="宋体"/>
      <w:sz w:val="24"/>
    </w:rPr>
  </w:style>
  <w:style w:type="paragraph" w:customStyle="1" w:styleId="33">
    <w:name w:val="大华农正文"/>
    <w:basedOn w:val="1"/>
    <w:next w:val="34"/>
    <w:qFormat/>
    <w:uiPriority w:val="0"/>
    <w:pPr>
      <w:widowControl w:val="0"/>
      <w:autoSpaceDE/>
      <w:autoSpaceDN/>
      <w:spacing w:before="0" w:after="0" w:line="360" w:lineRule="auto"/>
      <w:ind w:left="0" w:firstLine="200"/>
    </w:pPr>
    <w:rPr>
      <w:rFonts w:ascii="Times New Roman" w:eastAsia="宋体"/>
      <w:sz w:val="24"/>
    </w:rPr>
  </w:style>
  <w:style w:type="paragraph" w:customStyle="1" w:styleId="34">
    <w:name w:val="Char Char Char Char Char Char1 Char Char Char1 Char Char Char Char Char Char Char"/>
    <w:basedOn w:val="1"/>
    <w:next w:val="35"/>
    <w:qFormat/>
    <w:uiPriority w:val="0"/>
    <w:pPr>
      <w:autoSpaceDE/>
      <w:autoSpaceDN/>
      <w:spacing w:line="360" w:lineRule="auto"/>
      <w:ind w:firstLine="200"/>
    </w:pPr>
    <w:rPr>
      <w:rFonts w:ascii="宋体"/>
    </w:rPr>
  </w:style>
  <w:style w:type="paragraph" w:customStyle="1" w:styleId="35">
    <w:name w:val="标准"/>
    <w:basedOn w:val="1"/>
    <w:next w:val="36"/>
    <w:qFormat/>
    <w:uiPriority w:val="0"/>
    <w:pPr>
      <w:widowControl/>
      <w:autoSpaceDE/>
      <w:autoSpaceDN/>
      <w:spacing w:before="0" w:after="0" w:line="480" w:lineRule="exact"/>
      <w:ind w:left="0" w:firstLine="0"/>
    </w:pPr>
    <w:rPr>
      <w:rFonts w:ascii="宋体" w:eastAsia="宋体"/>
      <w:sz w:val="28"/>
    </w:rPr>
  </w:style>
  <w:style w:type="paragraph" w:customStyle="1" w:styleId="36">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7">
    <w:name w:val="Body Text Indent 3"/>
    <w:basedOn w:val="1"/>
    <w:qFormat/>
    <w:locked/>
    <w:uiPriority w:val="0"/>
    <w:pPr>
      <w:spacing w:line="360" w:lineRule="auto"/>
      <w:ind w:firstLine="435"/>
    </w:pPr>
  </w:style>
  <w:style w:type="paragraph" w:styleId="38">
    <w:name w:val="table of figures"/>
    <w:basedOn w:val="1"/>
    <w:next w:val="1"/>
    <w:semiHidden/>
    <w:qFormat/>
    <w:locked/>
    <w:uiPriority w:val="0"/>
    <w:pPr>
      <w:ind w:leftChars="200" w:hanging="200" w:hangingChars="200"/>
    </w:pPr>
  </w:style>
  <w:style w:type="paragraph" w:styleId="39">
    <w:name w:val="toc 2"/>
    <w:basedOn w:val="1"/>
    <w:next w:val="9"/>
    <w:unhideWhenUsed/>
    <w:qFormat/>
    <w:locked/>
    <w:uiPriority w:val="39"/>
    <w:pPr>
      <w:ind w:left="240"/>
    </w:pPr>
    <w:rPr>
      <w:rFonts w:ascii="Calibri" w:hAnsi="Calibri"/>
      <w:smallCaps/>
      <w:sz w:val="20"/>
      <w:szCs w:val="20"/>
    </w:rPr>
  </w:style>
  <w:style w:type="paragraph" w:styleId="40">
    <w:name w:val="Body Text 2"/>
    <w:basedOn w:val="1"/>
    <w:qFormat/>
    <w:locked/>
    <w:uiPriority w:val="0"/>
    <w:pPr>
      <w:spacing w:after="120" w:afterLines="0" w:line="480" w:lineRule="auto"/>
    </w:pPr>
    <w:rPr>
      <w:rFonts w:eastAsia="仿宋_GB2312"/>
    </w:rPr>
  </w:style>
  <w:style w:type="paragraph" w:styleId="41">
    <w:name w:val="Normal (Web)"/>
    <w:basedOn w:val="1"/>
    <w:next w:val="24"/>
    <w:link w:val="76"/>
    <w:qFormat/>
    <w:uiPriority w:val="0"/>
    <w:pPr>
      <w:widowControl/>
      <w:spacing w:before="100" w:beforeAutospacing="1" w:after="100" w:afterAutospacing="1"/>
      <w:jc w:val="left"/>
    </w:pPr>
    <w:rPr>
      <w:rFonts w:ascii="宋体" w:hAnsi="宋体"/>
      <w:kern w:val="0"/>
      <w:sz w:val="24"/>
      <w:szCs w:val="20"/>
    </w:rPr>
  </w:style>
  <w:style w:type="paragraph" w:styleId="42">
    <w:name w:val="Title"/>
    <w:basedOn w:val="1"/>
    <w:next w:val="1"/>
    <w:qFormat/>
    <w:locked/>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43">
    <w:name w:val="annotation subject"/>
    <w:basedOn w:val="18"/>
    <w:next w:val="18"/>
    <w:link w:val="77"/>
    <w:semiHidden/>
    <w:qFormat/>
    <w:uiPriority w:val="0"/>
    <w:rPr>
      <w:b/>
      <w:sz w:val="24"/>
      <w:szCs w:val="20"/>
    </w:rPr>
  </w:style>
  <w:style w:type="paragraph" w:styleId="44">
    <w:name w:val="Body Text First Indent"/>
    <w:basedOn w:val="1"/>
    <w:next w:val="45"/>
    <w:qFormat/>
    <w:locked/>
    <w:uiPriority w:val="0"/>
    <w:pPr>
      <w:ind w:firstLine="420" w:firstLineChars="100"/>
    </w:pPr>
    <w:rPr>
      <w:rFonts w:ascii="Calibri" w:hAnsi="Calibri" w:eastAsia="宋体" w:cs="Times New Roman"/>
    </w:rPr>
  </w:style>
  <w:style w:type="paragraph" w:styleId="45">
    <w:name w:val="Body Text First Indent 2"/>
    <w:basedOn w:val="20"/>
    <w:next w:val="44"/>
    <w:qFormat/>
    <w:locked/>
    <w:uiPriority w:val="0"/>
    <w:pPr>
      <w:ind w:firstLine="420" w:firstLineChars="200"/>
    </w:pPr>
  </w:style>
  <w:style w:type="table" w:styleId="47">
    <w:name w:val="Table Grid"/>
    <w:basedOn w:val="4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page number"/>
    <w:basedOn w:val="48"/>
    <w:qFormat/>
    <w:locked/>
    <w:uiPriority w:val="0"/>
  </w:style>
  <w:style w:type="character" w:styleId="50">
    <w:name w:val="Emphasis"/>
    <w:basedOn w:val="48"/>
    <w:qFormat/>
    <w:locked/>
    <w:uiPriority w:val="0"/>
    <w:rPr>
      <w:i/>
    </w:rPr>
  </w:style>
  <w:style w:type="character" w:styleId="51">
    <w:name w:val="Hyperlink"/>
    <w:qFormat/>
    <w:locked/>
    <w:uiPriority w:val="99"/>
    <w:rPr>
      <w:color w:val="434242"/>
      <w:u w:val="none"/>
    </w:rPr>
  </w:style>
  <w:style w:type="character" w:styleId="52">
    <w:name w:val="annotation reference"/>
    <w:semiHidden/>
    <w:qFormat/>
    <w:uiPriority w:val="0"/>
    <w:rPr>
      <w:sz w:val="21"/>
    </w:rPr>
  </w:style>
  <w:style w:type="paragraph" w:customStyle="1" w:styleId="53">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customStyle="1" w:styleId="54">
    <w:name w:val="报告正文"/>
    <w:basedOn w:val="1"/>
    <w:qFormat/>
    <w:uiPriority w:val="99"/>
    <w:pPr>
      <w:spacing w:line="360" w:lineRule="auto"/>
      <w:ind w:firstLine="200" w:firstLineChars="200"/>
    </w:pPr>
    <w:rPr>
      <w:color w:val="000000"/>
      <w:kern w:val="0"/>
      <w:sz w:val="24"/>
      <w:szCs w:val="20"/>
    </w:rPr>
  </w:style>
  <w:style w:type="paragraph" w:customStyle="1" w:styleId="55">
    <w:name w:val="Default"/>
    <w:basedOn w:val="56"/>
    <w:next w:val="57"/>
    <w:qFormat/>
    <w:uiPriority w:val="0"/>
    <w:pPr>
      <w:widowControl w:val="0"/>
      <w:autoSpaceDE w:val="0"/>
      <w:autoSpaceDN w:val="0"/>
      <w:adjustRightInd w:val="0"/>
    </w:pPr>
    <w:rPr>
      <w:color w:val="000000"/>
      <w:sz w:val="24"/>
      <w:szCs w:val="24"/>
      <w:lang w:val="en-US" w:eastAsia="zh-CN" w:bidi="ar-SA"/>
    </w:rPr>
  </w:style>
  <w:style w:type="paragraph" w:customStyle="1" w:styleId="56">
    <w:name w:val="纯文本1"/>
    <w:basedOn w:val="1"/>
    <w:qFormat/>
    <w:uiPriority w:val="0"/>
    <w:pPr>
      <w:adjustRightInd w:val="0"/>
    </w:pPr>
    <w:rPr>
      <w:rFonts w:ascii="宋体" w:hAnsi="Courier New"/>
      <w:szCs w:val="20"/>
    </w:rPr>
  </w:style>
  <w:style w:type="paragraph" w:customStyle="1" w:styleId="57">
    <w:name w:val="样式35"/>
    <w:basedOn w:val="58"/>
    <w:next w:val="59"/>
    <w:qFormat/>
    <w:uiPriority w:val="0"/>
    <w:pPr>
      <w:widowControl w:val="0"/>
      <w:tabs>
        <w:tab w:val="left" w:pos="572"/>
        <w:tab w:val="left" w:pos="1982"/>
      </w:tabs>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8">
    <w:name w:val="样式 正文编号（1） + Char"/>
    <w:basedOn w:val="1"/>
    <w:semiHidden/>
    <w:qFormat/>
    <w:uiPriority w:val="0"/>
    <w:pPr>
      <w:widowControl/>
      <w:tabs>
        <w:tab w:val="left" w:pos="572"/>
        <w:tab w:val="left" w:pos="1982"/>
      </w:tabs>
      <w:spacing w:line="520" w:lineRule="exact"/>
      <w:ind w:left="808" w:firstLine="454" w:firstLineChars="200"/>
      <w:textAlignment w:val="baseline"/>
    </w:pPr>
    <w:rPr>
      <w:rFonts w:ascii="Times New Roman" w:hAnsi="Times New Roman" w:cs="Times New Roman"/>
      <w:color w:val="000000"/>
      <w:kern w:val="0"/>
      <w:sz w:val="28"/>
      <w:szCs w:val="20"/>
      <w:u w:color="000000"/>
    </w:rPr>
  </w:style>
  <w:style w:type="paragraph" w:customStyle="1" w:styleId="59">
    <w:name w:val="font6"/>
    <w:next w:val="39"/>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60">
    <w:name w:val="表格内容（冰）"/>
    <w:basedOn w:val="1"/>
    <w:qFormat/>
    <w:uiPriority w:val="0"/>
    <w:pPr>
      <w:adjustRightInd w:val="0"/>
      <w:snapToGrid w:val="0"/>
      <w:jc w:val="center"/>
    </w:pPr>
    <w:rPr>
      <w:rFonts w:ascii="Times New Roman" w:hAnsi="Times New Roman"/>
      <w:szCs w:val="21"/>
    </w:rPr>
  </w:style>
  <w:style w:type="character" w:customStyle="1" w:styleId="61">
    <w:name w:val="页眉 Char"/>
    <w:link w:val="28"/>
    <w:qFormat/>
    <w:locked/>
    <w:uiPriority w:val="0"/>
    <w:rPr>
      <w:sz w:val="18"/>
    </w:rPr>
  </w:style>
  <w:style w:type="paragraph" w:customStyle="1" w:styleId="62">
    <w:name w:val="文本"/>
    <w:basedOn w:val="1"/>
    <w:next w:val="1"/>
    <w:qFormat/>
    <w:uiPriority w:val="0"/>
    <w:pPr>
      <w:autoSpaceDE w:val="0"/>
      <w:autoSpaceDN w:val="0"/>
      <w:ind w:firstLine="480"/>
    </w:pPr>
    <w:rPr>
      <w:lang w:val="zh-CN"/>
    </w:rPr>
  </w:style>
  <w:style w:type="paragraph" w:customStyle="1" w:styleId="63">
    <w:name w:val="样式1"/>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paragraph" w:customStyle="1" w:styleId="64">
    <w:name w:val="样式 标题 2 + 宋体"/>
    <w:basedOn w:val="65"/>
    <w:qFormat/>
    <w:uiPriority w:val="0"/>
    <w:pPr>
      <w:spacing w:line="240" w:lineRule="auto"/>
    </w:pPr>
    <w:rPr>
      <w:rFonts w:ascii="宋体" w:hAnsi="宋体" w:eastAsia="宋体"/>
      <w:sz w:val="30"/>
    </w:rPr>
  </w:style>
  <w:style w:type="paragraph" w:customStyle="1" w:styleId="65">
    <w:name w:val="！正文"/>
    <w:basedOn w:val="1"/>
    <w:qFormat/>
    <w:uiPriority w:val="0"/>
    <w:pPr>
      <w:ind w:firstLine="480"/>
    </w:pPr>
    <w:rPr>
      <w:rFonts w:ascii="華康細圓體" w:hAnsi="華康細圓體" w:cs="Times New Roman"/>
      <w:szCs w:val="20"/>
    </w:rPr>
  </w:style>
  <w:style w:type="paragraph" w:customStyle="1" w:styleId="66">
    <w:name w:val="Default1"/>
    <w:basedOn w:val="67"/>
    <w:next w:val="6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
    <w:name w:val="表格文字01"/>
    <w:basedOn w:val="1"/>
    <w:qFormat/>
    <w:uiPriority w:val="0"/>
    <w:pPr>
      <w:wordWrap w:val="0"/>
      <w:overflowPunct w:val="0"/>
      <w:topLinePunct/>
      <w:jc w:val="center"/>
    </w:pPr>
    <w:rPr>
      <w:rFonts w:ascii="Arial" w:hAnsi="Arial"/>
      <w:snapToGrid w:val="0"/>
      <w:color w:val="000000"/>
      <w:szCs w:val="20"/>
    </w:rPr>
  </w:style>
  <w:style w:type="paragraph" w:customStyle="1" w:styleId="68">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69">
    <w:name w:val="正本正文"/>
    <w:basedOn w:val="1"/>
    <w:qFormat/>
    <w:uiPriority w:val="0"/>
    <w:pPr>
      <w:spacing w:line="360" w:lineRule="auto"/>
      <w:ind w:firstLine="720" w:firstLineChars="200"/>
    </w:pPr>
    <w:rPr>
      <w:rFonts w:ascii="Times New Roman" w:hAnsi="Times New Roman" w:eastAsia="宋体"/>
      <w:sz w:val="24"/>
    </w:rPr>
  </w:style>
  <w:style w:type="character" w:customStyle="1" w:styleId="70">
    <w:name w:val="正文文本缩进 Char"/>
    <w:link w:val="20"/>
    <w:semiHidden/>
    <w:qFormat/>
    <w:locked/>
    <w:uiPriority w:val="0"/>
    <w:rPr>
      <w:rFonts w:ascii="Times New Roman" w:hAnsi="Times New Roman" w:eastAsia="宋体"/>
      <w:sz w:val="24"/>
    </w:rPr>
  </w:style>
  <w:style w:type="character" w:customStyle="1" w:styleId="71">
    <w:name w:val="批注文字 Char"/>
    <w:link w:val="18"/>
    <w:qFormat/>
    <w:locked/>
    <w:uiPriority w:val="0"/>
    <w:rPr>
      <w:rFonts w:ascii="Times New Roman" w:hAnsi="Times New Roman" w:eastAsia="宋体"/>
      <w:sz w:val="24"/>
    </w:rPr>
  </w:style>
  <w:style w:type="character" w:customStyle="1" w:styleId="72">
    <w:name w:val="正文文本 Char"/>
    <w:link w:val="19"/>
    <w:qFormat/>
    <w:locked/>
    <w:uiPriority w:val="0"/>
    <w:rPr>
      <w:sz w:val="18"/>
    </w:rPr>
  </w:style>
  <w:style w:type="character" w:customStyle="1" w:styleId="73">
    <w:name w:val="日期 Char"/>
    <w:link w:val="25"/>
    <w:qFormat/>
    <w:locked/>
    <w:uiPriority w:val="0"/>
    <w:rPr>
      <w:rFonts w:ascii="Times New Roman" w:hAnsi="Times New Roman" w:eastAsia="宋体"/>
      <w:sz w:val="24"/>
    </w:rPr>
  </w:style>
  <w:style w:type="character" w:customStyle="1" w:styleId="74">
    <w:name w:val="批注框文本 Char"/>
    <w:link w:val="26"/>
    <w:semiHidden/>
    <w:qFormat/>
    <w:locked/>
    <w:uiPriority w:val="0"/>
    <w:rPr>
      <w:rFonts w:ascii="Times New Roman" w:hAnsi="Times New Roman" w:eastAsia="宋体"/>
      <w:sz w:val="18"/>
    </w:rPr>
  </w:style>
  <w:style w:type="character" w:customStyle="1" w:styleId="75">
    <w:name w:val="页脚 Char"/>
    <w:link w:val="27"/>
    <w:qFormat/>
    <w:locked/>
    <w:uiPriority w:val="99"/>
    <w:rPr>
      <w:sz w:val="18"/>
    </w:rPr>
  </w:style>
  <w:style w:type="character" w:customStyle="1" w:styleId="76">
    <w:name w:val="普通(网站) Char"/>
    <w:link w:val="41"/>
    <w:qFormat/>
    <w:locked/>
    <w:uiPriority w:val="0"/>
    <w:rPr>
      <w:rFonts w:ascii="宋体" w:hAnsi="宋体" w:eastAsia="宋体"/>
      <w:sz w:val="24"/>
    </w:rPr>
  </w:style>
  <w:style w:type="character" w:customStyle="1" w:styleId="77">
    <w:name w:val="批注主题 Char"/>
    <w:link w:val="43"/>
    <w:semiHidden/>
    <w:qFormat/>
    <w:locked/>
    <w:uiPriority w:val="0"/>
    <w:rPr>
      <w:rFonts w:ascii="Times New Roman" w:hAnsi="Times New Roman" w:eastAsia="宋体"/>
      <w:b/>
      <w:kern w:val="2"/>
      <w:sz w:val="24"/>
    </w:rPr>
  </w:style>
  <w:style w:type="character" w:customStyle="1" w:styleId="78">
    <w:name w:val="日期 字符"/>
    <w:semiHidden/>
    <w:qFormat/>
    <w:uiPriority w:val="0"/>
    <w:rPr>
      <w:rFonts w:ascii="Times New Roman" w:hAnsi="Times New Roman" w:eastAsia="宋体"/>
      <w:sz w:val="24"/>
    </w:rPr>
  </w:style>
  <w:style w:type="character" w:customStyle="1" w:styleId="79">
    <w:name w:val="font41"/>
    <w:basedOn w:val="48"/>
    <w:qFormat/>
    <w:uiPriority w:val="0"/>
    <w:rPr>
      <w:rFonts w:hint="eastAsia" w:ascii="宋体" w:hAnsi="宋体" w:eastAsia="宋体" w:cs="宋体"/>
      <w:color w:val="000000"/>
      <w:sz w:val="21"/>
      <w:szCs w:val="21"/>
      <w:u w:val="none"/>
    </w:rPr>
  </w:style>
  <w:style w:type="character" w:customStyle="1" w:styleId="80">
    <w:name w:val="表格 Char"/>
    <w:link w:val="81"/>
    <w:qFormat/>
    <w:locked/>
    <w:uiPriority w:val="0"/>
    <w:rPr>
      <w:rFonts w:ascii="宋体"/>
      <w:sz w:val="21"/>
    </w:rPr>
  </w:style>
  <w:style w:type="paragraph" w:customStyle="1" w:styleId="81">
    <w:name w:val="表格"/>
    <w:basedOn w:val="16"/>
    <w:next w:val="1"/>
    <w:link w:val="80"/>
    <w:qFormat/>
    <w:uiPriority w:val="0"/>
    <w:pPr>
      <w:adjustRightInd w:val="0"/>
      <w:snapToGrid w:val="0"/>
      <w:spacing w:beforeLines="10" w:afterLines="10" w:line="259" w:lineRule="auto"/>
      <w:jc w:val="center"/>
    </w:pPr>
    <w:rPr>
      <w:rFonts w:ascii="宋体"/>
      <w:kern w:val="0"/>
      <w:szCs w:val="20"/>
    </w:rPr>
  </w:style>
  <w:style w:type="character" w:customStyle="1" w:styleId="82">
    <w:name w:val="NormalCharacter"/>
    <w:semiHidden/>
    <w:qFormat/>
    <w:uiPriority w:val="0"/>
  </w:style>
  <w:style w:type="character" w:customStyle="1" w:styleId="83">
    <w:name w:val="页脚 字符"/>
    <w:basedOn w:val="48"/>
    <w:qFormat/>
    <w:uiPriority w:val="99"/>
  </w:style>
  <w:style w:type="character" w:customStyle="1" w:styleId="84">
    <w:name w:val="表格标题_"/>
    <w:link w:val="85"/>
    <w:qFormat/>
    <w:uiPriority w:val="0"/>
    <w:rPr>
      <w:rFonts w:ascii="Times New Roman" w:hAnsi="Times New Roman"/>
      <w:b/>
      <w:kern w:val="2"/>
      <w:sz w:val="24"/>
      <w:szCs w:val="24"/>
      <w:lang w:val="en-US" w:eastAsia="zh-CN" w:bidi="ar-SA"/>
    </w:rPr>
  </w:style>
  <w:style w:type="paragraph" w:customStyle="1" w:styleId="85">
    <w:name w:val="表格标题"/>
    <w:basedOn w:val="17"/>
    <w:link w:val="84"/>
    <w:qFormat/>
    <w:uiPriority w:val="99"/>
    <w:pPr>
      <w:spacing w:before="156" w:beforeLines="50"/>
      <w:jc w:val="center"/>
    </w:pPr>
    <w:rPr>
      <w:rFonts w:ascii="Times New Roman" w:hAnsi="Times New Roman"/>
      <w:b/>
      <w:kern w:val="2"/>
      <w:sz w:val="24"/>
      <w:szCs w:val="24"/>
      <w:lang w:val="en-US" w:eastAsia="zh-CN" w:bidi="ar-SA"/>
    </w:rPr>
  </w:style>
  <w:style w:type="paragraph" w:customStyle="1" w:styleId="86">
    <w:name w:val="表格内容"/>
    <w:basedOn w:val="1"/>
    <w:qFormat/>
    <w:uiPriority w:val="0"/>
    <w:pPr>
      <w:widowControl/>
      <w:spacing w:line="240" w:lineRule="auto"/>
      <w:ind w:firstLine="0" w:firstLineChars="0"/>
      <w:jc w:val="center"/>
    </w:pPr>
    <w:rPr>
      <w:bCs/>
      <w:kern w:val="0"/>
      <w:sz w:val="21"/>
      <w:szCs w:val="28"/>
    </w:rPr>
  </w:style>
  <w:style w:type="character" w:customStyle="1" w:styleId="87">
    <w:name w:val="样式 (符号) 宋体 小四"/>
    <w:qFormat/>
    <w:uiPriority w:val="0"/>
    <w:rPr>
      <w:rFonts w:ascii="Times New Roman" w:hAnsi="Times New Roman"/>
      <w:sz w:val="24"/>
    </w:rPr>
  </w:style>
  <w:style w:type="character" w:customStyle="1" w:styleId="88">
    <w:name w:val="正文文本 字符1"/>
    <w:semiHidden/>
    <w:qFormat/>
    <w:uiPriority w:val="0"/>
    <w:rPr>
      <w:rFonts w:ascii="Times New Roman" w:hAnsi="Times New Roman" w:eastAsia="宋体"/>
      <w:sz w:val="24"/>
    </w:rPr>
  </w:style>
  <w:style w:type="character" w:customStyle="1" w:styleId="89">
    <w:name w:val="批注文字 字符1"/>
    <w:semiHidden/>
    <w:qFormat/>
    <w:uiPriority w:val="0"/>
    <w:rPr>
      <w:rFonts w:ascii="Times New Roman" w:hAnsi="Times New Roman" w:eastAsia="宋体"/>
      <w:sz w:val="24"/>
    </w:rPr>
  </w:style>
  <w:style w:type="paragraph" w:customStyle="1" w:styleId="90">
    <w:name w:val="正文 首行缩进:  2 字符"/>
    <w:basedOn w:val="1"/>
    <w:qFormat/>
    <w:uiPriority w:val="0"/>
    <w:pPr>
      <w:ind w:firstLine="1040" w:firstLineChars="200"/>
    </w:pPr>
    <w:rPr>
      <w:rFonts w:cs="宋体"/>
      <w:szCs w:val="20"/>
    </w:rPr>
  </w:style>
  <w:style w:type="paragraph" w:customStyle="1" w:styleId="9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2">
    <w:name w:val="报告书"/>
    <w:basedOn w:val="1"/>
    <w:qFormat/>
    <w:uiPriority w:val="0"/>
    <w:pPr>
      <w:adjustRightInd w:val="0"/>
      <w:snapToGrid w:val="0"/>
      <w:spacing w:line="440" w:lineRule="atLeast"/>
      <w:ind w:firstLine="482"/>
      <w:textAlignment w:val="baseline"/>
    </w:pPr>
    <w:rPr>
      <w:rFonts w:ascii="宋体"/>
      <w:kern w:val="24"/>
      <w:sz w:val="24"/>
    </w:rPr>
  </w:style>
  <w:style w:type="paragraph" w:customStyle="1" w:styleId="93">
    <w:name w:val="文章正文样式"/>
    <w:basedOn w:val="1"/>
    <w:qFormat/>
    <w:uiPriority w:val="0"/>
    <w:pPr>
      <w:spacing w:line="520" w:lineRule="exact"/>
      <w:ind w:firstLine="480" w:firstLineChars="200"/>
      <w:jc w:val="left"/>
    </w:pPr>
    <w:rPr>
      <w:rFonts w:ascii="宋体" w:hAnsi="宋体"/>
      <w:sz w:val="24"/>
    </w:rPr>
  </w:style>
  <w:style w:type="paragraph" w:customStyle="1" w:styleId="94">
    <w:name w:val="正文文字 6"/>
    <w:basedOn w:val="95"/>
    <w:next w:val="1"/>
    <w:qFormat/>
    <w:uiPriority w:val="0"/>
    <w:pPr>
      <w:widowControl w:val="0"/>
      <w:ind w:left="240"/>
      <w:jc w:val="both"/>
    </w:pPr>
    <w:rPr>
      <w:rFonts w:ascii="宋体" w:hAnsi="Times New Roman" w:cs="Times New Roman"/>
      <w:bCs/>
      <w:sz w:val="32"/>
      <w:szCs w:val="32"/>
    </w:rPr>
  </w:style>
  <w:style w:type="paragraph" w:customStyle="1" w:styleId="95">
    <w:name w:val="TT标题"/>
    <w:basedOn w:val="1"/>
    <w:qFormat/>
    <w:uiPriority w:val="0"/>
    <w:pPr>
      <w:jc w:val="center"/>
    </w:pPr>
    <w:rPr>
      <w:rFonts w:cs="宋体"/>
      <w:b/>
      <w:szCs w:val="20"/>
    </w:rPr>
  </w:style>
  <w:style w:type="paragraph" w:customStyle="1" w:styleId="96">
    <w:name w:val="正文(首行缩进)"/>
    <w:basedOn w:val="1"/>
    <w:qFormat/>
    <w:uiPriority w:val="0"/>
    <w:pPr>
      <w:adjustRightInd w:val="0"/>
      <w:snapToGrid w:val="0"/>
      <w:spacing w:line="360" w:lineRule="auto"/>
      <w:ind w:firstLine="200" w:firstLineChars="200"/>
    </w:pPr>
    <w:rPr>
      <w:snapToGrid w:val="0"/>
      <w:kern w:val="0"/>
      <w:sz w:val="24"/>
      <w:szCs w:val="24"/>
    </w:rPr>
  </w:style>
  <w:style w:type="paragraph" w:customStyle="1" w:styleId="97">
    <w:name w:val="表格中文字"/>
    <w:basedOn w:val="1"/>
    <w:qFormat/>
    <w:uiPriority w:val="0"/>
    <w:pPr>
      <w:widowControl/>
      <w:adjustRightInd w:val="0"/>
      <w:snapToGrid w:val="0"/>
      <w:spacing w:line="360" w:lineRule="atLeast"/>
      <w:jc w:val="center"/>
      <w:textAlignment w:val="baseline"/>
    </w:pPr>
    <w:rPr>
      <w:rFonts w:ascii="Times New Roman" w:hAnsi="Times New Roman" w:eastAsia="宋体" w:cs="Calibri"/>
      <w:kern w:val="18"/>
      <w:szCs w:val="24"/>
    </w:rPr>
  </w:style>
  <w:style w:type="paragraph" w:customStyle="1" w:styleId="9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99">
    <w:name w:val="第二号标题"/>
    <w:basedOn w:val="1"/>
    <w:qFormat/>
    <w:uiPriority w:val="0"/>
    <w:pPr>
      <w:spacing w:beforeLines="50" w:afterLines="50" w:line="520" w:lineRule="exact"/>
      <w:ind w:firstLine="510"/>
      <w:jc w:val="left"/>
      <w:outlineLvl w:val="1"/>
    </w:pPr>
    <w:rPr>
      <w:rFonts w:ascii="宋体" w:hAnsi="宋体"/>
      <w:b/>
      <w:bCs/>
      <w:szCs w:val="24"/>
    </w:rPr>
  </w:style>
  <w:style w:type="paragraph" w:customStyle="1" w:styleId="100">
    <w:name w:val="表头"/>
    <w:basedOn w:val="1"/>
    <w:next w:val="1"/>
    <w:qFormat/>
    <w:uiPriority w:val="0"/>
    <w:pPr>
      <w:adjustRightInd w:val="0"/>
      <w:spacing w:before="312" w:beforeLines="100" w:beforeAutospacing="0" w:line="500" w:lineRule="exact"/>
      <w:jc w:val="center"/>
    </w:pPr>
    <w:rPr>
      <w:rFonts w:eastAsia="黑体"/>
    </w:rPr>
  </w:style>
  <w:style w:type="paragraph" w:customStyle="1" w:styleId="101">
    <w:name w:val="中文报告书样式"/>
    <w:basedOn w:val="1"/>
    <w:qFormat/>
    <w:uiPriority w:val="0"/>
    <w:pPr>
      <w:adjustRightInd w:val="0"/>
      <w:spacing w:line="420" w:lineRule="atLeast"/>
      <w:textAlignment w:val="baseline"/>
    </w:pPr>
    <w:rPr>
      <w:kern w:val="24"/>
      <w:sz w:val="24"/>
    </w:rPr>
  </w:style>
  <w:style w:type="paragraph" w:customStyle="1" w:styleId="102">
    <w:name w:val="a封面－项目名称"/>
    <w:basedOn w:val="1"/>
    <w:next w:val="1"/>
    <w:qFormat/>
    <w:uiPriority w:val="0"/>
    <w:pPr>
      <w:spacing w:before="120" w:beforeLines="50" w:after="120" w:afterLines="50" w:line="360" w:lineRule="auto"/>
      <w:jc w:val="center"/>
    </w:pPr>
    <w:rPr>
      <w:rFonts w:eastAsia="黑体"/>
      <w:b/>
      <w:sz w:val="48"/>
    </w:rPr>
  </w:style>
  <w:style w:type="paragraph" w:customStyle="1" w:styleId="103">
    <w:name w:val="Body text|1"/>
    <w:basedOn w:val="1"/>
    <w:qFormat/>
    <w:uiPriority w:val="0"/>
    <w:pPr>
      <w:widowControl w:val="0"/>
      <w:shd w:val="clear" w:color="auto" w:fill="auto"/>
      <w:spacing w:line="420" w:lineRule="auto"/>
      <w:ind w:firstLine="400"/>
    </w:pPr>
    <w:rPr>
      <w:rFonts w:ascii="宋体" w:hAnsi="宋体" w:eastAsia="宋体" w:cs="宋体"/>
      <w:u w:val="none"/>
      <w:shd w:val="clear" w:color="auto" w:fill="auto"/>
      <w:lang w:val="zh-TW" w:eastAsia="zh-TW" w:bidi="zh-TW"/>
    </w:rPr>
  </w:style>
  <w:style w:type="paragraph" w:customStyle="1" w:styleId="104">
    <w:name w:val="正文标准样式"/>
    <w:basedOn w:val="1"/>
    <w:qFormat/>
    <w:uiPriority w:val="0"/>
    <w:pPr>
      <w:adjustRightInd w:val="0"/>
      <w:spacing w:line="300" w:lineRule="auto"/>
      <w:ind w:firstLine="482"/>
    </w:pPr>
    <w:rPr>
      <w:kern w:val="0"/>
      <w:sz w:val="24"/>
    </w:rPr>
  </w:style>
  <w:style w:type="paragraph" w:customStyle="1" w:styleId="105">
    <w:name w:val="_Style 2"/>
    <w:basedOn w:val="1"/>
    <w:qFormat/>
    <w:uiPriority w:val="34"/>
    <w:pPr>
      <w:ind w:firstLine="420" w:firstLineChars="200"/>
    </w:pPr>
  </w:style>
  <w:style w:type="paragraph" w:customStyle="1" w:styleId="106">
    <w:name w:val="引用1"/>
    <w:basedOn w:val="1"/>
    <w:next w:val="1"/>
    <w:qFormat/>
    <w:uiPriority w:val="0"/>
    <w:pPr>
      <w:spacing w:line="360" w:lineRule="exact"/>
      <w:jc w:val="center"/>
    </w:pPr>
    <w:rPr>
      <w:iCs/>
      <w:color w:val="000000"/>
      <w:spacing w:val="-2"/>
      <w:kern w:val="0"/>
      <w:sz w:val="21"/>
      <w:szCs w:val="21"/>
    </w:rPr>
  </w:style>
  <w:style w:type="paragraph" w:customStyle="1" w:styleId="107">
    <w:name w:val="正文二级"/>
    <w:basedOn w:val="1"/>
    <w:qFormat/>
    <w:uiPriority w:val="0"/>
    <w:pPr>
      <w:ind w:firstLine="0" w:firstLineChars="0"/>
    </w:pPr>
    <w:rPr>
      <w:rFonts w:eastAsia="宋体"/>
      <w:b/>
      <w:kern w:val="2"/>
      <w:sz w:val="28"/>
    </w:rPr>
  </w:style>
  <w:style w:type="paragraph" w:customStyle="1" w:styleId="108">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09">
    <w:name w:val="Char Char Char Char"/>
    <w:basedOn w:val="1"/>
    <w:next w:val="110"/>
    <w:qFormat/>
    <w:uiPriority w:val="0"/>
    <w:pPr>
      <w:spacing w:line="360" w:lineRule="auto"/>
      <w:ind w:firstLine="200" w:firstLineChars="200"/>
    </w:pPr>
    <w:rPr>
      <w:sz w:val="28"/>
      <w:szCs w:val="20"/>
    </w:rPr>
  </w:style>
  <w:style w:type="paragraph" w:customStyle="1" w:styleId="110">
    <w:name w:val="正文 New New New New New New New New New New New New New New New New New New New New New New New New New"/>
    <w:next w:val="111"/>
    <w:qFormat/>
    <w:uiPriority w:val="0"/>
    <w:pPr>
      <w:widowControl w:val="0"/>
      <w:jc w:val="both"/>
    </w:pPr>
    <w:rPr>
      <w:rFonts w:ascii="Times New Roman" w:hAnsi="Times New Roman" w:eastAsia="宋体" w:cs="Times New Roman"/>
      <w:sz w:val="21"/>
      <w:lang w:val="en-US" w:eastAsia="zh-CN" w:bidi="ar-SA"/>
    </w:rPr>
  </w:style>
  <w:style w:type="paragraph" w:customStyle="1" w:styleId="111">
    <w:name w:val="xl48"/>
    <w:basedOn w:val="1"/>
    <w:next w:val="112"/>
    <w:qFormat/>
    <w:uiPriority w:val="0"/>
    <w:pPr>
      <w:widowControl/>
      <w:autoSpaceDE/>
      <w:autoSpaceDN/>
      <w:spacing w:before="280" w:after="280" w:line="360" w:lineRule="auto"/>
      <w:ind w:left="0" w:firstLine="0"/>
    </w:pPr>
    <w:rPr>
      <w:rFonts w:ascii="宋体" w:eastAsia="宋体"/>
      <w:sz w:val="24"/>
    </w:rPr>
  </w:style>
  <w:style w:type="paragraph" w:customStyle="1" w:styleId="112">
    <w:name w:val="我的标题2"/>
    <w:basedOn w:val="1"/>
    <w:next w:val="32"/>
    <w:qFormat/>
    <w:uiPriority w:val="0"/>
    <w:pPr>
      <w:widowControl w:val="0"/>
      <w:autoSpaceDE/>
      <w:autoSpaceDN/>
      <w:spacing w:before="0" w:after="0" w:line="300" w:lineRule="exact"/>
      <w:ind w:left="0" w:firstLine="23"/>
    </w:pPr>
    <w:rPr>
      <w:rFonts w:ascii="Times New Roman" w:eastAsia="宋体"/>
      <w:sz w:val="18"/>
    </w:rPr>
  </w:style>
  <w:style w:type="paragraph" w:customStyle="1" w:styleId="113">
    <w:name w:val="图标题"/>
    <w:basedOn w:val="114"/>
    <w:next w:val="114"/>
    <w:qFormat/>
    <w:uiPriority w:val="0"/>
    <w:pPr>
      <w:tabs>
        <w:tab w:val="left" w:pos="0"/>
      </w:tabs>
      <w:spacing w:line="240" w:lineRule="auto"/>
      <w:ind w:firstLine="0" w:firstLineChars="0"/>
      <w:jc w:val="center"/>
    </w:pPr>
    <w:rPr>
      <w:b/>
      <w:sz w:val="21"/>
    </w:rPr>
  </w:style>
  <w:style w:type="paragraph" w:customStyle="1" w:styleId="114">
    <w:name w:val="报告书正文"/>
    <w:basedOn w:val="1"/>
    <w:qFormat/>
    <w:uiPriority w:val="0"/>
    <w:pPr>
      <w:widowControl/>
      <w:tabs>
        <w:tab w:val="left" w:pos="0"/>
      </w:tabs>
      <w:spacing w:line="360" w:lineRule="auto"/>
      <w:ind w:firstLine="200" w:firstLineChars="200"/>
    </w:pPr>
    <w:rPr>
      <w:snapToGrid w:val="0"/>
      <w:kern w:val="0"/>
      <w:szCs w:val="24"/>
    </w:rPr>
  </w:style>
  <w:style w:type="paragraph" w:customStyle="1" w:styleId="115">
    <w:name w:val="表格正文"/>
    <w:basedOn w:val="1"/>
    <w:next w:val="1"/>
    <w:qFormat/>
    <w:uiPriority w:val="0"/>
    <w:pPr>
      <w:jc w:val="center"/>
    </w:pPr>
    <w:rPr>
      <w:rFonts w:ascii="仿宋_GB2312" w:eastAsia="仿宋_GB2312"/>
      <w:szCs w:val="24"/>
    </w:rPr>
  </w:style>
  <w:style w:type="paragraph" w:customStyle="1" w:styleId="116">
    <w:name w:val="报告"/>
    <w:basedOn w:val="1"/>
    <w:qFormat/>
    <w:uiPriority w:val="0"/>
    <w:pPr>
      <w:overflowPunct w:val="0"/>
      <w:autoSpaceDE w:val="0"/>
      <w:autoSpaceDN w:val="0"/>
      <w:adjustRightInd w:val="0"/>
      <w:spacing w:beforeLines="30" w:afterLines="30" w:line="400" w:lineRule="atLeast"/>
      <w:ind w:firstLine="200" w:firstLineChars="200"/>
      <w:textAlignment w:val="baseline"/>
    </w:pPr>
    <w:rPr>
      <w:rFonts w:ascii="隶书" w:hAnsi="隶书" w:eastAsia="ˎ̥"/>
      <w:kern w:val="0"/>
      <w:sz w:val="24"/>
      <w:szCs w:val="20"/>
    </w:rPr>
  </w:style>
  <w:style w:type="paragraph" w:customStyle="1" w:styleId="117">
    <w:name w:val="表格-标题"/>
    <w:next w:val="1"/>
    <w:qFormat/>
    <w:uiPriority w:val="0"/>
    <w:pPr>
      <w:spacing w:line="360" w:lineRule="auto"/>
      <w:jc w:val="center"/>
    </w:pPr>
    <w:rPr>
      <w:rFonts w:ascii="Times New Roman" w:hAnsi="Times New Roman" w:eastAsia="Times New Roman" w:cs="Times New Roman"/>
      <w:b/>
      <w:kern w:val="0"/>
      <w:sz w:val="24"/>
      <w:szCs w:val="22"/>
      <w:lang w:val="en-US" w:eastAsia="zh-CN" w:bidi="ar-SA"/>
    </w:rPr>
  </w:style>
  <w:style w:type="paragraph" w:customStyle="1" w:styleId="118">
    <w:name w:val="表格文字"/>
    <w:basedOn w:val="44"/>
    <w:next w:val="1"/>
    <w:qFormat/>
    <w:uiPriority w:val="0"/>
    <w:pPr>
      <w:spacing w:line="360" w:lineRule="exact"/>
      <w:jc w:val="center"/>
    </w:pPr>
  </w:style>
  <w:style w:type="paragraph" w:customStyle="1" w:styleId="119">
    <w:name w:val="我的正文"/>
    <w:basedOn w:val="1"/>
    <w:qFormat/>
    <w:uiPriority w:val="0"/>
    <w:pPr>
      <w:ind w:firstLine="538" w:firstLineChars="192"/>
    </w:pPr>
    <w:rPr>
      <w:sz w:val="28"/>
      <w:szCs w:val="24"/>
    </w:rPr>
  </w:style>
  <w:style w:type="paragraph" w:customStyle="1" w:styleId="120">
    <w:name w:val="1正文"/>
    <w:basedOn w:val="1"/>
    <w:qFormat/>
    <w:uiPriority w:val="0"/>
    <w:pPr>
      <w:spacing w:line="360" w:lineRule="auto"/>
      <w:ind w:firstLine="200" w:firstLineChars="200"/>
    </w:pPr>
    <w:rPr>
      <w:sz w:val="24"/>
    </w:rPr>
  </w:style>
  <w:style w:type="paragraph" w:customStyle="1" w:styleId="121">
    <w:name w:val="环评（段2）"/>
    <w:basedOn w:val="1"/>
    <w:qFormat/>
    <w:uiPriority w:val="0"/>
    <w:pPr>
      <w:tabs>
        <w:tab w:val="left" w:pos="-2625"/>
      </w:tabs>
      <w:autoSpaceDE w:val="0"/>
      <w:autoSpaceDN w:val="0"/>
      <w:adjustRightInd w:val="0"/>
      <w:spacing w:before="120" w:line="300" w:lineRule="auto"/>
      <w:ind w:left="851"/>
      <w:textAlignment w:val="baseline"/>
    </w:pPr>
    <w:rPr>
      <w:rFonts w:ascii="宋体"/>
      <w:kern w:val="0"/>
      <w:sz w:val="24"/>
      <w:szCs w:val="20"/>
    </w:rPr>
  </w:style>
  <w:style w:type="paragraph" w:customStyle="1" w:styleId="122">
    <w:name w:val="PP的正文"/>
    <w:basedOn w:val="1"/>
    <w:qFormat/>
    <w:uiPriority w:val="0"/>
    <w:pPr>
      <w:spacing w:line="360" w:lineRule="auto"/>
      <w:ind w:firstLine="480" w:firstLineChars="200"/>
    </w:pPr>
    <w:rPr>
      <w:rFonts w:ascii="宋体" w:hAnsi="宋体" w:cs="宋体"/>
      <w:sz w:val="24"/>
    </w:rPr>
  </w:style>
  <w:style w:type="paragraph" w:customStyle="1" w:styleId="12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24">
    <w:name w:val="List Paragraph"/>
    <w:basedOn w:val="1"/>
    <w:qFormat/>
    <w:uiPriority w:val="99"/>
    <w:pPr>
      <w:ind w:firstLine="420" w:firstLineChars="200"/>
    </w:pPr>
  </w:style>
  <w:style w:type="paragraph" w:customStyle="1" w:styleId="12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1"/>
    </w:rPr>
  </w:style>
  <w:style w:type="paragraph" w:customStyle="1" w:styleId="126">
    <w:name w:val="Table Paragraph"/>
    <w:basedOn w:val="1"/>
    <w:next w:val="109"/>
    <w:qFormat/>
    <w:uiPriority w:val="1"/>
    <w:pPr>
      <w:jc w:val="left"/>
    </w:pPr>
    <w:rPr>
      <w:rFonts w:ascii="Calibri" w:hAnsi="Calibri" w:eastAsia="宋体" w:cs="Times New Roman"/>
      <w:kern w:val="0"/>
      <w:sz w:val="22"/>
      <w:szCs w:val="22"/>
      <w:lang w:eastAsia="en-US"/>
    </w:rPr>
  </w:style>
  <w:style w:type="paragraph" w:customStyle="1" w:styleId="127">
    <w:name w:val="Z正文"/>
    <w:basedOn w:val="1"/>
    <w:qFormat/>
    <w:uiPriority w:val="0"/>
    <w:pPr>
      <w:keepNext/>
      <w:keepLines/>
      <w:adjustRightInd/>
      <w:snapToGrid/>
      <w:jc w:val="left"/>
    </w:pPr>
    <w:rPr>
      <w:rFonts w:ascii="黑体" w:hAnsi="Arial"/>
      <w:bCs/>
      <w:kern w:val="44"/>
      <w:szCs w:val="44"/>
    </w:rPr>
  </w:style>
  <w:style w:type="paragraph" w:customStyle="1" w:styleId="128">
    <w:name w:val="样式 宋体 居中 行距: 1.5 倍行距3"/>
    <w:basedOn w:val="1"/>
    <w:qFormat/>
    <w:uiPriority w:val="0"/>
    <w:pPr>
      <w:spacing w:line="360" w:lineRule="auto"/>
      <w:jc w:val="center"/>
    </w:pPr>
    <w:rPr>
      <w:rFonts w:ascii="Times New Roman" w:hAnsi="Times New Roman" w:eastAsia="宋体" w:cs="宋体"/>
      <w:szCs w:val="20"/>
    </w:rPr>
  </w:style>
  <w:style w:type="paragraph" w:customStyle="1" w:styleId="129">
    <w:name w:val="表格中文字（居中）"/>
    <w:basedOn w:val="1"/>
    <w:qFormat/>
    <w:uiPriority w:val="0"/>
    <w:pPr>
      <w:spacing w:line="340" w:lineRule="exact"/>
      <w:ind w:right="-134" w:rightChars="-64"/>
      <w:jc w:val="center"/>
    </w:pPr>
    <w:rPr>
      <w:color w:val="000000"/>
      <w:kern w:val="44"/>
      <w:szCs w:val="21"/>
    </w:rPr>
  </w:style>
  <w:style w:type="paragraph" w:styleId="130">
    <w:name w:val="No Spacing"/>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图表名00"/>
    <w:basedOn w:val="1"/>
    <w:next w:val="38"/>
    <w:qFormat/>
    <w:uiPriority w:val="0"/>
    <w:pPr>
      <w:jc w:val="center"/>
    </w:pPr>
    <w:rPr>
      <w:rFonts w:ascii="仿宋" w:hAnsi="仿宋" w:eastAsia="仿宋_GB2312"/>
      <w:b/>
      <w:iCs/>
      <w:sz w:val="30"/>
      <w:szCs w:val="30"/>
    </w:rPr>
  </w:style>
  <w:style w:type="paragraph" w:customStyle="1" w:styleId="132">
    <w:name w:val="0正文"/>
    <w:basedOn w:val="1"/>
    <w:qFormat/>
    <w:uiPriority w:val="0"/>
    <w:pPr>
      <w:spacing w:line="360" w:lineRule="auto"/>
      <w:ind w:firstLine="482"/>
    </w:pPr>
    <w:rPr>
      <w:rFonts w:ascii="Calibri" w:hAnsi="Calibri"/>
      <w:kern w:val="0"/>
      <w:sz w:val="24"/>
      <w:szCs w:val="20"/>
      <w:lang w:bidi="en-US"/>
    </w:rPr>
  </w:style>
  <w:style w:type="character" w:customStyle="1" w:styleId="133">
    <w:name w:val="font11"/>
    <w:basedOn w:val="48"/>
    <w:qFormat/>
    <w:uiPriority w:val="0"/>
    <w:rPr>
      <w:rFonts w:hint="eastAsia" w:ascii="宋体" w:hAnsi="宋体" w:eastAsia="宋体" w:cs="宋体"/>
      <w:color w:val="000000"/>
      <w:sz w:val="21"/>
      <w:szCs w:val="21"/>
      <w:u w:val="none"/>
    </w:rPr>
  </w:style>
  <w:style w:type="paragraph" w:customStyle="1" w:styleId="134">
    <w:name w:val="表格首行"/>
    <w:basedOn w:val="135"/>
    <w:qFormat/>
    <w:uiPriority w:val="0"/>
    <w:pPr>
      <w:adjustRightInd w:val="0"/>
      <w:snapToGrid w:val="0"/>
      <w:spacing w:line="240" w:lineRule="auto"/>
      <w:jc w:val="center"/>
    </w:pPr>
    <w:rPr>
      <w:rFonts w:ascii="Times New Roman" w:hAnsi="Times New Roman" w:eastAsia="宋体"/>
      <w:b/>
      <w:sz w:val="21"/>
    </w:rPr>
  </w:style>
  <w:style w:type="paragraph" w:customStyle="1" w:styleId="135">
    <w:name w:val="样式 样式 样式 首行缩进:  2 字符 + 首行缩进:  2 字符 + 首行缩进:  2 字符"/>
    <w:basedOn w:val="1"/>
    <w:qFormat/>
    <w:uiPriority w:val="99"/>
    <w:pPr>
      <w:spacing w:line="360" w:lineRule="auto"/>
    </w:pPr>
    <w:rPr>
      <w:rFonts w:ascii="Arial" w:hAnsi="Arial" w:eastAsia="新宋体" w:cs="宋体"/>
      <w:sz w:val="24"/>
      <w:szCs w:val="20"/>
    </w:rPr>
  </w:style>
  <w:style w:type="paragraph" w:customStyle="1" w:styleId="136">
    <w:name w:val="_正文格式"/>
    <w:basedOn w:val="1"/>
    <w:qFormat/>
    <w:uiPriority w:val="0"/>
    <w:pPr>
      <w:spacing w:line="560" w:lineRule="exact"/>
      <w:ind w:firstLine="200" w:firstLineChars="200"/>
    </w:pPr>
    <w:rPr>
      <w:rFonts w:eastAsia="仿宋_GB2312"/>
      <w:sz w:val="28"/>
    </w:rPr>
  </w:style>
  <w:style w:type="paragraph" w:customStyle="1" w:styleId="137">
    <w:name w:val="雷正文"/>
    <w:basedOn w:val="1"/>
    <w:qFormat/>
    <w:uiPriority w:val="99"/>
    <w:pPr>
      <w:spacing w:line="360" w:lineRule="auto"/>
      <w:ind w:firstLine="200" w:firstLineChars="200"/>
    </w:pPr>
    <w:rPr>
      <w:sz w:val="28"/>
      <w:szCs w:val="28"/>
    </w:rPr>
  </w:style>
  <w:style w:type="paragraph" w:customStyle="1" w:styleId="138">
    <w:name w:val="正文1"/>
    <w:basedOn w:val="1"/>
    <w:qFormat/>
    <w:uiPriority w:val="0"/>
    <w:pPr>
      <w:tabs>
        <w:tab w:val="left" w:pos="22680"/>
      </w:tabs>
      <w:spacing w:line="360" w:lineRule="auto"/>
      <w:ind w:firstLine="602" w:firstLineChars="200"/>
      <w:jc w:val="left"/>
    </w:pPr>
    <w:rPr>
      <w:rFonts w:ascii="宋体" w:hAnsi="宋体"/>
      <w:szCs w:val="20"/>
    </w:rPr>
  </w:style>
  <w:style w:type="table" w:customStyle="1" w:styleId="139">
    <w:name w:val="表格样式2"/>
    <w:basedOn w:val="46"/>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140">
    <w:name w:val="正文文"/>
    <w:basedOn w:val="1"/>
    <w:qFormat/>
    <w:uiPriority w:val="0"/>
    <w:pPr>
      <w:ind w:firstLine="1441"/>
      <w:jc w:val="left"/>
    </w:pPr>
  </w:style>
  <w:style w:type="paragraph" w:customStyle="1" w:styleId="14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table" w:customStyle="1" w:styleId="142">
    <w:name w:val="Table Normal"/>
    <w:unhideWhenUsed/>
    <w:qFormat/>
    <w:uiPriority w:val="0"/>
    <w:tblPr>
      <w:tblCellMar>
        <w:top w:w="0" w:type="dxa"/>
        <w:left w:w="0" w:type="dxa"/>
        <w:bottom w:w="0" w:type="dxa"/>
        <w:right w:w="0" w:type="dxa"/>
      </w:tblCellMar>
    </w:tblPr>
  </w:style>
  <w:style w:type="paragraph" w:customStyle="1" w:styleId="143">
    <w:name w:val="Table Text"/>
    <w:basedOn w:val="1"/>
    <w:semiHidden/>
    <w:qFormat/>
    <w:uiPriority w:val="0"/>
    <w:rPr>
      <w:rFonts w:ascii="宋体" w:hAnsi="宋体" w:eastAsia="宋体" w:cs="宋体"/>
      <w:sz w:val="21"/>
      <w:szCs w:val="21"/>
      <w:lang w:val="en-US" w:eastAsia="en-US" w:bidi="ar-SA"/>
    </w:rPr>
  </w:style>
  <w:style w:type="paragraph" w:customStyle="1" w:styleId="144">
    <w:name w:val="无间隔1"/>
    <w:basedOn w:val="19"/>
    <w:next w:val="1"/>
    <w:qFormat/>
    <w:uiPriority w:val="1"/>
    <w:pPr>
      <w:spacing w:after="0" w:line="360" w:lineRule="exact"/>
      <w:ind w:firstLine="0" w:firstLineChars="0"/>
      <w:jc w:val="center"/>
    </w:pPr>
    <w:rPr>
      <w:rFonts w:eastAsia="黑体"/>
      <w:sz w:val="21"/>
    </w:rPr>
  </w:style>
  <w:style w:type="paragraph" w:customStyle="1" w:styleId="145">
    <w:name w:val="5表格"/>
    <w:basedOn w:val="1"/>
    <w:qFormat/>
    <w:uiPriority w:val="0"/>
    <w:pPr>
      <w:jc w:val="center"/>
    </w:pPr>
    <w:rPr>
      <w:rFonts w:eastAsia="仿宋"/>
      <w:kern w:val="24"/>
      <w:szCs w:val="21"/>
    </w:rPr>
  </w:style>
  <w:style w:type="paragraph" w:customStyle="1" w:styleId="146">
    <w:name w:val="05表格"/>
    <w:basedOn w:val="1"/>
    <w:qFormat/>
    <w:uiPriority w:val="0"/>
    <w:pPr>
      <w:spacing w:line="360" w:lineRule="exact"/>
      <w:ind w:left="-10" w:leftChars="-10" w:right="-10" w:rightChars="-10" w:firstLine="0" w:firstLineChars="0"/>
      <w:contextualSpacing/>
      <w:jc w:val="center"/>
      <w:textAlignment w:val="center"/>
    </w:pPr>
    <w:rPr>
      <w:rFonts w:ascii="Calibri" w:hAnsi="Calibri"/>
      <w:bCs/>
      <w:color w:val="000000"/>
      <w:sz w:val="21"/>
      <w:szCs w:val="21"/>
      <w:lang w:eastAsia="en-US"/>
    </w:rPr>
  </w:style>
  <w:style w:type="paragraph" w:customStyle="1" w:styleId="147">
    <w:name w:val="Char"/>
    <w:basedOn w:val="1"/>
    <w:next w:val="54"/>
    <w:qFormat/>
    <w:uiPriority w:val="0"/>
    <w:pPr>
      <w:widowControl w:val="0"/>
      <w:jc w:val="left"/>
    </w:pPr>
    <w:rPr>
      <w:rFonts w:ascii="宋体" w:hAnsi="宋体" w:cs="宋体"/>
      <w:kern w:val="0"/>
      <w:lang w:eastAsia="en-US"/>
    </w:rPr>
  </w:style>
  <w:style w:type="paragraph" w:customStyle="1" w:styleId="148">
    <w:name w:val="表格文字112"/>
    <w:basedOn w:val="1"/>
    <w:qFormat/>
    <w:uiPriority w:val="0"/>
    <w:pPr>
      <w:widowControl w:val="0"/>
      <w:wordWrap w:val="0"/>
      <w:autoSpaceDE w:val="0"/>
      <w:autoSpaceDN w:val="0"/>
      <w:spacing w:line="240" w:lineRule="auto"/>
      <w:ind w:firstLine="0" w:firstLineChars="0"/>
      <w:jc w:val="center"/>
    </w:pPr>
    <w:rPr>
      <w:rFonts w:ascii="等线" w:hAnsi="等线" w:eastAsia="等线"/>
      <w:kern w:val="0"/>
      <w:sz w:val="21"/>
      <w:szCs w:val="24"/>
    </w:rPr>
  </w:style>
  <w:style w:type="paragraph" w:customStyle="1" w:styleId="149">
    <w:name w:val="正正文"/>
    <w:basedOn w:val="1"/>
    <w:qFormat/>
    <w:uiPriority w:val="0"/>
    <w:pPr>
      <w:spacing w:line="360" w:lineRule="exact"/>
      <w:jc w:val="left"/>
    </w:pPr>
    <w:rPr>
      <w:kern w:val="0"/>
      <w:sz w:val="21"/>
      <w:szCs w:val="21"/>
    </w:rPr>
  </w:style>
  <w:style w:type="character" w:customStyle="1" w:styleId="150">
    <w:name w:val="fontstyle01"/>
    <w:qFormat/>
    <w:uiPriority w:val="0"/>
    <w:rPr>
      <w:rFonts w:hint="eastAsia" w:ascii="宋体" w:hAnsi="宋体" w:eastAsia="宋体"/>
      <w:color w:val="000000"/>
      <w:sz w:val="24"/>
      <w:szCs w:val="24"/>
    </w:rPr>
  </w:style>
  <w:style w:type="character" w:customStyle="1" w:styleId="151">
    <w:name w:val="fontstyle21"/>
    <w:qFormat/>
    <w:uiPriority w:val="0"/>
    <w:rPr>
      <w:rFonts w:hint="default" w:ascii="TimesNewRomanPSMT" w:hAnsi="TimesNewRomanPSMT"/>
      <w:color w:val="000000"/>
      <w:sz w:val="24"/>
      <w:szCs w:val="24"/>
    </w:rPr>
  </w:style>
  <w:style w:type="paragraph" w:customStyle="1" w:styleId="152">
    <w:name w:val="表格普通"/>
    <w:basedOn w:val="1"/>
    <w:qFormat/>
    <w:uiPriority w:val="0"/>
    <w:pPr>
      <w:jc w:val="center"/>
    </w:pPr>
    <w:rPr>
      <w:rFonts w:eastAsia="仿宋_GB2312"/>
      <w:szCs w:val="21"/>
    </w:rPr>
  </w:style>
  <w:style w:type="paragraph" w:customStyle="1" w:styleId="153">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154">
    <w:name w:val="X-N"/>
    <w:basedOn w:val="1"/>
    <w:qFormat/>
    <w:uiPriority w:val="0"/>
    <w:pPr>
      <w:adjustRightInd w:val="0"/>
      <w:jc w:val="center"/>
    </w:pPr>
    <w:rPr>
      <w:rFonts w:ascii="Times New Roman" w:hAnsi="Times New Roman"/>
      <w:szCs w:val="21"/>
    </w:rPr>
  </w:style>
  <w:style w:type="paragraph" w:customStyle="1" w:styleId="155">
    <w:name w:val="X-0"/>
    <w:basedOn w:val="1"/>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156">
    <w:name w:val=" Char2"/>
    <w:basedOn w:val="1"/>
    <w:qFormat/>
    <w:uiPriority w:val="0"/>
    <w:rPr>
      <w:sz w:val="24"/>
      <w:szCs w:val="20"/>
    </w:rPr>
  </w:style>
  <w:style w:type="paragraph" w:customStyle="1" w:styleId="157">
    <w:name w:val="标准正文"/>
    <w:basedOn w:val="1"/>
    <w:qFormat/>
    <w:uiPriority w:val="0"/>
    <w:pPr>
      <w:spacing w:line="500" w:lineRule="exact"/>
      <w:ind w:firstLine="200" w:firstLineChars="200"/>
      <w:jc w:val="left"/>
    </w:pPr>
    <w:rPr>
      <w:sz w:val="24"/>
    </w:rPr>
  </w:style>
  <w:style w:type="paragraph" w:customStyle="1" w:styleId="158">
    <w:name w:val="表"/>
    <w:basedOn w:val="1"/>
    <w:next w:val="1"/>
    <w:qFormat/>
    <w:uiPriority w:val="0"/>
    <w:pPr>
      <w:keepNext/>
      <w:adjustRightInd w:val="0"/>
      <w:jc w:val="center"/>
      <w:textAlignment w:val="baseline"/>
    </w:pPr>
    <w:rPr>
      <w:kern w:val="0"/>
      <w:szCs w:val="20"/>
    </w:rPr>
  </w:style>
  <w:style w:type="paragraph" w:customStyle="1" w:styleId="159">
    <w:name w:val="正"/>
    <w:basedOn w:val="1"/>
    <w:qFormat/>
    <w:uiPriority w:val="0"/>
    <w:pPr>
      <w:spacing w:line="360" w:lineRule="auto"/>
      <w:ind w:firstLine="200" w:firstLineChars="200"/>
    </w:pPr>
    <w:rPr>
      <w:sz w:val="24"/>
    </w:rPr>
  </w:style>
  <w:style w:type="paragraph" w:customStyle="1" w:styleId="160">
    <w:name w:val="正文_18"/>
    <w:qFormat/>
    <w:uiPriority w:val="0"/>
    <w:pPr>
      <w:widowControl w:val="0"/>
      <w:jc w:val="both"/>
    </w:pPr>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8997</Words>
  <Characters>9477</Characters>
  <Lines>1</Lines>
  <Paragraphs>1</Paragraphs>
  <TotalTime>149</TotalTime>
  <ScaleCrop>false</ScaleCrop>
  <LinksUpToDate>false</LinksUpToDate>
  <CharactersWithSpaces>9485</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无色相系黑白灰</cp:lastModifiedBy>
  <cp:lastPrinted>2020-12-29T02:43:00Z</cp:lastPrinted>
  <dcterms:modified xsi:type="dcterms:W3CDTF">2025-02-21T02:27:52Z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3EA0C8755FC5422A818A0BEA61AB388B_13</vt:lpwstr>
  </property>
  <property fmtid="{D5CDD505-2E9C-101B-9397-08002B2CF9AE}" pid="4" name="KSOTemplateDocerSaveRecord">
    <vt:lpwstr>eyJoZGlkIjoiN2I4YzVlMmUyMjc0YjZhY2E1YmJiMWRiMWI0YzAwNTIiLCJ1c2VySWQiOiIxMDM3NjMxMjY0In0=</vt:lpwstr>
  </property>
</Properties>
</file>