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13090">
      <w:pPr>
        <w:rPr>
          <w:color w:val="auto"/>
        </w:rPr>
      </w:pPr>
      <w:bookmarkStart w:id="0" w:name="_Hlk77319275"/>
      <w:bookmarkStart w:id="1" w:name="_Hlk80607601"/>
    </w:p>
    <w:p w14:paraId="1B26BA67">
      <w:pPr>
        <w:rPr>
          <w:color w:val="auto"/>
        </w:rPr>
      </w:pPr>
    </w:p>
    <w:p w14:paraId="5DE2130C">
      <w:pPr>
        <w:adjustRightInd w:val="0"/>
        <w:snapToGrid w:val="0"/>
        <w:spacing w:line="240" w:lineRule="auto"/>
        <w:jc w:val="center"/>
        <w:rPr>
          <w:rFonts w:eastAsia="楷体_GB2312"/>
          <w:bCs/>
          <w:color w:val="auto"/>
          <w:sz w:val="48"/>
          <w:szCs w:val="48"/>
        </w:rPr>
      </w:pPr>
      <w:r>
        <w:rPr>
          <w:rFonts w:eastAsia="方正小标宋_GBK"/>
          <w:bCs/>
          <w:color w:val="auto"/>
          <w:sz w:val="72"/>
          <w:szCs w:val="72"/>
        </w:rPr>
        <w:t>建设项目环境影响报告表</w:t>
      </w:r>
    </w:p>
    <w:p w14:paraId="76B05212">
      <w:pPr>
        <w:jc w:val="center"/>
        <w:rPr>
          <w:color w:val="auto"/>
          <w:sz w:val="48"/>
          <w:szCs w:val="48"/>
        </w:rPr>
      </w:pPr>
      <w:r>
        <w:rPr>
          <w:color w:val="auto"/>
          <w:sz w:val="48"/>
          <w:szCs w:val="48"/>
        </w:rPr>
        <w:t>（污染影响类）</w:t>
      </w:r>
    </w:p>
    <w:p w14:paraId="168607E1">
      <w:pPr>
        <w:rPr>
          <w:rFonts w:eastAsia="仿宋"/>
          <w:color w:val="auto"/>
        </w:rPr>
      </w:pPr>
    </w:p>
    <w:p w14:paraId="4E4B303C">
      <w:pPr>
        <w:rPr>
          <w:rFonts w:eastAsia="仿宋"/>
          <w:color w:val="auto"/>
        </w:rPr>
      </w:pPr>
    </w:p>
    <w:p w14:paraId="26FEF086">
      <w:pPr>
        <w:rPr>
          <w:rFonts w:eastAsia="仿宋"/>
          <w:color w:val="auto"/>
        </w:rPr>
      </w:pPr>
    </w:p>
    <w:p w14:paraId="61FA6CB8">
      <w:pPr>
        <w:rPr>
          <w:color w:val="auto"/>
        </w:rPr>
      </w:pPr>
    </w:p>
    <w:p w14:paraId="79C86765">
      <w:pPr>
        <w:pStyle w:val="23"/>
        <w:ind w:firstLine="280"/>
        <w:rPr>
          <w:color w:val="auto"/>
        </w:rPr>
      </w:pPr>
    </w:p>
    <w:p w14:paraId="66096CED">
      <w:pPr>
        <w:pStyle w:val="23"/>
        <w:ind w:firstLine="280"/>
        <w:rPr>
          <w:color w:val="auto"/>
        </w:rPr>
      </w:pPr>
    </w:p>
    <w:p w14:paraId="2B12E74F">
      <w:pPr>
        <w:adjustRightInd w:val="0"/>
        <w:snapToGrid w:val="0"/>
        <w:rPr>
          <w:rFonts w:eastAsia="仿宋_GB2312"/>
          <w:bCs/>
          <w:color w:val="auto"/>
          <w:sz w:val="36"/>
          <w:szCs w:val="36"/>
        </w:rPr>
      </w:pPr>
    </w:p>
    <w:p w14:paraId="1A6DD211">
      <w:pPr>
        <w:adjustRightInd w:val="0"/>
        <w:snapToGrid w:val="0"/>
        <w:ind w:left="2167" w:leftChars="150" w:hanging="1807" w:hangingChars="500"/>
        <w:rPr>
          <w:b/>
          <w:color w:val="auto"/>
          <w:sz w:val="36"/>
          <w:szCs w:val="36"/>
        </w:rPr>
      </w:pPr>
      <w:r>
        <w:rPr>
          <w:b/>
          <w:color w:val="auto"/>
          <w:sz w:val="36"/>
          <w:szCs w:val="36"/>
        </w:rPr>
        <w:t>项目名称：</w:t>
      </w:r>
      <w:bookmarkStart w:id="2" w:name="OLE_LINK81"/>
      <w:r>
        <w:rPr>
          <w:rFonts w:hint="eastAsia"/>
          <w:b/>
          <w:color w:val="auto"/>
          <w:sz w:val="36"/>
          <w:szCs w:val="36"/>
          <w:u w:val="single"/>
        </w:rPr>
        <w:t>年产</w:t>
      </w:r>
      <w:r>
        <w:rPr>
          <w:b/>
          <w:color w:val="auto"/>
          <w:sz w:val="36"/>
          <w:szCs w:val="36"/>
          <w:u w:val="single"/>
        </w:rPr>
        <w:t>PET</w:t>
      </w:r>
      <w:r>
        <w:rPr>
          <w:rFonts w:hint="eastAsia"/>
          <w:b/>
          <w:color w:val="auto"/>
          <w:sz w:val="36"/>
          <w:szCs w:val="36"/>
          <w:u w:val="single"/>
        </w:rPr>
        <w:t>瓶坯</w:t>
      </w:r>
      <w:r>
        <w:rPr>
          <w:b/>
          <w:color w:val="auto"/>
          <w:sz w:val="36"/>
          <w:szCs w:val="36"/>
          <w:u w:val="single"/>
        </w:rPr>
        <w:t>2400</w:t>
      </w:r>
      <w:r>
        <w:rPr>
          <w:rFonts w:hint="eastAsia"/>
          <w:b/>
          <w:color w:val="auto"/>
          <w:sz w:val="36"/>
          <w:szCs w:val="36"/>
          <w:u w:val="single"/>
        </w:rPr>
        <w:t>吨、</w:t>
      </w:r>
      <w:r>
        <w:rPr>
          <w:b/>
          <w:color w:val="auto"/>
          <w:sz w:val="36"/>
          <w:szCs w:val="36"/>
          <w:u w:val="single"/>
        </w:rPr>
        <w:t>PE</w:t>
      </w:r>
      <w:r>
        <w:rPr>
          <w:rFonts w:hint="eastAsia"/>
          <w:b/>
          <w:color w:val="auto"/>
          <w:sz w:val="36"/>
          <w:szCs w:val="36"/>
          <w:u w:val="single"/>
        </w:rPr>
        <w:t>瓶盖和提手</w:t>
      </w:r>
      <w:r>
        <w:rPr>
          <w:b/>
          <w:color w:val="auto"/>
          <w:sz w:val="36"/>
          <w:szCs w:val="36"/>
          <w:u w:val="single"/>
        </w:rPr>
        <w:t>480</w:t>
      </w:r>
      <w:r>
        <w:rPr>
          <w:rFonts w:hint="eastAsia"/>
          <w:b/>
          <w:color w:val="auto"/>
          <w:sz w:val="36"/>
          <w:szCs w:val="36"/>
          <w:u w:val="single"/>
        </w:rPr>
        <w:t xml:space="preserve">吨项目 </w:t>
      </w:r>
      <w:bookmarkEnd w:id="2"/>
      <w:r>
        <w:rPr>
          <w:rFonts w:hint="eastAsia"/>
          <w:b/>
          <w:color w:val="auto"/>
          <w:sz w:val="36"/>
          <w:szCs w:val="36"/>
          <w:u w:val="single"/>
        </w:rPr>
        <w:t xml:space="preserve">                               </w:t>
      </w:r>
    </w:p>
    <w:p w14:paraId="6FD5305E">
      <w:pPr>
        <w:adjustRightInd w:val="0"/>
        <w:snapToGrid w:val="0"/>
        <w:ind w:firstLine="361" w:firstLineChars="100"/>
        <w:jc w:val="left"/>
        <w:rPr>
          <w:b/>
          <w:color w:val="auto"/>
          <w:sz w:val="36"/>
          <w:szCs w:val="36"/>
        </w:rPr>
      </w:pPr>
      <w:r>
        <w:rPr>
          <w:b/>
          <w:color w:val="auto"/>
          <w:sz w:val="36"/>
          <w:szCs w:val="36"/>
        </w:rPr>
        <w:t>建设单位：</w:t>
      </w:r>
      <w:r>
        <w:rPr>
          <w:b/>
          <w:color w:val="auto"/>
          <w:sz w:val="36"/>
          <w:szCs w:val="36"/>
          <w:u w:val="single"/>
        </w:rPr>
        <w:t xml:space="preserve"> </w:t>
      </w:r>
      <w:r>
        <w:rPr>
          <w:rFonts w:hint="eastAsia"/>
          <w:b/>
          <w:color w:val="auto"/>
          <w:sz w:val="36"/>
          <w:szCs w:val="36"/>
          <w:u w:val="single"/>
        </w:rPr>
        <w:t xml:space="preserve">广西钦州华林包装科技有限公司  </w:t>
      </w:r>
      <w:r>
        <w:rPr>
          <w:b/>
          <w:color w:val="auto"/>
          <w:sz w:val="36"/>
          <w:szCs w:val="36"/>
          <w:u w:val="single"/>
        </w:rPr>
        <w:t xml:space="preserve">  </w:t>
      </w:r>
      <w:r>
        <w:rPr>
          <w:rFonts w:hint="eastAsia"/>
          <w:b/>
          <w:color w:val="auto"/>
          <w:sz w:val="36"/>
          <w:szCs w:val="36"/>
          <w:u w:val="single"/>
        </w:rPr>
        <w:t xml:space="preserve">   </w:t>
      </w:r>
      <w:r>
        <w:rPr>
          <w:b/>
          <w:color w:val="auto"/>
          <w:sz w:val="36"/>
          <w:szCs w:val="36"/>
          <w:u w:val="single"/>
        </w:rPr>
        <w:t xml:space="preserve">  </w:t>
      </w:r>
    </w:p>
    <w:p w14:paraId="342693AA">
      <w:pPr>
        <w:adjustRightInd w:val="0"/>
        <w:snapToGrid w:val="0"/>
        <w:ind w:firstLine="361" w:firstLineChars="100"/>
        <w:jc w:val="left"/>
        <w:rPr>
          <w:color w:val="auto"/>
          <w:sz w:val="36"/>
          <w:szCs w:val="36"/>
        </w:rPr>
      </w:pPr>
      <w:r>
        <w:rPr>
          <w:b/>
          <w:color w:val="auto"/>
          <w:sz w:val="36"/>
          <w:szCs w:val="36"/>
        </w:rPr>
        <w:t>编制日期：</w:t>
      </w:r>
      <w:r>
        <w:rPr>
          <w:bCs/>
          <w:color w:val="auto"/>
          <w:sz w:val="36"/>
          <w:szCs w:val="36"/>
          <w:u w:val="single"/>
        </w:rPr>
        <w:t xml:space="preserve">       </w:t>
      </w:r>
      <w:r>
        <w:rPr>
          <w:b/>
          <w:color w:val="auto"/>
          <w:sz w:val="36"/>
          <w:szCs w:val="36"/>
          <w:u w:val="single"/>
        </w:rPr>
        <w:t>202</w:t>
      </w:r>
      <w:r>
        <w:rPr>
          <w:rFonts w:hint="eastAsia"/>
          <w:b/>
          <w:color w:val="auto"/>
          <w:sz w:val="36"/>
          <w:szCs w:val="36"/>
          <w:u w:val="single"/>
        </w:rPr>
        <w:t>4</w:t>
      </w:r>
      <w:r>
        <w:rPr>
          <w:b/>
          <w:color w:val="auto"/>
          <w:sz w:val="36"/>
          <w:szCs w:val="36"/>
          <w:u w:val="single"/>
        </w:rPr>
        <w:t>年</w:t>
      </w:r>
      <w:r>
        <w:rPr>
          <w:rFonts w:hint="eastAsia"/>
          <w:b/>
          <w:color w:val="auto"/>
          <w:sz w:val="36"/>
          <w:szCs w:val="36"/>
          <w:u w:val="single"/>
        </w:rPr>
        <w:t>1</w:t>
      </w:r>
      <w:r>
        <w:rPr>
          <w:rFonts w:hint="eastAsia"/>
          <w:b/>
          <w:color w:val="auto"/>
          <w:sz w:val="36"/>
          <w:szCs w:val="36"/>
          <w:u w:val="single"/>
          <w:lang w:val="en-US" w:eastAsia="zh-CN"/>
        </w:rPr>
        <w:t>2</w:t>
      </w:r>
      <w:r>
        <w:rPr>
          <w:b/>
          <w:color w:val="auto"/>
          <w:sz w:val="36"/>
          <w:szCs w:val="36"/>
          <w:u w:val="single"/>
        </w:rPr>
        <w:t xml:space="preserve">月 </w:t>
      </w:r>
      <w:r>
        <w:rPr>
          <w:bCs/>
          <w:color w:val="auto"/>
          <w:sz w:val="36"/>
          <w:szCs w:val="36"/>
          <w:u w:val="single"/>
        </w:rPr>
        <w:t xml:space="preserve">            </w:t>
      </w:r>
      <w:r>
        <w:rPr>
          <w:rFonts w:hint="eastAsia"/>
          <w:bCs/>
          <w:color w:val="auto"/>
          <w:sz w:val="36"/>
          <w:szCs w:val="36"/>
          <w:u w:val="single"/>
        </w:rPr>
        <w:t xml:space="preserve"> </w:t>
      </w:r>
      <w:r>
        <w:rPr>
          <w:bCs/>
          <w:color w:val="auto"/>
          <w:sz w:val="36"/>
          <w:szCs w:val="36"/>
          <w:u w:val="single"/>
        </w:rPr>
        <w:t xml:space="preserve"> </w:t>
      </w:r>
      <w:r>
        <w:rPr>
          <w:rFonts w:hint="eastAsia"/>
          <w:bCs/>
          <w:color w:val="auto"/>
          <w:sz w:val="36"/>
          <w:szCs w:val="36"/>
          <w:u w:val="single"/>
        </w:rPr>
        <w:t xml:space="preserve">   </w:t>
      </w:r>
      <w:r>
        <w:rPr>
          <w:bCs/>
          <w:color w:val="auto"/>
          <w:sz w:val="36"/>
          <w:szCs w:val="36"/>
          <w:u w:val="single"/>
        </w:rPr>
        <w:t xml:space="preserve">   </w:t>
      </w:r>
    </w:p>
    <w:p w14:paraId="64A3D204">
      <w:pPr>
        <w:adjustRightInd w:val="0"/>
        <w:snapToGrid w:val="0"/>
        <w:spacing w:line="288" w:lineRule="auto"/>
        <w:ind w:firstLine="1040"/>
        <w:rPr>
          <w:rFonts w:eastAsia="仿宋_GB2312"/>
          <w:color w:val="auto"/>
          <w:sz w:val="36"/>
          <w:szCs w:val="36"/>
        </w:rPr>
      </w:pPr>
      <w:bookmarkStart w:id="3" w:name="_Hlk57884087"/>
    </w:p>
    <w:p w14:paraId="6CF2BCBC">
      <w:pPr>
        <w:adjustRightInd w:val="0"/>
        <w:snapToGrid w:val="0"/>
        <w:spacing w:line="288" w:lineRule="auto"/>
        <w:ind w:firstLine="1040"/>
        <w:rPr>
          <w:rFonts w:eastAsia="仿宋_GB2312"/>
          <w:color w:val="auto"/>
          <w:sz w:val="36"/>
          <w:szCs w:val="36"/>
        </w:rPr>
      </w:pPr>
    </w:p>
    <w:p w14:paraId="486575CA">
      <w:pPr>
        <w:adjustRightInd w:val="0"/>
        <w:snapToGrid w:val="0"/>
        <w:spacing w:line="288" w:lineRule="auto"/>
        <w:rPr>
          <w:rFonts w:eastAsia="仿宋_GB2312"/>
          <w:color w:val="auto"/>
          <w:sz w:val="36"/>
          <w:szCs w:val="36"/>
        </w:rPr>
      </w:pPr>
    </w:p>
    <w:p w14:paraId="28025E83">
      <w:pPr>
        <w:pStyle w:val="23"/>
        <w:ind w:firstLine="280"/>
        <w:rPr>
          <w:color w:val="auto"/>
        </w:rPr>
      </w:pPr>
    </w:p>
    <w:p w14:paraId="531BCF34">
      <w:pPr>
        <w:pStyle w:val="24"/>
        <w:ind w:left="480" w:firstLine="480"/>
        <w:rPr>
          <w:color w:val="auto"/>
        </w:rPr>
      </w:pPr>
    </w:p>
    <w:p w14:paraId="79CE0511">
      <w:pPr>
        <w:pStyle w:val="23"/>
        <w:ind w:firstLine="280"/>
        <w:rPr>
          <w:color w:val="auto"/>
        </w:rPr>
      </w:pPr>
    </w:p>
    <w:p w14:paraId="20C672DA">
      <w:pPr>
        <w:pStyle w:val="24"/>
        <w:ind w:left="480" w:firstLine="480"/>
        <w:rPr>
          <w:color w:val="auto"/>
        </w:rPr>
      </w:pPr>
    </w:p>
    <w:p w14:paraId="76FDA553">
      <w:pPr>
        <w:adjustRightInd w:val="0"/>
        <w:snapToGrid w:val="0"/>
        <w:spacing w:line="288" w:lineRule="auto"/>
        <w:rPr>
          <w:rFonts w:eastAsia="仿宋_GB2312"/>
          <w:color w:val="auto"/>
          <w:sz w:val="36"/>
          <w:szCs w:val="36"/>
        </w:rPr>
      </w:pPr>
    </w:p>
    <w:p w14:paraId="5687A88B">
      <w:pPr>
        <w:adjustRightInd w:val="0"/>
        <w:snapToGrid w:val="0"/>
        <w:spacing w:line="288" w:lineRule="auto"/>
        <w:rPr>
          <w:rFonts w:eastAsia="仿宋_GB2312"/>
          <w:color w:val="auto"/>
          <w:sz w:val="36"/>
          <w:szCs w:val="36"/>
        </w:rPr>
      </w:pPr>
    </w:p>
    <w:bookmarkEnd w:id="3"/>
    <w:p w14:paraId="1709865D">
      <w:pPr>
        <w:jc w:val="center"/>
        <w:rPr>
          <w:rFonts w:eastAsia="楷体_GB2312"/>
          <w:color w:val="auto"/>
          <w:sz w:val="36"/>
          <w:szCs w:val="36"/>
        </w:rPr>
      </w:pPr>
      <w:r>
        <w:rPr>
          <w:rFonts w:eastAsia="楷体_GB2312"/>
          <w:color w:val="auto"/>
          <w:sz w:val="36"/>
          <w:szCs w:val="36"/>
        </w:rPr>
        <w:t>中华人民共和国生态环境部制</w:t>
      </w:r>
    </w:p>
    <w:p w14:paraId="451C0C3A">
      <w:pPr>
        <w:jc w:val="center"/>
        <w:rPr>
          <w:b/>
          <w:bCs/>
          <w:color w:val="auto"/>
        </w:rPr>
      </w:pPr>
      <w:r>
        <w:rPr>
          <w:rFonts w:eastAsia="楷体_GB2312"/>
          <w:color w:val="auto"/>
          <w:sz w:val="36"/>
          <w:szCs w:val="36"/>
        </w:rPr>
        <w:br w:type="page"/>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4621"/>
      </w:tblGrid>
      <w:tr w14:paraId="4A34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6" w:hRule="atLeast"/>
        </w:trPr>
        <w:tc>
          <w:tcPr>
            <w:tcW w:w="4621" w:type="dxa"/>
          </w:tcPr>
          <w:p w14:paraId="3865C4FF">
            <w:pPr>
              <w:jc w:val="center"/>
              <w:rPr>
                <w:b/>
                <w:color w:val="auto"/>
                <w:sz w:val="21"/>
                <w:szCs w:val="21"/>
                <w:lang w:val="zh-CN"/>
              </w:rPr>
            </w:pPr>
            <w:r>
              <w:rPr>
                <w:b/>
                <w:color w:val="auto"/>
                <w:sz w:val="21"/>
                <w:szCs w:val="21"/>
                <w:lang w:val="zh-CN"/>
              </w:rPr>
              <w:drawing>
                <wp:inline distT="0" distB="0" distL="114300" distR="114300">
                  <wp:extent cx="2780030" cy="2084705"/>
                  <wp:effectExtent l="0" t="0" r="1270" b="10795"/>
                  <wp:docPr id="5" name="图片 5"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东"/>
                          <pic:cNvPicPr>
                            <a:picLocks noChangeAspect="1"/>
                          </pic:cNvPicPr>
                        </pic:nvPicPr>
                        <pic:blipFill>
                          <a:blip r:embed="rId10"/>
                          <a:stretch>
                            <a:fillRect/>
                          </a:stretch>
                        </pic:blipFill>
                        <pic:spPr>
                          <a:xfrm>
                            <a:off x="0" y="0"/>
                            <a:ext cx="2780030" cy="2084705"/>
                          </a:xfrm>
                          <a:prstGeom prst="rect">
                            <a:avLst/>
                          </a:prstGeom>
                        </pic:spPr>
                      </pic:pic>
                    </a:graphicData>
                  </a:graphic>
                </wp:inline>
              </w:drawing>
            </w:r>
          </w:p>
          <w:p w14:paraId="22579B1F">
            <w:pPr>
              <w:pStyle w:val="114"/>
              <w:ind w:firstLine="0" w:firstLineChars="0"/>
              <w:jc w:val="center"/>
              <w:rPr>
                <w:color w:val="auto"/>
                <w:lang w:val="zh-CN"/>
              </w:rPr>
            </w:pPr>
            <w:r>
              <w:rPr>
                <w:rFonts w:hint="eastAsia"/>
                <w:b/>
                <w:color w:val="auto"/>
                <w:sz w:val="21"/>
                <w:szCs w:val="21"/>
                <w:lang w:val="zh-CN"/>
              </w:rPr>
              <w:t>项目厂房内现状</w:t>
            </w:r>
          </w:p>
        </w:tc>
        <w:tc>
          <w:tcPr>
            <w:tcW w:w="4621" w:type="dxa"/>
          </w:tcPr>
          <w:p w14:paraId="1DEB157C">
            <w:pPr>
              <w:jc w:val="center"/>
              <w:rPr>
                <w:b/>
                <w:color w:val="auto"/>
                <w:sz w:val="21"/>
                <w:szCs w:val="21"/>
                <w:lang w:val="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836295</wp:posOffset>
                      </wp:positionH>
                      <wp:positionV relativeFrom="paragraph">
                        <wp:posOffset>1270635</wp:posOffset>
                      </wp:positionV>
                      <wp:extent cx="1266825" cy="381000"/>
                      <wp:effectExtent l="0" t="0" r="0" b="0"/>
                      <wp:wrapNone/>
                      <wp:docPr id="10" name="文本框 10"/>
                      <wp:cNvGraphicFramePr/>
                      <a:graphic xmlns:a="http://schemas.openxmlformats.org/drawingml/2006/main">
                        <a:graphicData uri="http://schemas.microsoft.com/office/word/2010/wordprocessingShape">
                          <wps:wsp>
                            <wps:cNvSpPr txBox="1"/>
                            <wps:spPr>
                              <a:xfrm>
                                <a:off x="4685030" y="2191385"/>
                                <a:ext cx="126682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A2F74">
                                  <w:pPr>
                                    <w:rPr>
                                      <w:color w:val="FF0000"/>
                                    </w:rPr>
                                  </w:pPr>
                                  <w:r>
                                    <w:rPr>
                                      <w:rFonts w:hint="eastAsia"/>
                                      <w:color w:val="FF0000"/>
                                    </w:rPr>
                                    <w:t>项目所在楼层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85pt;margin-top:100.05pt;height:30pt;width:99.75pt;z-index:251661312;mso-width-relative:page;mso-height-relative:page;" filled="f" stroked="f" coordsize="21600,21600" o:gfxdata="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Xn2pDZAAAACwEAAA8AAAAAAAAA&#10;AQAgAAAAIgAAAGRycy9kb3ducmV2LnhtbFBLAQIUABQAAAAIAIdO4kBcirB7SQIAAHQEAAAOAAAA&#10;AAAAAAEAIAAAACgBAABkcnMvZTJvRG9jLnhtbFBLBQYAAAAABgAGAFkBAADjBQAAAAA=&#10;">
                      <v:fill on="f" focussize="0,0"/>
                      <v:stroke on="f" weight="0.5pt"/>
                      <v:imagedata o:title=""/>
                      <o:lock v:ext="edit" aspectratio="f"/>
                      <v:textbox>
                        <w:txbxContent>
                          <w:p w14:paraId="02CA2F74">
                            <w:pPr>
                              <w:rPr>
                                <w:color w:val="FF0000"/>
                              </w:rPr>
                            </w:pPr>
                            <w:r>
                              <w:rPr>
                                <w:rFonts w:hint="eastAsia"/>
                                <w:color w:val="FF0000"/>
                              </w:rPr>
                              <w:t>项目所在楼层</w:t>
                            </w:r>
                          </w:p>
                        </w:txbxContent>
                      </v:textbox>
                    </v:shape>
                  </w:pict>
                </mc:Fallback>
              </mc:AlternateContent>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975360</wp:posOffset>
                      </wp:positionV>
                      <wp:extent cx="2742565" cy="1104900"/>
                      <wp:effectExtent l="6350" t="6350" r="13335" b="12700"/>
                      <wp:wrapNone/>
                      <wp:docPr id="9" name="矩形 9"/>
                      <wp:cNvGraphicFramePr/>
                      <a:graphic xmlns:a="http://schemas.openxmlformats.org/drawingml/2006/main">
                        <a:graphicData uri="http://schemas.microsoft.com/office/word/2010/wordprocessingShape">
                          <wps:wsp>
                            <wps:cNvSpPr/>
                            <wps:spPr>
                              <a:xfrm>
                                <a:off x="3913505" y="2219960"/>
                                <a:ext cx="2742565" cy="1104900"/>
                              </a:xfrm>
                              <a:prstGeom prst="rect">
                                <a:avLst/>
                              </a:prstGeom>
                              <a:noFill/>
                              <a:ln w="127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5pt;margin-top:76.8pt;height:87pt;width:215.95pt;z-index:251660288;v-text-anchor:middle;mso-width-relative:page;mso-height-relative:page;" filled="f" stroked="t" coordsize="21600,21600" o:gfxdata="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0p8jNYAAAAJAQAADwAAAAAAAAABACAAAAAiAAAAZHJz&#10;L2Rvd25yZXYueG1sUEsBAhQAFAAAAAgAh07iQMGLILV4AgAA2AQAAA4AAAAAAAAAAQAgAAAAJQEA&#10;AGRycy9lMm9Eb2MueG1sUEsFBgAAAAAGAAYAWQEAAA8GAAAAAA==&#10;">
                      <v:fill on="f" focussize="0,0"/>
                      <v:stroke weight="1pt" color="#FF0000 [2404]" miterlimit="8" joinstyle="miter"/>
                      <v:imagedata o:title=""/>
                      <o:lock v:ext="edit" aspectratio="f"/>
                    </v:rect>
                  </w:pict>
                </mc:Fallback>
              </mc:AlternateContent>
            </w:r>
            <w:r>
              <w:rPr>
                <w:b/>
                <w:color w:val="auto"/>
                <w:sz w:val="21"/>
                <w:szCs w:val="21"/>
                <w:lang w:val="zh-CN"/>
              </w:rPr>
              <w:drawing>
                <wp:inline distT="0" distB="0" distL="114300" distR="114300">
                  <wp:extent cx="2765425" cy="2135505"/>
                  <wp:effectExtent l="0" t="0" r="15875" b="17145"/>
                  <wp:docPr id="6" name="图片 6" descr="IMG_20240927_14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927_143858"/>
                          <pic:cNvPicPr>
                            <a:picLocks noChangeAspect="1"/>
                          </pic:cNvPicPr>
                        </pic:nvPicPr>
                        <pic:blipFill>
                          <a:blip r:embed="rId11"/>
                          <a:srcRect t="25887" b="16190"/>
                          <a:stretch>
                            <a:fillRect/>
                          </a:stretch>
                        </pic:blipFill>
                        <pic:spPr>
                          <a:xfrm>
                            <a:off x="0" y="0"/>
                            <a:ext cx="2765425" cy="2135505"/>
                          </a:xfrm>
                          <a:prstGeom prst="rect">
                            <a:avLst/>
                          </a:prstGeom>
                        </pic:spPr>
                      </pic:pic>
                    </a:graphicData>
                  </a:graphic>
                </wp:inline>
              </w:drawing>
            </w:r>
          </w:p>
          <w:p w14:paraId="71D36823">
            <w:pPr>
              <w:pStyle w:val="114"/>
              <w:spacing w:line="240" w:lineRule="auto"/>
              <w:ind w:firstLine="0" w:firstLineChars="0"/>
              <w:jc w:val="center"/>
              <w:rPr>
                <w:color w:val="auto"/>
                <w:lang w:val="zh-CN"/>
              </w:rPr>
            </w:pPr>
            <w:r>
              <w:rPr>
                <w:rFonts w:hint="eastAsia"/>
                <w:b/>
                <w:bCs/>
                <w:color w:val="auto"/>
                <w:lang w:val="zh-CN"/>
              </w:rPr>
              <w:t>项目所在楼栋现状</w:t>
            </w:r>
          </w:p>
        </w:tc>
      </w:tr>
      <w:tr w14:paraId="1742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2" w:hRule="atLeast"/>
        </w:trPr>
        <w:tc>
          <w:tcPr>
            <w:tcW w:w="4621" w:type="dxa"/>
          </w:tcPr>
          <w:p w14:paraId="72523676">
            <w:pPr>
              <w:jc w:val="center"/>
              <w:rPr>
                <w:b/>
                <w:color w:val="auto"/>
                <w:sz w:val="21"/>
                <w:szCs w:val="21"/>
                <w:lang w:val="zh-CN"/>
              </w:rPr>
            </w:pPr>
            <w:r>
              <w:rPr>
                <w:b/>
                <w:color w:val="auto"/>
                <w:sz w:val="21"/>
                <w:szCs w:val="21"/>
                <w:lang w:val="zh-CN"/>
              </w:rPr>
              <w:drawing>
                <wp:inline distT="0" distB="0" distL="114300" distR="114300">
                  <wp:extent cx="2765425" cy="2063750"/>
                  <wp:effectExtent l="0" t="0" r="0" b="0"/>
                  <wp:docPr id="11" name="图片 11" descr="IMG_20240927_14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927_144304"/>
                          <pic:cNvPicPr>
                            <a:picLocks noChangeAspect="1"/>
                          </pic:cNvPicPr>
                        </pic:nvPicPr>
                        <pic:blipFill>
                          <a:blip r:embed="rId12"/>
                          <a:srcRect t="25749" b="18274"/>
                          <a:stretch>
                            <a:fillRect/>
                          </a:stretch>
                        </pic:blipFill>
                        <pic:spPr>
                          <a:xfrm>
                            <a:off x="0" y="0"/>
                            <a:ext cx="2765425" cy="2063750"/>
                          </a:xfrm>
                          <a:prstGeom prst="rect">
                            <a:avLst/>
                          </a:prstGeom>
                        </pic:spPr>
                      </pic:pic>
                    </a:graphicData>
                  </a:graphic>
                </wp:inline>
              </w:drawing>
            </w:r>
          </w:p>
          <w:p w14:paraId="109207E1">
            <w:pPr>
              <w:jc w:val="center"/>
              <w:rPr>
                <w:b/>
                <w:color w:val="auto"/>
                <w:sz w:val="21"/>
                <w:szCs w:val="21"/>
                <w:lang w:val="zh-CN"/>
              </w:rPr>
            </w:pPr>
            <w:r>
              <w:rPr>
                <w:rFonts w:hint="eastAsia"/>
                <w:b/>
                <w:color w:val="auto"/>
                <w:sz w:val="21"/>
                <w:szCs w:val="21"/>
                <w:lang w:val="zh-CN"/>
              </w:rPr>
              <w:t>项目西面锦绣大道</w:t>
            </w:r>
          </w:p>
        </w:tc>
        <w:tc>
          <w:tcPr>
            <w:tcW w:w="4621" w:type="dxa"/>
          </w:tcPr>
          <w:p w14:paraId="4F88B81F">
            <w:pPr>
              <w:jc w:val="center"/>
              <w:rPr>
                <w:b/>
                <w:color w:val="auto"/>
                <w:sz w:val="21"/>
                <w:szCs w:val="21"/>
                <w:lang w:val="zh-CN"/>
              </w:rPr>
            </w:pPr>
            <w:r>
              <w:rPr>
                <w:b/>
                <w:color w:val="auto"/>
                <w:sz w:val="21"/>
                <w:szCs w:val="21"/>
                <w:lang w:val="zh-CN"/>
              </w:rPr>
              <w:drawing>
                <wp:inline distT="0" distB="0" distL="114300" distR="114300">
                  <wp:extent cx="2780030" cy="2080895"/>
                  <wp:effectExtent l="0" t="0" r="0" b="0"/>
                  <wp:docPr id="16" name="图片 16" descr="IMG_20240927_14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927_144343"/>
                          <pic:cNvPicPr>
                            <a:picLocks noChangeAspect="1"/>
                          </pic:cNvPicPr>
                        </pic:nvPicPr>
                        <pic:blipFill>
                          <a:blip r:embed="rId13"/>
                          <a:srcRect t="43858"/>
                          <a:stretch>
                            <a:fillRect/>
                          </a:stretch>
                        </pic:blipFill>
                        <pic:spPr>
                          <a:xfrm>
                            <a:off x="0" y="0"/>
                            <a:ext cx="2780030" cy="2080895"/>
                          </a:xfrm>
                          <a:prstGeom prst="rect">
                            <a:avLst/>
                          </a:prstGeom>
                        </pic:spPr>
                      </pic:pic>
                    </a:graphicData>
                  </a:graphic>
                </wp:inline>
              </w:drawing>
            </w:r>
          </w:p>
          <w:p w14:paraId="7173F78A">
            <w:pPr>
              <w:jc w:val="center"/>
              <w:rPr>
                <w:b/>
                <w:color w:val="auto"/>
                <w:sz w:val="21"/>
                <w:szCs w:val="21"/>
                <w:lang w:val="zh-CN"/>
              </w:rPr>
            </w:pPr>
            <w:r>
              <w:rPr>
                <w:rFonts w:hint="eastAsia"/>
                <w:b/>
                <w:color w:val="auto"/>
                <w:sz w:val="21"/>
                <w:szCs w:val="21"/>
                <w:lang w:val="zh-CN"/>
              </w:rPr>
              <w:t>项目南面标准厂房</w:t>
            </w:r>
          </w:p>
        </w:tc>
      </w:tr>
      <w:tr w14:paraId="117D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2" w:hRule="atLeast"/>
        </w:trPr>
        <w:tc>
          <w:tcPr>
            <w:tcW w:w="4621" w:type="dxa"/>
          </w:tcPr>
          <w:p w14:paraId="7AF5A120">
            <w:pPr>
              <w:jc w:val="center"/>
              <w:rPr>
                <w:b/>
                <w:color w:val="auto"/>
                <w:sz w:val="21"/>
                <w:szCs w:val="21"/>
                <w:lang w:val="zh-CN"/>
              </w:rPr>
            </w:pPr>
            <w:r>
              <w:rPr>
                <w:b/>
                <w:color w:val="auto"/>
                <w:sz w:val="21"/>
                <w:szCs w:val="21"/>
                <w:lang w:val="zh-CN"/>
              </w:rPr>
              <w:drawing>
                <wp:inline distT="0" distB="0" distL="114300" distR="114300">
                  <wp:extent cx="2780030" cy="2077085"/>
                  <wp:effectExtent l="0" t="0" r="0" b="0"/>
                  <wp:docPr id="14" name="图片 14" descr="IMG_20240927_14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927_143951"/>
                          <pic:cNvPicPr>
                            <a:picLocks noChangeAspect="1"/>
                          </pic:cNvPicPr>
                        </pic:nvPicPr>
                        <pic:blipFill>
                          <a:blip r:embed="rId14"/>
                          <a:srcRect t="7984" b="35977"/>
                          <a:stretch>
                            <a:fillRect/>
                          </a:stretch>
                        </pic:blipFill>
                        <pic:spPr>
                          <a:xfrm>
                            <a:off x="0" y="0"/>
                            <a:ext cx="2780030" cy="2077085"/>
                          </a:xfrm>
                          <a:prstGeom prst="rect">
                            <a:avLst/>
                          </a:prstGeom>
                        </pic:spPr>
                      </pic:pic>
                    </a:graphicData>
                  </a:graphic>
                </wp:inline>
              </w:drawing>
            </w:r>
          </w:p>
          <w:p w14:paraId="4BB807EB">
            <w:pPr>
              <w:jc w:val="center"/>
              <w:rPr>
                <w:b/>
                <w:color w:val="auto"/>
                <w:sz w:val="21"/>
                <w:szCs w:val="21"/>
                <w:lang w:val="zh-CN"/>
              </w:rPr>
            </w:pPr>
            <w:r>
              <w:rPr>
                <w:rFonts w:hint="eastAsia"/>
                <w:b/>
                <w:color w:val="auto"/>
                <w:sz w:val="21"/>
                <w:szCs w:val="21"/>
                <w:lang w:val="zh-CN"/>
              </w:rPr>
              <w:t>项目北面标准厂房</w:t>
            </w:r>
          </w:p>
        </w:tc>
        <w:tc>
          <w:tcPr>
            <w:tcW w:w="4621" w:type="dxa"/>
          </w:tcPr>
          <w:p w14:paraId="54875361">
            <w:pPr>
              <w:jc w:val="center"/>
              <w:rPr>
                <w:b/>
                <w:color w:val="auto"/>
                <w:sz w:val="21"/>
                <w:szCs w:val="21"/>
                <w:lang w:val="zh-CN"/>
              </w:rPr>
            </w:pPr>
            <w:r>
              <w:rPr>
                <w:b/>
                <w:color w:val="auto"/>
                <w:sz w:val="21"/>
                <w:szCs w:val="21"/>
                <w:lang w:val="zh-CN"/>
              </w:rPr>
              <w:drawing>
                <wp:inline distT="0" distB="0" distL="114300" distR="114300">
                  <wp:extent cx="2765425" cy="2073275"/>
                  <wp:effectExtent l="0" t="0" r="15875" b="3175"/>
                  <wp:docPr id="13" name="图片 13" descr="IMG_20240927_14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927_143905"/>
                          <pic:cNvPicPr>
                            <a:picLocks noChangeAspect="1"/>
                          </pic:cNvPicPr>
                        </pic:nvPicPr>
                        <pic:blipFill>
                          <a:blip r:embed="rId15"/>
                          <a:srcRect t="27385" b="16380"/>
                          <a:stretch>
                            <a:fillRect/>
                          </a:stretch>
                        </pic:blipFill>
                        <pic:spPr>
                          <a:xfrm>
                            <a:off x="0" y="0"/>
                            <a:ext cx="2765425" cy="2073275"/>
                          </a:xfrm>
                          <a:prstGeom prst="rect">
                            <a:avLst/>
                          </a:prstGeom>
                        </pic:spPr>
                      </pic:pic>
                    </a:graphicData>
                  </a:graphic>
                </wp:inline>
              </w:drawing>
            </w:r>
          </w:p>
          <w:p w14:paraId="7C492A73">
            <w:pPr>
              <w:jc w:val="center"/>
              <w:rPr>
                <w:b/>
                <w:color w:val="auto"/>
                <w:sz w:val="21"/>
                <w:szCs w:val="21"/>
                <w:lang w:val="zh-CN"/>
              </w:rPr>
            </w:pPr>
            <w:r>
              <w:rPr>
                <w:rFonts w:hint="eastAsia"/>
                <w:b/>
                <w:color w:val="auto"/>
                <w:sz w:val="21"/>
                <w:szCs w:val="21"/>
                <w:lang w:val="zh-CN"/>
              </w:rPr>
              <w:t>项目东面标准厂房</w:t>
            </w:r>
          </w:p>
        </w:tc>
      </w:tr>
    </w:tbl>
    <w:p w14:paraId="4EB34E33">
      <w:pPr>
        <w:spacing w:before="120" w:beforeLines="50"/>
        <w:jc w:val="center"/>
        <w:rPr>
          <w:b/>
          <w:color w:val="auto"/>
          <w:sz w:val="28"/>
          <w:szCs w:val="28"/>
          <w:lang w:val="zh-CN"/>
        </w:rPr>
      </w:pPr>
      <w:r>
        <w:rPr>
          <w:rFonts w:hint="eastAsia"/>
          <w:b/>
          <w:color w:val="auto"/>
          <w:sz w:val="28"/>
          <w:szCs w:val="28"/>
          <w:lang w:val="zh-CN"/>
        </w:rPr>
        <w:t>项目现状照片</w:t>
      </w:r>
    </w:p>
    <w:p w14:paraId="131F3F24">
      <w:pPr>
        <w:pStyle w:val="114"/>
        <w:ind w:firstLine="480"/>
        <w:rPr>
          <w:color w:val="auto"/>
          <w:lang w:val="zh-CN"/>
        </w:rPr>
      </w:pPr>
    </w:p>
    <w:p w14:paraId="7E9D1C91">
      <w:pPr>
        <w:pStyle w:val="114"/>
        <w:ind w:firstLine="480"/>
        <w:rPr>
          <w:color w:val="auto"/>
          <w:lang w:val="zh-CN"/>
        </w:rPr>
      </w:pPr>
    </w:p>
    <w:p w14:paraId="5AE4D4D0">
      <w:pPr>
        <w:pStyle w:val="5"/>
        <w:ind w:firstLine="0" w:firstLineChars="0"/>
        <w:jc w:val="center"/>
        <w:rPr>
          <w:rFonts w:ascii="Times New Roman" w:hAnsi="Times New Roman"/>
          <w:b/>
          <w:color w:val="auto"/>
          <w:sz w:val="28"/>
          <w:szCs w:val="28"/>
          <w:lang w:val="zh-CN"/>
        </w:rPr>
      </w:pPr>
    </w:p>
    <w:p w14:paraId="28FFFB5C">
      <w:pPr>
        <w:pStyle w:val="5"/>
        <w:ind w:firstLine="0" w:firstLineChars="0"/>
        <w:jc w:val="center"/>
        <w:rPr>
          <w:rFonts w:ascii="Times New Roman" w:hAnsi="Times New Roman"/>
          <w:b/>
          <w:color w:val="auto"/>
          <w:sz w:val="28"/>
          <w:szCs w:val="28"/>
        </w:rPr>
      </w:pPr>
      <w:r>
        <w:rPr>
          <w:rFonts w:ascii="Times New Roman" w:hAnsi="Times New Roman"/>
          <w:b/>
          <w:color w:val="auto"/>
          <w:sz w:val="28"/>
          <w:szCs w:val="28"/>
          <w:lang w:val="zh-CN"/>
        </w:rPr>
        <w:t>目 录</w:t>
      </w:r>
    </w:p>
    <w:p w14:paraId="28D48D67">
      <w:pPr>
        <w:pStyle w:val="17"/>
        <w:tabs>
          <w:tab w:val="right" w:leader="dot" w:pos="9016"/>
        </w:tabs>
        <w:rPr>
          <w:b/>
          <w:bCs/>
          <w:color w:val="auto"/>
        </w:rPr>
      </w:pPr>
      <w:r>
        <w:rPr>
          <w:b/>
          <w:color w:val="auto"/>
        </w:rPr>
        <w:fldChar w:fldCharType="begin"/>
      </w:r>
      <w:r>
        <w:rPr>
          <w:b/>
          <w:color w:val="auto"/>
        </w:rPr>
        <w:instrText xml:space="preserve"> TOC \o "1-3" \h \z \u </w:instrText>
      </w:r>
      <w:r>
        <w:rPr>
          <w:b/>
          <w:color w:val="auto"/>
        </w:rPr>
        <w:fldChar w:fldCharType="separate"/>
      </w:r>
      <w:r>
        <w:rPr>
          <w:color w:val="auto"/>
        </w:rPr>
        <w:fldChar w:fldCharType="begin"/>
      </w:r>
      <w:r>
        <w:rPr>
          <w:color w:val="auto"/>
        </w:rPr>
        <w:instrText xml:space="preserve"> HYPERLINK \l "_Toc80604818" </w:instrText>
      </w:r>
      <w:r>
        <w:rPr>
          <w:color w:val="auto"/>
        </w:rPr>
        <w:fldChar w:fldCharType="separate"/>
      </w:r>
      <w:r>
        <w:rPr>
          <w:rStyle w:val="30"/>
          <w:b/>
          <w:bCs/>
          <w:snapToGrid w:val="0"/>
          <w:color w:val="auto"/>
          <w:u w:val="none"/>
        </w:rPr>
        <w:t>一、</w:t>
      </w:r>
      <w:bookmarkStart w:id="4" w:name="OLE_LINK84"/>
      <w:r>
        <w:rPr>
          <w:rStyle w:val="30"/>
          <w:b/>
          <w:bCs/>
          <w:snapToGrid w:val="0"/>
          <w:color w:val="auto"/>
          <w:u w:val="none"/>
        </w:rPr>
        <w:t>建设项目基本情况</w:t>
      </w:r>
      <w:bookmarkEnd w:id="4"/>
      <w:r>
        <w:rPr>
          <w:b/>
          <w:bCs/>
          <w:color w:val="auto"/>
        </w:rPr>
        <w:tab/>
      </w:r>
      <w:r>
        <w:rPr>
          <w:b/>
          <w:bCs/>
          <w:color w:val="auto"/>
        </w:rPr>
        <w:fldChar w:fldCharType="begin"/>
      </w:r>
      <w:r>
        <w:rPr>
          <w:b/>
          <w:bCs/>
          <w:color w:val="auto"/>
        </w:rPr>
        <w:instrText xml:space="preserve"> PAGEREF _Toc80604818 \h </w:instrText>
      </w:r>
      <w:r>
        <w:rPr>
          <w:b/>
          <w:bCs/>
          <w:color w:val="auto"/>
        </w:rPr>
        <w:fldChar w:fldCharType="separate"/>
      </w:r>
      <w:r>
        <w:rPr>
          <w:b/>
          <w:bCs/>
          <w:color w:val="auto"/>
        </w:rPr>
        <w:t>1</w:t>
      </w:r>
      <w:r>
        <w:rPr>
          <w:b/>
          <w:bCs/>
          <w:color w:val="auto"/>
        </w:rPr>
        <w:fldChar w:fldCharType="end"/>
      </w:r>
      <w:r>
        <w:rPr>
          <w:b/>
          <w:bCs/>
          <w:color w:val="auto"/>
        </w:rPr>
        <w:fldChar w:fldCharType="end"/>
      </w:r>
    </w:p>
    <w:p w14:paraId="0FBAFC8F">
      <w:pPr>
        <w:pStyle w:val="17"/>
        <w:tabs>
          <w:tab w:val="right" w:leader="dot" w:pos="9016"/>
        </w:tabs>
        <w:rPr>
          <w:b/>
          <w:bCs/>
          <w:color w:val="auto"/>
        </w:rPr>
      </w:pPr>
      <w:r>
        <w:rPr>
          <w:color w:val="auto"/>
        </w:rPr>
        <w:fldChar w:fldCharType="begin"/>
      </w:r>
      <w:r>
        <w:rPr>
          <w:color w:val="auto"/>
        </w:rPr>
        <w:instrText xml:space="preserve"> HYPERLINK \l "_Toc80604819" </w:instrText>
      </w:r>
      <w:r>
        <w:rPr>
          <w:color w:val="auto"/>
        </w:rPr>
        <w:fldChar w:fldCharType="separate"/>
      </w:r>
      <w:r>
        <w:rPr>
          <w:rStyle w:val="30"/>
          <w:b/>
          <w:bCs/>
          <w:snapToGrid w:val="0"/>
          <w:color w:val="auto"/>
          <w:u w:val="none"/>
        </w:rPr>
        <w:t>二、建设项目工程分析</w:t>
      </w:r>
      <w:r>
        <w:rPr>
          <w:b/>
          <w:bCs/>
          <w:color w:val="auto"/>
        </w:rPr>
        <w:tab/>
      </w:r>
      <w:r>
        <w:rPr>
          <w:b/>
          <w:bCs/>
          <w:color w:val="auto"/>
        </w:rPr>
        <w:fldChar w:fldCharType="begin"/>
      </w:r>
      <w:r>
        <w:rPr>
          <w:b/>
          <w:bCs/>
          <w:color w:val="auto"/>
        </w:rPr>
        <w:instrText xml:space="preserve"> PAGEREF _Toc80604819 \h </w:instrText>
      </w:r>
      <w:r>
        <w:rPr>
          <w:b/>
          <w:bCs/>
          <w:color w:val="auto"/>
        </w:rPr>
        <w:fldChar w:fldCharType="separate"/>
      </w:r>
      <w:r>
        <w:rPr>
          <w:b/>
          <w:bCs/>
          <w:color w:val="auto"/>
        </w:rPr>
        <w:t>16</w:t>
      </w:r>
      <w:r>
        <w:rPr>
          <w:b/>
          <w:bCs/>
          <w:color w:val="auto"/>
        </w:rPr>
        <w:fldChar w:fldCharType="end"/>
      </w:r>
      <w:r>
        <w:rPr>
          <w:b/>
          <w:bCs/>
          <w:color w:val="auto"/>
        </w:rPr>
        <w:fldChar w:fldCharType="end"/>
      </w:r>
    </w:p>
    <w:p w14:paraId="23D73C70">
      <w:pPr>
        <w:pStyle w:val="17"/>
        <w:tabs>
          <w:tab w:val="right" w:leader="dot" w:pos="9016"/>
        </w:tabs>
        <w:rPr>
          <w:b/>
          <w:bCs/>
          <w:color w:val="auto"/>
        </w:rPr>
      </w:pPr>
      <w:r>
        <w:rPr>
          <w:color w:val="auto"/>
        </w:rPr>
        <w:fldChar w:fldCharType="begin"/>
      </w:r>
      <w:r>
        <w:rPr>
          <w:color w:val="auto"/>
        </w:rPr>
        <w:instrText xml:space="preserve"> HYPERLINK \l "_Toc80604820" </w:instrText>
      </w:r>
      <w:r>
        <w:rPr>
          <w:color w:val="auto"/>
        </w:rPr>
        <w:fldChar w:fldCharType="separate"/>
      </w:r>
      <w:r>
        <w:rPr>
          <w:rStyle w:val="30"/>
          <w:b/>
          <w:bCs/>
          <w:snapToGrid w:val="0"/>
          <w:color w:val="auto"/>
          <w:u w:val="none"/>
        </w:rPr>
        <w:t>三、</w:t>
      </w:r>
      <w:bookmarkStart w:id="5" w:name="OLE_LINK85"/>
      <w:r>
        <w:rPr>
          <w:rStyle w:val="30"/>
          <w:b/>
          <w:bCs/>
          <w:snapToGrid w:val="0"/>
          <w:color w:val="auto"/>
          <w:u w:val="none"/>
        </w:rPr>
        <w:t>区域环境质量现状、环境保护目标及评价标准</w:t>
      </w:r>
      <w:bookmarkEnd w:id="5"/>
      <w:r>
        <w:rPr>
          <w:b/>
          <w:bCs/>
          <w:color w:val="auto"/>
        </w:rPr>
        <w:tab/>
      </w:r>
      <w:r>
        <w:rPr>
          <w:b/>
          <w:bCs/>
          <w:color w:val="auto"/>
        </w:rPr>
        <w:fldChar w:fldCharType="begin"/>
      </w:r>
      <w:r>
        <w:rPr>
          <w:b/>
          <w:bCs/>
          <w:color w:val="auto"/>
        </w:rPr>
        <w:instrText xml:space="preserve"> PAGEREF _Toc80604820 \h </w:instrText>
      </w:r>
      <w:r>
        <w:rPr>
          <w:b/>
          <w:bCs/>
          <w:color w:val="auto"/>
        </w:rPr>
        <w:fldChar w:fldCharType="separate"/>
      </w:r>
      <w:r>
        <w:rPr>
          <w:b/>
          <w:bCs/>
          <w:color w:val="auto"/>
        </w:rPr>
        <w:t>25</w:t>
      </w:r>
      <w:r>
        <w:rPr>
          <w:b/>
          <w:bCs/>
          <w:color w:val="auto"/>
        </w:rPr>
        <w:fldChar w:fldCharType="end"/>
      </w:r>
      <w:r>
        <w:rPr>
          <w:b/>
          <w:bCs/>
          <w:color w:val="auto"/>
        </w:rPr>
        <w:fldChar w:fldCharType="end"/>
      </w:r>
    </w:p>
    <w:p w14:paraId="5230D519">
      <w:pPr>
        <w:pStyle w:val="17"/>
        <w:tabs>
          <w:tab w:val="right" w:leader="dot" w:pos="9016"/>
        </w:tabs>
        <w:rPr>
          <w:b/>
          <w:bCs/>
          <w:color w:val="auto"/>
        </w:rPr>
      </w:pPr>
      <w:r>
        <w:rPr>
          <w:color w:val="auto"/>
        </w:rPr>
        <w:fldChar w:fldCharType="begin"/>
      </w:r>
      <w:r>
        <w:rPr>
          <w:color w:val="auto"/>
        </w:rPr>
        <w:instrText xml:space="preserve"> HYPERLINK \l "_Toc80604821" </w:instrText>
      </w:r>
      <w:r>
        <w:rPr>
          <w:color w:val="auto"/>
        </w:rPr>
        <w:fldChar w:fldCharType="separate"/>
      </w:r>
      <w:r>
        <w:rPr>
          <w:rStyle w:val="30"/>
          <w:b/>
          <w:bCs/>
          <w:snapToGrid w:val="0"/>
          <w:color w:val="auto"/>
          <w:u w:val="none"/>
        </w:rPr>
        <w:t>四、</w:t>
      </w:r>
      <w:bookmarkStart w:id="6" w:name="OLE_LINK86"/>
      <w:r>
        <w:rPr>
          <w:rStyle w:val="30"/>
          <w:b/>
          <w:bCs/>
          <w:snapToGrid w:val="0"/>
          <w:color w:val="auto"/>
          <w:u w:val="none"/>
        </w:rPr>
        <w:t>主要环境影响和保护措施</w:t>
      </w:r>
      <w:bookmarkEnd w:id="6"/>
      <w:r>
        <w:rPr>
          <w:b/>
          <w:bCs/>
          <w:color w:val="auto"/>
        </w:rPr>
        <w:tab/>
      </w:r>
      <w:r>
        <w:rPr>
          <w:b/>
          <w:bCs/>
          <w:color w:val="auto"/>
        </w:rPr>
        <w:fldChar w:fldCharType="begin"/>
      </w:r>
      <w:r>
        <w:rPr>
          <w:b/>
          <w:bCs/>
          <w:color w:val="auto"/>
        </w:rPr>
        <w:instrText xml:space="preserve"> PAGEREF _Toc80604821 \h </w:instrText>
      </w:r>
      <w:r>
        <w:rPr>
          <w:b/>
          <w:bCs/>
          <w:color w:val="auto"/>
        </w:rPr>
        <w:fldChar w:fldCharType="separate"/>
      </w:r>
      <w:r>
        <w:rPr>
          <w:b/>
          <w:bCs/>
          <w:color w:val="auto"/>
        </w:rPr>
        <w:t>34</w:t>
      </w:r>
      <w:r>
        <w:rPr>
          <w:b/>
          <w:bCs/>
          <w:color w:val="auto"/>
        </w:rPr>
        <w:fldChar w:fldCharType="end"/>
      </w:r>
      <w:r>
        <w:rPr>
          <w:b/>
          <w:bCs/>
          <w:color w:val="auto"/>
        </w:rPr>
        <w:fldChar w:fldCharType="end"/>
      </w:r>
    </w:p>
    <w:p w14:paraId="267B771C">
      <w:pPr>
        <w:pStyle w:val="17"/>
        <w:tabs>
          <w:tab w:val="right" w:leader="dot" w:pos="9016"/>
        </w:tabs>
        <w:rPr>
          <w:b/>
          <w:bCs/>
          <w:color w:val="auto"/>
        </w:rPr>
      </w:pPr>
      <w:r>
        <w:rPr>
          <w:color w:val="auto"/>
        </w:rPr>
        <w:fldChar w:fldCharType="begin"/>
      </w:r>
      <w:r>
        <w:rPr>
          <w:color w:val="auto"/>
        </w:rPr>
        <w:instrText xml:space="preserve"> HYPERLINK \l "_Toc80604822" </w:instrText>
      </w:r>
      <w:r>
        <w:rPr>
          <w:color w:val="auto"/>
        </w:rPr>
        <w:fldChar w:fldCharType="separate"/>
      </w:r>
      <w:r>
        <w:rPr>
          <w:rStyle w:val="30"/>
          <w:b/>
          <w:bCs/>
          <w:snapToGrid w:val="0"/>
          <w:color w:val="auto"/>
          <w:u w:val="none"/>
        </w:rPr>
        <w:t>五、环境保护措施监督检查清单</w:t>
      </w:r>
      <w:r>
        <w:rPr>
          <w:b/>
          <w:bCs/>
          <w:color w:val="auto"/>
        </w:rPr>
        <w:tab/>
      </w:r>
      <w:r>
        <w:rPr>
          <w:b/>
          <w:bCs/>
          <w:color w:val="auto"/>
        </w:rPr>
        <w:fldChar w:fldCharType="begin"/>
      </w:r>
      <w:r>
        <w:rPr>
          <w:b/>
          <w:bCs/>
          <w:color w:val="auto"/>
        </w:rPr>
        <w:instrText xml:space="preserve"> PAGEREF _Toc80604822 \h </w:instrText>
      </w:r>
      <w:r>
        <w:rPr>
          <w:b/>
          <w:bCs/>
          <w:color w:val="auto"/>
        </w:rPr>
        <w:fldChar w:fldCharType="separate"/>
      </w:r>
      <w:r>
        <w:rPr>
          <w:b/>
          <w:bCs/>
          <w:color w:val="auto"/>
        </w:rPr>
        <w:t>44</w:t>
      </w:r>
      <w:r>
        <w:rPr>
          <w:b/>
          <w:bCs/>
          <w:color w:val="auto"/>
        </w:rPr>
        <w:fldChar w:fldCharType="end"/>
      </w:r>
      <w:r>
        <w:rPr>
          <w:b/>
          <w:bCs/>
          <w:color w:val="auto"/>
        </w:rPr>
        <w:fldChar w:fldCharType="end"/>
      </w:r>
    </w:p>
    <w:p w14:paraId="5651AFA3">
      <w:pPr>
        <w:pStyle w:val="17"/>
        <w:tabs>
          <w:tab w:val="right" w:leader="dot" w:pos="9016"/>
        </w:tabs>
        <w:rPr>
          <w:color w:val="auto"/>
        </w:rPr>
      </w:pPr>
      <w:r>
        <w:rPr>
          <w:color w:val="auto"/>
        </w:rPr>
        <w:fldChar w:fldCharType="begin"/>
      </w:r>
      <w:r>
        <w:rPr>
          <w:color w:val="auto"/>
        </w:rPr>
        <w:instrText xml:space="preserve"> HYPERLINK \l "_Toc80604823" </w:instrText>
      </w:r>
      <w:r>
        <w:rPr>
          <w:color w:val="auto"/>
        </w:rPr>
        <w:fldChar w:fldCharType="separate"/>
      </w:r>
      <w:r>
        <w:rPr>
          <w:rStyle w:val="30"/>
          <w:b/>
          <w:bCs/>
          <w:snapToGrid w:val="0"/>
          <w:color w:val="auto"/>
          <w:u w:val="none"/>
        </w:rPr>
        <w:t>六、结论</w:t>
      </w:r>
      <w:r>
        <w:rPr>
          <w:b/>
          <w:bCs/>
          <w:color w:val="auto"/>
        </w:rPr>
        <w:tab/>
      </w:r>
      <w:r>
        <w:rPr>
          <w:b/>
          <w:bCs/>
          <w:color w:val="auto"/>
        </w:rPr>
        <w:fldChar w:fldCharType="begin"/>
      </w:r>
      <w:r>
        <w:rPr>
          <w:b/>
          <w:bCs/>
          <w:color w:val="auto"/>
        </w:rPr>
        <w:instrText xml:space="preserve"> PAGEREF _Toc80604823 \h </w:instrText>
      </w:r>
      <w:r>
        <w:rPr>
          <w:b/>
          <w:bCs/>
          <w:color w:val="auto"/>
        </w:rPr>
        <w:fldChar w:fldCharType="separate"/>
      </w:r>
      <w:r>
        <w:rPr>
          <w:b/>
          <w:bCs/>
          <w:color w:val="auto"/>
        </w:rPr>
        <w:t>60</w:t>
      </w:r>
      <w:r>
        <w:rPr>
          <w:b/>
          <w:bCs/>
          <w:color w:val="auto"/>
        </w:rPr>
        <w:fldChar w:fldCharType="end"/>
      </w:r>
      <w:r>
        <w:rPr>
          <w:b/>
          <w:bCs/>
          <w:color w:val="auto"/>
        </w:rPr>
        <w:fldChar w:fldCharType="end"/>
      </w:r>
    </w:p>
    <w:p w14:paraId="540D67BC">
      <w:pPr>
        <w:keepNext w:val="0"/>
        <w:keepLines w:val="0"/>
        <w:pageBreakBefore w:val="0"/>
        <w:widowControl w:val="0"/>
        <w:kinsoku/>
        <w:wordWrap/>
        <w:overflowPunct/>
        <w:topLinePunct w:val="0"/>
        <w:bidi w:val="0"/>
        <w:spacing w:line="440" w:lineRule="exact"/>
        <w:textAlignment w:val="auto"/>
        <w:rPr>
          <w:b/>
          <w:bCs/>
          <w:color w:val="auto"/>
        </w:rPr>
      </w:pPr>
      <w:r>
        <w:rPr>
          <w:b/>
          <w:bCs/>
          <w:color w:val="auto"/>
          <w:lang w:val="zh-CN"/>
        </w:rPr>
        <w:fldChar w:fldCharType="end"/>
      </w:r>
      <w:r>
        <w:rPr>
          <w:rFonts w:hint="eastAsia"/>
          <w:b/>
          <w:bCs/>
          <w:color w:val="auto"/>
        </w:rPr>
        <w:t>附图：</w:t>
      </w:r>
    </w:p>
    <w:p w14:paraId="13CBB7B5">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附图1</w:t>
      </w:r>
      <w:r>
        <w:rPr>
          <w:color w:val="auto"/>
          <w:kern w:val="0"/>
        </w:rPr>
        <w:t xml:space="preserve"> </w:t>
      </w:r>
      <w:r>
        <w:rPr>
          <w:rFonts w:hint="eastAsia"/>
          <w:color w:val="auto"/>
          <w:kern w:val="0"/>
        </w:rPr>
        <w:t>项目地理位置图</w:t>
      </w:r>
    </w:p>
    <w:p w14:paraId="4A9463AB">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附图2</w:t>
      </w:r>
      <w:r>
        <w:rPr>
          <w:color w:val="auto"/>
          <w:kern w:val="0"/>
        </w:rPr>
        <w:t xml:space="preserve"> </w:t>
      </w:r>
      <w:r>
        <w:rPr>
          <w:rFonts w:hint="eastAsia"/>
          <w:color w:val="auto"/>
          <w:kern w:val="0"/>
        </w:rPr>
        <w:t>项目总平面布置图</w:t>
      </w:r>
    </w:p>
    <w:p w14:paraId="1D0B65C2">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附图3 项目周边</w:t>
      </w:r>
      <w:bookmarkStart w:id="7" w:name="OLE_LINK1"/>
      <w:r>
        <w:rPr>
          <w:rFonts w:hint="eastAsia"/>
          <w:color w:val="auto"/>
          <w:kern w:val="0"/>
        </w:rPr>
        <w:t>环境保护目标分布图</w:t>
      </w:r>
      <w:bookmarkEnd w:id="7"/>
    </w:p>
    <w:p w14:paraId="26301647">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rPr>
      </w:pPr>
      <w:r>
        <w:rPr>
          <w:rFonts w:hint="eastAsia"/>
          <w:color w:val="auto"/>
          <w:kern w:val="0"/>
        </w:rPr>
        <w:t xml:space="preserve">附图4 </w:t>
      </w:r>
      <w:r>
        <w:rPr>
          <w:rFonts w:hint="eastAsia"/>
          <w:color w:val="auto"/>
        </w:rPr>
        <w:t>项目环境质量现状监测点位图</w:t>
      </w:r>
    </w:p>
    <w:p w14:paraId="7853928D">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rPr>
      </w:pPr>
      <w:r>
        <w:rPr>
          <w:rFonts w:hint="eastAsia"/>
          <w:color w:val="auto"/>
        </w:rPr>
        <w:t>附图5</w:t>
      </w:r>
      <w:r>
        <w:rPr>
          <w:color w:val="auto"/>
        </w:rPr>
        <w:t xml:space="preserve"> </w:t>
      </w:r>
      <w:r>
        <w:rPr>
          <w:rFonts w:hint="eastAsia"/>
          <w:color w:val="auto"/>
        </w:rPr>
        <w:t>项目与钦州市陆域环境管控单元分类图位置关系图</w:t>
      </w:r>
    </w:p>
    <w:p w14:paraId="772C645A">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rPr>
      </w:pPr>
      <w:r>
        <w:rPr>
          <w:rFonts w:hint="eastAsia"/>
          <w:color w:val="auto"/>
        </w:rPr>
        <w:t>附图6 项目与茅尾海红树林自然保护区位置关系图</w:t>
      </w:r>
    </w:p>
    <w:p w14:paraId="24B82296">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rPr>
      </w:pPr>
      <w:r>
        <w:rPr>
          <w:rFonts w:hint="eastAsia"/>
          <w:color w:val="auto"/>
        </w:rPr>
        <w:t>附图7 项目与金窝水库饮用水水源保护区的关系图</w:t>
      </w:r>
    </w:p>
    <w:p w14:paraId="02DEB9FD">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rPr>
      </w:pPr>
      <w:r>
        <w:rPr>
          <w:rFonts w:hint="eastAsia"/>
          <w:color w:val="auto"/>
        </w:rPr>
        <w:t xml:space="preserve">附图8  </w:t>
      </w:r>
      <w:bookmarkStart w:id="8" w:name="OLE_LINK2"/>
      <w:r>
        <w:rPr>
          <w:rFonts w:hint="eastAsia"/>
          <w:color w:val="auto"/>
        </w:rPr>
        <w:t>项目在区域海洋功能区划图中的位置图</w:t>
      </w:r>
      <w:bookmarkEnd w:id="8"/>
    </w:p>
    <w:p w14:paraId="1D2B5601">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eastAsia"/>
          <w:color w:val="auto"/>
          <w:sz w:val="24"/>
          <w:szCs w:val="24"/>
        </w:rPr>
      </w:pPr>
      <w:r>
        <w:rPr>
          <w:rFonts w:hint="eastAsia"/>
          <w:color w:val="auto"/>
          <w:sz w:val="24"/>
          <w:szCs w:val="24"/>
        </w:rPr>
        <w:t>附图9  项目土地利用规划图</w:t>
      </w:r>
    </w:p>
    <w:p w14:paraId="3BEE2669">
      <w:pPr>
        <w:pStyle w:val="5"/>
        <w:keepNext w:val="0"/>
        <w:keepLines w:val="0"/>
        <w:pageBreakBefore w:val="0"/>
        <w:widowControl w:val="0"/>
        <w:kinsoku/>
        <w:wordWrap/>
        <w:overflowPunct/>
        <w:topLinePunct w:val="0"/>
        <w:bidi w:val="0"/>
        <w:spacing w:line="440" w:lineRule="exact"/>
        <w:ind w:left="0" w:leftChars="0" w:firstLine="0" w:firstLineChars="0"/>
        <w:textAlignment w:val="auto"/>
        <w:rPr>
          <w:rFonts w:hint="eastAsia"/>
          <w:color w:val="auto"/>
          <w:sz w:val="24"/>
          <w:szCs w:val="24"/>
          <w:u w:val="single"/>
          <w:lang w:val="en-US" w:eastAsia="zh-CN"/>
        </w:rPr>
      </w:pPr>
      <w:r>
        <w:rPr>
          <w:rFonts w:hint="eastAsia"/>
          <w:color w:val="auto"/>
          <w:sz w:val="24"/>
          <w:szCs w:val="24"/>
          <w:u w:val="single"/>
          <w:lang w:val="en-US" w:eastAsia="zh-CN"/>
        </w:rPr>
        <w:t>附图10 项目在钦州市中心城区声环境功能区划中的关系图</w:t>
      </w:r>
    </w:p>
    <w:p w14:paraId="602E8D03">
      <w:pPr>
        <w:keepNext w:val="0"/>
        <w:keepLines w:val="0"/>
        <w:pageBreakBefore w:val="0"/>
        <w:widowControl w:val="0"/>
        <w:kinsoku/>
        <w:wordWrap/>
        <w:overflowPunct/>
        <w:topLinePunct w:val="0"/>
        <w:bidi w:val="0"/>
        <w:spacing w:line="440" w:lineRule="exact"/>
        <w:textAlignment w:val="auto"/>
        <w:rPr>
          <w:rFonts w:hint="default"/>
          <w:color w:val="auto"/>
          <w:u w:val="single"/>
          <w:lang w:val="en-US" w:eastAsia="zh-CN"/>
        </w:rPr>
      </w:pPr>
      <w:r>
        <w:rPr>
          <w:rFonts w:hint="default"/>
          <w:color w:val="auto"/>
          <w:u w:val="single"/>
          <w:lang w:val="en-US" w:eastAsia="zh-CN"/>
        </w:rPr>
        <w:t>附图11  项目厂外污水走向图</w:t>
      </w:r>
    </w:p>
    <w:p w14:paraId="58433533">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b/>
          <w:bCs/>
          <w:color w:val="auto"/>
          <w:kern w:val="0"/>
        </w:rPr>
      </w:pPr>
      <w:r>
        <w:rPr>
          <w:rFonts w:hint="eastAsia"/>
          <w:b/>
          <w:bCs/>
          <w:color w:val="auto"/>
          <w:kern w:val="0"/>
        </w:rPr>
        <w:t>附件：</w:t>
      </w:r>
    </w:p>
    <w:p w14:paraId="61E9A990">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附件1</w:t>
      </w:r>
      <w:r>
        <w:rPr>
          <w:color w:val="auto"/>
          <w:kern w:val="0"/>
        </w:rPr>
        <w:t xml:space="preserve"> </w:t>
      </w:r>
      <w:r>
        <w:rPr>
          <w:rFonts w:hint="eastAsia"/>
          <w:color w:val="auto"/>
          <w:kern w:val="0"/>
        </w:rPr>
        <w:t>委托书</w:t>
      </w:r>
    </w:p>
    <w:p w14:paraId="414A3658">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附件2</w:t>
      </w:r>
      <w:r>
        <w:rPr>
          <w:color w:val="auto"/>
          <w:kern w:val="0"/>
        </w:rPr>
        <w:t xml:space="preserve"> </w:t>
      </w:r>
      <w:r>
        <w:rPr>
          <w:rFonts w:hint="eastAsia"/>
          <w:color w:val="auto"/>
          <w:kern w:val="0"/>
        </w:rPr>
        <w:t>营业执照</w:t>
      </w:r>
    </w:p>
    <w:p w14:paraId="66747B41">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附件3</w:t>
      </w:r>
      <w:r>
        <w:rPr>
          <w:color w:val="auto"/>
          <w:kern w:val="0"/>
        </w:rPr>
        <w:t xml:space="preserve"> </w:t>
      </w:r>
      <w:r>
        <w:rPr>
          <w:rFonts w:hint="eastAsia"/>
          <w:color w:val="auto"/>
          <w:kern w:val="0"/>
        </w:rPr>
        <w:t>项目备案证明</w:t>
      </w:r>
    </w:p>
    <w:p w14:paraId="30870CDF">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附件</w:t>
      </w:r>
      <w:r>
        <w:rPr>
          <w:color w:val="auto"/>
          <w:kern w:val="0"/>
        </w:rPr>
        <w:t xml:space="preserve">4 </w:t>
      </w:r>
      <w:r>
        <w:rPr>
          <w:rFonts w:hint="eastAsia"/>
          <w:color w:val="auto"/>
          <w:kern w:val="0"/>
        </w:rPr>
        <w:t>租赁合同</w:t>
      </w:r>
    </w:p>
    <w:p w14:paraId="0752139A">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附件5 项目投资合同</w:t>
      </w:r>
    </w:p>
    <w:p w14:paraId="08CD167A">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highlight w:val="yellow"/>
        </w:rPr>
      </w:pPr>
      <w:r>
        <w:rPr>
          <w:rFonts w:hint="eastAsia"/>
          <w:color w:val="auto"/>
          <w:kern w:val="0"/>
        </w:rPr>
        <w:t>附件6 关于项目研判初步结论</w:t>
      </w:r>
    </w:p>
    <w:p w14:paraId="2DD487A9">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color w:val="auto"/>
          <w:kern w:val="0"/>
        </w:rPr>
      </w:pPr>
      <w:r>
        <w:rPr>
          <w:rFonts w:hint="eastAsia"/>
          <w:color w:val="auto"/>
          <w:kern w:val="0"/>
        </w:rPr>
        <w:t xml:space="preserve">附件7 </w:t>
      </w:r>
      <w:r>
        <w:rPr>
          <w:rFonts w:hint="eastAsia"/>
          <w:color w:val="auto"/>
          <w:kern w:val="0"/>
          <w:highlight w:val="none"/>
        </w:rPr>
        <w:t>项目环境现状监测报告</w:t>
      </w:r>
    </w:p>
    <w:p w14:paraId="4D8F4029">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default" w:ascii="Times New Roman" w:hAnsi="Times New Roman" w:cs="Times New Roman"/>
          <w:color w:val="auto"/>
          <w:kern w:val="0"/>
        </w:rPr>
      </w:pPr>
      <w:r>
        <w:rPr>
          <w:rFonts w:hint="default" w:ascii="Times New Roman" w:hAnsi="Times New Roman" w:cs="Times New Roman"/>
          <w:color w:val="auto"/>
          <w:kern w:val="0"/>
        </w:rPr>
        <w:t>附件8 中马钦州产业园总体规划修编环评审查意见</w:t>
      </w:r>
    </w:p>
    <w:p w14:paraId="1299B95D">
      <w:pPr>
        <w:pStyle w:val="5"/>
        <w:keepNext w:val="0"/>
        <w:keepLines w:val="0"/>
        <w:pageBreakBefore w:val="0"/>
        <w:widowControl w:val="0"/>
        <w:kinsoku/>
        <w:wordWrap/>
        <w:overflowPunct/>
        <w:topLinePunct w:val="0"/>
        <w:bidi w:val="0"/>
        <w:spacing w:line="440" w:lineRule="exact"/>
        <w:ind w:left="0" w:leftChars="0" w:firstLine="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附件9 关于潍坊华林塑料有限公司与广西钦州华林包装科技有限公司的关系说明</w:t>
      </w:r>
    </w:p>
    <w:p w14:paraId="6F465CD1">
      <w:pPr>
        <w:pStyle w:val="5"/>
        <w:keepNext w:val="0"/>
        <w:keepLines w:val="0"/>
        <w:pageBreakBefore w:val="0"/>
        <w:widowControl w:val="0"/>
        <w:kinsoku/>
        <w:wordWrap/>
        <w:overflowPunct/>
        <w:topLinePunct w:val="0"/>
        <w:bidi w:val="0"/>
        <w:spacing w:line="440" w:lineRule="exact"/>
        <w:ind w:left="0" w:leftChars="0" w:firstLine="0" w:firstLineChars="0"/>
        <w:textAlignment w:val="auto"/>
        <w:rPr>
          <w:rFonts w:hint="eastAsia"/>
          <w:color w:val="auto"/>
          <w:u w:val="single"/>
          <w:lang w:eastAsia="zh-CN"/>
        </w:rPr>
      </w:pPr>
      <w:r>
        <w:rPr>
          <w:rFonts w:hint="default" w:ascii="Times New Roman" w:hAnsi="Times New Roman" w:cs="Times New Roman"/>
          <w:color w:val="auto"/>
          <w:sz w:val="24"/>
          <w:szCs w:val="24"/>
          <w:u w:val="single"/>
          <w:lang w:val="en-US" w:eastAsia="zh-CN"/>
        </w:rPr>
        <w:t>附件10</w:t>
      </w:r>
      <w:r>
        <w:rPr>
          <w:rFonts w:hint="eastAsia" w:ascii="Times New Roman" w:hAnsi="Times New Roman" w:cs="Times New Roman"/>
          <w:color w:val="auto"/>
          <w:sz w:val="24"/>
          <w:szCs w:val="24"/>
          <w:u w:val="single"/>
          <w:lang w:val="en-US" w:eastAsia="zh-CN"/>
        </w:rPr>
        <w:t xml:space="preserve"> </w:t>
      </w:r>
      <w:r>
        <w:rPr>
          <w:rFonts w:hint="eastAsia"/>
          <w:color w:val="auto"/>
          <w:u w:val="single"/>
          <w:lang w:eastAsia="zh-CN"/>
        </w:rPr>
        <w:t>土地证明</w:t>
      </w:r>
    </w:p>
    <w:p w14:paraId="0DA0CFB0">
      <w:pPr>
        <w:keepNext w:val="0"/>
        <w:keepLines w:val="0"/>
        <w:pageBreakBefore w:val="0"/>
        <w:widowControl w:val="0"/>
        <w:kinsoku/>
        <w:wordWrap/>
        <w:overflowPunct/>
        <w:topLinePunct w:val="0"/>
        <w:bidi w:val="0"/>
        <w:spacing w:line="440" w:lineRule="exact"/>
        <w:textAlignment w:val="auto"/>
        <w:rPr>
          <w:rFonts w:hint="eastAsia"/>
          <w:color w:val="auto"/>
          <w:u w:val="single"/>
          <w:lang w:eastAsia="zh-CN"/>
        </w:rPr>
        <w:sectPr>
          <w:footerReference r:id="rId5" w:type="default"/>
          <w:footerReference r:id="rId6" w:type="even"/>
          <w:pgSz w:w="11906" w:h="16838"/>
          <w:pgMar w:top="1440" w:right="1440" w:bottom="1440" w:left="1440" w:header="851" w:footer="1077" w:gutter="0"/>
          <w:pgNumType w:start="3"/>
          <w:cols w:space="720" w:num="1"/>
          <w:docGrid w:linePitch="312" w:charSpace="0"/>
        </w:sectPr>
      </w:pPr>
      <w:r>
        <w:rPr>
          <w:rFonts w:hint="eastAsia"/>
          <w:color w:val="auto"/>
          <w:u w:val="single"/>
          <w:lang w:eastAsia="zh-CN"/>
        </w:rPr>
        <w:t>附件11 中马钦州产业园委托租赁及运营管理方关系证明</w:t>
      </w:r>
    </w:p>
    <w:p w14:paraId="25F16E52">
      <w:pPr>
        <w:pStyle w:val="21"/>
        <w:rPr>
          <w:color w:val="auto"/>
        </w:rPr>
      </w:pPr>
      <w:bookmarkStart w:id="9" w:name="_Toc80604818"/>
      <w:r>
        <w:rPr>
          <w:snapToGrid w:val="0"/>
          <w:color w:val="auto"/>
        </w:rPr>
        <w:t>一、建设项目基本情况</w:t>
      </w:r>
      <w:bookmarkEnd w:id="9"/>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7"/>
        <w:gridCol w:w="1418"/>
        <w:gridCol w:w="2194"/>
        <w:gridCol w:w="1940"/>
        <w:gridCol w:w="2670"/>
      </w:tblGrid>
      <w:tr w14:paraId="09AAA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5" w:type="dxa"/>
            <w:gridSpan w:val="2"/>
            <w:tcMar>
              <w:top w:w="16" w:type="dxa"/>
              <w:left w:w="16" w:type="dxa"/>
              <w:right w:w="16" w:type="dxa"/>
            </w:tcMar>
            <w:vAlign w:val="center"/>
          </w:tcPr>
          <w:p w14:paraId="71629021">
            <w:pPr>
              <w:adjustRightInd w:val="0"/>
              <w:snapToGrid w:val="0"/>
              <w:spacing w:line="240" w:lineRule="auto"/>
              <w:jc w:val="center"/>
              <w:rPr>
                <w:color w:val="auto"/>
              </w:rPr>
            </w:pPr>
            <w:r>
              <w:rPr>
                <w:color w:val="auto"/>
              </w:rPr>
              <w:t>建设项目名称</w:t>
            </w:r>
          </w:p>
        </w:tc>
        <w:tc>
          <w:tcPr>
            <w:tcW w:w="6804" w:type="dxa"/>
            <w:gridSpan w:val="3"/>
            <w:vAlign w:val="center"/>
          </w:tcPr>
          <w:p w14:paraId="115FFE96">
            <w:pPr>
              <w:spacing w:line="240" w:lineRule="auto"/>
              <w:jc w:val="center"/>
              <w:rPr>
                <w:color w:val="auto"/>
              </w:rPr>
            </w:pPr>
            <w:bookmarkStart w:id="10" w:name="OLE_LINK12"/>
            <w:r>
              <w:rPr>
                <w:rFonts w:hint="eastAsia"/>
                <w:color w:val="auto"/>
              </w:rPr>
              <w:t>年产</w:t>
            </w:r>
            <w:bookmarkStart w:id="11" w:name="OLE_LINK3"/>
            <w:r>
              <w:rPr>
                <w:color w:val="auto"/>
              </w:rPr>
              <w:t>PET</w:t>
            </w:r>
            <w:r>
              <w:rPr>
                <w:rFonts w:hint="eastAsia"/>
                <w:color w:val="auto"/>
              </w:rPr>
              <w:t>瓶坯</w:t>
            </w:r>
            <w:bookmarkEnd w:id="11"/>
            <w:r>
              <w:rPr>
                <w:color w:val="auto"/>
              </w:rPr>
              <w:t>2400</w:t>
            </w:r>
            <w:r>
              <w:rPr>
                <w:rFonts w:hint="eastAsia"/>
                <w:color w:val="auto"/>
              </w:rPr>
              <w:t>吨、</w:t>
            </w:r>
            <w:bookmarkStart w:id="12" w:name="OLE_LINK4"/>
            <w:r>
              <w:rPr>
                <w:color w:val="auto"/>
              </w:rPr>
              <w:t>PE</w:t>
            </w:r>
            <w:r>
              <w:rPr>
                <w:rFonts w:hint="eastAsia"/>
                <w:color w:val="auto"/>
              </w:rPr>
              <w:t>瓶盖和提手</w:t>
            </w:r>
            <w:bookmarkEnd w:id="12"/>
            <w:r>
              <w:rPr>
                <w:color w:val="auto"/>
              </w:rPr>
              <w:t>480</w:t>
            </w:r>
            <w:r>
              <w:rPr>
                <w:rFonts w:hint="eastAsia"/>
                <w:color w:val="auto"/>
              </w:rPr>
              <w:t xml:space="preserve">吨项目 </w:t>
            </w:r>
            <w:bookmarkEnd w:id="10"/>
          </w:p>
        </w:tc>
      </w:tr>
      <w:tr w14:paraId="419F3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5" w:type="dxa"/>
            <w:gridSpan w:val="2"/>
            <w:tcMar>
              <w:top w:w="16" w:type="dxa"/>
              <w:left w:w="16" w:type="dxa"/>
              <w:right w:w="16" w:type="dxa"/>
            </w:tcMar>
            <w:vAlign w:val="center"/>
          </w:tcPr>
          <w:p w14:paraId="6AAC43FB">
            <w:pPr>
              <w:adjustRightInd w:val="0"/>
              <w:snapToGrid w:val="0"/>
              <w:spacing w:line="240" w:lineRule="auto"/>
              <w:jc w:val="center"/>
              <w:rPr>
                <w:color w:val="auto"/>
              </w:rPr>
            </w:pPr>
            <w:r>
              <w:rPr>
                <w:color w:val="auto"/>
              </w:rPr>
              <w:t>项目代码</w:t>
            </w:r>
          </w:p>
        </w:tc>
        <w:tc>
          <w:tcPr>
            <w:tcW w:w="6804" w:type="dxa"/>
            <w:gridSpan w:val="3"/>
            <w:vAlign w:val="center"/>
          </w:tcPr>
          <w:p w14:paraId="1E4D9BFA">
            <w:pPr>
              <w:adjustRightInd w:val="0"/>
              <w:snapToGrid w:val="0"/>
              <w:spacing w:line="240" w:lineRule="auto"/>
              <w:jc w:val="center"/>
              <w:rPr>
                <w:color w:val="auto"/>
              </w:rPr>
            </w:pPr>
            <w:r>
              <w:rPr>
                <w:rFonts w:hint="eastAsia"/>
                <w:color w:val="auto"/>
              </w:rPr>
              <w:t>2410-450704-04-01-794776</w:t>
            </w:r>
          </w:p>
        </w:tc>
      </w:tr>
      <w:tr w14:paraId="02908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5" w:type="dxa"/>
            <w:gridSpan w:val="2"/>
            <w:tcMar>
              <w:top w:w="16" w:type="dxa"/>
              <w:left w:w="16" w:type="dxa"/>
              <w:right w:w="16" w:type="dxa"/>
            </w:tcMar>
            <w:vAlign w:val="center"/>
          </w:tcPr>
          <w:p w14:paraId="615BE3F5">
            <w:pPr>
              <w:adjustRightInd w:val="0"/>
              <w:snapToGrid w:val="0"/>
              <w:spacing w:line="240" w:lineRule="auto"/>
              <w:jc w:val="center"/>
              <w:rPr>
                <w:color w:val="auto"/>
              </w:rPr>
            </w:pPr>
            <w:r>
              <w:rPr>
                <w:color w:val="auto"/>
              </w:rPr>
              <w:t>建设单位联系人</w:t>
            </w:r>
          </w:p>
        </w:tc>
        <w:tc>
          <w:tcPr>
            <w:tcW w:w="2194" w:type="dxa"/>
            <w:vAlign w:val="center"/>
          </w:tcPr>
          <w:p w14:paraId="33E83E82">
            <w:pPr>
              <w:adjustRightInd w:val="0"/>
              <w:snapToGrid w:val="0"/>
              <w:spacing w:line="240" w:lineRule="auto"/>
              <w:jc w:val="center"/>
              <w:rPr>
                <w:rFonts w:hint="default" w:eastAsia="宋体"/>
                <w:color w:val="auto"/>
                <w:lang w:val="en-US" w:eastAsia="zh-CN"/>
              </w:rPr>
            </w:pPr>
            <w:r>
              <w:rPr>
                <w:rFonts w:hint="eastAsia"/>
                <w:color w:val="auto"/>
                <w:lang w:val="en-US" w:eastAsia="zh-CN"/>
              </w:rPr>
              <w:t>***</w:t>
            </w:r>
          </w:p>
        </w:tc>
        <w:tc>
          <w:tcPr>
            <w:tcW w:w="1940" w:type="dxa"/>
            <w:vAlign w:val="center"/>
          </w:tcPr>
          <w:p w14:paraId="678AA0B0">
            <w:pPr>
              <w:adjustRightInd w:val="0"/>
              <w:snapToGrid w:val="0"/>
              <w:spacing w:line="240" w:lineRule="auto"/>
              <w:jc w:val="center"/>
              <w:rPr>
                <w:color w:val="auto"/>
              </w:rPr>
            </w:pPr>
            <w:r>
              <w:rPr>
                <w:color w:val="auto"/>
              </w:rPr>
              <w:t>联系方式</w:t>
            </w:r>
          </w:p>
        </w:tc>
        <w:tc>
          <w:tcPr>
            <w:tcW w:w="2670" w:type="dxa"/>
            <w:vAlign w:val="center"/>
          </w:tcPr>
          <w:p w14:paraId="0B164A6A">
            <w:pPr>
              <w:adjustRightInd w:val="0"/>
              <w:snapToGrid w:val="0"/>
              <w:spacing w:line="240" w:lineRule="auto"/>
              <w:jc w:val="center"/>
              <w:rPr>
                <w:rFonts w:hint="default" w:eastAsia="宋体"/>
                <w:color w:val="auto"/>
                <w:lang w:val="en-US" w:eastAsia="zh-CN"/>
              </w:rPr>
            </w:pPr>
            <w:r>
              <w:rPr>
                <w:rFonts w:hint="eastAsia"/>
                <w:color w:val="auto"/>
                <w:lang w:val="en-US" w:eastAsia="zh-CN"/>
              </w:rPr>
              <w:t>******</w:t>
            </w:r>
          </w:p>
        </w:tc>
      </w:tr>
      <w:tr w14:paraId="552EB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5" w:type="dxa"/>
            <w:gridSpan w:val="2"/>
            <w:tcMar>
              <w:top w:w="16" w:type="dxa"/>
              <w:left w:w="16" w:type="dxa"/>
              <w:right w:w="16" w:type="dxa"/>
            </w:tcMar>
            <w:vAlign w:val="center"/>
          </w:tcPr>
          <w:p w14:paraId="1310F2FF">
            <w:pPr>
              <w:adjustRightInd w:val="0"/>
              <w:snapToGrid w:val="0"/>
              <w:spacing w:line="240" w:lineRule="auto"/>
              <w:jc w:val="center"/>
              <w:rPr>
                <w:color w:val="auto"/>
              </w:rPr>
            </w:pPr>
            <w:r>
              <w:rPr>
                <w:color w:val="auto"/>
              </w:rPr>
              <w:t>建设地点</w:t>
            </w:r>
          </w:p>
        </w:tc>
        <w:tc>
          <w:tcPr>
            <w:tcW w:w="6804" w:type="dxa"/>
            <w:gridSpan w:val="3"/>
            <w:vAlign w:val="center"/>
          </w:tcPr>
          <w:p w14:paraId="72DA5598">
            <w:pPr>
              <w:tabs>
                <w:tab w:val="left" w:pos="624"/>
              </w:tabs>
              <w:adjustRightInd w:val="0"/>
              <w:snapToGrid w:val="0"/>
              <w:spacing w:line="240" w:lineRule="auto"/>
              <w:jc w:val="center"/>
              <w:rPr>
                <w:color w:val="auto"/>
              </w:rPr>
            </w:pPr>
            <w:bookmarkStart w:id="13" w:name="OLE_LINK28"/>
            <w:bookmarkStart w:id="14" w:name="OLE_LINK13"/>
            <w:r>
              <w:rPr>
                <w:rFonts w:hint="eastAsia"/>
                <w:color w:val="auto"/>
              </w:rPr>
              <w:t>广西钦州市</w:t>
            </w:r>
            <w:bookmarkEnd w:id="13"/>
            <w:r>
              <w:rPr>
                <w:rFonts w:hint="eastAsia"/>
                <w:color w:val="auto"/>
              </w:rPr>
              <w:t>中国（广西）自由贸易试验区</w:t>
            </w:r>
            <w:bookmarkStart w:id="15" w:name="OLE_LINK11"/>
            <w:r>
              <w:rPr>
                <w:rFonts w:hint="eastAsia"/>
                <w:color w:val="auto"/>
              </w:rPr>
              <w:t>钦州港片区中马钦州产业园区台湾中小企业园区</w:t>
            </w:r>
            <w:r>
              <w:rPr>
                <w:color w:val="auto"/>
              </w:rPr>
              <w:t>2</w:t>
            </w:r>
            <w:r>
              <w:rPr>
                <w:rFonts w:hint="eastAsia"/>
                <w:color w:val="auto"/>
              </w:rPr>
              <w:t>＃厂房第一层</w:t>
            </w:r>
            <w:bookmarkEnd w:id="14"/>
            <w:r>
              <w:rPr>
                <w:rFonts w:hint="eastAsia"/>
                <w:color w:val="auto"/>
              </w:rPr>
              <w:t xml:space="preserve"> </w:t>
            </w:r>
            <w:bookmarkEnd w:id="15"/>
          </w:p>
        </w:tc>
      </w:tr>
      <w:tr w14:paraId="3DB35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5" w:type="dxa"/>
            <w:gridSpan w:val="2"/>
            <w:tcMar>
              <w:top w:w="16" w:type="dxa"/>
              <w:left w:w="16" w:type="dxa"/>
              <w:right w:w="16" w:type="dxa"/>
            </w:tcMar>
            <w:vAlign w:val="center"/>
          </w:tcPr>
          <w:p w14:paraId="1018B197">
            <w:pPr>
              <w:adjustRightInd w:val="0"/>
              <w:snapToGrid w:val="0"/>
              <w:spacing w:line="240" w:lineRule="auto"/>
              <w:jc w:val="center"/>
              <w:rPr>
                <w:color w:val="auto"/>
              </w:rPr>
            </w:pPr>
            <w:r>
              <w:rPr>
                <w:color w:val="auto"/>
              </w:rPr>
              <w:t>地理坐标</w:t>
            </w:r>
          </w:p>
        </w:tc>
        <w:tc>
          <w:tcPr>
            <w:tcW w:w="6804" w:type="dxa"/>
            <w:gridSpan w:val="3"/>
            <w:vAlign w:val="center"/>
          </w:tcPr>
          <w:p w14:paraId="7D31C5ED">
            <w:pPr>
              <w:spacing w:line="240" w:lineRule="auto"/>
              <w:jc w:val="center"/>
              <w:rPr>
                <w:color w:val="auto"/>
              </w:rPr>
            </w:pPr>
            <w:r>
              <w:rPr>
                <w:color w:val="auto"/>
                <w:szCs w:val="21"/>
              </w:rPr>
              <w:t>东经108度4</w:t>
            </w:r>
            <w:r>
              <w:rPr>
                <w:rFonts w:hint="eastAsia"/>
                <w:color w:val="auto"/>
                <w:szCs w:val="21"/>
              </w:rPr>
              <w:t>1</w:t>
            </w:r>
            <w:r>
              <w:rPr>
                <w:color w:val="auto"/>
                <w:szCs w:val="21"/>
              </w:rPr>
              <w:t>分</w:t>
            </w:r>
            <w:r>
              <w:rPr>
                <w:rFonts w:hint="eastAsia"/>
                <w:color w:val="auto"/>
              </w:rPr>
              <w:t>6.527</w:t>
            </w:r>
            <w:r>
              <w:rPr>
                <w:color w:val="auto"/>
                <w:szCs w:val="21"/>
              </w:rPr>
              <w:t>秒，北纬2</w:t>
            </w:r>
            <w:r>
              <w:rPr>
                <w:rFonts w:hint="eastAsia"/>
                <w:color w:val="auto"/>
                <w:szCs w:val="21"/>
              </w:rPr>
              <w:t>4</w:t>
            </w:r>
            <w:r>
              <w:rPr>
                <w:color w:val="auto"/>
                <w:szCs w:val="21"/>
              </w:rPr>
              <w:t>度4</w:t>
            </w:r>
            <w:r>
              <w:rPr>
                <w:rFonts w:hint="eastAsia"/>
                <w:color w:val="auto"/>
                <w:szCs w:val="21"/>
              </w:rPr>
              <w:t>7</w:t>
            </w:r>
            <w:r>
              <w:rPr>
                <w:color w:val="auto"/>
                <w:szCs w:val="21"/>
              </w:rPr>
              <w:t>分</w:t>
            </w:r>
            <w:r>
              <w:rPr>
                <w:rFonts w:hint="eastAsia"/>
                <w:color w:val="auto"/>
              </w:rPr>
              <w:t>16.637</w:t>
            </w:r>
            <w:r>
              <w:rPr>
                <w:color w:val="auto"/>
                <w:szCs w:val="21"/>
              </w:rPr>
              <w:t>秒</w:t>
            </w:r>
          </w:p>
        </w:tc>
      </w:tr>
      <w:tr w14:paraId="7E931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2" w:hRule="atLeast"/>
          <w:jc w:val="center"/>
        </w:trPr>
        <w:tc>
          <w:tcPr>
            <w:tcW w:w="1975" w:type="dxa"/>
            <w:gridSpan w:val="2"/>
            <w:tcMar>
              <w:top w:w="16" w:type="dxa"/>
              <w:left w:w="16" w:type="dxa"/>
              <w:right w:w="16" w:type="dxa"/>
            </w:tcMar>
            <w:vAlign w:val="center"/>
          </w:tcPr>
          <w:p w14:paraId="21AB5219">
            <w:pPr>
              <w:adjustRightInd w:val="0"/>
              <w:snapToGrid w:val="0"/>
              <w:spacing w:line="240" w:lineRule="auto"/>
              <w:jc w:val="center"/>
              <w:rPr>
                <w:color w:val="auto"/>
              </w:rPr>
            </w:pPr>
            <w:r>
              <w:rPr>
                <w:color w:val="auto"/>
              </w:rPr>
              <w:t>国民经济</w:t>
            </w:r>
          </w:p>
          <w:p w14:paraId="04314890">
            <w:pPr>
              <w:adjustRightInd w:val="0"/>
              <w:snapToGrid w:val="0"/>
              <w:spacing w:line="240" w:lineRule="auto"/>
              <w:jc w:val="center"/>
              <w:rPr>
                <w:color w:val="auto"/>
              </w:rPr>
            </w:pPr>
            <w:r>
              <w:rPr>
                <w:color w:val="auto"/>
              </w:rPr>
              <w:t>行业类别</w:t>
            </w:r>
          </w:p>
        </w:tc>
        <w:tc>
          <w:tcPr>
            <w:tcW w:w="2194" w:type="dxa"/>
            <w:vAlign w:val="center"/>
          </w:tcPr>
          <w:p w14:paraId="5A646713">
            <w:pPr>
              <w:adjustRightInd w:val="0"/>
              <w:snapToGrid w:val="0"/>
              <w:spacing w:before="50" w:after="50" w:line="240" w:lineRule="auto"/>
              <w:jc w:val="center"/>
              <w:rPr>
                <w:color w:val="auto"/>
              </w:rPr>
            </w:pPr>
            <w:bookmarkStart w:id="16" w:name="OLE_LINK5"/>
            <w:r>
              <w:rPr>
                <w:rFonts w:hint="eastAsia"/>
                <w:color w:val="auto"/>
              </w:rPr>
              <w:t xml:space="preserve">C2926 </w:t>
            </w:r>
            <w:bookmarkStart w:id="17" w:name="OLE_LINK15"/>
            <w:r>
              <w:rPr>
                <w:rFonts w:hint="eastAsia"/>
                <w:color w:val="auto"/>
              </w:rPr>
              <w:t>塑料包装箱及容器制造</w:t>
            </w:r>
            <w:bookmarkEnd w:id="16"/>
            <w:bookmarkEnd w:id="17"/>
          </w:p>
        </w:tc>
        <w:tc>
          <w:tcPr>
            <w:tcW w:w="1940" w:type="dxa"/>
            <w:vAlign w:val="center"/>
          </w:tcPr>
          <w:p w14:paraId="0F045DF2">
            <w:pPr>
              <w:adjustRightInd w:val="0"/>
              <w:snapToGrid w:val="0"/>
              <w:spacing w:line="240" w:lineRule="auto"/>
              <w:jc w:val="center"/>
              <w:rPr>
                <w:color w:val="auto"/>
              </w:rPr>
            </w:pPr>
            <w:bookmarkStart w:id="18" w:name="_Hlk49843745"/>
            <w:r>
              <w:rPr>
                <w:color w:val="auto"/>
              </w:rPr>
              <w:t>建设项目</w:t>
            </w:r>
          </w:p>
          <w:p w14:paraId="196386C8">
            <w:pPr>
              <w:adjustRightInd w:val="0"/>
              <w:snapToGrid w:val="0"/>
              <w:spacing w:line="240" w:lineRule="auto"/>
              <w:jc w:val="center"/>
              <w:rPr>
                <w:color w:val="auto"/>
              </w:rPr>
            </w:pPr>
            <w:r>
              <w:rPr>
                <w:color w:val="auto"/>
              </w:rPr>
              <w:t>行业类别</w:t>
            </w:r>
            <w:bookmarkEnd w:id="18"/>
          </w:p>
        </w:tc>
        <w:tc>
          <w:tcPr>
            <w:tcW w:w="2670" w:type="dxa"/>
            <w:vAlign w:val="center"/>
          </w:tcPr>
          <w:p w14:paraId="67811A22">
            <w:pPr>
              <w:adjustRightInd w:val="0"/>
              <w:snapToGrid w:val="0"/>
              <w:spacing w:line="240" w:lineRule="auto"/>
              <w:rPr>
                <w:color w:val="auto"/>
              </w:rPr>
            </w:pPr>
            <w:bookmarkStart w:id="19" w:name="OLE_LINK27"/>
            <w:r>
              <w:rPr>
                <w:rFonts w:hint="eastAsia"/>
                <w:color w:val="auto"/>
              </w:rPr>
              <w:t>二十六、橡胶和塑料制品</w:t>
            </w:r>
          </w:p>
          <w:p w14:paraId="229B99FB">
            <w:pPr>
              <w:adjustRightInd w:val="0"/>
              <w:snapToGrid w:val="0"/>
              <w:spacing w:line="240" w:lineRule="auto"/>
              <w:rPr>
                <w:color w:val="auto"/>
              </w:rPr>
            </w:pPr>
            <w:r>
              <w:rPr>
                <w:rFonts w:hint="eastAsia"/>
                <w:color w:val="auto"/>
              </w:rPr>
              <w:t>业 53、塑料制品业—其他（年用非溶剂型低VOCs含量涂料10吨以下的除外）</w:t>
            </w:r>
            <w:bookmarkEnd w:id="19"/>
          </w:p>
        </w:tc>
      </w:tr>
      <w:tr w14:paraId="20EDB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75" w:type="dxa"/>
            <w:gridSpan w:val="2"/>
            <w:tcMar>
              <w:top w:w="16" w:type="dxa"/>
              <w:left w:w="16" w:type="dxa"/>
              <w:right w:w="16" w:type="dxa"/>
            </w:tcMar>
            <w:vAlign w:val="center"/>
          </w:tcPr>
          <w:p w14:paraId="3EF5DEEE">
            <w:pPr>
              <w:adjustRightInd w:val="0"/>
              <w:snapToGrid w:val="0"/>
              <w:spacing w:line="240" w:lineRule="auto"/>
              <w:jc w:val="center"/>
              <w:rPr>
                <w:color w:val="auto"/>
              </w:rPr>
            </w:pPr>
            <w:r>
              <w:rPr>
                <w:color w:val="auto"/>
              </w:rPr>
              <w:t>建设性质</w:t>
            </w:r>
          </w:p>
        </w:tc>
        <w:tc>
          <w:tcPr>
            <w:tcW w:w="2194" w:type="dxa"/>
            <w:vAlign w:val="center"/>
          </w:tcPr>
          <w:p w14:paraId="28A24DB9">
            <w:pPr>
              <w:spacing w:line="240" w:lineRule="auto"/>
              <w:jc w:val="left"/>
              <w:rPr>
                <w:color w:val="auto"/>
              </w:rPr>
            </w:pPr>
            <w:r>
              <w:rPr>
                <w:color w:val="auto"/>
              </w:rPr>
              <w:sym w:font="Wingdings" w:char="00FE"/>
            </w:r>
            <w:r>
              <w:rPr>
                <w:color w:val="auto"/>
              </w:rPr>
              <w:t>新建（迁建）</w:t>
            </w:r>
          </w:p>
          <w:p w14:paraId="320EC793">
            <w:pPr>
              <w:spacing w:line="240" w:lineRule="auto"/>
              <w:jc w:val="left"/>
              <w:rPr>
                <w:color w:val="auto"/>
              </w:rPr>
            </w:pPr>
            <w:r>
              <w:rPr>
                <w:color w:val="auto"/>
              </w:rPr>
              <w:sym w:font="Wingdings" w:char="00A8"/>
            </w:r>
            <w:r>
              <w:rPr>
                <w:color w:val="auto"/>
              </w:rPr>
              <w:t>改建</w:t>
            </w:r>
          </w:p>
          <w:p w14:paraId="6AE8866D">
            <w:pPr>
              <w:spacing w:line="240" w:lineRule="auto"/>
              <w:jc w:val="left"/>
              <w:rPr>
                <w:color w:val="auto"/>
              </w:rPr>
            </w:pPr>
            <w:r>
              <w:rPr>
                <w:color w:val="auto"/>
              </w:rPr>
              <w:sym w:font="Wingdings" w:char="00A8"/>
            </w:r>
            <w:r>
              <w:rPr>
                <w:color w:val="auto"/>
              </w:rPr>
              <w:t>扩建</w:t>
            </w:r>
          </w:p>
          <w:p w14:paraId="1D9BEA6D">
            <w:pPr>
              <w:spacing w:line="240" w:lineRule="auto"/>
              <w:jc w:val="left"/>
              <w:rPr>
                <w:color w:val="auto"/>
              </w:rPr>
            </w:pPr>
            <w:r>
              <w:rPr>
                <w:color w:val="auto"/>
              </w:rPr>
              <w:sym w:font="Wingdings" w:char="00A8"/>
            </w:r>
            <w:r>
              <w:rPr>
                <w:color w:val="auto"/>
              </w:rPr>
              <w:t>技术改造</w:t>
            </w:r>
          </w:p>
        </w:tc>
        <w:tc>
          <w:tcPr>
            <w:tcW w:w="1940" w:type="dxa"/>
            <w:vAlign w:val="center"/>
          </w:tcPr>
          <w:p w14:paraId="2A89D7AA">
            <w:pPr>
              <w:adjustRightInd w:val="0"/>
              <w:snapToGrid w:val="0"/>
              <w:spacing w:line="240" w:lineRule="auto"/>
              <w:jc w:val="center"/>
              <w:rPr>
                <w:color w:val="auto"/>
              </w:rPr>
            </w:pPr>
            <w:r>
              <w:rPr>
                <w:color w:val="auto"/>
              </w:rPr>
              <w:t>建设项目</w:t>
            </w:r>
          </w:p>
          <w:p w14:paraId="1FDC5837">
            <w:pPr>
              <w:adjustRightInd w:val="0"/>
              <w:snapToGrid w:val="0"/>
              <w:spacing w:line="240" w:lineRule="auto"/>
              <w:jc w:val="center"/>
              <w:rPr>
                <w:color w:val="auto"/>
              </w:rPr>
            </w:pPr>
            <w:r>
              <w:rPr>
                <w:color w:val="auto"/>
              </w:rPr>
              <w:t>申报情形</w:t>
            </w:r>
          </w:p>
        </w:tc>
        <w:tc>
          <w:tcPr>
            <w:tcW w:w="2670" w:type="dxa"/>
            <w:vAlign w:val="center"/>
          </w:tcPr>
          <w:p w14:paraId="54937714">
            <w:pPr>
              <w:spacing w:line="240" w:lineRule="auto"/>
              <w:jc w:val="left"/>
              <w:rPr>
                <w:color w:val="auto"/>
              </w:rPr>
            </w:pPr>
            <w:r>
              <w:rPr>
                <w:color w:val="auto"/>
              </w:rPr>
              <w:sym w:font="Wingdings" w:char="00FE"/>
            </w:r>
            <w:r>
              <w:rPr>
                <w:color w:val="auto"/>
              </w:rPr>
              <w:t xml:space="preserve">首次申报项目             </w:t>
            </w:r>
          </w:p>
          <w:p w14:paraId="36255EE8">
            <w:pPr>
              <w:spacing w:line="240" w:lineRule="auto"/>
              <w:jc w:val="left"/>
              <w:rPr>
                <w:color w:val="auto"/>
              </w:rPr>
            </w:pPr>
            <w:r>
              <w:rPr>
                <w:color w:val="auto"/>
              </w:rPr>
              <w:sym w:font="Wingdings" w:char="00A8"/>
            </w:r>
            <w:r>
              <w:rPr>
                <w:color w:val="auto"/>
              </w:rPr>
              <w:t>不予批准后再次申报项目</w:t>
            </w:r>
          </w:p>
          <w:p w14:paraId="67E4D4A3">
            <w:pPr>
              <w:spacing w:line="240" w:lineRule="auto"/>
              <w:jc w:val="left"/>
              <w:rPr>
                <w:color w:val="auto"/>
              </w:rPr>
            </w:pPr>
            <w:r>
              <w:rPr>
                <w:color w:val="auto"/>
              </w:rPr>
              <w:sym w:font="Wingdings" w:char="00A8"/>
            </w:r>
            <w:r>
              <w:rPr>
                <w:color w:val="auto"/>
              </w:rPr>
              <w:t xml:space="preserve">超五年重新审核项目     </w:t>
            </w:r>
          </w:p>
          <w:p w14:paraId="7330B44B">
            <w:pPr>
              <w:spacing w:line="240" w:lineRule="auto"/>
              <w:jc w:val="left"/>
              <w:rPr>
                <w:color w:val="auto"/>
              </w:rPr>
            </w:pPr>
            <w:r>
              <w:rPr>
                <w:color w:val="auto"/>
              </w:rPr>
              <w:sym w:font="Wingdings" w:char="00A8"/>
            </w:r>
            <w:r>
              <w:rPr>
                <w:color w:val="auto"/>
              </w:rPr>
              <w:t>重大变动重新报批项目</w:t>
            </w:r>
          </w:p>
        </w:tc>
      </w:tr>
      <w:tr w14:paraId="0B858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75" w:type="dxa"/>
            <w:gridSpan w:val="2"/>
            <w:tcMar>
              <w:top w:w="16" w:type="dxa"/>
              <w:left w:w="16" w:type="dxa"/>
              <w:right w:w="16" w:type="dxa"/>
            </w:tcMar>
            <w:vAlign w:val="center"/>
          </w:tcPr>
          <w:p w14:paraId="36C2C993">
            <w:pPr>
              <w:adjustRightInd w:val="0"/>
              <w:snapToGrid w:val="0"/>
              <w:spacing w:line="240" w:lineRule="auto"/>
              <w:jc w:val="center"/>
              <w:rPr>
                <w:color w:val="auto"/>
              </w:rPr>
            </w:pPr>
            <w:r>
              <w:rPr>
                <w:color w:val="auto"/>
              </w:rPr>
              <w:t>项目审批（核准/</w:t>
            </w:r>
          </w:p>
          <w:p w14:paraId="09A7EBAE">
            <w:pPr>
              <w:adjustRightInd w:val="0"/>
              <w:snapToGrid w:val="0"/>
              <w:spacing w:line="240" w:lineRule="auto"/>
              <w:jc w:val="center"/>
              <w:rPr>
                <w:color w:val="auto"/>
              </w:rPr>
            </w:pPr>
            <w:r>
              <w:rPr>
                <w:color w:val="auto"/>
              </w:rPr>
              <w:t>备案）部门（选填）</w:t>
            </w:r>
          </w:p>
        </w:tc>
        <w:tc>
          <w:tcPr>
            <w:tcW w:w="2194" w:type="dxa"/>
            <w:vAlign w:val="center"/>
          </w:tcPr>
          <w:p w14:paraId="2F62F8C5">
            <w:pPr>
              <w:adjustRightInd w:val="0"/>
              <w:snapToGrid w:val="0"/>
              <w:spacing w:line="240" w:lineRule="auto"/>
              <w:jc w:val="center"/>
              <w:rPr>
                <w:color w:val="auto"/>
              </w:rPr>
            </w:pPr>
            <w:r>
              <w:rPr>
                <w:color w:val="auto"/>
              </w:rPr>
              <w:t>广西自贸区钦州港片区行政审批局</w:t>
            </w:r>
          </w:p>
        </w:tc>
        <w:tc>
          <w:tcPr>
            <w:tcW w:w="1940" w:type="dxa"/>
            <w:vAlign w:val="center"/>
          </w:tcPr>
          <w:p w14:paraId="40F266FD">
            <w:pPr>
              <w:adjustRightInd w:val="0"/>
              <w:snapToGrid w:val="0"/>
              <w:spacing w:line="240" w:lineRule="auto"/>
              <w:jc w:val="center"/>
              <w:rPr>
                <w:color w:val="auto"/>
              </w:rPr>
            </w:pPr>
            <w:r>
              <w:rPr>
                <w:color w:val="auto"/>
              </w:rPr>
              <w:t>项目审批（核准/</w:t>
            </w:r>
          </w:p>
          <w:p w14:paraId="6921CCC9">
            <w:pPr>
              <w:adjustRightInd w:val="0"/>
              <w:snapToGrid w:val="0"/>
              <w:spacing w:line="240" w:lineRule="auto"/>
              <w:jc w:val="center"/>
              <w:rPr>
                <w:color w:val="auto"/>
              </w:rPr>
            </w:pPr>
            <w:r>
              <w:rPr>
                <w:color w:val="auto"/>
              </w:rPr>
              <w:t>备案）文号（选填）</w:t>
            </w:r>
          </w:p>
        </w:tc>
        <w:tc>
          <w:tcPr>
            <w:tcW w:w="2670" w:type="dxa"/>
            <w:vAlign w:val="center"/>
          </w:tcPr>
          <w:p w14:paraId="41E7DB49">
            <w:pPr>
              <w:adjustRightInd w:val="0"/>
              <w:snapToGrid w:val="0"/>
              <w:spacing w:line="240" w:lineRule="auto"/>
              <w:jc w:val="center"/>
              <w:rPr>
                <w:color w:val="auto"/>
              </w:rPr>
            </w:pPr>
            <w:r>
              <w:rPr>
                <w:rFonts w:hint="eastAsia"/>
                <w:color w:val="auto"/>
              </w:rPr>
              <w:t>/</w:t>
            </w:r>
          </w:p>
        </w:tc>
      </w:tr>
      <w:tr w14:paraId="0152A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5" w:type="dxa"/>
            <w:gridSpan w:val="2"/>
            <w:tcMar>
              <w:top w:w="16" w:type="dxa"/>
              <w:left w:w="16" w:type="dxa"/>
              <w:right w:w="16" w:type="dxa"/>
            </w:tcMar>
            <w:vAlign w:val="center"/>
          </w:tcPr>
          <w:p w14:paraId="31EA9A76">
            <w:pPr>
              <w:adjustRightInd w:val="0"/>
              <w:snapToGrid w:val="0"/>
              <w:spacing w:line="240" w:lineRule="auto"/>
              <w:jc w:val="center"/>
              <w:rPr>
                <w:color w:val="auto"/>
              </w:rPr>
            </w:pPr>
            <w:r>
              <w:rPr>
                <w:color w:val="auto"/>
              </w:rPr>
              <w:t>总投资（万元）</w:t>
            </w:r>
          </w:p>
        </w:tc>
        <w:tc>
          <w:tcPr>
            <w:tcW w:w="2194" w:type="dxa"/>
            <w:vAlign w:val="center"/>
          </w:tcPr>
          <w:p w14:paraId="0D522ABB">
            <w:pPr>
              <w:adjustRightInd w:val="0"/>
              <w:snapToGrid w:val="0"/>
              <w:spacing w:line="240" w:lineRule="auto"/>
              <w:jc w:val="center"/>
              <w:rPr>
                <w:color w:val="auto"/>
              </w:rPr>
            </w:pPr>
            <w:r>
              <w:rPr>
                <w:rFonts w:hint="eastAsia"/>
                <w:color w:val="auto"/>
              </w:rPr>
              <w:t>2000.00</w:t>
            </w:r>
          </w:p>
        </w:tc>
        <w:tc>
          <w:tcPr>
            <w:tcW w:w="1940" w:type="dxa"/>
            <w:tcMar>
              <w:top w:w="16" w:type="dxa"/>
              <w:left w:w="16" w:type="dxa"/>
              <w:right w:w="16" w:type="dxa"/>
            </w:tcMar>
            <w:vAlign w:val="center"/>
          </w:tcPr>
          <w:p w14:paraId="78EAD026">
            <w:pPr>
              <w:adjustRightInd w:val="0"/>
              <w:snapToGrid w:val="0"/>
              <w:spacing w:line="240" w:lineRule="auto"/>
              <w:jc w:val="center"/>
              <w:rPr>
                <w:color w:val="auto"/>
              </w:rPr>
            </w:pPr>
            <w:r>
              <w:rPr>
                <w:color w:val="auto"/>
              </w:rPr>
              <w:t>环保投资（万元）</w:t>
            </w:r>
          </w:p>
        </w:tc>
        <w:tc>
          <w:tcPr>
            <w:tcW w:w="2670" w:type="dxa"/>
            <w:vAlign w:val="center"/>
          </w:tcPr>
          <w:p w14:paraId="245D0A5A">
            <w:pPr>
              <w:adjustRightInd w:val="0"/>
              <w:snapToGrid w:val="0"/>
              <w:spacing w:line="240" w:lineRule="auto"/>
              <w:jc w:val="center"/>
              <w:rPr>
                <w:rFonts w:hint="default" w:eastAsia="宋体"/>
                <w:color w:val="auto"/>
                <w:lang w:val="en-US" w:eastAsia="zh-CN"/>
              </w:rPr>
            </w:pPr>
            <w:r>
              <w:rPr>
                <w:rFonts w:hint="eastAsia"/>
                <w:color w:val="auto"/>
                <w:u w:val="single"/>
                <w:lang w:val="en-US" w:eastAsia="zh-CN"/>
              </w:rPr>
              <w:t>54</w:t>
            </w:r>
          </w:p>
        </w:tc>
      </w:tr>
      <w:tr w14:paraId="38F1A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5" w:type="dxa"/>
            <w:gridSpan w:val="2"/>
            <w:tcMar>
              <w:top w:w="16" w:type="dxa"/>
              <w:left w:w="16" w:type="dxa"/>
              <w:right w:w="16" w:type="dxa"/>
            </w:tcMar>
            <w:vAlign w:val="center"/>
          </w:tcPr>
          <w:p w14:paraId="20986495">
            <w:pPr>
              <w:adjustRightInd w:val="0"/>
              <w:snapToGrid w:val="0"/>
              <w:spacing w:line="240" w:lineRule="auto"/>
              <w:jc w:val="center"/>
              <w:rPr>
                <w:color w:val="auto"/>
              </w:rPr>
            </w:pPr>
            <w:r>
              <w:rPr>
                <w:color w:val="auto"/>
              </w:rPr>
              <w:t>环保投资占比（%）</w:t>
            </w:r>
          </w:p>
        </w:tc>
        <w:tc>
          <w:tcPr>
            <w:tcW w:w="2194" w:type="dxa"/>
            <w:vAlign w:val="center"/>
          </w:tcPr>
          <w:p w14:paraId="2BEC362F">
            <w:pPr>
              <w:adjustRightInd w:val="0"/>
              <w:snapToGrid w:val="0"/>
              <w:spacing w:line="240" w:lineRule="auto"/>
              <w:jc w:val="center"/>
              <w:rPr>
                <w:rFonts w:hint="default" w:eastAsia="宋体"/>
                <w:color w:val="auto"/>
                <w:lang w:val="en-US" w:eastAsia="zh-CN"/>
              </w:rPr>
            </w:pPr>
            <w:r>
              <w:rPr>
                <w:rFonts w:hint="eastAsia"/>
                <w:color w:val="auto"/>
                <w:u w:val="single"/>
                <w:lang w:val="en-US" w:eastAsia="zh-CN"/>
              </w:rPr>
              <w:t>2.7</w:t>
            </w:r>
          </w:p>
        </w:tc>
        <w:tc>
          <w:tcPr>
            <w:tcW w:w="1940" w:type="dxa"/>
            <w:tcMar>
              <w:top w:w="16" w:type="dxa"/>
              <w:left w:w="16" w:type="dxa"/>
              <w:right w:w="16" w:type="dxa"/>
            </w:tcMar>
            <w:vAlign w:val="center"/>
          </w:tcPr>
          <w:p w14:paraId="0D82C0E2">
            <w:pPr>
              <w:adjustRightInd w:val="0"/>
              <w:snapToGrid w:val="0"/>
              <w:spacing w:line="240" w:lineRule="auto"/>
              <w:jc w:val="center"/>
              <w:rPr>
                <w:color w:val="auto"/>
              </w:rPr>
            </w:pPr>
            <w:r>
              <w:rPr>
                <w:color w:val="auto"/>
              </w:rPr>
              <w:t>施工工期</w:t>
            </w:r>
          </w:p>
        </w:tc>
        <w:tc>
          <w:tcPr>
            <w:tcW w:w="2670" w:type="dxa"/>
            <w:vAlign w:val="center"/>
          </w:tcPr>
          <w:p w14:paraId="456B8B78">
            <w:pPr>
              <w:adjustRightInd w:val="0"/>
              <w:snapToGrid w:val="0"/>
              <w:spacing w:line="240" w:lineRule="auto"/>
              <w:jc w:val="center"/>
              <w:rPr>
                <w:color w:val="auto"/>
              </w:rPr>
            </w:pPr>
            <w:r>
              <w:rPr>
                <w:color w:val="auto"/>
              </w:rPr>
              <w:t>1</w:t>
            </w:r>
            <w:r>
              <w:rPr>
                <w:rFonts w:hint="eastAsia"/>
                <w:color w:val="auto"/>
              </w:rPr>
              <w:t>个月</w:t>
            </w:r>
          </w:p>
        </w:tc>
      </w:tr>
      <w:tr w14:paraId="24004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5" w:type="dxa"/>
            <w:gridSpan w:val="2"/>
            <w:tcMar>
              <w:top w:w="16" w:type="dxa"/>
              <w:left w:w="16" w:type="dxa"/>
              <w:right w:w="16" w:type="dxa"/>
            </w:tcMar>
            <w:vAlign w:val="center"/>
          </w:tcPr>
          <w:p w14:paraId="188A07D2">
            <w:pPr>
              <w:adjustRightInd w:val="0"/>
              <w:snapToGrid w:val="0"/>
              <w:spacing w:line="240" w:lineRule="auto"/>
              <w:jc w:val="center"/>
              <w:rPr>
                <w:color w:val="auto"/>
              </w:rPr>
            </w:pPr>
            <w:r>
              <w:rPr>
                <w:color w:val="auto"/>
              </w:rPr>
              <w:t>是否开工建设</w:t>
            </w:r>
          </w:p>
        </w:tc>
        <w:tc>
          <w:tcPr>
            <w:tcW w:w="2194" w:type="dxa"/>
            <w:vAlign w:val="center"/>
          </w:tcPr>
          <w:p w14:paraId="51F22579">
            <w:pPr>
              <w:adjustRightInd w:val="0"/>
              <w:snapToGrid w:val="0"/>
              <w:spacing w:line="240" w:lineRule="auto"/>
              <w:rPr>
                <w:color w:val="auto"/>
              </w:rPr>
            </w:pPr>
            <w:r>
              <w:rPr>
                <w:color w:val="auto"/>
              </w:rPr>
              <w:sym w:font="Wingdings" w:char="00FE"/>
            </w:r>
            <w:r>
              <w:rPr>
                <w:color w:val="auto"/>
              </w:rPr>
              <w:t>否</w:t>
            </w:r>
          </w:p>
          <w:p w14:paraId="1FAFA51C">
            <w:pPr>
              <w:adjustRightInd w:val="0"/>
              <w:snapToGrid w:val="0"/>
              <w:spacing w:line="240" w:lineRule="auto"/>
              <w:rPr>
                <w:color w:val="auto"/>
              </w:rPr>
            </w:pPr>
            <w:r>
              <w:rPr>
                <w:color w:val="auto"/>
              </w:rPr>
              <w:sym w:font="Wingdings" w:char="00A8"/>
            </w:r>
            <w:r>
              <w:rPr>
                <w:color w:val="auto"/>
              </w:rPr>
              <w:t xml:space="preserve"> 是：       </w:t>
            </w:r>
          </w:p>
        </w:tc>
        <w:tc>
          <w:tcPr>
            <w:tcW w:w="1940" w:type="dxa"/>
            <w:tcMar>
              <w:top w:w="16" w:type="dxa"/>
              <w:left w:w="16" w:type="dxa"/>
              <w:right w:w="16" w:type="dxa"/>
            </w:tcMar>
            <w:vAlign w:val="center"/>
          </w:tcPr>
          <w:p w14:paraId="7C72E2ED">
            <w:pPr>
              <w:adjustRightInd w:val="0"/>
              <w:snapToGrid w:val="0"/>
              <w:spacing w:line="240" w:lineRule="auto"/>
              <w:jc w:val="center"/>
              <w:rPr>
                <w:color w:val="auto"/>
                <w:spacing w:val="-6"/>
              </w:rPr>
            </w:pPr>
            <w:r>
              <w:rPr>
                <w:color w:val="auto"/>
                <w:spacing w:val="-6"/>
              </w:rPr>
              <w:t>用地（用海）</w:t>
            </w:r>
          </w:p>
          <w:p w14:paraId="13FC20E3">
            <w:pPr>
              <w:adjustRightInd w:val="0"/>
              <w:snapToGrid w:val="0"/>
              <w:spacing w:line="240" w:lineRule="auto"/>
              <w:jc w:val="center"/>
              <w:rPr>
                <w:color w:val="auto"/>
              </w:rPr>
            </w:pPr>
            <w:r>
              <w:rPr>
                <w:color w:val="auto"/>
                <w:spacing w:val="-6"/>
              </w:rPr>
              <w:t>面积（m</w:t>
            </w:r>
            <w:r>
              <w:rPr>
                <w:color w:val="auto"/>
                <w:spacing w:val="-6"/>
                <w:vertAlign w:val="superscript"/>
              </w:rPr>
              <w:t>2</w:t>
            </w:r>
            <w:r>
              <w:rPr>
                <w:color w:val="auto"/>
                <w:spacing w:val="-6"/>
              </w:rPr>
              <w:t>）</w:t>
            </w:r>
          </w:p>
        </w:tc>
        <w:tc>
          <w:tcPr>
            <w:tcW w:w="2670" w:type="dxa"/>
            <w:vAlign w:val="center"/>
          </w:tcPr>
          <w:p w14:paraId="3F740489">
            <w:pPr>
              <w:adjustRightInd w:val="0"/>
              <w:snapToGrid w:val="0"/>
              <w:spacing w:line="240" w:lineRule="auto"/>
              <w:jc w:val="center"/>
              <w:rPr>
                <w:color w:val="auto"/>
              </w:rPr>
            </w:pPr>
            <w:r>
              <w:rPr>
                <w:rFonts w:hint="eastAsia"/>
                <w:color w:val="auto"/>
              </w:rPr>
              <w:t>1353.75</w:t>
            </w:r>
          </w:p>
        </w:tc>
      </w:tr>
      <w:tr w14:paraId="0A964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75" w:type="dxa"/>
            <w:gridSpan w:val="2"/>
            <w:vAlign w:val="center"/>
          </w:tcPr>
          <w:p w14:paraId="715763AA">
            <w:pPr>
              <w:autoSpaceDE w:val="0"/>
              <w:autoSpaceDN w:val="0"/>
              <w:adjustRightInd w:val="0"/>
              <w:snapToGrid w:val="0"/>
              <w:spacing w:line="240" w:lineRule="auto"/>
              <w:jc w:val="center"/>
              <w:rPr>
                <w:color w:val="auto"/>
                <w:kern w:val="0"/>
              </w:rPr>
            </w:pPr>
            <w:r>
              <w:rPr>
                <w:color w:val="auto"/>
                <w:kern w:val="0"/>
              </w:rPr>
              <w:t>专项评价设置情况</w:t>
            </w:r>
          </w:p>
        </w:tc>
        <w:tc>
          <w:tcPr>
            <w:tcW w:w="6804" w:type="dxa"/>
            <w:gridSpan w:val="3"/>
            <w:vAlign w:val="center"/>
          </w:tcPr>
          <w:p w14:paraId="665014B8">
            <w:pPr>
              <w:autoSpaceDE w:val="0"/>
              <w:autoSpaceDN w:val="0"/>
              <w:adjustRightInd w:val="0"/>
              <w:snapToGrid w:val="0"/>
              <w:spacing w:line="240" w:lineRule="auto"/>
              <w:jc w:val="center"/>
              <w:rPr>
                <w:color w:val="auto"/>
                <w:kern w:val="0"/>
              </w:rPr>
            </w:pPr>
            <w:r>
              <w:rPr>
                <w:color w:val="auto"/>
                <w:kern w:val="0"/>
              </w:rPr>
              <w:t>无</w:t>
            </w:r>
          </w:p>
        </w:tc>
      </w:tr>
      <w:tr w14:paraId="3B9E9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7" w:type="dxa"/>
            <w:vAlign w:val="center"/>
          </w:tcPr>
          <w:p w14:paraId="41DFE1E3">
            <w:pPr>
              <w:autoSpaceDE w:val="0"/>
              <w:autoSpaceDN w:val="0"/>
              <w:adjustRightInd w:val="0"/>
              <w:snapToGrid w:val="0"/>
              <w:spacing w:line="240" w:lineRule="auto"/>
              <w:jc w:val="center"/>
              <w:rPr>
                <w:color w:val="auto"/>
              </w:rPr>
            </w:pPr>
            <w:r>
              <w:rPr>
                <w:color w:val="auto"/>
              </w:rPr>
              <w:t>规划</w:t>
            </w:r>
          </w:p>
          <w:p w14:paraId="080C5735">
            <w:pPr>
              <w:autoSpaceDE w:val="0"/>
              <w:autoSpaceDN w:val="0"/>
              <w:adjustRightInd w:val="0"/>
              <w:snapToGrid w:val="0"/>
              <w:spacing w:line="240" w:lineRule="auto"/>
              <w:jc w:val="center"/>
              <w:rPr>
                <w:color w:val="auto"/>
                <w:kern w:val="0"/>
              </w:rPr>
            </w:pPr>
            <w:r>
              <w:rPr>
                <w:color w:val="auto"/>
              </w:rPr>
              <w:t>情况</w:t>
            </w:r>
          </w:p>
        </w:tc>
        <w:tc>
          <w:tcPr>
            <w:tcW w:w="8222" w:type="dxa"/>
            <w:gridSpan w:val="4"/>
            <w:vAlign w:val="center"/>
          </w:tcPr>
          <w:p w14:paraId="124339BB">
            <w:pPr>
              <w:autoSpaceDE w:val="0"/>
              <w:autoSpaceDN w:val="0"/>
              <w:adjustRightInd w:val="0"/>
              <w:snapToGrid w:val="0"/>
              <w:rPr>
                <w:color w:val="auto"/>
                <w:kern w:val="0"/>
              </w:rPr>
            </w:pPr>
            <w:r>
              <w:rPr>
                <w:color w:val="auto"/>
                <w:kern w:val="0"/>
              </w:rPr>
              <w:t>（1）规划名称：《中国-马来西亚钦州产业园区总体规划修编</w:t>
            </w:r>
            <w:r>
              <w:rPr>
                <w:rFonts w:hint="eastAsia"/>
                <w:color w:val="auto"/>
                <w:kern w:val="0"/>
              </w:rPr>
              <w:t>（2</w:t>
            </w:r>
            <w:r>
              <w:rPr>
                <w:color w:val="auto"/>
                <w:kern w:val="0"/>
              </w:rPr>
              <w:t>015-2030</w:t>
            </w:r>
            <w:r>
              <w:rPr>
                <w:rFonts w:hint="eastAsia"/>
                <w:color w:val="auto"/>
                <w:kern w:val="0"/>
              </w:rPr>
              <w:t>）</w:t>
            </w:r>
            <w:r>
              <w:rPr>
                <w:color w:val="auto"/>
                <w:kern w:val="0"/>
              </w:rPr>
              <w:t>》</w:t>
            </w:r>
            <w:r>
              <w:rPr>
                <w:rFonts w:hint="eastAsia"/>
                <w:color w:val="auto"/>
                <w:kern w:val="0"/>
              </w:rPr>
              <w:t>；</w:t>
            </w:r>
          </w:p>
          <w:p w14:paraId="7C0AB73D">
            <w:pPr>
              <w:autoSpaceDE w:val="0"/>
              <w:autoSpaceDN w:val="0"/>
              <w:adjustRightInd w:val="0"/>
              <w:snapToGrid w:val="0"/>
              <w:rPr>
                <w:color w:val="auto"/>
                <w:kern w:val="0"/>
              </w:rPr>
            </w:pPr>
            <w:r>
              <w:rPr>
                <w:color w:val="auto"/>
                <w:kern w:val="0"/>
              </w:rPr>
              <w:t>（2）</w:t>
            </w:r>
            <w:r>
              <w:rPr>
                <w:rFonts w:hint="eastAsia"/>
                <w:color w:val="auto"/>
                <w:kern w:val="0"/>
              </w:rPr>
              <w:t>规划</w:t>
            </w:r>
            <w:r>
              <w:rPr>
                <w:color w:val="auto"/>
                <w:kern w:val="0"/>
              </w:rPr>
              <w:t>审批机关：广西壮族自治区人民政府</w:t>
            </w:r>
          </w:p>
          <w:p w14:paraId="4EE90106">
            <w:pPr>
              <w:autoSpaceDE w:val="0"/>
              <w:autoSpaceDN w:val="0"/>
              <w:adjustRightInd w:val="0"/>
              <w:snapToGrid w:val="0"/>
              <w:rPr>
                <w:color w:val="auto"/>
              </w:rPr>
            </w:pPr>
            <w:r>
              <w:rPr>
                <w:rFonts w:hint="eastAsia"/>
                <w:color w:val="auto"/>
                <w:kern w:val="0"/>
              </w:rPr>
              <w:t>（3）审查文件名称及文号：《广西壮族自治区人民政府关于中国-马来西亚钦州产业园区总体规划修编的批复》（桂政函</w:t>
            </w:r>
            <w:r>
              <w:rPr>
                <w:rFonts w:hint="eastAsia"/>
                <w:color w:val="auto"/>
                <w:kern w:val="0"/>
                <w:lang w:eastAsia="zh-CN"/>
              </w:rPr>
              <w:t>〔2018〕12号</w:t>
            </w:r>
            <w:r>
              <w:rPr>
                <w:rFonts w:hint="eastAsia"/>
                <w:color w:val="auto"/>
                <w:kern w:val="0"/>
              </w:rPr>
              <w:t>）。</w:t>
            </w:r>
          </w:p>
        </w:tc>
      </w:tr>
      <w:tr w14:paraId="0BA64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7" w:type="dxa"/>
            <w:vAlign w:val="center"/>
          </w:tcPr>
          <w:p w14:paraId="0BE29CB9">
            <w:pPr>
              <w:adjustRightInd w:val="0"/>
              <w:snapToGrid w:val="0"/>
              <w:spacing w:line="240" w:lineRule="auto"/>
              <w:jc w:val="center"/>
              <w:rPr>
                <w:color w:val="auto"/>
                <w:kern w:val="0"/>
              </w:rPr>
            </w:pPr>
            <w:r>
              <w:rPr>
                <w:color w:val="auto"/>
              </w:rPr>
              <w:t>规划环境影响评价情况</w:t>
            </w:r>
          </w:p>
        </w:tc>
        <w:tc>
          <w:tcPr>
            <w:tcW w:w="8222" w:type="dxa"/>
            <w:gridSpan w:val="4"/>
            <w:vAlign w:val="center"/>
          </w:tcPr>
          <w:p w14:paraId="716B4C2D">
            <w:pPr>
              <w:autoSpaceDE w:val="0"/>
              <w:autoSpaceDN w:val="0"/>
              <w:adjustRightInd w:val="0"/>
              <w:snapToGrid w:val="0"/>
              <w:rPr>
                <w:color w:val="auto"/>
                <w:kern w:val="0"/>
              </w:rPr>
            </w:pPr>
            <w:r>
              <w:rPr>
                <w:rFonts w:hint="eastAsia"/>
                <w:color w:val="auto"/>
                <w:kern w:val="0"/>
              </w:rPr>
              <w:t>（1）规划环境影响评价文件名称：《中国-马来西亚钦州产业园区总体规划修编环境影响报告书》</w:t>
            </w:r>
          </w:p>
          <w:p w14:paraId="4C498B42">
            <w:pPr>
              <w:autoSpaceDE w:val="0"/>
              <w:autoSpaceDN w:val="0"/>
              <w:adjustRightInd w:val="0"/>
              <w:snapToGrid w:val="0"/>
              <w:rPr>
                <w:color w:val="auto"/>
                <w:kern w:val="0"/>
              </w:rPr>
            </w:pPr>
            <w:r>
              <w:rPr>
                <w:rFonts w:hint="eastAsia"/>
                <w:color w:val="auto"/>
                <w:kern w:val="0"/>
              </w:rPr>
              <w:t>（2）召集审查机关：广西壮族自治区环境保护厅</w:t>
            </w:r>
          </w:p>
          <w:p w14:paraId="454452A7">
            <w:pPr>
              <w:autoSpaceDE w:val="0"/>
              <w:autoSpaceDN w:val="0"/>
              <w:adjustRightInd w:val="0"/>
              <w:snapToGrid w:val="0"/>
              <w:rPr>
                <w:color w:val="auto"/>
                <w:kern w:val="0"/>
              </w:rPr>
            </w:pPr>
            <w:r>
              <w:rPr>
                <w:rFonts w:hint="eastAsia"/>
                <w:color w:val="auto"/>
                <w:kern w:val="0"/>
              </w:rPr>
              <w:t>（3）审查文件名称及文号：《广西壮族自治区环境保护厅关于印发中国-马来西亚钦州产业园区总体规划修编环境影响报告书审查意见的函》（桂环函</w:t>
            </w:r>
            <w:r>
              <w:rPr>
                <w:rFonts w:hint="eastAsia"/>
                <w:color w:val="auto"/>
                <w:kern w:val="0"/>
                <w:lang w:eastAsia="zh-CN"/>
              </w:rPr>
              <w:t>〔2016〕2132号</w:t>
            </w:r>
            <w:r>
              <w:rPr>
                <w:rFonts w:hint="eastAsia"/>
                <w:color w:val="auto"/>
                <w:kern w:val="0"/>
              </w:rPr>
              <w:t>）</w:t>
            </w:r>
          </w:p>
        </w:tc>
      </w:tr>
      <w:tr w14:paraId="0ED82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7" w:type="dxa"/>
            <w:vAlign w:val="center"/>
          </w:tcPr>
          <w:p w14:paraId="296F5B3D">
            <w:pPr>
              <w:autoSpaceDE w:val="0"/>
              <w:autoSpaceDN w:val="0"/>
              <w:adjustRightInd w:val="0"/>
              <w:snapToGrid w:val="0"/>
              <w:spacing w:line="240" w:lineRule="auto"/>
              <w:jc w:val="center"/>
              <w:rPr>
                <w:color w:val="auto"/>
                <w:kern w:val="0"/>
              </w:rPr>
            </w:pPr>
            <w:r>
              <w:rPr>
                <w:color w:val="auto"/>
                <w:kern w:val="0"/>
              </w:rPr>
              <w:t>规划及规划环境影响评价符合性分析</w:t>
            </w:r>
          </w:p>
        </w:tc>
        <w:tc>
          <w:tcPr>
            <w:tcW w:w="8222" w:type="dxa"/>
            <w:gridSpan w:val="4"/>
            <w:vAlign w:val="center"/>
          </w:tcPr>
          <w:p w14:paraId="4BF484C1">
            <w:pPr>
              <w:adjustRightInd w:val="0"/>
              <w:snapToGrid w:val="0"/>
              <w:jc w:val="left"/>
              <w:rPr>
                <w:color w:val="auto"/>
              </w:rPr>
            </w:pPr>
            <w:r>
              <w:rPr>
                <w:rFonts w:hint="eastAsia"/>
                <w:color w:val="auto"/>
              </w:rPr>
              <w:t>1.项目与《</w:t>
            </w:r>
            <w:r>
              <w:rPr>
                <w:color w:val="auto"/>
                <w:kern w:val="0"/>
              </w:rPr>
              <w:t>中国-马来西亚钦州产业园区总体规划修编</w:t>
            </w:r>
            <w:r>
              <w:rPr>
                <w:rFonts w:hint="eastAsia"/>
                <w:color w:val="auto"/>
                <w:kern w:val="0"/>
              </w:rPr>
              <w:t>（2</w:t>
            </w:r>
            <w:r>
              <w:rPr>
                <w:color w:val="auto"/>
                <w:kern w:val="0"/>
              </w:rPr>
              <w:t>015-2030</w:t>
            </w:r>
            <w:r>
              <w:rPr>
                <w:rFonts w:hint="eastAsia"/>
                <w:color w:val="auto"/>
                <w:kern w:val="0"/>
              </w:rPr>
              <w:t>）</w:t>
            </w:r>
            <w:r>
              <w:rPr>
                <w:rFonts w:hint="eastAsia"/>
                <w:color w:val="auto"/>
              </w:rPr>
              <w:t>》的相符性分析</w:t>
            </w:r>
          </w:p>
          <w:p w14:paraId="4E799893">
            <w:pPr>
              <w:pStyle w:val="5"/>
              <w:ind w:firstLine="480"/>
              <w:rPr>
                <w:color w:val="auto"/>
              </w:rPr>
            </w:pPr>
            <w:r>
              <w:rPr>
                <w:rFonts w:ascii="Times New Roman" w:hAnsi="Times New Roman"/>
                <w:color w:val="auto"/>
                <w:kern w:val="0"/>
                <w:sz w:val="24"/>
              </w:rPr>
              <w:t>为了把握中国—东盟自由贸易区升级的合作机遇，贯彻落实“一带一路”及自由贸易区等国家战略，促进中国与马来西亚的深化合作，有效指导中国-马来西亚钦州产业园区的开发建设，园区对原有规划进行修编，修编后，中国-马来西亚钦州产业园区规划范围为南至环北大道，东至六钦高速连接线，西至现有高压走廊附近，北至现状钦犀公路，调整后规划范围约55平方公里。</w:t>
            </w:r>
          </w:p>
          <w:p w14:paraId="7E265F5A">
            <w:pPr>
              <w:autoSpaceDE w:val="0"/>
              <w:autoSpaceDN w:val="0"/>
              <w:adjustRightInd w:val="0"/>
              <w:snapToGrid w:val="0"/>
              <w:ind w:firstLine="480" w:firstLineChars="200"/>
              <w:jc w:val="left"/>
              <w:rPr>
                <w:color w:val="auto"/>
                <w:kern w:val="0"/>
              </w:rPr>
            </w:pPr>
            <w:r>
              <w:rPr>
                <w:color w:val="auto"/>
                <w:kern w:val="0"/>
              </w:rPr>
              <w:t>园区的产业定位为：园区产业发展以高端装备制造业、生物医药产业、新能源新材料与节能环保产业、互联网与新一代信息技术产业、现代服务业、海洋产业、传统优势产业等为主，详见下表1-1。</w:t>
            </w:r>
          </w:p>
          <w:p w14:paraId="2DB10484">
            <w:pPr>
              <w:adjustRightInd w:val="0"/>
              <w:snapToGrid w:val="0"/>
              <w:spacing w:line="240" w:lineRule="auto"/>
              <w:jc w:val="center"/>
              <w:rPr>
                <w:b/>
                <w:bCs/>
                <w:color w:val="auto"/>
                <w:sz w:val="21"/>
                <w:szCs w:val="21"/>
              </w:rPr>
            </w:pPr>
            <w:r>
              <w:rPr>
                <w:b/>
                <w:bCs/>
                <w:color w:val="auto"/>
                <w:sz w:val="21"/>
                <w:szCs w:val="21"/>
              </w:rPr>
              <w:t>表1-1  中国-马来西亚钦州产业园区产业定位</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788"/>
              <w:gridCol w:w="5292"/>
            </w:tblGrid>
            <w:tr w14:paraId="24F8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Align w:val="center"/>
                </w:tcPr>
                <w:p w14:paraId="4C8F49DD">
                  <w:pPr>
                    <w:autoSpaceDE w:val="0"/>
                    <w:autoSpaceDN w:val="0"/>
                    <w:adjustRightInd w:val="0"/>
                    <w:snapToGrid w:val="0"/>
                    <w:spacing w:line="240" w:lineRule="auto"/>
                    <w:jc w:val="center"/>
                    <w:rPr>
                      <w:b/>
                      <w:color w:val="auto"/>
                      <w:kern w:val="0"/>
                      <w:sz w:val="21"/>
                      <w:szCs w:val="21"/>
                    </w:rPr>
                  </w:pPr>
                  <w:r>
                    <w:rPr>
                      <w:b/>
                      <w:color w:val="auto"/>
                      <w:kern w:val="0"/>
                      <w:sz w:val="21"/>
                      <w:szCs w:val="21"/>
                    </w:rPr>
                    <w:t>序号</w:t>
                  </w:r>
                </w:p>
              </w:tc>
              <w:tc>
                <w:tcPr>
                  <w:tcW w:w="1118" w:type="pct"/>
                  <w:vAlign w:val="center"/>
                </w:tcPr>
                <w:p w14:paraId="382AA3B4">
                  <w:pPr>
                    <w:autoSpaceDE w:val="0"/>
                    <w:autoSpaceDN w:val="0"/>
                    <w:adjustRightInd w:val="0"/>
                    <w:snapToGrid w:val="0"/>
                    <w:spacing w:line="240" w:lineRule="auto"/>
                    <w:jc w:val="center"/>
                    <w:rPr>
                      <w:b/>
                      <w:color w:val="auto"/>
                      <w:kern w:val="0"/>
                      <w:sz w:val="21"/>
                      <w:szCs w:val="21"/>
                    </w:rPr>
                  </w:pPr>
                  <w:r>
                    <w:rPr>
                      <w:b/>
                      <w:color w:val="auto"/>
                      <w:kern w:val="0"/>
                      <w:sz w:val="21"/>
                      <w:szCs w:val="21"/>
                    </w:rPr>
                    <w:t>产业定位</w:t>
                  </w:r>
                </w:p>
              </w:tc>
              <w:tc>
                <w:tcPr>
                  <w:tcW w:w="3309" w:type="pct"/>
                  <w:vAlign w:val="center"/>
                </w:tcPr>
                <w:p w14:paraId="24D290B5">
                  <w:pPr>
                    <w:autoSpaceDE w:val="0"/>
                    <w:autoSpaceDN w:val="0"/>
                    <w:adjustRightInd w:val="0"/>
                    <w:snapToGrid w:val="0"/>
                    <w:spacing w:line="240" w:lineRule="auto"/>
                    <w:jc w:val="center"/>
                    <w:rPr>
                      <w:b/>
                      <w:color w:val="auto"/>
                      <w:kern w:val="0"/>
                      <w:sz w:val="21"/>
                      <w:szCs w:val="21"/>
                    </w:rPr>
                  </w:pPr>
                  <w:r>
                    <w:rPr>
                      <w:b/>
                      <w:color w:val="auto"/>
                      <w:kern w:val="0"/>
                      <w:sz w:val="21"/>
                      <w:szCs w:val="21"/>
                    </w:rPr>
                    <w:t>内容</w:t>
                  </w:r>
                </w:p>
              </w:tc>
            </w:tr>
            <w:tr w14:paraId="7D0E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Align w:val="center"/>
                </w:tcPr>
                <w:p w14:paraId="0E1F28F6">
                  <w:pPr>
                    <w:autoSpaceDE w:val="0"/>
                    <w:autoSpaceDN w:val="0"/>
                    <w:adjustRightInd w:val="0"/>
                    <w:snapToGrid w:val="0"/>
                    <w:spacing w:line="240" w:lineRule="auto"/>
                    <w:jc w:val="center"/>
                    <w:rPr>
                      <w:color w:val="auto"/>
                      <w:kern w:val="0"/>
                      <w:sz w:val="21"/>
                      <w:szCs w:val="21"/>
                    </w:rPr>
                  </w:pPr>
                  <w:r>
                    <w:rPr>
                      <w:color w:val="auto"/>
                      <w:kern w:val="0"/>
                      <w:sz w:val="21"/>
                      <w:szCs w:val="21"/>
                    </w:rPr>
                    <w:t>1</w:t>
                  </w:r>
                </w:p>
              </w:tc>
              <w:tc>
                <w:tcPr>
                  <w:tcW w:w="1118" w:type="pct"/>
                  <w:vAlign w:val="center"/>
                </w:tcPr>
                <w:p w14:paraId="666EAD46">
                  <w:pPr>
                    <w:autoSpaceDE w:val="0"/>
                    <w:autoSpaceDN w:val="0"/>
                    <w:adjustRightInd w:val="0"/>
                    <w:snapToGrid w:val="0"/>
                    <w:spacing w:line="240" w:lineRule="auto"/>
                    <w:jc w:val="center"/>
                    <w:rPr>
                      <w:color w:val="auto"/>
                      <w:kern w:val="0"/>
                      <w:sz w:val="21"/>
                      <w:szCs w:val="21"/>
                    </w:rPr>
                  </w:pPr>
                  <w:r>
                    <w:rPr>
                      <w:color w:val="auto"/>
                      <w:kern w:val="0"/>
                      <w:sz w:val="21"/>
                      <w:szCs w:val="21"/>
                    </w:rPr>
                    <w:t>高端装备制造业</w:t>
                  </w:r>
                </w:p>
              </w:tc>
              <w:tc>
                <w:tcPr>
                  <w:tcW w:w="3309" w:type="pct"/>
                  <w:vAlign w:val="center"/>
                </w:tcPr>
                <w:p w14:paraId="70F85D37">
                  <w:pPr>
                    <w:autoSpaceDE w:val="0"/>
                    <w:autoSpaceDN w:val="0"/>
                    <w:adjustRightInd w:val="0"/>
                    <w:snapToGrid w:val="0"/>
                    <w:spacing w:line="240" w:lineRule="auto"/>
                    <w:jc w:val="left"/>
                    <w:rPr>
                      <w:color w:val="auto"/>
                      <w:kern w:val="0"/>
                      <w:sz w:val="21"/>
                      <w:szCs w:val="21"/>
                    </w:rPr>
                  </w:pPr>
                  <w:r>
                    <w:rPr>
                      <w:color w:val="auto"/>
                      <w:kern w:val="0"/>
                      <w:sz w:val="21"/>
                      <w:szCs w:val="21"/>
                    </w:rPr>
                    <w:t>包括3D打印及智能制造，海洋工程，专用和通用设备，医疗设备等</w:t>
                  </w:r>
                </w:p>
              </w:tc>
            </w:tr>
            <w:tr w14:paraId="1622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Align w:val="center"/>
                </w:tcPr>
                <w:p w14:paraId="0A092372">
                  <w:pPr>
                    <w:autoSpaceDE w:val="0"/>
                    <w:autoSpaceDN w:val="0"/>
                    <w:adjustRightInd w:val="0"/>
                    <w:snapToGrid w:val="0"/>
                    <w:spacing w:line="240" w:lineRule="auto"/>
                    <w:jc w:val="center"/>
                    <w:rPr>
                      <w:color w:val="auto"/>
                      <w:kern w:val="0"/>
                      <w:sz w:val="21"/>
                      <w:szCs w:val="21"/>
                    </w:rPr>
                  </w:pPr>
                  <w:r>
                    <w:rPr>
                      <w:color w:val="auto"/>
                      <w:kern w:val="0"/>
                      <w:sz w:val="21"/>
                      <w:szCs w:val="21"/>
                    </w:rPr>
                    <w:t>2</w:t>
                  </w:r>
                </w:p>
              </w:tc>
              <w:tc>
                <w:tcPr>
                  <w:tcW w:w="1118" w:type="pct"/>
                  <w:vAlign w:val="center"/>
                </w:tcPr>
                <w:p w14:paraId="41C6CC2E">
                  <w:pPr>
                    <w:autoSpaceDE w:val="0"/>
                    <w:autoSpaceDN w:val="0"/>
                    <w:adjustRightInd w:val="0"/>
                    <w:snapToGrid w:val="0"/>
                    <w:spacing w:line="240" w:lineRule="auto"/>
                    <w:jc w:val="center"/>
                    <w:rPr>
                      <w:color w:val="auto"/>
                      <w:kern w:val="0"/>
                      <w:sz w:val="21"/>
                      <w:szCs w:val="21"/>
                    </w:rPr>
                  </w:pPr>
                  <w:r>
                    <w:rPr>
                      <w:color w:val="auto"/>
                      <w:kern w:val="0"/>
                      <w:sz w:val="21"/>
                      <w:szCs w:val="21"/>
                    </w:rPr>
                    <w:t>生物医药产业</w:t>
                  </w:r>
                </w:p>
              </w:tc>
              <w:tc>
                <w:tcPr>
                  <w:tcW w:w="3309" w:type="pct"/>
                  <w:vAlign w:val="center"/>
                </w:tcPr>
                <w:p w14:paraId="718B1F62">
                  <w:pPr>
                    <w:autoSpaceDE w:val="0"/>
                    <w:autoSpaceDN w:val="0"/>
                    <w:adjustRightInd w:val="0"/>
                    <w:snapToGrid w:val="0"/>
                    <w:spacing w:line="240" w:lineRule="auto"/>
                    <w:jc w:val="left"/>
                    <w:rPr>
                      <w:color w:val="auto"/>
                      <w:kern w:val="0"/>
                      <w:sz w:val="21"/>
                      <w:szCs w:val="21"/>
                    </w:rPr>
                  </w:pPr>
                  <w:r>
                    <w:rPr>
                      <w:color w:val="auto"/>
                      <w:kern w:val="0"/>
                      <w:sz w:val="21"/>
                      <w:szCs w:val="21"/>
                    </w:rPr>
                    <w:t>包括植物药和天然药，大南药及现代中药，海洋生物制药等</w:t>
                  </w:r>
                </w:p>
              </w:tc>
            </w:tr>
            <w:tr w14:paraId="0D7A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Align w:val="center"/>
                </w:tcPr>
                <w:p w14:paraId="0A47C6AE">
                  <w:pPr>
                    <w:autoSpaceDE w:val="0"/>
                    <w:autoSpaceDN w:val="0"/>
                    <w:adjustRightInd w:val="0"/>
                    <w:snapToGrid w:val="0"/>
                    <w:spacing w:line="240" w:lineRule="auto"/>
                    <w:jc w:val="center"/>
                    <w:rPr>
                      <w:color w:val="auto"/>
                      <w:kern w:val="0"/>
                      <w:sz w:val="21"/>
                      <w:szCs w:val="21"/>
                    </w:rPr>
                  </w:pPr>
                  <w:r>
                    <w:rPr>
                      <w:color w:val="auto"/>
                      <w:kern w:val="0"/>
                      <w:sz w:val="21"/>
                      <w:szCs w:val="21"/>
                    </w:rPr>
                    <w:t>3</w:t>
                  </w:r>
                </w:p>
              </w:tc>
              <w:tc>
                <w:tcPr>
                  <w:tcW w:w="1118" w:type="pct"/>
                  <w:vAlign w:val="center"/>
                </w:tcPr>
                <w:p w14:paraId="57BE1230">
                  <w:pPr>
                    <w:autoSpaceDE w:val="0"/>
                    <w:autoSpaceDN w:val="0"/>
                    <w:adjustRightInd w:val="0"/>
                    <w:snapToGrid w:val="0"/>
                    <w:spacing w:line="240" w:lineRule="auto"/>
                    <w:jc w:val="center"/>
                    <w:rPr>
                      <w:color w:val="auto"/>
                      <w:kern w:val="0"/>
                      <w:sz w:val="21"/>
                      <w:szCs w:val="21"/>
                    </w:rPr>
                  </w:pPr>
                  <w:r>
                    <w:rPr>
                      <w:color w:val="auto"/>
                      <w:kern w:val="0"/>
                      <w:sz w:val="21"/>
                      <w:szCs w:val="21"/>
                    </w:rPr>
                    <w:t>新能源新材料与节能环保产业</w:t>
                  </w:r>
                </w:p>
              </w:tc>
              <w:tc>
                <w:tcPr>
                  <w:tcW w:w="3309" w:type="pct"/>
                  <w:vAlign w:val="center"/>
                </w:tcPr>
                <w:p w14:paraId="3689F624">
                  <w:pPr>
                    <w:autoSpaceDE w:val="0"/>
                    <w:autoSpaceDN w:val="0"/>
                    <w:adjustRightInd w:val="0"/>
                    <w:snapToGrid w:val="0"/>
                    <w:spacing w:line="240" w:lineRule="auto"/>
                    <w:jc w:val="left"/>
                    <w:rPr>
                      <w:color w:val="auto"/>
                      <w:kern w:val="0"/>
                      <w:sz w:val="21"/>
                      <w:szCs w:val="21"/>
                    </w:rPr>
                  </w:pPr>
                  <w:r>
                    <w:rPr>
                      <w:color w:val="auto"/>
                      <w:kern w:val="0"/>
                      <w:sz w:val="21"/>
                      <w:szCs w:val="21"/>
                    </w:rPr>
                    <w:t>包括光电产业，石墨烯薄膜，节能机电与节能照明等</w:t>
                  </w:r>
                </w:p>
              </w:tc>
            </w:tr>
            <w:tr w14:paraId="6B8A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Align w:val="center"/>
                </w:tcPr>
                <w:p w14:paraId="4FD5D0F8">
                  <w:pPr>
                    <w:autoSpaceDE w:val="0"/>
                    <w:autoSpaceDN w:val="0"/>
                    <w:adjustRightInd w:val="0"/>
                    <w:snapToGrid w:val="0"/>
                    <w:spacing w:line="240" w:lineRule="auto"/>
                    <w:jc w:val="center"/>
                    <w:rPr>
                      <w:color w:val="auto"/>
                      <w:kern w:val="0"/>
                      <w:sz w:val="21"/>
                      <w:szCs w:val="21"/>
                    </w:rPr>
                  </w:pPr>
                  <w:r>
                    <w:rPr>
                      <w:color w:val="auto"/>
                      <w:kern w:val="0"/>
                      <w:sz w:val="21"/>
                      <w:szCs w:val="21"/>
                    </w:rPr>
                    <w:t>4</w:t>
                  </w:r>
                </w:p>
              </w:tc>
              <w:tc>
                <w:tcPr>
                  <w:tcW w:w="1118" w:type="pct"/>
                  <w:vAlign w:val="center"/>
                </w:tcPr>
                <w:p w14:paraId="25039A28">
                  <w:pPr>
                    <w:autoSpaceDE w:val="0"/>
                    <w:autoSpaceDN w:val="0"/>
                    <w:adjustRightInd w:val="0"/>
                    <w:snapToGrid w:val="0"/>
                    <w:spacing w:line="240" w:lineRule="auto"/>
                    <w:jc w:val="center"/>
                    <w:rPr>
                      <w:color w:val="auto"/>
                      <w:kern w:val="0"/>
                      <w:sz w:val="21"/>
                      <w:szCs w:val="21"/>
                    </w:rPr>
                  </w:pPr>
                  <w:r>
                    <w:rPr>
                      <w:color w:val="auto"/>
                      <w:kern w:val="0"/>
                      <w:sz w:val="21"/>
                      <w:szCs w:val="21"/>
                    </w:rPr>
                    <w:t>互联网与新一代信息技术产业</w:t>
                  </w:r>
                </w:p>
              </w:tc>
              <w:tc>
                <w:tcPr>
                  <w:tcW w:w="3309" w:type="pct"/>
                  <w:vAlign w:val="center"/>
                </w:tcPr>
                <w:p w14:paraId="5D1DDE32">
                  <w:pPr>
                    <w:autoSpaceDE w:val="0"/>
                    <w:autoSpaceDN w:val="0"/>
                    <w:adjustRightInd w:val="0"/>
                    <w:snapToGrid w:val="0"/>
                    <w:spacing w:line="240" w:lineRule="auto"/>
                    <w:jc w:val="left"/>
                    <w:rPr>
                      <w:color w:val="auto"/>
                      <w:kern w:val="0"/>
                      <w:sz w:val="21"/>
                      <w:szCs w:val="21"/>
                    </w:rPr>
                  </w:pPr>
                  <w:r>
                    <w:rPr>
                      <w:color w:val="auto"/>
                      <w:kern w:val="0"/>
                      <w:sz w:val="21"/>
                      <w:szCs w:val="21"/>
                    </w:rPr>
                    <w:t>包括北斗卫星应用，下一代通信网络、物联网、新型平板显示、高性能集成电路和以云计算为代表的高端软件等</w:t>
                  </w:r>
                </w:p>
              </w:tc>
            </w:tr>
            <w:tr w14:paraId="7A0E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Align w:val="center"/>
                </w:tcPr>
                <w:p w14:paraId="30237AF0">
                  <w:pPr>
                    <w:autoSpaceDE w:val="0"/>
                    <w:autoSpaceDN w:val="0"/>
                    <w:adjustRightInd w:val="0"/>
                    <w:snapToGrid w:val="0"/>
                    <w:spacing w:line="240" w:lineRule="auto"/>
                    <w:jc w:val="center"/>
                    <w:rPr>
                      <w:color w:val="auto"/>
                      <w:kern w:val="0"/>
                      <w:sz w:val="21"/>
                      <w:szCs w:val="21"/>
                    </w:rPr>
                  </w:pPr>
                  <w:r>
                    <w:rPr>
                      <w:color w:val="auto"/>
                      <w:kern w:val="0"/>
                      <w:sz w:val="21"/>
                      <w:szCs w:val="21"/>
                    </w:rPr>
                    <w:t>5</w:t>
                  </w:r>
                </w:p>
              </w:tc>
              <w:tc>
                <w:tcPr>
                  <w:tcW w:w="1118" w:type="pct"/>
                  <w:vAlign w:val="center"/>
                </w:tcPr>
                <w:p w14:paraId="68CBD6FB">
                  <w:pPr>
                    <w:autoSpaceDE w:val="0"/>
                    <w:autoSpaceDN w:val="0"/>
                    <w:adjustRightInd w:val="0"/>
                    <w:snapToGrid w:val="0"/>
                    <w:spacing w:line="240" w:lineRule="auto"/>
                    <w:jc w:val="center"/>
                    <w:rPr>
                      <w:color w:val="auto"/>
                      <w:kern w:val="0"/>
                      <w:sz w:val="21"/>
                      <w:szCs w:val="21"/>
                    </w:rPr>
                  </w:pPr>
                  <w:r>
                    <w:rPr>
                      <w:color w:val="auto"/>
                      <w:kern w:val="0"/>
                      <w:sz w:val="21"/>
                      <w:szCs w:val="21"/>
                    </w:rPr>
                    <w:t>现代服务业</w:t>
                  </w:r>
                </w:p>
              </w:tc>
              <w:tc>
                <w:tcPr>
                  <w:tcW w:w="3309" w:type="pct"/>
                  <w:vAlign w:val="center"/>
                </w:tcPr>
                <w:p w14:paraId="43A1B480">
                  <w:pPr>
                    <w:autoSpaceDE w:val="0"/>
                    <w:autoSpaceDN w:val="0"/>
                    <w:adjustRightInd w:val="0"/>
                    <w:snapToGrid w:val="0"/>
                    <w:spacing w:line="240" w:lineRule="auto"/>
                    <w:jc w:val="left"/>
                    <w:rPr>
                      <w:color w:val="auto"/>
                      <w:kern w:val="0"/>
                      <w:sz w:val="21"/>
                      <w:szCs w:val="21"/>
                    </w:rPr>
                  </w:pPr>
                  <w:r>
                    <w:rPr>
                      <w:color w:val="auto"/>
                      <w:kern w:val="0"/>
                      <w:sz w:val="21"/>
                      <w:szCs w:val="21"/>
                    </w:rPr>
                    <w:t>包括跨境电商、航运服务、商品展示、金融结算、跨境医疗、旅游、教育、文化创意等</w:t>
                  </w:r>
                </w:p>
              </w:tc>
            </w:tr>
            <w:tr w14:paraId="0089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Align w:val="center"/>
                </w:tcPr>
                <w:p w14:paraId="71AC6127">
                  <w:pPr>
                    <w:autoSpaceDE w:val="0"/>
                    <w:autoSpaceDN w:val="0"/>
                    <w:adjustRightInd w:val="0"/>
                    <w:snapToGrid w:val="0"/>
                    <w:spacing w:line="240" w:lineRule="auto"/>
                    <w:jc w:val="center"/>
                    <w:rPr>
                      <w:color w:val="auto"/>
                      <w:kern w:val="0"/>
                      <w:sz w:val="21"/>
                      <w:szCs w:val="21"/>
                    </w:rPr>
                  </w:pPr>
                  <w:r>
                    <w:rPr>
                      <w:color w:val="auto"/>
                      <w:kern w:val="0"/>
                      <w:sz w:val="21"/>
                      <w:szCs w:val="21"/>
                    </w:rPr>
                    <w:t>6</w:t>
                  </w:r>
                </w:p>
              </w:tc>
              <w:tc>
                <w:tcPr>
                  <w:tcW w:w="1118" w:type="pct"/>
                  <w:vAlign w:val="center"/>
                </w:tcPr>
                <w:p w14:paraId="4270F9CB">
                  <w:pPr>
                    <w:autoSpaceDE w:val="0"/>
                    <w:autoSpaceDN w:val="0"/>
                    <w:adjustRightInd w:val="0"/>
                    <w:snapToGrid w:val="0"/>
                    <w:spacing w:line="240" w:lineRule="auto"/>
                    <w:jc w:val="center"/>
                    <w:rPr>
                      <w:color w:val="auto"/>
                      <w:kern w:val="0"/>
                      <w:sz w:val="21"/>
                      <w:szCs w:val="21"/>
                    </w:rPr>
                  </w:pPr>
                  <w:r>
                    <w:rPr>
                      <w:color w:val="auto"/>
                      <w:kern w:val="0"/>
                      <w:sz w:val="21"/>
                      <w:szCs w:val="21"/>
                    </w:rPr>
                    <w:t>海洋产业</w:t>
                  </w:r>
                </w:p>
              </w:tc>
              <w:tc>
                <w:tcPr>
                  <w:tcW w:w="3309" w:type="pct"/>
                  <w:vAlign w:val="center"/>
                </w:tcPr>
                <w:p w14:paraId="7C4BC303">
                  <w:pPr>
                    <w:autoSpaceDE w:val="0"/>
                    <w:autoSpaceDN w:val="0"/>
                    <w:adjustRightInd w:val="0"/>
                    <w:snapToGrid w:val="0"/>
                    <w:spacing w:line="240" w:lineRule="auto"/>
                    <w:jc w:val="left"/>
                    <w:rPr>
                      <w:color w:val="auto"/>
                      <w:kern w:val="0"/>
                      <w:sz w:val="21"/>
                      <w:szCs w:val="21"/>
                    </w:rPr>
                  </w:pPr>
                  <w:r>
                    <w:rPr>
                      <w:rFonts w:hint="eastAsia"/>
                      <w:color w:val="auto"/>
                      <w:kern w:val="0"/>
                      <w:sz w:val="21"/>
                      <w:szCs w:val="21"/>
                    </w:rPr>
                    <w:t>包</w:t>
                  </w:r>
                  <w:r>
                    <w:rPr>
                      <w:color w:val="auto"/>
                      <w:kern w:val="0"/>
                      <w:sz w:val="21"/>
                      <w:szCs w:val="21"/>
                    </w:rPr>
                    <w:t>括海洋水产品加工、海洋生物功能性产品、海水综合利用等产业</w:t>
                  </w:r>
                </w:p>
              </w:tc>
            </w:tr>
            <w:tr w14:paraId="4D75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vAlign w:val="center"/>
                </w:tcPr>
                <w:p w14:paraId="4AD3D5B8">
                  <w:pPr>
                    <w:autoSpaceDE w:val="0"/>
                    <w:autoSpaceDN w:val="0"/>
                    <w:adjustRightInd w:val="0"/>
                    <w:snapToGrid w:val="0"/>
                    <w:spacing w:line="240" w:lineRule="auto"/>
                    <w:jc w:val="center"/>
                    <w:rPr>
                      <w:color w:val="auto"/>
                      <w:kern w:val="0"/>
                      <w:sz w:val="21"/>
                      <w:szCs w:val="21"/>
                    </w:rPr>
                  </w:pPr>
                  <w:r>
                    <w:rPr>
                      <w:color w:val="auto"/>
                      <w:kern w:val="0"/>
                      <w:sz w:val="21"/>
                      <w:szCs w:val="21"/>
                    </w:rPr>
                    <w:t>7</w:t>
                  </w:r>
                </w:p>
              </w:tc>
              <w:tc>
                <w:tcPr>
                  <w:tcW w:w="1118" w:type="pct"/>
                  <w:vAlign w:val="center"/>
                </w:tcPr>
                <w:p w14:paraId="488975A2">
                  <w:pPr>
                    <w:autoSpaceDE w:val="0"/>
                    <w:autoSpaceDN w:val="0"/>
                    <w:adjustRightInd w:val="0"/>
                    <w:snapToGrid w:val="0"/>
                    <w:spacing w:line="240" w:lineRule="auto"/>
                    <w:jc w:val="center"/>
                    <w:rPr>
                      <w:color w:val="auto"/>
                      <w:kern w:val="0"/>
                      <w:sz w:val="21"/>
                      <w:szCs w:val="21"/>
                    </w:rPr>
                  </w:pPr>
                  <w:r>
                    <w:rPr>
                      <w:color w:val="auto"/>
                      <w:kern w:val="0"/>
                      <w:sz w:val="21"/>
                      <w:szCs w:val="21"/>
                    </w:rPr>
                    <w:t>传统优势产业</w:t>
                  </w:r>
                </w:p>
              </w:tc>
              <w:tc>
                <w:tcPr>
                  <w:tcW w:w="3309" w:type="pct"/>
                  <w:vAlign w:val="center"/>
                </w:tcPr>
                <w:p w14:paraId="1E06C656">
                  <w:pPr>
                    <w:autoSpaceDE w:val="0"/>
                    <w:autoSpaceDN w:val="0"/>
                    <w:adjustRightInd w:val="0"/>
                    <w:snapToGrid w:val="0"/>
                    <w:spacing w:line="240" w:lineRule="auto"/>
                    <w:jc w:val="left"/>
                    <w:rPr>
                      <w:color w:val="auto"/>
                      <w:kern w:val="0"/>
                      <w:sz w:val="21"/>
                      <w:szCs w:val="21"/>
                    </w:rPr>
                  </w:pPr>
                  <w:r>
                    <w:rPr>
                      <w:color w:val="auto"/>
                      <w:kern w:val="0"/>
                      <w:sz w:val="21"/>
                      <w:szCs w:val="21"/>
                    </w:rPr>
                    <w:t>包括燕窝加工，清真食品，棕榈油深加工以及东南亚国家其他传统优势产业等</w:t>
                  </w:r>
                </w:p>
              </w:tc>
            </w:tr>
          </w:tbl>
          <w:p w14:paraId="1AE90144">
            <w:pPr>
              <w:autoSpaceDE w:val="0"/>
              <w:autoSpaceDN w:val="0"/>
              <w:adjustRightInd w:val="0"/>
              <w:snapToGrid w:val="0"/>
              <w:ind w:firstLine="480" w:firstLineChars="200"/>
              <w:rPr>
                <w:color w:val="auto"/>
                <w:kern w:val="0"/>
                <w:u w:val="single"/>
              </w:rPr>
            </w:pPr>
            <w:r>
              <w:rPr>
                <w:color w:val="auto"/>
                <w:kern w:val="0"/>
              </w:rPr>
              <w:t>本项目</w:t>
            </w:r>
            <w:r>
              <w:rPr>
                <w:rFonts w:hint="eastAsia"/>
                <w:color w:val="auto"/>
                <w:kern w:val="0"/>
              </w:rPr>
              <w:t>主要生产</w:t>
            </w:r>
            <w:bookmarkStart w:id="20" w:name="OLE_LINK6"/>
            <w:r>
              <w:rPr>
                <w:rFonts w:hint="eastAsia"/>
                <w:color w:val="auto"/>
                <w:kern w:val="0"/>
              </w:rPr>
              <w:t>PET瓶坯、PE瓶盖和提手</w:t>
            </w:r>
            <w:bookmarkEnd w:id="20"/>
            <w:r>
              <w:rPr>
                <w:rFonts w:hint="eastAsia"/>
                <w:color w:val="auto"/>
                <w:kern w:val="0"/>
              </w:rPr>
              <w:t>，采用的原料主要为</w:t>
            </w:r>
            <w:bookmarkStart w:id="21" w:name="OLE_LINK10"/>
            <w:r>
              <w:rPr>
                <w:rFonts w:hint="eastAsia"/>
                <w:color w:val="auto"/>
                <w:kern w:val="0"/>
              </w:rPr>
              <w:t>聚对苯二甲酸乙二醇酯（PET）、聚乙烯（PE）</w:t>
            </w:r>
            <w:bookmarkEnd w:id="21"/>
            <w:r>
              <w:rPr>
                <w:rFonts w:hint="eastAsia"/>
                <w:color w:val="auto"/>
                <w:kern w:val="0"/>
              </w:rPr>
              <w:t>，通过电加热熔融注塑成型得到产品。</w:t>
            </w:r>
            <w:r>
              <w:rPr>
                <w:color w:val="auto"/>
                <w:kern w:val="0"/>
              </w:rPr>
              <w:t>根据《国民经济行业分类》（GB/T4754-2017），本项目</w:t>
            </w:r>
            <w:bookmarkStart w:id="22" w:name="OLE_LINK8"/>
            <w:r>
              <w:rPr>
                <w:rFonts w:hint="eastAsia"/>
                <w:color w:val="auto"/>
                <w:kern w:val="0"/>
              </w:rPr>
              <w:t>行业类别为C2926 塑料包装箱及容器制造</w:t>
            </w:r>
            <w:r>
              <w:rPr>
                <w:rFonts w:hint="eastAsia"/>
                <w:color w:val="auto"/>
                <w:szCs w:val="21"/>
              </w:rPr>
              <w:t>，</w:t>
            </w:r>
            <w:r>
              <w:rPr>
                <w:rFonts w:hint="eastAsia"/>
                <w:color w:val="auto"/>
                <w:kern w:val="0"/>
              </w:rPr>
              <w:t>属于塑料制品业</w:t>
            </w:r>
            <w:bookmarkEnd w:id="22"/>
            <w:r>
              <w:rPr>
                <w:rFonts w:hint="eastAsia"/>
                <w:color w:val="auto"/>
                <w:kern w:val="0"/>
              </w:rPr>
              <w:t>，</w:t>
            </w:r>
            <w:r>
              <w:rPr>
                <w:rFonts w:hint="eastAsia"/>
                <w:color w:val="auto"/>
              </w:rPr>
              <w:t>根据《中国(广西)自由贸易试验区钦州港片区项目投资合同》（见附件5），中国(广西)自由贸易试验区钦州港片区管理委员会同意本项目入园投资建设，运营期间严格按照环评要求采取环保措施，减少对环境的影响</w:t>
            </w:r>
            <w:r>
              <w:rPr>
                <w:rFonts w:hint="eastAsia"/>
                <w:color w:val="auto"/>
                <w:kern w:val="0"/>
              </w:rPr>
              <w:t>。</w:t>
            </w:r>
          </w:p>
          <w:p w14:paraId="56C63663">
            <w:pPr>
              <w:autoSpaceDE w:val="0"/>
              <w:autoSpaceDN w:val="0"/>
              <w:adjustRightInd w:val="0"/>
              <w:snapToGrid w:val="0"/>
              <w:ind w:firstLine="480" w:firstLineChars="200"/>
              <w:jc w:val="left"/>
              <w:rPr>
                <w:color w:val="auto"/>
                <w:kern w:val="0"/>
              </w:rPr>
            </w:pPr>
            <w:r>
              <w:rPr>
                <w:color w:val="auto"/>
                <w:kern w:val="0"/>
              </w:rPr>
              <w:t>同时，根据《中国-马来西亚钦州产业园区总体规划修编环境影响报告书》</w:t>
            </w:r>
            <w:r>
              <w:rPr>
                <w:rFonts w:hint="eastAsia"/>
                <w:color w:val="auto"/>
                <w:kern w:val="0"/>
              </w:rPr>
              <w:t>内容和</w:t>
            </w:r>
            <w:r>
              <w:rPr>
                <w:color w:val="auto"/>
                <w:kern w:val="0"/>
              </w:rPr>
              <w:t>审查意见，本项目与入园负面清单的符合性分析如下表1-2：</w:t>
            </w:r>
          </w:p>
          <w:p w14:paraId="6A25D94C">
            <w:pPr>
              <w:adjustRightInd w:val="0"/>
              <w:snapToGrid w:val="0"/>
              <w:spacing w:line="240" w:lineRule="auto"/>
              <w:jc w:val="center"/>
              <w:rPr>
                <w:b/>
                <w:bCs/>
                <w:color w:val="auto"/>
                <w:sz w:val="21"/>
                <w:szCs w:val="21"/>
              </w:rPr>
            </w:pPr>
            <w:r>
              <w:rPr>
                <w:b/>
                <w:bCs/>
                <w:color w:val="auto"/>
                <w:sz w:val="21"/>
                <w:szCs w:val="21"/>
              </w:rPr>
              <w:t>表1-2  项目与入园负面清单的符合性分析情况表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2487"/>
              <w:gridCol w:w="3750"/>
              <w:gridCol w:w="1268"/>
            </w:tblGrid>
            <w:tr w14:paraId="0E24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 w:type="pct"/>
                  <w:vAlign w:val="center"/>
                </w:tcPr>
                <w:p w14:paraId="1C323EB5">
                  <w:pPr>
                    <w:autoSpaceDE w:val="0"/>
                    <w:autoSpaceDN w:val="0"/>
                    <w:adjustRightInd w:val="0"/>
                    <w:snapToGrid w:val="0"/>
                    <w:spacing w:line="240" w:lineRule="auto"/>
                    <w:jc w:val="center"/>
                    <w:rPr>
                      <w:b/>
                      <w:color w:val="auto"/>
                      <w:kern w:val="0"/>
                      <w:sz w:val="21"/>
                      <w:szCs w:val="21"/>
                    </w:rPr>
                  </w:pPr>
                  <w:r>
                    <w:rPr>
                      <w:b/>
                      <w:color w:val="auto"/>
                      <w:kern w:val="0"/>
                      <w:sz w:val="21"/>
                      <w:szCs w:val="21"/>
                    </w:rPr>
                    <w:t>序号</w:t>
                  </w:r>
                </w:p>
              </w:tc>
              <w:tc>
                <w:tcPr>
                  <w:tcW w:w="1555" w:type="pct"/>
                  <w:vAlign w:val="center"/>
                </w:tcPr>
                <w:p w14:paraId="1DB141EB">
                  <w:pPr>
                    <w:autoSpaceDE w:val="0"/>
                    <w:autoSpaceDN w:val="0"/>
                    <w:adjustRightInd w:val="0"/>
                    <w:snapToGrid w:val="0"/>
                    <w:spacing w:line="240" w:lineRule="auto"/>
                    <w:jc w:val="center"/>
                    <w:rPr>
                      <w:b/>
                      <w:color w:val="auto"/>
                      <w:kern w:val="0"/>
                      <w:sz w:val="21"/>
                      <w:szCs w:val="21"/>
                    </w:rPr>
                  </w:pPr>
                  <w:r>
                    <w:rPr>
                      <w:b/>
                      <w:color w:val="auto"/>
                      <w:kern w:val="0"/>
                      <w:sz w:val="21"/>
                      <w:szCs w:val="21"/>
                    </w:rPr>
                    <w:t>入园负面清单</w:t>
                  </w:r>
                </w:p>
              </w:tc>
              <w:tc>
                <w:tcPr>
                  <w:tcW w:w="2345" w:type="pct"/>
                  <w:vAlign w:val="center"/>
                </w:tcPr>
                <w:p w14:paraId="47BD0F9D">
                  <w:pPr>
                    <w:autoSpaceDE w:val="0"/>
                    <w:autoSpaceDN w:val="0"/>
                    <w:adjustRightInd w:val="0"/>
                    <w:snapToGrid w:val="0"/>
                    <w:spacing w:line="240" w:lineRule="auto"/>
                    <w:jc w:val="center"/>
                    <w:rPr>
                      <w:b/>
                      <w:color w:val="auto"/>
                      <w:kern w:val="0"/>
                      <w:sz w:val="21"/>
                      <w:szCs w:val="21"/>
                    </w:rPr>
                  </w:pPr>
                  <w:r>
                    <w:rPr>
                      <w:b/>
                      <w:color w:val="auto"/>
                      <w:kern w:val="0"/>
                      <w:sz w:val="21"/>
                      <w:szCs w:val="21"/>
                    </w:rPr>
                    <w:t>本项目建设情况</w:t>
                  </w:r>
                </w:p>
              </w:tc>
              <w:tc>
                <w:tcPr>
                  <w:tcW w:w="793" w:type="pct"/>
                  <w:vAlign w:val="center"/>
                </w:tcPr>
                <w:p w14:paraId="5A0001E1">
                  <w:pPr>
                    <w:autoSpaceDE w:val="0"/>
                    <w:autoSpaceDN w:val="0"/>
                    <w:adjustRightInd w:val="0"/>
                    <w:snapToGrid w:val="0"/>
                    <w:spacing w:line="240" w:lineRule="auto"/>
                    <w:jc w:val="center"/>
                    <w:rPr>
                      <w:b/>
                      <w:color w:val="auto"/>
                      <w:kern w:val="0"/>
                      <w:sz w:val="21"/>
                      <w:szCs w:val="21"/>
                    </w:rPr>
                  </w:pPr>
                  <w:r>
                    <w:rPr>
                      <w:rFonts w:hint="eastAsia"/>
                      <w:b/>
                      <w:color w:val="auto"/>
                      <w:kern w:val="0"/>
                      <w:sz w:val="21"/>
                      <w:szCs w:val="21"/>
                    </w:rPr>
                    <w:t>相符性情况</w:t>
                  </w:r>
                </w:p>
              </w:tc>
            </w:tr>
            <w:tr w14:paraId="6267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 w:type="pct"/>
                  <w:vAlign w:val="center"/>
                </w:tcPr>
                <w:p w14:paraId="652DEE95">
                  <w:pPr>
                    <w:autoSpaceDE w:val="0"/>
                    <w:autoSpaceDN w:val="0"/>
                    <w:adjustRightInd w:val="0"/>
                    <w:snapToGrid w:val="0"/>
                    <w:spacing w:line="240" w:lineRule="auto"/>
                    <w:jc w:val="center"/>
                    <w:rPr>
                      <w:color w:val="auto"/>
                      <w:kern w:val="0"/>
                      <w:sz w:val="21"/>
                      <w:szCs w:val="21"/>
                    </w:rPr>
                  </w:pPr>
                  <w:r>
                    <w:rPr>
                      <w:color w:val="auto"/>
                      <w:kern w:val="0"/>
                      <w:sz w:val="21"/>
                      <w:szCs w:val="21"/>
                    </w:rPr>
                    <w:t>1</w:t>
                  </w:r>
                </w:p>
              </w:tc>
              <w:tc>
                <w:tcPr>
                  <w:tcW w:w="1555" w:type="pct"/>
                  <w:vAlign w:val="center"/>
                </w:tcPr>
                <w:p w14:paraId="3FB4D94B">
                  <w:pPr>
                    <w:autoSpaceDE w:val="0"/>
                    <w:autoSpaceDN w:val="0"/>
                    <w:adjustRightInd w:val="0"/>
                    <w:snapToGrid w:val="0"/>
                    <w:spacing w:line="240" w:lineRule="auto"/>
                    <w:jc w:val="left"/>
                    <w:rPr>
                      <w:color w:val="auto"/>
                      <w:kern w:val="0"/>
                      <w:sz w:val="21"/>
                      <w:szCs w:val="21"/>
                    </w:rPr>
                  </w:pPr>
                  <w:r>
                    <w:rPr>
                      <w:color w:val="auto"/>
                      <w:kern w:val="0"/>
                      <w:sz w:val="21"/>
                      <w:szCs w:val="21"/>
                    </w:rPr>
                    <w:t>禁止引进不符合中马产业园规划定位的高污染、高能耗项目</w:t>
                  </w:r>
                </w:p>
              </w:tc>
              <w:tc>
                <w:tcPr>
                  <w:tcW w:w="2345" w:type="pct"/>
                  <w:vAlign w:val="center"/>
                </w:tcPr>
                <w:p w14:paraId="0AE87EE4">
                  <w:pPr>
                    <w:autoSpaceDE w:val="0"/>
                    <w:autoSpaceDN w:val="0"/>
                    <w:adjustRightInd w:val="0"/>
                    <w:snapToGrid w:val="0"/>
                    <w:spacing w:line="240" w:lineRule="auto"/>
                    <w:jc w:val="left"/>
                    <w:rPr>
                      <w:color w:val="auto"/>
                      <w:kern w:val="0"/>
                      <w:sz w:val="21"/>
                      <w:szCs w:val="21"/>
                    </w:rPr>
                  </w:pPr>
                  <w:r>
                    <w:rPr>
                      <w:color w:val="auto"/>
                      <w:kern w:val="0"/>
                      <w:sz w:val="21"/>
                      <w:szCs w:val="21"/>
                    </w:rPr>
                    <w:t>本项目</w:t>
                  </w:r>
                  <w:r>
                    <w:rPr>
                      <w:rFonts w:hint="eastAsia"/>
                      <w:color w:val="auto"/>
                      <w:kern w:val="0"/>
                      <w:sz w:val="21"/>
                      <w:szCs w:val="21"/>
                    </w:rPr>
                    <w:t>主要生产PET瓶坯、PE瓶盖和提手</w:t>
                  </w:r>
                  <w:r>
                    <w:rPr>
                      <w:color w:val="auto"/>
                      <w:kern w:val="0"/>
                      <w:sz w:val="21"/>
                      <w:szCs w:val="21"/>
                    </w:rPr>
                    <w:t>，</w:t>
                  </w:r>
                  <w:r>
                    <w:rPr>
                      <w:rFonts w:hint="eastAsia"/>
                      <w:color w:val="auto"/>
                      <w:kern w:val="0"/>
                      <w:sz w:val="21"/>
                      <w:szCs w:val="21"/>
                    </w:rPr>
                    <w:t>行业类别为C2926 塑料包装箱及容器制造，属于塑料制品业；项目主要将聚对苯二甲酸乙二醇酯（PET）、聚乙烯（PE）通过电加热熔融注塑成型得到产品，产生的污染物主要是少量非甲烷总烃，</w:t>
                  </w:r>
                  <w:r>
                    <w:rPr>
                      <w:color w:val="auto"/>
                      <w:kern w:val="0"/>
                      <w:sz w:val="21"/>
                      <w:szCs w:val="21"/>
                    </w:rPr>
                    <w:t>不属于高污染、高能耗项目</w:t>
                  </w:r>
                  <w:r>
                    <w:rPr>
                      <w:rFonts w:hint="eastAsia"/>
                      <w:color w:val="auto"/>
                      <w:kern w:val="0"/>
                      <w:sz w:val="21"/>
                      <w:szCs w:val="21"/>
                    </w:rPr>
                    <w:t>。</w:t>
                  </w:r>
                </w:p>
              </w:tc>
              <w:tc>
                <w:tcPr>
                  <w:tcW w:w="793" w:type="pct"/>
                  <w:vAlign w:val="center"/>
                </w:tcPr>
                <w:p w14:paraId="22499C77">
                  <w:pPr>
                    <w:autoSpaceDE w:val="0"/>
                    <w:autoSpaceDN w:val="0"/>
                    <w:adjustRightInd w:val="0"/>
                    <w:snapToGrid w:val="0"/>
                    <w:spacing w:line="240" w:lineRule="auto"/>
                    <w:jc w:val="center"/>
                    <w:rPr>
                      <w:color w:val="auto"/>
                      <w:kern w:val="0"/>
                      <w:sz w:val="21"/>
                      <w:szCs w:val="21"/>
                      <w:u w:val="single"/>
                    </w:rPr>
                  </w:pPr>
                  <w:r>
                    <w:rPr>
                      <w:rFonts w:hint="eastAsia"/>
                      <w:color w:val="auto"/>
                      <w:kern w:val="0"/>
                      <w:sz w:val="21"/>
                      <w:szCs w:val="21"/>
                    </w:rPr>
                    <w:t>符合</w:t>
                  </w:r>
                </w:p>
              </w:tc>
            </w:tr>
            <w:tr w14:paraId="21EE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 w:type="pct"/>
                  <w:vAlign w:val="center"/>
                </w:tcPr>
                <w:p w14:paraId="130C333E">
                  <w:pPr>
                    <w:autoSpaceDE w:val="0"/>
                    <w:autoSpaceDN w:val="0"/>
                    <w:adjustRightInd w:val="0"/>
                    <w:snapToGrid w:val="0"/>
                    <w:spacing w:line="240" w:lineRule="auto"/>
                    <w:jc w:val="center"/>
                    <w:rPr>
                      <w:color w:val="auto"/>
                      <w:kern w:val="0"/>
                      <w:sz w:val="21"/>
                      <w:szCs w:val="21"/>
                    </w:rPr>
                  </w:pPr>
                  <w:r>
                    <w:rPr>
                      <w:color w:val="auto"/>
                      <w:kern w:val="0"/>
                      <w:sz w:val="21"/>
                      <w:szCs w:val="21"/>
                    </w:rPr>
                    <w:t>2</w:t>
                  </w:r>
                </w:p>
              </w:tc>
              <w:tc>
                <w:tcPr>
                  <w:tcW w:w="1555" w:type="pct"/>
                  <w:vAlign w:val="center"/>
                </w:tcPr>
                <w:p w14:paraId="3ED3F574">
                  <w:pPr>
                    <w:autoSpaceDE w:val="0"/>
                    <w:autoSpaceDN w:val="0"/>
                    <w:adjustRightInd w:val="0"/>
                    <w:snapToGrid w:val="0"/>
                    <w:spacing w:line="240" w:lineRule="auto"/>
                    <w:jc w:val="left"/>
                    <w:rPr>
                      <w:color w:val="auto"/>
                      <w:kern w:val="0"/>
                      <w:sz w:val="21"/>
                      <w:szCs w:val="21"/>
                    </w:rPr>
                  </w:pPr>
                  <w:r>
                    <w:rPr>
                      <w:color w:val="auto"/>
                      <w:kern w:val="0"/>
                      <w:sz w:val="21"/>
                      <w:szCs w:val="21"/>
                    </w:rPr>
                    <w:t>禁止引进排放含铅、镉、汞、铬和砷五种重金属的项目</w:t>
                  </w:r>
                </w:p>
              </w:tc>
              <w:tc>
                <w:tcPr>
                  <w:tcW w:w="2345" w:type="pct"/>
                  <w:vAlign w:val="center"/>
                </w:tcPr>
                <w:p w14:paraId="5FA1A9C7">
                  <w:pPr>
                    <w:autoSpaceDE w:val="0"/>
                    <w:autoSpaceDN w:val="0"/>
                    <w:adjustRightInd w:val="0"/>
                    <w:snapToGrid w:val="0"/>
                    <w:spacing w:line="240" w:lineRule="auto"/>
                    <w:jc w:val="left"/>
                    <w:rPr>
                      <w:color w:val="auto"/>
                      <w:kern w:val="0"/>
                      <w:sz w:val="21"/>
                      <w:szCs w:val="21"/>
                    </w:rPr>
                  </w:pPr>
                  <w:r>
                    <w:rPr>
                      <w:color w:val="auto"/>
                      <w:kern w:val="0"/>
                      <w:sz w:val="21"/>
                      <w:szCs w:val="21"/>
                    </w:rPr>
                    <w:t>本项目</w:t>
                  </w:r>
                  <w:r>
                    <w:rPr>
                      <w:rFonts w:hint="eastAsia"/>
                      <w:color w:val="auto"/>
                      <w:kern w:val="0"/>
                      <w:sz w:val="21"/>
                      <w:szCs w:val="21"/>
                    </w:rPr>
                    <w:t>进行PET瓶坯、PE瓶盖和提手的生产，生产过程污染物以非甲烷总烃为主，</w:t>
                  </w:r>
                  <w:r>
                    <w:rPr>
                      <w:color w:val="auto"/>
                      <w:kern w:val="0"/>
                      <w:sz w:val="21"/>
                      <w:szCs w:val="21"/>
                    </w:rPr>
                    <w:t>不排放含铅、镉、汞、铬和砷的污染物</w:t>
                  </w:r>
                  <w:r>
                    <w:rPr>
                      <w:rFonts w:hint="eastAsia"/>
                      <w:color w:val="auto"/>
                      <w:kern w:val="0"/>
                      <w:sz w:val="21"/>
                      <w:szCs w:val="21"/>
                    </w:rPr>
                    <w:t>，不属于园区入园负面清单项目</w:t>
                  </w:r>
                  <w:r>
                    <w:rPr>
                      <w:color w:val="auto"/>
                      <w:kern w:val="0"/>
                      <w:sz w:val="21"/>
                      <w:szCs w:val="21"/>
                    </w:rPr>
                    <w:t>。</w:t>
                  </w:r>
                </w:p>
              </w:tc>
              <w:tc>
                <w:tcPr>
                  <w:tcW w:w="793" w:type="pct"/>
                  <w:vAlign w:val="center"/>
                </w:tcPr>
                <w:p w14:paraId="1A5A95EE">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755D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5" w:type="pct"/>
                  <w:vAlign w:val="center"/>
                </w:tcPr>
                <w:p w14:paraId="718B39D1">
                  <w:pPr>
                    <w:autoSpaceDE w:val="0"/>
                    <w:autoSpaceDN w:val="0"/>
                    <w:adjustRightInd w:val="0"/>
                    <w:snapToGrid w:val="0"/>
                    <w:spacing w:line="240" w:lineRule="auto"/>
                    <w:jc w:val="center"/>
                    <w:rPr>
                      <w:color w:val="auto"/>
                      <w:kern w:val="0"/>
                      <w:sz w:val="21"/>
                      <w:szCs w:val="21"/>
                    </w:rPr>
                  </w:pPr>
                  <w:r>
                    <w:rPr>
                      <w:color w:val="auto"/>
                      <w:kern w:val="0"/>
                      <w:sz w:val="21"/>
                      <w:szCs w:val="21"/>
                    </w:rPr>
                    <w:t>3</w:t>
                  </w:r>
                </w:p>
              </w:tc>
              <w:tc>
                <w:tcPr>
                  <w:tcW w:w="1555" w:type="pct"/>
                  <w:vAlign w:val="center"/>
                </w:tcPr>
                <w:p w14:paraId="34A02AEB">
                  <w:pPr>
                    <w:autoSpaceDE w:val="0"/>
                    <w:autoSpaceDN w:val="0"/>
                    <w:adjustRightInd w:val="0"/>
                    <w:snapToGrid w:val="0"/>
                    <w:spacing w:line="240" w:lineRule="auto"/>
                    <w:jc w:val="left"/>
                    <w:rPr>
                      <w:color w:val="auto"/>
                      <w:kern w:val="0"/>
                      <w:sz w:val="21"/>
                      <w:szCs w:val="21"/>
                    </w:rPr>
                  </w:pPr>
                  <w:r>
                    <w:rPr>
                      <w:color w:val="auto"/>
                      <w:kern w:val="0"/>
                      <w:sz w:val="21"/>
                      <w:szCs w:val="21"/>
                    </w:rPr>
                    <w:t>禁止引进可能破坏中马产业园规划范围天然红树林生态系统的项目</w:t>
                  </w:r>
                </w:p>
              </w:tc>
              <w:tc>
                <w:tcPr>
                  <w:tcW w:w="2345" w:type="pct"/>
                  <w:vAlign w:val="center"/>
                </w:tcPr>
                <w:p w14:paraId="789D8C6D">
                  <w:pPr>
                    <w:autoSpaceDE w:val="0"/>
                    <w:autoSpaceDN w:val="0"/>
                    <w:adjustRightInd w:val="0"/>
                    <w:snapToGrid w:val="0"/>
                    <w:spacing w:line="240" w:lineRule="auto"/>
                    <w:jc w:val="left"/>
                    <w:rPr>
                      <w:color w:val="auto"/>
                      <w:kern w:val="0"/>
                      <w:sz w:val="21"/>
                      <w:szCs w:val="21"/>
                    </w:rPr>
                  </w:pPr>
                  <w:r>
                    <w:rPr>
                      <w:color w:val="auto"/>
                      <w:kern w:val="0"/>
                      <w:sz w:val="21"/>
                      <w:szCs w:val="21"/>
                    </w:rPr>
                    <w:t>本项目位于园区的陆域，与</w:t>
                  </w:r>
                  <w:r>
                    <w:rPr>
                      <w:rFonts w:hint="eastAsia"/>
                      <w:color w:val="auto"/>
                      <w:kern w:val="0"/>
                      <w:sz w:val="21"/>
                      <w:szCs w:val="21"/>
                    </w:rPr>
                    <w:t>西南面茅尾海红树林自然保护区</w:t>
                  </w:r>
                  <w:r>
                    <w:rPr>
                      <w:color w:val="auto"/>
                      <w:kern w:val="0"/>
                      <w:sz w:val="21"/>
                      <w:szCs w:val="21"/>
                    </w:rPr>
                    <w:t>最近距离为</w:t>
                  </w:r>
                  <w:r>
                    <w:rPr>
                      <w:rFonts w:hint="eastAsia"/>
                      <w:color w:val="auto"/>
                      <w:kern w:val="0"/>
                      <w:sz w:val="21"/>
                      <w:szCs w:val="21"/>
                    </w:rPr>
                    <w:t>11.6</w:t>
                  </w:r>
                  <w:r>
                    <w:rPr>
                      <w:color w:val="auto"/>
                      <w:kern w:val="0"/>
                      <w:sz w:val="21"/>
                      <w:szCs w:val="21"/>
                    </w:rPr>
                    <w:t>km，且外排废水经园区污水管网排入大榄坪污水</w:t>
                  </w:r>
                  <w:r>
                    <w:rPr>
                      <w:rFonts w:hint="eastAsia"/>
                      <w:color w:val="auto"/>
                      <w:kern w:val="0"/>
                      <w:sz w:val="21"/>
                      <w:szCs w:val="21"/>
                    </w:rPr>
                    <w:t>处理</w:t>
                  </w:r>
                  <w:r>
                    <w:rPr>
                      <w:color w:val="auto"/>
                      <w:kern w:val="0"/>
                      <w:sz w:val="21"/>
                      <w:szCs w:val="21"/>
                    </w:rPr>
                    <w:t>厂处理，不会对</w:t>
                  </w:r>
                  <w:r>
                    <w:rPr>
                      <w:rFonts w:hint="eastAsia"/>
                      <w:color w:val="auto"/>
                      <w:kern w:val="0"/>
                      <w:sz w:val="21"/>
                      <w:szCs w:val="21"/>
                    </w:rPr>
                    <w:t>茅尾海红树林保护区</w:t>
                  </w:r>
                  <w:r>
                    <w:rPr>
                      <w:color w:val="auto"/>
                      <w:kern w:val="0"/>
                      <w:sz w:val="21"/>
                      <w:szCs w:val="21"/>
                    </w:rPr>
                    <w:t>造成破坏</w:t>
                  </w:r>
                  <w:r>
                    <w:rPr>
                      <w:rFonts w:hint="eastAsia"/>
                      <w:color w:val="auto"/>
                      <w:kern w:val="0"/>
                      <w:sz w:val="21"/>
                      <w:szCs w:val="21"/>
                    </w:rPr>
                    <w:t>，不属于园区入园负面清单项目</w:t>
                  </w:r>
                  <w:r>
                    <w:rPr>
                      <w:color w:val="auto"/>
                      <w:kern w:val="0"/>
                      <w:sz w:val="21"/>
                      <w:szCs w:val="21"/>
                    </w:rPr>
                    <w:t>。</w:t>
                  </w:r>
                </w:p>
              </w:tc>
              <w:tc>
                <w:tcPr>
                  <w:tcW w:w="793" w:type="pct"/>
                  <w:vAlign w:val="center"/>
                </w:tcPr>
                <w:p w14:paraId="47AA743B">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bl>
          <w:p w14:paraId="70C5C074">
            <w:pPr>
              <w:pStyle w:val="5"/>
              <w:ind w:firstLine="480"/>
              <w:rPr>
                <w:color w:val="auto"/>
              </w:rPr>
            </w:pPr>
            <w:r>
              <w:rPr>
                <w:rFonts w:hint="eastAsia" w:ascii="Times New Roman" w:hAnsi="Times New Roman"/>
                <w:color w:val="auto"/>
                <w:kern w:val="0"/>
                <w:sz w:val="24"/>
              </w:rPr>
              <w:t>根据上表可知，项目</w:t>
            </w:r>
            <w:bookmarkStart w:id="23" w:name="OLE_LINK17"/>
            <w:r>
              <w:rPr>
                <w:rFonts w:hint="eastAsia" w:ascii="Times New Roman" w:hAnsi="Times New Roman"/>
                <w:color w:val="auto"/>
                <w:kern w:val="0"/>
                <w:sz w:val="24"/>
              </w:rPr>
              <w:t>生产</w:t>
            </w:r>
            <w:bookmarkStart w:id="24" w:name="OLE_LINK18"/>
            <w:r>
              <w:rPr>
                <w:rFonts w:hint="eastAsia" w:ascii="Times New Roman" w:hAnsi="Times New Roman"/>
                <w:color w:val="auto"/>
                <w:kern w:val="0"/>
                <w:sz w:val="24"/>
              </w:rPr>
              <w:t>PET</w:t>
            </w:r>
            <w:bookmarkEnd w:id="24"/>
            <w:r>
              <w:rPr>
                <w:rFonts w:hint="eastAsia" w:ascii="Times New Roman" w:hAnsi="Times New Roman"/>
                <w:color w:val="auto"/>
                <w:kern w:val="0"/>
                <w:sz w:val="24"/>
              </w:rPr>
              <w:t>瓶坯、PE瓶盖和提手</w:t>
            </w:r>
            <w:bookmarkEnd w:id="23"/>
            <w:r>
              <w:rPr>
                <w:rFonts w:hint="eastAsia" w:ascii="Times New Roman" w:hAnsi="Times New Roman"/>
                <w:color w:val="auto"/>
                <w:kern w:val="0"/>
                <w:sz w:val="24"/>
              </w:rPr>
              <w:t>，产污主要是非甲烷总烃；冷却水循环使用，不外排。项目不涉及含铅、镉、汞、铬和砷的污染物的产生和排放；非甲烷总烃经装置处理后排放，不属于高污染、高能耗项目；项目距离茅尾海红树林保护区最近距离为11.6km。综上，项目不属于入园负面清单内容，符合《中国-马来西亚钦州产业园区总体规划修编环境影响报告书》</w:t>
            </w:r>
            <w:r>
              <w:rPr>
                <w:rFonts w:ascii="Times New Roman" w:hAnsi="Times New Roman"/>
                <w:color w:val="auto"/>
                <w:kern w:val="0"/>
                <w:sz w:val="24"/>
              </w:rPr>
              <w:t>相关要求。</w:t>
            </w:r>
          </w:p>
        </w:tc>
      </w:tr>
      <w:tr w14:paraId="7BD58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1" w:hRule="atLeast"/>
          <w:jc w:val="center"/>
        </w:trPr>
        <w:tc>
          <w:tcPr>
            <w:tcW w:w="557" w:type="dxa"/>
            <w:vAlign w:val="center"/>
          </w:tcPr>
          <w:p w14:paraId="0AE8A020">
            <w:pPr>
              <w:jc w:val="center"/>
              <w:rPr>
                <w:b/>
                <w:color w:val="auto"/>
              </w:rPr>
            </w:pPr>
            <w:r>
              <w:rPr>
                <w:b/>
                <w:color w:val="auto"/>
              </w:rPr>
              <w:t>其</w:t>
            </w:r>
          </w:p>
          <w:p w14:paraId="25B19729">
            <w:pPr>
              <w:jc w:val="center"/>
              <w:rPr>
                <w:b/>
                <w:color w:val="auto"/>
              </w:rPr>
            </w:pPr>
            <w:r>
              <w:rPr>
                <w:b/>
                <w:color w:val="auto"/>
              </w:rPr>
              <w:t>他</w:t>
            </w:r>
          </w:p>
          <w:p w14:paraId="5CE7EC42">
            <w:pPr>
              <w:jc w:val="center"/>
              <w:rPr>
                <w:b/>
                <w:color w:val="auto"/>
              </w:rPr>
            </w:pPr>
            <w:r>
              <w:rPr>
                <w:b/>
                <w:color w:val="auto"/>
              </w:rPr>
              <w:t>符</w:t>
            </w:r>
          </w:p>
          <w:p w14:paraId="2175780D">
            <w:pPr>
              <w:jc w:val="center"/>
              <w:rPr>
                <w:b/>
                <w:color w:val="auto"/>
              </w:rPr>
            </w:pPr>
            <w:r>
              <w:rPr>
                <w:b/>
                <w:color w:val="auto"/>
              </w:rPr>
              <w:t>合</w:t>
            </w:r>
          </w:p>
          <w:p w14:paraId="49817087">
            <w:pPr>
              <w:jc w:val="center"/>
              <w:rPr>
                <w:b/>
                <w:color w:val="auto"/>
              </w:rPr>
            </w:pPr>
            <w:r>
              <w:rPr>
                <w:b/>
                <w:color w:val="auto"/>
              </w:rPr>
              <w:t>性</w:t>
            </w:r>
          </w:p>
          <w:p w14:paraId="30AC07F1">
            <w:pPr>
              <w:jc w:val="center"/>
              <w:rPr>
                <w:b/>
                <w:color w:val="auto"/>
              </w:rPr>
            </w:pPr>
            <w:r>
              <w:rPr>
                <w:b/>
                <w:color w:val="auto"/>
              </w:rPr>
              <w:t>分</w:t>
            </w:r>
          </w:p>
          <w:p w14:paraId="5270BB01">
            <w:pPr>
              <w:autoSpaceDE w:val="0"/>
              <w:autoSpaceDN w:val="0"/>
              <w:adjustRightInd w:val="0"/>
              <w:snapToGrid w:val="0"/>
              <w:spacing w:line="240" w:lineRule="auto"/>
              <w:jc w:val="center"/>
              <w:rPr>
                <w:color w:val="auto"/>
                <w:kern w:val="0"/>
              </w:rPr>
            </w:pPr>
            <w:r>
              <w:rPr>
                <w:b/>
                <w:color w:val="auto"/>
              </w:rPr>
              <w:t>析</w:t>
            </w:r>
          </w:p>
        </w:tc>
        <w:tc>
          <w:tcPr>
            <w:tcW w:w="8222" w:type="dxa"/>
            <w:gridSpan w:val="4"/>
            <w:vAlign w:val="center"/>
          </w:tcPr>
          <w:p w14:paraId="1CA75D78">
            <w:pPr>
              <w:spacing w:before="120" w:beforeLines="50"/>
              <w:ind w:firstLine="482" w:firstLineChars="200"/>
              <w:rPr>
                <w:b/>
                <w:color w:val="auto"/>
              </w:rPr>
            </w:pPr>
            <w:r>
              <w:rPr>
                <w:b/>
                <w:color w:val="auto"/>
              </w:rPr>
              <w:t>1、产业政策相符性分析</w:t>
            </w:r>
          </w:p>
          <w:p w14:paraId="1B8975AA">
            <w:pPr>
              <w:ind w:firstLine="480" w:firstLineChars="200"/>
              <w:rPr>
                <w:color w:val="auto"/>
              </w:rPr>
            </w:pPr>
            <w:r>
              <w:rPr>
                <w:color w:val="auto"/>
              </w:rPr>
              <w:t>根据中华人民共和国国家发展和改革委员会2023年12月1日第6次委务会议审议通过</w:t>
            </w:r>
            <w:r>
              <w:rPr>
                <w:rFonts w:hint="eastAsia"/>
                <w:color w:val="auto"/>
              </w:rPr>
              <w:t>的</w:t>
            </w:r>
            <w:r>
              <w:rPr>
                <w:color w:val="auto"/>
              </w:rPr>
              <w:t>第</w:t>
            </w:r>
            <w:r>
              <w:rPr>
                <w:rFonts w:hint="eastAsia"/>
                <w:color w:val="auto"/>
              </w:rPr>
              <w:t>7</w:t>
            </w:r>
            <w:r>
              <w:rPr>
                <w:color w:val="auto"/>
              </w:rPr>
              <w:t>号令《产业结构调整指导目录（20</w:t>
            </w:r>
            <w:r>
              <w:rPr>
                <w:rFonts w:hint="eastAsia"/>
                <w:color w:val="auto"/>
              </w:rPr>
              <w:t>24</w:t>
            </w:r>
            <w:r>
              <w:rPr>
                <w:color w:val="auto"/>
              </w:rPr>
              <w:t>年本）》</w:t>
            </w:r>
            <w:r>
              <w:rPr>
                <w:rFonts w:hint="eastAsia"/>
                <w:color w:val="auto"/>
              </w:rPr>
              <w:t>（2024年2月1日实施）</w:t>
            </w:r>
            <w:r>
              <w:rPr>
                <w:color w:val="auto"/>
              </w:rPr>
              <w:t>，本项目的建设性质和规模均不在该指导目录的</w:t>
            </w:r>
            <w:r>
              <w:rPr>
                <w:rFonts w:hint="eastAsia"/>
                <w:color w:val="auto"/>
              </w:rPr>
              <w:t>“鼓励类”、</w:t>
            </w:r>
            <w:r>
              <w:rPr>
                <w:rFonts w:hint="eastAsia" w:ascii="宋体" w:hAnsi="宋体" w:cs="宋体"/>
                <w:color w:val="auto"/>
              </w:rPr>
              <w:t>“限制类”和“淘汰类”</w:t>
            </w:r>
            <w:r>
              <w:rPr>
                <w:color w:val="auto"/>
              </w:rPr>
              <w:t>之列，按《国务院关于发布实施&lt;促进产业结构调整暂行规定&gt;的决定》（国发〔2005〕40号）第十三条规定，应视</w:t>
            </w:r>
            <w:r>
              <w:rPr>
                <w:rFonts w:hint="eastAsia" w:ascii="宋体" w:hAnsi="宋体" w:cs="宋体"/>
                <w:color w:val="auto"/>
              </w:rPr>
              <w:t>为“允许类”，</w:t>
            </w:r>
            <w:r>
              <w:rPr>
                <w:color w:val="auto"/>
              </w:rPr>
              <w:t>本项目建设符合当前国家产业政策。</w:t>
            </w:r>
          </w:p>
          <w:p w14:paraId="59A3519A">
            <w:pPr>
              <w:ind w:firstLine="482" w:firstLineChars="200"/>
              <w:rPr>
                <w:b/>
                <w:color w:val="auto"/>
              </w:rPr>
            </w:pPr>
            <w:r>
              <w:rPr>
                <w:b/>
                <w:color w:val="auto"/>
              </w:rPr>
              <w:t>2、选址合理性分析</w:t>
            </w:r>
          </w:p>
          <w:p w14:paraId="60247F7F">
            <w:pPr>
              <w:ind w:firstLine="480" w:firstLineChars="200"/>
              <w:rPr>
                <w:rFonts w:hint="eastAsia" w:eastAsia="宋体"/>
                <w:color w:val="auto"/>
                <w:kern w:val="0"/>
                <w:lang w:eastAsia="zh-CN"/>
              </w:rPr>
            </w:pPr>
            <w:r>
              <w:rPr>
                <w:bCs/>
                <w:color w:val="auto"/>
              </w:rPr>
              <w:t>本项目</w:t>
            </w:r>
            <w:r>
              <w:rPr>
                <w:rFonts w:hint="eastAsia"/>
                <w:bCs/>
                <w:color w:val="auto"/>
                <w:lang w:eastAsia="zh-CN"/>
              </w:rPr>
              <w:t>选址位于</w:t>
            </w:r>
            <w:r>
              <w:rPr>
                <w:color w:val="auto"/>
                <w:kern w:val="0"/>
              </w:rPr>
              <w:t>中国-马来西亚钦州产业园区</w:t>
            </w:r>
            <w:r>
              <w:rPr>
                <w:rFonts w:hint="eastAsia"/>
                <w:color w:val="auto"/>
                <w:kern w:val="0"/>
              </w:rPr>
              <w:t>规划范围内</w:t>
            </w:r>
            <w:r>
              <w:rPr>
                <w:rFonts w:hint="eastAsia"/>
                <w:color w:val="auto"/>
                <w:kern w:val="0"/>
                <w:lang w:eastAsia="zh-CN"/>
              </w:rPr>
              <w:t>，</w:t>
            </w:r>
            <w:r>
              <w:rPr>
                <w:rFonts w:hint="eastAsia"/>
                <w:color w:val="auto"/>
                <w:kern w:val="0"/>
                <w:u w:val="single"/>
                <w:lang w:eastAsia="zh-CN"/>
              </w:rPr>
              <w:t>主要租用</w:t>
            </w:r>
            <w:r>
              <w:rPr>
                <w:rFonts w:hint="eastAsia"/>
                <w:bCs/>
                <w:color w:val="auto"/>
                <w:u w:val="single"/>
              </w:rPr>
              <w:t>钦州港片区中马钦州产业园区台湾中小企业园区</w:t>
            </w:r>
            <w:r>
              <w:rPr>
                <w:bCs/>
                <w:color w:val="auto"/>
                <w:u w:val="single"/>
              </w:rPr>
              <w:t>2</w:t>
            </w:r>
            <w:r>
              <w:rPr>
                <w:rFonts w:hint="eastAsia"/>
                <w:bCs/>
                <w:color w:val="auto"/>
                <w:u w:val="single"/>
              </w:rPr>
              <w:t>＃厂房第一层</w:t>
            </w:r>
            <w:r>
              <w:rPr>
                <w:rFonts w:hint="eastAsia"/>
                <w:bCs/>
                <w:color w:val="auto"/>
                <w:u w:val="single"/>
                <w:lang w:eastAsia="zh-CN"/>
              </w:rPr>
              <w:t>作为营业场所，该出租方为广西中马投控产业服务集团有限公司</w:t>
            </w:r>
            <w:r>
              <w:rPr>
                <w:rFonts w:hint="eastAsia"/>
                <w:color w:val="auto"/>
                <w:kern w:val="0"/>
                <w:highlight w:val="none"/>
                <w:u w:val="single"/>
                <w:lang w:eastAsia="zh-CN"/>
              </w:rPr>
              <w:t>（以下简称“中马投控</w:t>
            </w:r>
            <w:r>
              <w:rPr>
                <w:rFonts w:hint="eastAsia"/>
                <w:bCs/>
                <w:color w:val="auto"/>
                <w:u w:val="single"/>
                <w:lang w:eastAsia="zh-CN"/>
              </w:rPr>
              <w:t>公司</w:t>
            </w:r>
            <w:r>
              <w:rPr>
                <w:rFonts w:hint="eastAsia"/>
                <w:color w:val="auto"/>
                <w:kern w:val="0"/>
                <w:highlight w:val="none"/>
                <w:u w:val="single"/>
                <w:lang w:eastAsia="zh-CN"/>
              </w:rPr>
              <w:t>”）</w:t>
            </w:r>
            <w:r>
              <w:rPr>
                <w:rFonts w:hint="eastAsia"/>
                <w:bCs/>
                <w:color w:val="auto"/>
                <w:u w:val="single"/>
                <w:lang w:eastAsia="zh-CN"/>
              </w:rPr>
              <w:t>（见附件</w:t>
            </w:r>
            <w:r>
              <w:rPr>
                <w:rFonts w:hint="eastAsia"/>
                <w:bCs/>
                <w:color w:val="auto"/>
                <w:u w:val="single"/>
                <w:lang w:val="en-US" w:eastAsia="zh-CN"/>
              </w:rPr>
              <w:t>4</w:t>
            </w:r>
            <w:r>
              <w:rPr>
                <w:rFonts w:hint="eastAsia"/>
                <w:bCs/>
                <w:color w:val="auto"/>
                <w:u w:val="single"/>
                <w:lang w:eastAsia="zh-CN"/>
              </w:rPr>
              <w:t>）</w:t>
            </w:r>
            <w:r>
              <w:rPr>
                <w:rFonts w:hint="eastAsia"/>
                <w:color w:val="auto"/>
                <w:kern w:val="0"/>
                <w:u w:val="single"/>
              </w:rPr>
              <w:t>。</w:t>
            </w:r>
            <w:r>
              <w:rPr>
                <w:rFonts w:hint="eastAsia"/>
                <w:color w:val="auto"/>
                <w:kern w:val="0"/>
                <w:highlight w:val="none"/>
                <w:u w:val="single"/>
                <w:lang w:eastAsia="zh-CN"/>
              </w:rPr>
              <w:t>根据钦州市不动产证明（见附件</w:t>
            </w:r>
            <w:r>
              <w:rPr>
                <w:rFonts w:hint="eastAsia"/>
                <w:color w:val="auto"/>
                <w:kern w:val="0"/>
                <w:highlight w:val="none"/>
                <w:u w:val="single"/>
                <w:lang w:val="en-US" w:eastAsia="zh-CN"/>
              </w:rPr>
              <w:t>10</w:t>
            </w:r>
            <w:r>
              <w:rPr>
                <w:rFonts w:hint="eastAsia"/>
                <w:color w:val="auto"/>
                <w:kern w:val="0"/>
                <w:highlight w:val="none"/>
                <w:u w:val="single"/>
                <w:lang w:eastAsia="zh-CN"/>
              </w:rPr>
              <w:t>），项目所在的厂房用地性质为工业用地，权利人为广西中马钦州产业园区万润物产管理有限公司（以下简称“万润物产</w:t>
            </w:r>
            <w:r>
              <w:rPr>
                <w:rFonts w:hint="eastAsia"/>
                <w:bCs/>
                <w:color w:val="auto"/>
                <w:u w:val="single"/>
                <w:lang w:eastAsia="zh-CN"/>
              </w:rPr>
              <w:t>公司</w:t>
            </w:r>
            <w:r>
              <w:rPr>
                <w:rFonts w:hint="eastAsia"/>
                <w:color w:val="auto"/>
                <w:kern w:val="0"/>
                <w:highlight w:val="none"/>
                <w:u w:val="single"/>
                <w:lang w:eastAsia="zh-CN"/>
              </w:rPr>
              <w:t>”）。由附件</w:t>
            </w:r>
            <w:r>
              <w:rPr>
                <w:rFonts w:hint="eastAsia"/>
                <w:color w:val="auto"/>
                <w:kern w:val="0"/>
                <w:highlight w:val="none"/>
                <w:u w:val="single"/>
                <w:lang w:val="en-US" w:eastAsia="zh-CN"/>
              </w:rPr>
              <w:t>11委托租赁及运营管理协议（合同编号：CFIT-ZS-WTXY-2024-126）证明，“</w:t>
            </w:r>
            <w:r>
              <w:rPr>
                <w:rFonts w:hint="eastAsia"/>
                <w:bCs/>
                <w:color w:val="auto"/>
                <w:u w:val="single"/>
                <w:lang w:eastAsia="zh-CN"/>
              </w:rPr>
              <w:t>中马投控公司</w:t>
            </w:r>
            <w:r>
              <w:rPr>
                <w:rFonts w:hint="eastAsia"/>
                <w:color w:val="auto"/>
                <w:kern w:val="0"/>
                <w:highlight w:val="none"/>
                <w:u w:val="single"/>
                <w:lang w:val="en-US" w:eastAsia="zh-CN"/>
              </w:rPr>
              <w:t>”</w:t>
            </w:r>
            <w:r>
              <w:rPr>
                <w:rFonts w:hint="eastAsia"/>
                <w:bCs/>
                <w:color w:val="auto"/>
                <w:u w:val="single"/>
                <w:lang w:eastAsia="zh-CN"/>
              </w:rPr>
              <w:t>和“</w:t>
            </w:r>
            <w:r>
              <w:rPr>
                <w:rFonts w:hint="eastAsia"/>
                <w:color w:val="auto"/>
                <w:kern w:val="0"/>
                <w:highlight w:val="none"/>
                <w:u w:val="single"/>
                <w:lang w:eastAsia="zh-CN"/>
              </w:rPr>
              <w:t>万润物产公司</w:t>
            </w:r>
            <w:r>
              <w:rPr>
                <w:rFonts w:hint="eastAsia"/>
                <w:bCs/>
                <w:color w:val="auto"/>
                <w:u w:val="single"/>
                <w:lang w:eastAsia="zh-CN"/>
              </w:rPr>
              <w:t>”</w:t>
            </w:r>
            <w:r>
              <w:rPr>
                <w:rFonts w:hint="eastAsia"/>
                <w:color w:val="auto"/>
                <w:kern w:val="0"/>
                <w:highlight w:val="none"/>
                <w:u w:val="single"/>
                <w:lang w:eastAsia="zh-CN"/>
              </w:rPr>
              <w:t>同为广西中马钦州产业园区投资控股集团有限公司下属全资子公司，主要为更好开展租赁工作，将“万润物产公司”相关房屋资产委托</w:t>
            </w:r>
            <w:r>
              <w:rPr>
                <w:rFonts w:hint="eastAsia"/>
                <w:color w:val="auto"/>
                <w:kern w:val="0"/>
                <w:highlight w:val="none"/>
                <w:u w:val="single"/>
                <w:lang w:val="en-US" w:eastAsia="zh-CN"/>
              </w:rPr>
              <w:t>“</w:t>
            </w:r>
            <w:r>
              <w:rPr>
                <w:rFonts w:hint="eastAsia"/>
                <w:bCs/>
                <w:color w:val="auto"/>
                <w:u w:val="single"/>
                <w:lang w:eastAsia="zh-CN"/>
              </w:rPr>
              <w:t>中马投控公司</w:t>
            </w:r>
            <w:r>
              <w:rPr>
                <w:rFonts w:hint="eastAsia"/>
                <w:color w:val="auto"/>
                <w:kern w:val="0"/>
                <w:highlight w:val="none"/>
                <w:u w:val="single"/>
                <w:lang w:val="en-US" w:eastAsia="zh-CN"/>
              </w:rPr>
              <w:t>”进行出租管理和运营管理（见附件11）</w:t>
            </w:r>
            <w:r>
              <w:rPr>
                <w:rFonts w:hint="eastAsia"/>
                <w:color w:val="auto"/>
                <w:kern w:val="0"/>
                <w:highlight w:val="none"/>
                <w:u w:val="single"/>
                <w:lang w:eastAsia="zh-CN"/>
              </w:rPr>
              <w:t>，另外，</w:t>
            </w:r>
            <w:r>
              <w:rPr>
                <w:rFonts w:hint="eastAsia"/>
                <w:color w:val="auto"/>
                <w:kern w:val="0"/>
              </w:rPr>
              <w:t>根据中马产业园土地利用规划</w:t>
            </w:r>
            <w:r>
              <w:rPr>
                <w:rFonts w:hint="eastAsia"/>
                <w:color w:val="auto"/>
                <w:kern w:val="0"/>
                <w:lang w:eastAsia="zh-CN"/>
              </w:rPr>
              <w:t>（</w:t>
            </w:r>
            <w:r>
              <w:rPr>
                <w:rFonts w:hint="eastAsia"/>
                <w:color w:val="auto"/>
                <w:kern w:val="0"/>
                <w:lang w:val="en-US" w:eastAsia="zh-CN"/>
              </w:rPr>
              <w:t>见附图9</w:t>
            </w:r>
            <w:r>
              <w:rPr>
                <w:rFonts w:hint="eastAsia"/>
                <w:color w:val="auto"/>
                <w:kern w:val="0"/>
                <w:lang w:eastAsia="zh-CN"/>
              </w:rPr>
              <w:t>）</w:t>
            </w:r>
            <w:r>
              <w:rPr>
                <w:rFonts w:hint="eastAsia"/>
                <w:color w:val="auto"/>
                <w:kern w:val="0"/>
              </w:rPr>
              <w:t>，项目所在地为工业用地</w:t>
            </w:r>
            <w:r>
              <w:rPr>
                <w:rFonts w:hint="eastAsia"/>
                <w:color w:val="auto"/>
                <w:kern w:val="0"/>
                <w:lang w:eastAsia="zh-CN"/>
              </w:rPr>
              <w:t>。由此可知，项目建设用地性质合理。</w:t>
            </w:r>
          </w:p>
          <w:p w14:paraId="417E9FA1">
            <w:pPr>
              <w:ind w:firstLine="480" w:firstLineChars="200"/>
              <w:rPr>
                <w:rFonts w:hint="eastAsia" w:eastAsia="宋体"/>
                <w:color w:val="auto"/>
                <w:lang w:eastAsia="zh-CN"/>
              </w:rPr>
            </w:pPr>
            <w:r>
              <w:rPr>
                <w:rFonts w:hint="eastAsia"/>
                <w:color w:val="auto"/>
                <w:kern w:val="0"/>
                <w:lang w:eastAsia="zh-CN"/>
              </w:rPr>
              <w:t>此外，</w:t>
            </w:r>
            <w:r>
              <w:rPr>
                <w:rFonts w:hint="eastAsia"/>
                <w:color w:val="auto"/>
                <w:kern w:val="0"/>
              </w:rPr>
              <w:t>项目</w:t>
            </w:r>
            <w:r>
              <w:rPr>
                <w:bCs/>
                <w:color w:val="auto"/>
              </w:rPr>
              <w:t>评价区域内无风景名胜区、自然保护区及文化遗产等特殊保护目标，生态环境不属于敏感区</w:t>
            </w:r>
            <w:r>
              <w:rPr>
                <w:color w:val="auto"/>
              </w:rPr>
              <w:t>，</w:t>
            </w:r>
            <w:r>
              <w:rPr>
                <w:rFonts w:hint="eastAsia"/>
                <w:color w:val="auto"/>
                <w:lang w:eastAsia="zh-CN"/>
              </w:rPr>
              <w:t>项目在</w:t>
            </w:r>
            <w:r>
              <w:rPr>
                <w:rFonts w:hint="eastAsia"/>
                <w:color w:val="auto"/>
              </w:rPr>
              <w:t>严格按照环评要求采取环保措施</w:t>
            </w:r>
            <w:r>
              <w:rPr>
                <w:rFonts w:hint="eastAsia"/>
                <w:color w:val="auto"/>
                <w:lang w:eastAsia="zh-CN"/>
              </w:rPr>
              <w:t>情况下</w:t>
            </w:r>
            <w:r>
              <w:rPr>
                <w:rFonts w:hint="eastAsia"/>
                <w:color w:val="auto"/>
              </w:rPr>
              <w:t>，对环境的影响</w:t>
            </w:r>
            <w:r>
              <w:rPr>
                <w:rFonts w:hint="eastAsia"/>
                <w:color w:val="auto"/>
                <w:lang w:eastAsia="zh-CN"/>
              </w:rPr>
              <w:t>不大。</w:t>
            </w:r>
          </w:p>
          <w:p w14:paraId="27E817BA">
            <w:pPr>
              <w:ind w:firstLine="480" w:firstLineChars="200"/>
              <w:rPr>
                <w:color w:val="auto"/>
              </w:rPr>
            </w:pPr>
            <w:r>
              <w:rPr>
                <w:rFonts w:hint="eastAsia"/>
                <w:color w:val="auto"/>
                <w:lang w:eastAsia="zh-CN"/>
              </w:rPr>
              <w:t>综上，</w:t>
            </w:r>
            <w:r>
              <w:rPr>
                <w:color w:val="auto"/>
              </w:rPr>
              <w:t>本项目选址合理。</w:t>
            </w:r>
          </w:p>
          <w:p w14:paraId="40BD999A">
            <w:pPr>
              <w:ind w:firstLine="482" w:firstLineChars="200"/>
              <w:rPr>
                <w:b/>
                <w:color w:val="auto"/>
              </w:rPr>
            </w:pPr>
            <w:r>
              <w:rPr>
                <w:b/>
                <w:color w:val="auto"/>
              </w:rPr>
              <w:t>3、“三线一单”符合性分析</w:t>
            </w:r>
          </w:p>
          <w:p w14:paraId="7CD2671A">
            <w:pPr>
              <w:ind w:firstLine="480" w:firstLineChars="200"/>
              <w:rPr>
                <w:color w:val="auto"/>
              </w:rPr>
            </w:pPr>
            <w:r>
              <w:rPr>
                <w:color w:val="auto"/>
              </w:rPr>
              <w:t>根据《钦州市人民政府关于印发钦州市“三线一单”生态环境分区管控实施意见的通知》（钦政发〔2021〕13号），项目“三线一单”符合性分析如下：</w:t>
            </w:r>
          </w:p>
          <w:p w14:paraId="64E6BE17">
            <w:pPr>
              <w:ind w:firstLine="480" w:firstLineChars="200"/>
              <w:rPr>
                <w:color w:val="auto"/>
              </w:rPr>
            </w:pPr>
            <w:r>
              <w:rPr>
                <w:color w:val="auto"/>
              </w:rPr>
              <w:t>“三线一单”指的是生态保护红线、环境质量底线、资源利用上线和生态环境准入清单。</w:t>
            </w:r>
          </w:p>
          <w:p w14:paraId="00AA42E6">
            <w:pPr>
              <w:ind w:firstLine="480" w:firstLineChars="200"/>
              <w:rPr>
                <w:color w:val="auto"/>
              </w:rPr>
            </w:pPr>
            <w:r>
              <w:rPr>
                <w:rFonts w:hint="eastAsia" w:ascii="宋体" w:hAnsi="宋体" w:cs="宋体"/>
                <w:color w:val="auto"/>
              </w:rPr>
              <w:t>①</w:t>
            </w:r>
            <w:r>
              <w:rPr>
                <w:color w:val="auto"/>
              </w:rPr>
              <w:t>生态保护红线</w:t>
            </w:r>
          </w:p>
          <w:p w14:paraId="53F4D138">
            <w:pPr>
              <w:adjustRightInd w:val="0"/>
              <w:snapToGrid w:val="0"/>
              <w:spacing w:line="372" w:lineRule="auto"/>
              <w:ind w:firstLine="480" w:firstLineChars="200"/>
              <w:rPr>
                <w:color w:val="auto"/>
                <w:kern w:val="0"/>
              </w:rPr>
            </w:pPr>
            <w:r>
              <w:rPr>
                <w:color w:val="auto"/>
              </w:rPr>
              <w:t>项目用地位于</w:t>
            </w:r>
            <w:r>
              <w:rPr>
                <w:rFonts w:hint="eastAsia"/>
                <w:color w:val="auto"/>
              </w:rPr>
              <w:t xml:space="preserve">钦州港片区中马钦州产业园区台湾中小企业园区2＃厂房第一层 </w:t>
            </w:r>
            <w:r>
              <w:rPr>
                <w:color w:val="auto"/>
                <w:szCs w:val="22"/>
              </w:rPr>
              <w:t>，</w:t>
            </w:r>
            <w:r>
              <w:rPr>
                <w:rFonts w:hint="eastAsia"/>
                <w:color w:val="auto"/>
                <w:szCs w:val="22"/>
              </w:rPr>
              <w:t>属于</w:t>
            </w:r>
            <w:r>
              <w:rPr>
                <w:color w:val="auto"/>
                <w:kern w:val="0"/>
              </w:rPr>
              <w:t>中国-马来西亚钦州产业园区</w:t>
            </w:r>
            <w:r>
              <w:rPr>
                <w:rFonts w:hint="eastAsia"/>
                <w:color w:val="auto"/>
                <w:kern w:val="0"/>
              </w:rPr>
              <w:t>规划范围内</w:t>
            </w:r>
            <w:r>
              <w:rPr>
                <w:color w:val="auto"/>
              </w:rPr>
              <w:t>，属于</w:t>
            </w:r>
            <w:r>
              <w:rPr>
                <w:rFonts w:hint="eastAsia"/>
                <w:color w:val="auto"/>
              </w:rPr>
              <w:t>（</w:t>
            </w:r>
            <w:r>
              <w:rPr>
                <w:color w:val="auto"/>
              </w:rPr>
              <w:t>钦政发</w:t>
            </w:r>
            <w:r>
              <w:rPr>
                <w:rFonts w:hint="eastAsia"/>
                <w:color w:val="auto"/>
              </w:rPr>
              <w:t>〔</w:t>
            </w:r>
            <w:r>
              <w:rPr>
                <w:color w:val="auto"/>
              </w:rPr>
              <w:t>2021</w:t>
            </w:r>
            <w:r>
              <w:rPr>
                <w:rFonts w:hint="eastAsia"/>
                <w:color w:val="auto"/>
              </w:rPr>
              <w:t>〕</w:t>
            </w:r>
            <w:r>
              <w:rPr>
                <w:color w:val="auto"/>
              </w:rPr>
              <w:t>13号</w:t>
            </w:r>
            <w:r>
              <w:rPr>
                <w:rFonts w:hint="eastAsia"/>
                <w:color w:val="auto"/>
              </w:rPr>
              <w:t>）</w:t>
            </w:r>
            <w:r>
              <w:rPr>
                <w:color w:val="auto"/>
              </w:rPr>
              <w:t>中确定的</w:t>
            </w:r>
            <w:r>
              <w:rPr>
                <w:rFonts w:hint="eastAsia"/>
                <w:color w:val="auto"/>
                <w:kern w:val="0"/>
              </w:rPr>
              <w:t>中国－马来西亚钦州产业园区重点管控单元</w:t>
            </w:r>
            <w:r>
              <w:rPr>
                <w:color w:val="auto"/>
              </w:rPr>
              <w:t>，不在优先保护单元内，不属于国家级和省级禁止开发区风景名胜区、饮用水保护区等，不涉及生态保护红</w:t>
            </w:r>
            <w:r>
              <w:rPr>
                <w:rFonts w:hint="eastAsia"/>
                <w:color w:val="auto"/>
                <w:lang w:val="en-US" w:eastAsia="zh-CN"/>
              </w:rPr>
              <w:t>线</w:t>
            </w:r>
            <w:r>
              <w:rPr>
                <w:color w:val="auto"/>
              </w:rPr>
              <w:t>，项目用地不涉及国家公园、自然保护区。</w:t>
            </w:r>
            <w:r>
              <w:rPr>
                <w:rFonts w:hint="eastAsia"/>
                <w:color w:val="auto"/>
              </w:rPr>
              <w:t>根据后文表1</w:t>
            </w:r>
            <w:r>
              <w:rPr>
                <w:color w:val="auto"/>
              </w:rPr>
              <w:t>-1</w:t>
            </w:r>
            <w:r>
              <w:rPr>
                <w:rFonts w:hint="eastAsia"/>
                <w:color w:val="auto"/>
              </w:rPr>
              <w:t>分析对比结果，</w:t>
            </w:r>
            <w:r>
              <w:rPr>
                <w:rFonts w:hint="eastAsia"/>
                <w:color w:val="auto"/>
                <w:kern w:val="0"/>
              </w:rPr>
              <w:t>项目建设符合《钦州市人民政府关于印发钦州市“三线一单”生态环境分区管控实施意见的通知》（钦政发〔2021〕13号）生态管控要求。</w:t>
            </w:r>
          </w:p>
          <w:p w14:paraId="2FEFCD92">
            <w:pPr>
              <w:ind w:firstLine="480" w:firstLineChars="200"/>
              <w:rPr>
                <w:color w:val="auto"/>
              </w:rPr>
            </w:pPr>
            <w:r>
              <w:rPr>
                <w:rFonts w:hint="eastAsia" w:ascii="宋体" w:hAnsi="宋体" w:cs="宋体"/>
                <w:color w:val="auto"/>
              </w:rPr>
              <w:t>②</w:t>
            </w:r>
            <w:r>
              <w:rPr>
                <w:color w:val="auto"/>
              </w:rPr>
              <w:t>环境质量底线</w:t>
            </w:r>
          </w:p>
          <w:p w14:paraId="0D1441F3">
            <w:pPr>
              <w:ind w:firstLine="480" w:firstLineChars="200"/>
              <w:rPr>
                <w:rStyle w:val="31"/>
                <w:color w:val="auto"/>
              </w:rPr>
            </w:pPr>
            <w:r>
              <w:rPr>
                <w:rFonts w:hint="eastAsia"/>
                <w:color w:val="auto"/>
              </w:rPr>
              <w:t>本项目区域环境空气功能区为二类功能区，执行《环境空气质量标准》(GB3095-2012)及其2018年修改单二级标准。根据钦州市生态环境局网站公布的《钦州市生态环境局关于2023年环境空气质量的通报》，2023年钦州港片区AQI优良率为99.2%，其</w:t>
            </w:r>
            <w:r>
              <w:rPr>
                <w:color w:val="auto"/>
              </w:rPr>
              <w:t>6项主要空气污染物指标SO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、O</w:t>
            </w:r>
            <w:r>
              <w:rPr>
                <w:color w:val="auto"/>
                <w:vertAlign w:val="subscript"/>
              </w:rPr>
              <w:t>3</w:t>
            </w:r>
            <w:r>
              <w:rPr>
                <w:color w:val="auto"/>
              </w:rPr>
              <w:t>、CO全部达到《环境空气质量标准》（GB3095-2012）二级标准</w:t>
            </w:r>
            <w:r>
              <w:rPr>
                <w:rFonts w:hint="eastAsia"/>
                <w:color w:val="auto"/>
              </w:rPr>
              <w:t>。本项目排放的大气污染物采取本评价提出的相应措施后，废气均能达标排放，对周边环境影响较小，不会改变项目所在区域的大气环境功能，不会突破区域空气环境质量底线。</w:t>
            </w:r>
          </w:p>
          <w:p w14:paraId="4C15976C">
            <w:pPr>
              <w:ind w:firstLine="480" w:firstLineChars="200"/>
              <w:rPr>
                <w:color w:val="auto"/>
              </w:rPr>
            </w:pPr>
            <w:r>
              <w:rPr>
                <w:rFonts w:hint="eastAsia"/>
                <w:color w:val="auto"/>
              </w:rPr>
              <w:t>本项目冷却水循环使用，不外排；生活污水经化粪池处理后排入园区污水管网，最后输送至大榄坪污水处理厂进一步处理，不直接排放进入地表水。</w:t>
            </w:r>
          </w:p>
          <w:p w14:paraId="5AF22B0A">
            <w:pPr>
              <w:ind w:firstLine="480" w:firstLineChars="200"/>
              <w:rPr>
                <w:color w:val="auto"/>
              </w:rPr>
            </w:pPr>
            <w:r>
              <w:rPr>
                <w:rFonts w:hint="eastAsia"/>
                <w:color w:val="auto"/>
              </w:rPr>
              <w:t>本项目所在区域以工业生产为主要功能，区域执行</w:t>
            </w:r>
            <w:r>
              <w:rPr>
                <w:color w:val="auto"/>
              </w:rPr>
              <w:t>《声环境质量标准》（GB3096-2008）3类标准</w:t>
            </w:r>
            <w:r>
              <w:rPr>
                <w:rFonts w:hint="eastAsia"/>
                <w:color w:val="auto"/>
              </w:rPr>
              <w:t>，经现场监测，项目厂界</w:t>
            </w:r>
            <w:r>
              <w:rPr>
                <w:rFonts w:hint="eastAsia"/>
                <w:color w:val="auto"/>
                <w:lang w:eastAsia="zh-CN"/>
              </w:rPr>
              <w:t>均</w:t>
            </w:r>
            <w:r>
              <w:rPr>
                <w:rFonts w:hint="eastAsia"/>
                <w:color w:val="auto"/>
              </w:rPr>
              <w:t>达到</w:t>
            </w:r>
            <w:r>
              <w:rPr>
                <w:color w:val="auto"/>
              </w:rPr>
              <w:t>《声环境质量标准》（GB3096-2008）</w:t>
            </w:r>
            <w:r>
              <w:rPr>
                <w:rFonts w:hint="eastAsia"/>
                <w:color w:val="auto"/>
              </w:rPr>
              <w:t>3类</w:t>
            </w:r>
            <w:r>
              <w:rPr>
                <w:color w:val="auto"/>
              </w:rPr>
              <w:t>标准</w:t>
            </w:r>
            <w:r>
              <w:rPr>
                <w:rFonts w:hint="eastAsia"/>
                <w:color w:val="auto"/>
              </w:rPr>
              <w:t>。本项目通过优先选用低噪型设备、加强对噪声设备的维护和保养、隔音、距离衰减等措施后，可实现厂界达标排放，其噪声对周边环境影响较小，不会改变项目所在区域的声环境功能，不会突破区域声环境质量底线。</w:t>
            </w:r>
          </w:p>
          <w:p w14:paraId="77096AC7">
            <w:pPr>
              <w:ind w:firstLine="480" w:firstLineChars="200"/>
              <w:rPr>
                <w:color w:val="auto"/>
              </w:rPr>
            </w:pPr>
            <w:r>
              <w:rPr>
                <w:color w:val="auto"/>
              </w:rPr>
              <w:t>经综合分析，项目废气、废水、噪声等污染物经治理后均可实现达标排放，项目的实施不会导致区域环境质量等级的改变，不会对区域环境质量底线造成冲击影响。因此，本项目建设符合环境质量底线要求。</w:t>
            </w:r>
          </w:p>
          <w:p w14:paraId="7CAD739E">
            <w:pPr>
              <w:ind w:firstLine="480" w:firstLineChars="200"/>
              <w:rPr>
                <w:color w:val="auto"/>
              </w:rPr>
            </w:pPr>
            <w:r>
              <w:rPr>
                <w:rFonts w:hint="eastAsia" w:ascii="宋体" w:hAnsi="宋体" w:cs="宋体"/>
                <w:color w:val="auto"/>
              </w:rPr>
              <w:t>③</w:t>
            </w:r>
            <w:r>
              <w:rPr>
                <w:color w:val="auto"/>
              </w:rPr>
              <w:t>资源利用上线</w:t>
            </w:r>
          </w:p>
          <w:p w14:paraId="248DBB1F">
            <w:pPr>
              <w:ind w:firstLine="480" w:firstLineChars="200"/>
              <w:rPr>
                <w:color w:val="auto"/>
              </w:rPr>
            </w:pPr>
            <w:r>
              <w:rPr>
                <w:color w:val="auto"/>
              </w:rPr>
              <w:t>本项目营运过程中消耗一定量的电源、水资源等，项目资源消耗量相对区域资源利用总量较少，不突破资源利用上限。</w:t>
            </w:r>
          </w:p>
          <w:p w14:paraId="25EA15B5">
            <w:pPr>
              <w:ind w:firstLine="480" w:firstLineChars="200"/>
              <w:rPr>
                <w:color w:val="auto"/>
              </w:rPr>
            </w:pPr>
            <w:r>
              <w:rPr>
                <w:rFonts w:hint="eastAsia" w:ascii="宋体" w:hAnsi="宋体" w:cs="宋体"/>
                <w:color w:val="auto"/>
              </w:rPr>
              <w:t>④</w:t>
            </w:r>
            <w:r>
              <w:rPr>
                <w:rFonts w:hint="eastAsia"/>
                <w:color w:val="auto"/>
              </w:rPr>
              <w:t>环境准入负面清单</w:t>
            </w:r>
          </w:p>
          <w:p w14:paraId="2DC291DF">
            <w:pPr>
              <w:ind w:firstLine="480" w:firstLineChars="200"/>
              <w:rPr>
                <w:color w:val="auto"/>
              </w:rPr>
            </w:pPr>
            <w:r>
              <w:rPr>
                <w:rFonts w:hint="eastAsia"/>
                <w:color w:val="auto"/>
              </w:rPr>
              <w:t>本项目位于</w:t>
            </w:r>
            <w:r>
              <w:rPr>
                <w:color w:val="auto"/>
                <w:kern w:val="0"/>
              </w:rPr>
              <w:t>中国-马来西亚钦州产业园区</w:t>
            </w:r>
            <w:r>
              <w:rPr>
                <w:rFonts w:hint="eastAsia"/>
                <w:color w:val="auto"/>
              </w:rPr>
              <w:t>，</w:t>
            </w:r>
            <w:r>
              <w:rPr>
                <w:color w:val="auto"/>
              </w:rPr>
              <w:t>根据</w:t>
            </w:r>
            <w:r>
              <w:rPr>
                <w:rFonts w:hint="eastAsia"/>
                <w:color w:val="auto"/>
              </w:rPr>
              <w:t>《广西壮族自治区</w:t>
            </w:r>
            <w:bookmarkStart w:id="25" w:name="OLE_LINK14"/>
            <w:r>
              <w:rPr>
                <w:rFonts w:hint="eastAsia"/>
                <w:color w:val="auto"/>
              </w:rPr>
              <w:t>重点生态功能区县</w:t>
            </w:r>
            <w:bookmarkEnd w:id="25"/>
            <w:r>
              <w:rPr>
                <w:rFonts w:hint="eastAsia"/>
                <w:color w:val="auto"/>
              </w:rPr>
              <w:t>产业准入负面清单调整方案》（2024年4月）生态环境准入清单及</w:t>
            </w:r>
            <w:r>
              <w:rPr>
                <w:color w:val="auto"/>
              </w:rPr>
              <w:t>《广西第二批重点生态功能区产业准入负面清单》（</w:t>
            </w:r>
            <w:r>
              <w:rPr>
                <w:rFonts w:hint="eastAsia"/>
                <w:color w:val="auto"/>
              </w:rPr>
              <w:t>试行</w:t>
            </w:r>
            <w:r>
              <w:rPr>
                <w:color w:val="auto"/>
              </w:rPr>
              <w:t>）</w:t>
            </w:r>
            <w:r>
              <w:rPr>
                <w:rFonts w:hint="eastAsia"/>
                <w:color w:val="auto"/>
              </w:rPr>
              <w:t>可知，本项目</w:t>
            </w:r>
            <w:r>
              <w:rPr>
                <w:color w:val="auto"/>
              </w:rPr>
              <w:t>不属于广西</w:t>
            </w:r>
            <w:r>
              <w:rPr>
                <w:rFonts w:hint="eastAsia"/>
                <w:color w:val="auto"/>
              </w:rPr>
              <w:t>30</w:t>
            </w:r>
            <w:r>
              <w:rPr>
                <w:color w:val="auto"/>
              </w:rPr>
              <w:t>个国家重点生态功能区县，亦不涉及广西第二批重点生态功能区</w:t>
            </w:r>
            <w:r>
              <w:rPr>
                <w:rFonts w:hint="eastAsia"/>
                <w:color w:val="auto"/>
              </w:rPr>
              <w:t>，因此，</w:t>
            </w:r>
            <w:r>
              <w:rPr>
                <w:color w:val="auto"/>
              </w:rPr>
              <w:t>本项目不在负面清单内</w:t>
            </w:r>
            <w:r>
              <w:rPr>
                <w:rFonts w:hint="eastAsia"/>
                <w:color w:val="auto"/>
              </w:rPr>
              <w:t>。</w:t>
            </w:r>
          </w:p>
          <w:p w14:paraId="1199556D">
            <w:pPr>
              <w:adjustRightInd w:val="0"/>
              <w:snapToGrid w:val="0"/>
              <w:spacing w:line="372" w:lineRule="auto"/>
              <w:ind w:firstLine="482" w:firstLineChars="200"/>
              <w:rPr>
                <w:b/>
                <w:bCs/>
                <w:color w:val="auto"/>
                <w:kern w:val="0"/>
              </w:rPr>
            </w:pPr>
            <w:r>
              <w:rPr>
                <w:rFonts w:hint="eastAsia"/>
                <w:b/>
                <w:bCs/>
                <w:color w:val="auto"/>
                <w:kern w:val="0"/>
              </w:rPr>
              <w:t>5、与《广西壮族自治区人民政府办公厅关于印发北钦防一体化产业协同发展限制布局清单（工业类2021年版）的通知》（桂政办函〔2021〕4号）相符性分析</w:t>
            </w:r>
          </w:p>
          <w:p w14:paraId="32A9DE21">
            <w:pPr>
              <w:adjustRightInd w:val="0"/>
              <w:snapToGrid w:val="0"/>
              <w:spacing w:line="372" w:lineRule="auto"/>
              <w:ind w:firstLine="480" w:firstLineChars="200"/>
              <w:rPr>
                <w:b/>
                <w:bCs/>
                <w:color w:val="auto"/>
                <w:kern w:val="0"/>
              </w:rPr>
            </w:pPr>
            <w:r>
              <w:rPr>
                <w:rFonts w:hint="eastAsia"/>
                <w:color w:val="auto"/>
                <w:kern w:val="0"/>
              </w:rPr>
              <w:t>项目位属钦州港中马片区，根据（桂政办函〔2021〕4号）中“二、钦州市中2.中国-马来西亚钦州产业园区”限制的布局行业有“（1）纸浆制造；（2）原油加工及石油制品制造；（3）水泥制造；（4）建筑陶瓷制品制造；（5）有色金属冶炼。”本项目属于</w:t>
            </w:r>
            <w:bookmarkStart w:id="26" w:name="OLE_LINK16"/>
            <w:r>
              <w:rPr>
                <w:rFonts w:hint="eastAsia"/>
                <w:color w:val="auto"/>
                <w:kern w:val="0"/>
              </w:rPr>
              <w:t>塑料制品业</w:t>
            </w:r>
            <w:bookmarkEnd w:id="26"/>
            <w:r>
              <w:rPr>
                <w:rFonts w:hint="eastAsia"/>
                <w:color w:val="auto"/>
                <w:kern w:val="0"/>
              </w:rPr>
              <w:t>，不在限制清单内，因此，符合（桂政办函〔2021〕4号）的要求。</w:t>
            </w:r>
          </w:p>
          <w:p w14:paraId="3A737FD4">
            <w:pPr>
              <w:adjustRightInd w:val="0"/>
              <w:snapToGrid w:val="0"/>
              <w:spacing w:line="372" w:lineRule="auto"/>
              <w:ind w:firstLine="482" w:firstLineChars="200"/>
              <w:rPr>
                <w:b/>
                <w:bCs/>
                <w:color w:val="auto"/>
                <w:kern w:val="0"/>
              </w:rPr>
            </w:pPr>
            <w:r>
              <w:rPr>
                <w:rFonts w:hint="eastAsia"/>
                <w:b/>
                <w:bCs/>
                <w:color w:val="auto"/>
                <w:kern w:val="0"/>
              </w:rPr>
              <w:t>6、与《钦州市</w:t>
            </w:r>
            <w:r>
              <w:rPr>
                <w:b/>
                <w:bCs/>
                <w:color w:val="auto"/>
                <w:kern w:val="0"/>
              </w:rPr>
              <w:t>人民政府关于印发钦州市“三线一单”生态环境分区管控实施意见的通知</w:t>
            </w:r>
            <w:r>
              <w:rPr>
                <w:rFonts w:hint="eastAsia"/>
                <w:b/>
                <w:bCs/>
                <w:color w:val="auto"/>
                <w:kern w:val="0"/>
              </w:rPr>
              <w:t>》</w:t>
            </w:r>
            <w:r>
              <w:rPr>
                <w:b/>
                <w:bCs/>
                <w:color w:val="auto"/>
                <w:kern w:val="0"/>
              </w:rPr>
              <w:t>（钦政发〔2021〕13号</w:t>
            </w:r>
            <w:r>
              <w:rPr>
                <w:rFonts w:hint="eastAsia"/>
                <w:b/>
                <w:bCs/>
                <w:color w:val="auto"/>
                <w:kern w:val="0"/>
              </w:rPr>
              <w:t>）符合性分析</w:t>
            </w:r>
          </w:p>
          <w:p w14:paraId="624BBE7B">
            <w:pPr>
              <w:adjustRightInd w:val="0"/>
              <w:snapToGrid w:val="0"/>
              <w:spacing w:line="372" w:lineRule="auto"/>
              <w:ind w:firstLine="480" w:firstLineChars="200"/>
              <w:rPr>
                <w:color w:val="auto"/>
                <w:kern w:val="0"/>
              </w:rPr>
            </w:pPr>
            <w:r>
              <w:rPr>
                <w:color w:val="auto"/>
                <w:kern w:val="0"/>
              </w:rPr>
              <w:t>根据《钦州市人民政府关于印发钦州市“三线一单”生态环境分区管控实施意见的通知》（钦政发〔2021〕13号），钦州市全市共划定陆域环境管控单元61个，分为优先保护单元、重点管控单元和一般管控单元3类，实施分类管控。陆域优先保护单元主要包括生态保护红线、一般生态空间、县级以上饮用水水源保护区、环境空气一类功能区等生态功能区域，划定优先保护单元31个；重点管控单元主要包括工业园区、县级以上城镇中心城区及规划区、矿产开采区、钦州港区等开发强度高、污染物排放强度大的区域，以及环境问题相对集中的区域，划定重点管控单元26个；一般管控单元为优先保护单元、重点管控单元以外的区域，衔接乡镇边界形成管控单元，划定一般管控单元4个。</w:t>
            </w:r>
          </w:p>
          <w:p w14:paraId="616801D5">
            <w:pPr>
              <w:adjustRightInd w:val="0"/>
              <w:snapToGrid w:val="0"/>
              <w:spacing w:line="372" w:lineRule="auto"/>
              <w:ind w:firstLine="480" w:firstLineChars="200"/>
              <w:rPr>
                <w:color w:val="auto"/>
                <w:kern w:val="0"/>
              </w:rPr>
            </w:pPr>
            <w:r>
              <w:rPr>
                <w:color w:val="auto"/>
                <w:kern w:val="0"/>
              </w:rPr>
              <w:t>根据钦州市陆域环境管控单元分类图，本项目位于</w:t>
            </w:r>
            <w:r>
              <w:rPr>
                <w:rFonts w:hint="eastAsia"/>
                <w:color w:val="auto"/>
              </w:rPr>
              <w:t xml:space="preserve">钦州港片区中马钦州产业园区台湾中小企业园区2＃厂房第一层 </w:t>
            </w:r>
            <w:r>
              <w:rPr>
                <w:color w:val="auto"/>
                <w:szCs w:val="22"/>
              </w:rPr>
              <w:t>，</w:t>
            </w:r>
            <w:r>
              <w:rPr>
                <w:rFonts w:hint="eastAsia"/>
                <w:color w:val="auto"/>
                <w:szCs w:val="22"/>
              </w:rPr>
              <w:t>属于</w:t>
            </w:r>
            <w:r>
              <w:rPr>
                <w:color w:val="auto"/>
                <w:kern w:val="0"/>
              </w:rPr>
              <w:t>中国-马来西亚钦州产业园区</w:t>
            </w:r>
            <w:r>
              <w:rPr>
                <w:rFonts w:hint="eastAsia"/>
                <w:color w:val="auto"/>
                <w:kern w:val="0"/>
              </w:rPr>
              <w:t>规划范围内</w:t>
            </w:r>
            <w:r>
              <w:rPr>
                <w:color w:val="auto"/>
                <w:kern w:val="0"/>
              </w:rPr>
              <w:t>，属于</w:t>
            </w:r>
            <w:r>
              <w:rPr>
                <w:rFonts w:hint="eastAsia"/>
                <w:color w:val="auto"/>
                <w:kern w:val="0"/>
              </w:rPr>
              <w:t>中国－马来西亚钦州产业园区重点管控单元</w:t>
            </w:r>
            <w:r>
              <w:rPr>
                <w:color w:val="auto"/>
                <w:kern w:val="0"/>
              </w:rPr>
              <w:t>（详见附图</w:t>
            </w:r>
            <w:r>
              <w:rPr>
                <w:rFonts w:hint="eastAsia"/>
                <w:color w:val="auto"/>
                <w:kern w:val="0"/>
              </w:rPr>
              <w:t>5</w:t>
            </w:r>
            <w:r>
              <w:rPr>
                <w:color w:val="auto"/>
                <w:kern w:val="0"/>
              </w:rPr>
              <w:t>）。本项目与</w:t>
            </w:r>
            <w:r>
              <w:rPr>
                <w:rFonts w:hint="eastAsia"/>
                <w:color w:val="auto"/>
                <w:kern w:val="0"/>
              </w:rPr>
              <w:t>钦州市“三线一单”生态环境分区管控实施意见</w:t>
            </w:r>
            <w:r>
              <w:rPr>
                <w:color w:val="auto"/>
                <w:kern w:val="0"/>
              </w:rPr>
              <w:t>的符合性分析见表1-1</w:t>
            </w:r>
            <w:r>
              <w:rPr>
                <w:rFonts w:hint="eastAsia"/>
                <w:color w:val="auto"/>
                <w:kern w:val="0"/>
              </w:rPr>
              <w:t>，根据对比分析结果，项目建设符合《钦州市人民政府关于印发钦州市“三线一单”生态环境分区管控实施意见的通知》（钦政发〔2021〕13号）生态管控要求。</w:t>
            </w:r>
          </w:p>
          <w:p w14:paraId="3438AFC6">
            <w:pPr>
              <w:spacing w:line="240" w:lineRule="auto"/>
              <w:ind w:firstLine="422" w:firstLineChars="200"/>
              <w:jc w:val="center"/>
              <w:rPr>
                <w:b/>
                <w:color w:val="auto"/>
                <w:sz w:val="21"/>
                <w:szCs w:val="21"/>
              </w:rPr>
            </w:pPr>
            <w:r>
              <w:rPr>
                <w:b/>
                <w:color w:val="auto"/>
                <w:sz w:val="21"/>
                <w:szCs w:val="21"/>
              </w:rPr>
              <w:t>表1-1  项目与</w:t>
            </w:r>
            <w:r>
              <w:rPr>
                <w:rFonts w:hint="eastAsia"/>
                <w:b/>
                <w:color w:val="auto"/>
                <w:sz w:val="21"/>
                <w:szCs w:val="21"/>
              </w:rPr>
              <w:t>中国－马来西亚钦州产业园区重点管控单元</w:t>
            </w:r>
            <w:r>
              <w:rPr>
                <w:b/>
                <w:color w:val="auto"/>
                <w:sz w:val="21"/>
                <w:szCs w:val="21"/>
              </w:rPr>
              <w:t>生态环境准入及管控要求清单</w:t>
            </w:r>
            <w:r>
              <w:rPr>
                <w:rFonts w:hint="eastAsia"/>
                <w:b/>
                <w:color w:val="auto"/>
                <w:sz w:val="21"/>
                <w:szCs w:val="21"/>
              </w:rPr>
              <w:t>》</w:t>
            </w:r>
            <w:r>
              <w:rPr>
                <w:b/>
                <w:color w:val="auto"/>
                <w:sz w:val="21"/>
                <w:szCs w:val="21"/>
              </w:rPr>
              <w:t>对照一览表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4073"/>
              <w:gridCol w:w="3099"/>
            </w:tblGrid>
            <w:tr w14:paraId="77FA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14:paraId="12F120DA">
                  <w:pPr>
                    <w:autoSpaceDE w:val="0"/>
                    <w:autoSpaceDN w:val="0"/>
                    <w:adjustRightInd w:val="0"/>
                    <w:snapToGrid w:val="0"/>
                    <w:spacing w:line="240" w:lineRule="auto"/>
                    <w:jc w:val="center"/>
                    <w:rPr>
                      <w:b/>
                      <w:bCs/>
                      <w:color w:val="auto"/>
                      <w:kern w:val="0"/>
                      <w:sz w:val="21"/>
                      <w:szCs w:val="21"/>
                    </w:rPr>
                  </w:pPr>
                  <w:r>
                    <w:rPr>
                      <w:b/>
                      <w:bCs/>
                      <w:color w:val="auto"/>
                      <w:kern w:val="0"/>
                      <w:sz w:val="21"/>
                      <w:szCs w:val="21"/>
                    </w:rPr>
                    <w:t>管控类别</w:t>
                  </w:r>
                </w:p>
              </w:tc>
              <w:tc>
                <w:tcPr>
                  <w:tcW w:w="2546" w:type="pct"/>
                  <w:tcBorders>
                    <w:top w:val="single" w:color="auto" w:sz="4" w:space="0"/>
                    <w:left w:val="nil"/>
                    <w:bottom w:val="single" w:color="auto" w:sz="4" w:space="0"/>
                    <w:right w:val="single" w:color="auto" w:sz="4" w:space="0"/>
                  </w:tcBorders>
                  <w:vAlign w:val="center"/>
                </w:tcPr>
                <w:p w14:paraId="602ADB08">
                  <w:pPr>
                    <w:autoSpaceDE w:val="0"/>
                    <w:autoSpaceDN w:val="0"/>
                    <w:adjustRightInd w:val="0"/>
                    <w:snapToGrid w:val="0"/>
                    <w:spacing w:line="240" w:lineRule="auto"/>
                    <w:jc w:val="center"/>
                    <w:rPr>
                      <w:b/>
                      <w:bCs/>
                      <w:color w:val="auto"/>
                      <w:kern w:val="0"/>
                      <w:sz w:val="21"/>
                      <w:szCs w:val="21"/>
                    </w:rPr>
                  </w:pPr>
                  <w:r>
                    <w:rPr>
                      <w:b/>
                      <w:bCs/>
                      <w:color w:val="auto"/>
                      <w:kern w:val="0"/>
                      <w:sz w:val="21"/>
                      <w:szCs w:val="21"/>
                    </w:rPr>
                    <w:t>生态环境准入及管控要求</w:t>
                  </w:r>
                </w:p>
              </w:tc>
              <w:tc>
                <w:tcPr>
                  <w:tcW w:w="1937" w:type="pct"/>
                  <w:tcBorders>
                    <w:top w:val="single" w:color="auto" w:sz="4" w:space="0"/>
                    <w:left w:val="nil"/>
                    <w:bottom w:val="single" w:color="auto" w:sz="4" w:space="0"/>
                    <w:right w:val="single" w:color="auto" w:sz="4" w:space="0"/>
                  </w:tcBorders>
                  <w:vAlign w:val="center"/>
                </w:tcPr>
                <w:p w14:paraId="22074A56">
                  <w:pPr>
                    <w:autoSpaceDE w:val="0"/>
                    <w:autoSpaceDN w:val="0"/>
                    <w:adjustRightInd w:val="0"/>
                    <w:snapToGrid w:val="0"/>
                    <w:spacing w:line="240" w:lineRule="auto"/>
                    <w:jc w:val="center"/>
                    <w:rPr>
                      <w:b/>
                      <w:bCs/>
                      <w:color w:val="auto"/>
                      <w:kern w:val="0"/>
                      <w:sz w:val="21"/>
                      <w:szCs w:val="21"/>
                    </w:rPr>
                  </w:pPr>
                  <w:r>
                    <w:rPr>
                      <w:b/>
                      <w:bCs/>
                      <w:color w:val="auto"/>
                      <w:kern w:val="0"/>
                      <w:sz w:val="21"/>
                      <w:szCs w:val="21"/>
                    </w:rPr>
                    <w:t>本项目情况</w:t>
                  </w:r>
                </w:p>
              </w:tc>
            </w:tr>
            <w:tr w14:paraId="2E6A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restart"/>
                  <w:tcBorders>
                    <w:top w:val="nil"/>
                    <w:left w:val="single" w:color="auto" w:sz="4" w:space="0"/>
                    <w:bottom w:val="single" w:color="auto" w:sz="4" w:space="0"/>
                    <w:right w:val="single" w:color="auto" w:sz="4" w:space="0"/>
                  </w:tcBorders>
                  <w:vAlign w:val="center"/>
                </w:tcPr>
                <w:p w14:paraId="3BE64836">
                  <w:pPr>
                    <w:autoSpaceDE w:val="0"/>
                    <w:autoSpaceDN w:val="0"/>
                    <w:adjustRightInd w:val="0"/>
                    <w:snapToGrid w:val="0"/>
                    <w:spacing w:line="240" w:lineRule="auto"/>
                    <w:jc w:val="center"/>
                    <w:rPr>
                      <w:color w:val="auto"/>
                      <w:kern w:val="0"/>
                      <w:sz w:val="21"/>
                      <w:szCs w:val="21"/>
                    </w:rPr>
                  </w:pPr>
                  <w:r>
                    <w:rPr>
                      <w:color w:val="auto"/>
                      <w:kern w:val="0"/>
                      <w:sz w:val="21"/>
                      <w:szCs w:val="21"/>
                    </w:rPr>
                    <w:t>空间布局约束</w:t>
                  </w:r>
                </w:p>
              </w:tc>
              <w:tc>
                <w:tcPr>
                  <w:tcW w:w="2546" w:type="pct"/>
                  <w:tcBorders>
                    <w:top w:val="single" w:color="auto" w:sz="4" w:space="0"/>
                    <w:left w:val="nil"/>
                    <w:bottom w:val="single" w:color="auto" w:sz="4" w:space="0"/>
                    <w:right w:val="single" w:color="auto" w:sz="4" w:space="0"/>
                  </w:tcBorders>
                  <w:vAlign w:val="center"/>
                </w:tcPr>
                <w:p w14:paraId="3E0732B7">
                  <w:pPr>
                    <w:autoSpaceDE w:val="0"/>
                    <w:autoSpaceDN w:val="0"/>
                    <w:adjustRightInd w:val="0"/>
                    <w:snapToGrid w:val="0"/>
                    <w:spacing w:line="240" w:lineRule="auto"/>
                    <w:jc w:val="center"/>
                    <w:rPr>
                      <w:color w:val="auto"/>
                      <w:kern w:val="0"/>
                      <w:sz w:val="21"/>
                      <w:szCs w:val="21"/>
                    </w:rPr>
                  </w:pPr>
                  <w:r>
                    <w:rPr>
                      <w:color w:val="auto"/>
                      <w:kern w:val="0"/>
                      <w:sz w:val="21"/>
                      <w:szCs w:val="21"/>
                    </w:rPr>
                    <w:t>1.禁止引进不符合中马钦州产业园规划定位的高污染、高能耗项目；禁止引进排放铅、镉、汞、铬和砷五种重金属的项目；禁止引进可能破坏园区规划范围天然红树林生态系统的项目。</w:t>
                  </w:r>
                </w:p>
              </w:tc>
              <w:tc>
                <w:tcPr>
                  <w:tcW w:w="1937" w:type="pct"/>
                  <w:tcBorders>
                    <w:top w:val="single" w:color="auto" w:sz="4" w:space="0"/>
                    <w:left w:val="nil"/>
                    <w:bottom w:val="single" w:color="auto" w:sz="4" w:space="0"/>
                    <w:right w:val="single" w:color="auto" w:sz="4" w:space="0"/>
                  </w:tcBorders>
                  <w:vAlign w:val="center"/>
                </w:tcPr>
                <w:p w14:paraId="4B6CAEC9">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①</w:t>
                  </w:r>
                  <w:r>
                    <w:rPr>
                      <w:color w:val="auto"/>
                      <w:kern w:val="0"/>
                      <w:sz w:val="21"/>
                      <w:szCs w:val="21"/>
                    </w:rPr>
                    <w:t>本项目</w:t>
                  </w:r>
                  <w:r>
                    <w:rPr>
                      <w:rFonts w:hint="eastAsia"/>
                      <w:color w:val="auto"/>
                      <w:kern w:val="0"/>
                      <w:sz w:val="21"/>
                      <w:szCs w:val="21"/>
                    </w:rPr>
                    <w:t>主要是生产PET瓶坯、PE瓶盖和提手，通过对原料PET、PE进行电加热熔融注塑后得到该产品，</w:t>
                  </w:r>
                  <w:r>
                    <w:rPr>
                      <w:color w:val="auto"/>
                      <w:kern w:val="0"/>
                      <w:sz w:val="21"/>
                      <w:szCs w:val="21"/>
                    </w:rPr>
                    <w:t>不属于高污染、高能耗项目；</w:t>
                  </w:r>
                  <w:r>
                    <w:rPr>
                      <w:rFonts w:hint="eastAsia"/>
                      <w:color w:val="auto"/>
                      <w:kern w:val="0"/>
                      <w:sz w:val="21"/>
                      <w:szCs w:val="21"/>
                    </w:rPr>
                    <w:t>②</w:t>
                  </w:r>
                  <w:r>
                    <w:rPr>
                      <w:color w:val="auto"/>
                      <w:kern w:val="0"/>
                      <w:sz w:val="21"/>
                      <w:szCs w:val="21"/>
                    </w:rPr>
                    <w:t>项目运营期</w:t>
                  </w:r>
                  <w:r>
                    <w:rPr>
                      <w:rFonts w:hint="eastAsia"/>
                      <w:color w:val="auto"/>
                      <w:kern w:val="0"/>
                      <w:sz w:val="21"/>
                      <w:szCs w:val="21"/>
                    </w:rPr>
                    <w:t>生产过程冷却水循环使用，不外排；主要废气为非甲烷总烃，</w:t>
                  </w:r>
                  <w:r>
                    <w:rPr>
                      <w:color w:val="auto"/>
                      <w:kern w:val="0"/>
                      <w:sz w:val="21"/>
                      <w:szCs w:val="21"/>
                    </w:rPr>
                    <w:t>不</w:t>
                  </w:r>
                  <w:r>
                    <w:rPr>
                      <w:rFonts w:hint="eastAsia"/>
                      <w:color w:val="auto"/>
                      <w:kern w:val="0"/>
                      <w:sz w:val="21"/>
                      <w:szCs w:val="21"/>
                    </w:rPr>
                    <w:t>属于排放</w:t>
                  </w:r>
                  <w:r>
                    <w:rPr>
                      <w:color w:val="auto"/>
                      <w:kern w:val="0"/>
                      <w:sz w:val="21"/>
                      <w:szCs w:val="21"/>
                    </w:rPr>
                    <w:t>铅、镉、汞、铬、砷五种重金属</w:t>
                  </w:r>
                  <w:r>
                    <w:rPr>
                      <w:rFonts w:hint="eastAsia"/>
                      <w:color w:val="auto"/>
                      <w:kern w:val="0"/>
                      <w:sz w:val="21"/>
                      <w:szCs w:val="21"/>
                    </w:rPr>
                    <w:t>的项目</w:t>
                  </w:r>
                  <w:r>
                    <w:rPr>
                      <w:color w:val="auto"/>
                      <w:kern w:val="0"/>
                      <w:sz w:val="21"/>
                      <w:szCs w:val="21"/>
                    </w:rPr>
                    <w:t>；</w:t>
                  </w:r>
                  <w:r>
                    <w:rPr>
                      <w:rFonts w:hint="eastAsia"/>
                      <w:color w:val="auto"/>
                      <w:kern w:val="0"/>
                      <w:sz w:val="21"/>
                      <w:szCs w:val="21"/>
                    </w:rPr>
                    <w:t>③</w:t>
                  </w:r>
                  <w:r>
                    <w:rPr>
                      <w:color w:val="auto"/>
                      <w:kern w:val="0"/>
                      <w:sz w:val="21"/>
                      <w:szCs w:val="21"/>
                    </w:rPr>
                    <w:t>本项目距</w:t>
                  </w:r>
                  <w:r>
                    <w:rPr>
                      <w:rFonts w:hint="eastAsia"/>
                      <w:color w:val="auto"/>
                      <w:kern w:val="0"/>
                      <w:sz w:val="21"/>
                      <w:szCs w:val="21"/>
                    </w:rPr>
                    <w:t>西南面茅尾海红树林自然保护区</w:t>
                  </w:r>
                  <w:r>
                    <w:rPr>
                      <w:color w:val="auto"/>
                      <w:kern w:val="0"/>
                      <w:sz w:val="21"/>
                      <w:szCs w:val="21"/>
                    </w:rPr>
                    <w:t>约</w:t>
                  </w:r>
                  <w:r>
                    <w:rPr>
                      <w:rFonts w:hint="eastAsia"/>
                      <w:color w:val="auto"/>
                      <w:kern w:val="0"/>
                      <w:sz w:val="21"/>
                      <w:szCs w:val="21"/>
                    </w:rPr>
                    <w:t>11.6</w:t>
                  </w:r>
                  <w:r>
                    <w:rPr>
                      <w:color w:val="auto"/>
                      <w:kern w:val="0"/>
                      <w:sz w:val="21"/>
                      <w:szCs w:val="21"/>
                    </w:rPr>
                    <w:t>km，</w:t>
                  </w:r>
                  <w:r>
                    <w:rPr>
                      <w:rFonts w:hint="eastAsia"/>
                      <w:color w:val="auto"/>
                      <w:kern w:val="0"/>
                      <w:sz w:val="21"/>
                      <w:szCs w:val="21"/>
                    </w:rPr>
                    <w:t>项目生活污水</w:t>
                  </w:r>
                  <w:r>
                    <w:rPr>
                      <w:color w:val="auto"/>
                      <w:kern w:val="0"/>
                      <w:sz w:val="21"/>
                      <w:szCs w:val="21"/>
                    </w:rPr>
                    <w:t>经</w:t>
                  </w:r>
                  <w:r>
                    <w:rPr>
                      <w:rFonts w:hint="eastAsia"/>
                      <w:color w:val="auto"/>
                      <w:kern w:val="0"/>
                      <w:sz w:val="21"/>
                      <w:szCs w:val="21"/>
                    </w:rPr>
                    <w:t>化粪池处理后</w:t>
                  </w:r>
                  <w:r>
                    <w:rPr>
                      <w:color w:val="auto"/>
                      <w:kern w:val="0"/>
                      <w:sz w:val="21"/>
                      <w:szCs w:val="21"/>
                    </w:rPr>
                    <w:t>排入大榄坪污水</w:t>
                  </w:r>
                  <w:r>
                    <w:rPr>
                      <w:rFonts w:hint="eastAsia"/>
                      <w:color w:val="auto"/>
                      <w:kern w:val="0"/>
                      <w:sz w:val="21"/>
                      <w:szCs w:val="21"/>
                    </w:rPr>
                    <w:t>处理</w:t>
                  </w:r>
                  <w:r>
                    <w:rPr>
                      <w:color w:val="auto"/>
                      <w:kern w:val="0"/>
                      <w:sz w:val="21"/>
                      <w:szCs w:val="21"/>
                    </w:rPr>
                    <w:t>厂处理，不会对</w:t>
                  </w:r>
                  <w:r>
                    <w:rPr>
                      <w:rFonts w:hint="eastAsia"/>
                      <w:color w:val="auto"/>
                      <w:kern w:val="0"/>
                      <w:sz w:val="21"/>
                      <w:szCs w:val="21"/>
                    </w:rPr>
                    <w:t>其</w:t>
                  </w:r>
                  <w:r>
                    <w:rPr>
                      <w:color w:val="auto"/>
                      <w:kern w:val="0"/>
                      <w:sz w:val="21"/>
                      <w:szCs w:val="21"/>
                    </w:rPr>
                    <w:t>造成破坏。</w:t>
                  </w:r>
                </w:p>
              </w:tc>
            </w:tr>
            <w:tr w14:paraId="5E18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top w:val="nil"/>
                    <w:left w:val="single" w:color="auto" w:sz="4" w:space="0"/>
                    <w:bottom w:val="single" w:color="auto" w:sz="4" w:space="0"/>
                    <w:right w:val="single" w:color="auto" w:sz="4" w:space="0"/>
                  </w:tcBorders>
                  <w:vAlign w:val="center"/>
                </w:tcPr>
                <w:p w14:paraId="421DD128">
                  <w:pPr>
                    <w:widowControl/>
                    <w:adjustRightInd w:val="0"/>
                    <w:snapToGrid w:val="0"/>
                    <w:spacing w:line="240" w:lineRule="auto"/>
                    <w:jc w:val="left"/>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33851B1A">
                  <w:pPr>
                    <w:autoSpaceDE w:val="0"/>
                    <w:autoSpaceDN w:val="0"/>
                    <w:adjustRightInd w:val="0"/>
                    <w:snapToGrid w:val="0"/>
                    <w:spacing w:line="240" w:lineRule="auto"/>
                    <w:jc w:val="center"/>
                    <w:rPr>
                      <w:color w:val="auto"/>
                      <w:kern w:val="0"/>
                      <w:sz w:val="21"/>
                      <w:szCs w:val="21"/>
                    </w:rPr>
                  </w:pPr>
                  <w:r>
                    <w:rPr>
                      <w:color w:val="auto"/>
                      <w:kern w:val="0"/>
                      <w:sz w:val="21"/>
                      <w:szCs w:val="21"/>
                    </w:rPr>
                    <w:t>2.园区内红树林分布区域按照《广西壮族自治区红树林资源保护条例》进行管理，在红树林自然保护区、红树林保护小区外的其他红树林地，禁止挖塘、填海造地、围堤、开垦、烧荒、开矿、采石、挖沙、取土；排放有毒有害物质或者倾倒固体、液体废弃物。禁止移植、砍伐红树林。因科研、医药、更新抚育、工程建设等特殊原因确需移植、砍伐红树林自然保护区外的红树林的，应当经主管部门批准。工程建设项目应当避让红树林地。</w:t>
                  </w:r>
                </w:p>
              </w:tc>
              <w:tc>
                <w:tcPr>
                  <w:tcW w:w="1937" w:type="pct"/>
                  <w:tcBorders>
                    <w:top w:val="single" w:color="auto" w:sz="4" w:space="0"/>
                    <w:left w:val="nil"/>
                    <w:bottom w:val="single" w:color="auto" w:sz="4" w:space="0"/>
                    <w:right w:val="single" w:color="auto" w:sz="4" w:space="0"/>
                  </w:tcBorders>
                  <w:vAlign w:val="center"/>
                </w:tcPr>
                <w:p w14:paraId="74F294A4">
                  <w:pPr>
                    <w:autoSpaceDE w:val="0"/>
                    <w:autoSpaceDN w:val="0"/>
                    <w:adjustRightInd w:val="0"/>
                    <w:snapToGrid w:val="0"/>
                    <w:spacing w:line="240" w:lineRule="auto"/>
                    <w:jc w:val="left"/>
                    <w:rPr>
                      <w:color w:val="auto"/>
                      <w:kern w:val="0"/>
                      <w:sz w:val="21"/>
                      <w:szCs w:val="21"/>
                    </w:rPr>
                  </w:pPr>
                  <w:r>
                    <w:rPr>
                      <w:color w:val="auto"/>
                      <w:kern w:val="0"/>
                      <w:sz w:val="21"/>
                      <w:szCs w:val="21"/>
                    </w:rPr>
                    <w:t>本项目</w:t>
                  </w:r>
                  <w:r>
                    <w:rPr>
                      <w:rFonts w:hint="eastAsia"/>
                      <w:color w:val="auto"/>
                      <w:kern w:val="0"/>
                      <w:sz w:val="21"/>
                      <w:szCs w:val="21"/>
                    </w:rPr>
                    <w:t>厂区位于陆域，厂区</w:t>
                  </w:r>
                  <w:r>
                    <w:rPr>
                      <w:color w:val="auto"/>
                      <w:kern w:val="0"/>
                      <w:sz w:val="21"/>
                      <w:szCs w:val="21"/>
                    </w:rPr>
                    <w:t>距</w:t>
                  </w:r>
                  <w:r>
                    <w:rPr>
                      <w:rFonts w:hint="eastAsia"/>
                      <w:color w:val="auto"/>
                      <w:kern w:val="0"/>
                      <w:sz w:val="21"/>
                      <w:szCs w:val="21"/>
                    </w:rPr>
                    <w:t>西南面茅尾海红树林自然保护区</w:t>
                  </w:r>
                  <w:r>
                    <w:rPr>
                      <w:color w:val="auto"/>
                      <w:kern w:val="0"/>
                      <w:sz w:val="21"/>
                      <w:szCs w:val="21"/>
                    </w:rPr>
                    <w:t>约</w:t>
                  </w:r>
                  <w:r>
                    <w:rPr>
                      <w:rFonts w:hint="eastAsia"/>
                      <w:color w:val="auto"/>
                      <w:kern w:val="0"/>
                      <w:sz w:val="21"/>
                      <w:szCs w:val="21"/>
                    </w:rPr>
                    <w:t>11.6</w:t>
                  </w:r>
                  <w:r>
                    <w:rPr>
                      <w:color w:val="auto"/>
                      <w:kern w:val="0"/>
                      <w:sz w:val="21"/>
                      <w:szCs w:val="21"/>
                    </w:rPr>
                    <w:t>km</w:t>
                  </w:r>
                  <w:r>
                    <w:rPr>
                      <w:rFonts w:hint="eastAsia"/>
                      <w:color w:val="auto"/>
                      <w:kern w:val="0"/>
                      <w:sz w:val="21"/>
                      <w:szCs w:val="21"/>
                    </w:rPr>
                    <w:t>。项目不涉及挖塘、填海造地、围堤、开垦、烧荒、开矿、采石、挖沙、取土；不排放有毒有害物质或者倾倒固体、液体废弃物。符合《广西壮族自治区红树林资源保护条例》管理要求。</w:t>
                  </w:r>
                </w:p>
              </w:tc>
            </w:tr>
            <w:tr w14:paraId="7B93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top w:val="nil"/>
                    <w:left w:val="single" w:color="auto" w:sz="4" w:space="0"/>
                    <w:bottom w:val="single" w:color="auto" w:sz="4" w:space="0"/>
                    <w:right w:val="single" w:color="auto" w:sz="4" w:space="0"/>
                  </w:tcBorders>
                  <w:vAlign w:val="center"/>
                </w:tcPr>
                <w:p w14:paraId="3C1E0F98">
                  <w:pPr>
                    <w:widowControl/>
                    <w:adjustRightInd w:val="0"/>
                    <w:snapToGrid w:val="0"/>
                    <w:spacing w:line="240" w:lineRule="auto"/>
                    <w:jc w:val="left"/>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3636A8E5">
                  <w:pPr>
                    <w:autoSpaceDE w:val="0"/>
                    <w:autoSpaceDN w:val="0"/>
                    <w:adjustRightInd w:val="0"/>
                    <w:snapToGrid w:val="0"/>
                    <w:spacing w:line="240" w:lineRule="auto"/>
                    <w:jc w:val="center"/>
                    <w:rPr>
                      <w:color w:val="auto"/>
                      <w:kern w:val="0"/>
                      <w:sz w:val="21"/>
                      <w:szCs w:val="21"/>
                    </w:rPr>
                  </w:pPr>
                  <w:r>
                    <w:rPr>
                      <w:color w:val="auto"/>
                      <w:kern w:val="0"/>
                      <w:sz w:val="21"/>
                      <w:szCs w:val="21"/>
                    </w:rPr>
                    <w:t>3.紧临金窝水库饮用水源保护区的园区工业用地，应当布局非大气污染型项目。</w:t>
                  </w:r>
                </w:p>
              </w:tc>
              <w:tc>
                <w:tcPr>
                  <w:tcW w:w="1937" w:type="pct"/>
                  <w:tcBorders>
                    <w:top w:val="single" w:color="auto" w:sz="4" w:space="0"/>
                    <w:left w:val="nil"/>
                    <w:bottom w:val="single" w:color="auto" w:sz="4" w:space="0"/>
                    <w:right w:val="single" w:color="auto" w:sz="4" w:space="0"/>
                  </w:tcBorders>
                  <w:vAlign w:val="center"/>
                </w:tcPr>
                <w:p w14:paraId="48D2906E">
                  <w:pPr>
                    <w:autoSpaceDE w:val="0"/>
                    <w:autoSpaceDN w:val="0"/>
                    <w:adjustRightInd w:val="0"/>
                    <w:snapToGrid w:val="0"/>
                    <w:spacing w:line="240" w:lineRule="auto"/>
                    <w:jc w:val="left"/>
                    <w:rPr>
                      <w:color w:val="auto"/>
                      <w:kern w:val="0"/>
                      <w:sz w:val="21"/>
                      <w:szCs w:val="21"/>
                    </w:rPr>
                  </w:pPr>
                  <w:r>
                    <w:rPr>
                      <w:color w:val="auto"/>
                      <w:kern w:val="0"/>
                      <w:sz w:val="21"/>
                      <w:szCs w:val="21"/>
                    </w:rPr>
                    <w:t>本项目</w:t>
                  </w:r>
                  <w:r>
                    <w:rPr>
                      <w:rFonts w:hint="eastAsia"/>
                      <w:color w:val="auto"/>
                      <w:kern w:val="0"/>
                      <w:sz w:val="21"/>
                      <w:szCs w:val="21"/>
                    </w:rPr>
                    <w:t>厂址</w:t>
                  </w:r>
                  <w:r>
                    <w:rPr>
                      <w:color w:val="auto"/>
                      <w:kern w:val="0"/>
                      <w:sz w:val="21"/>
                      <w:szCs w:val="21"/>
                    </w:rPr>
                    <w:t>距金窝水库二级保护区陆域约</w:t>
                  </w:r>
                  <w:r>
                    <w:rPr>
                      <w:rFonts w:hint="eastAsia"/>
                      <w:color w:val="auto"/>
                      <w:kern w:val="0"/>
                      <w:sz w:val="21"/>
                      <w:szCs w:val="21"/>
                    </w:rPr>
                    <w:t>2600</w:t>
                  </w:r>
                  <w:r>
                    <w:rPr>
                      <w:color w:val="auto"/>
                      <w:kern w:val="0"/>
                      <w:sz w:val="21"/>
                      <w:szCs w:val="21"/>
                    </w:rPr>
                    <w:t>m</w:t>
                  </w:r>
                  <w:r>
                    <w:rPr>
                      <w:rFonts w:hint="eastAsia"/>
                      <w:color w:val="auto"/>
                      <w:kern w:val="0"/>
                      <w:sz w:val="21"/>
                      <w:szCs w:val="21"/>
                    </w:rPr>
                    <w:t>、水域3400m。本项目生产工艺主要采用电加热，不属于大气污染型项目</w:t>
                  </w:r>
                  <w:r>
                    <w:rPr>
                      <w:color w:val="auto"/>
                      <w:kern w:val="0"/>
                      <w:sz w:val="21"/>
                      <w:szCs w:val="21"/>
                    </w:rPr>
                    <w:t>。</w:t>
                  </w:r>
                </w:p>
              </w:tc>
            </w:tr>
            <w:tr w14:paraId="57AD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top w:val="nil"/>
                    <w:left w:val="single" w:color="auto" w:sz="4" w:space="0"/>
                    <w:bottom w:val="single" w:color="auto" w:sz="4" w:space="0"/>
                    <w:right w:val="single" w:color="auto" w:sz="4" w:space="0"/>
                  </w:tcBorders>
                  <w:vAlign w:val="center"/>
                </w:tcPr>
                <w:p w14:paraId="7D254999">
                  <w:pPr>
                    <w:widowControl/>
                    <w:adjustRightInd w:val="0"/>
                    <w:snapToGrid w:val="0"/>
                    <w:spacing w:line="240" w:lineRule="auto"/>
                    <w:jc w:val="left"/>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2E9C83F4">
                  <w:pPr>
                    <w:autoSpaceDE w:val="0"/>
                    <w:autoSpaceDN w:val="0"/>
                    <w:adjustRightInd w:val="0"/>
                    <w:snapToGrid w:val="0"/>
                    <w:spacing w:line="240" w:lineRule="auto"/>
                    <w:jc w:val="center"/>
                    <w:rPr>
                      <w:color w:val="auto"/>
                      <w:kern w:val="0"/>
                      <w:sz w:val="21"/>
                      <w:szCs w:val="21"/>
                    </w:rPr>
                  </w:pPr>
                  <w:r>
                    <w:rPr>
                      <w:color w:val="auto"/>
                      <w:kern w:val="0"/>
                      <w:sz w:val="21"/>
                      <w:szCs w:val="21"/>
                    </w:rPr>
                    <w:t>4.居住用地周边严控布局潜在污染扰民和环境风险突出的建设项目。</w:t>
                  </w:r>
                </w:p>
              </w:tc>
              <w:tc>
                <w:tcPr>
                  <w:tcW w:w="1937" w:type="pct"/>
                  <w:tcBorders>
                    <w:top w:val="single" w:color="auto" w:sz="4" w:space="0"/>
                    <w:left w:val="nil"/>
                    <w:bottom w:val="single" w:color="auto" w:sz="4" w:space="0"/>
                    <w:right w:val="single" w:color="auto" w:sz="4" w:space="0"/>
                  </w:tcBorders>
                  <w:vAlign w:val="center"/>
                </w:tcPr>
                <w:p w14:paraId="59619AFB">
                  <w:pPr>
                    <w:autoSpaceDE w:val="0"/>
                    <w:autoSpaceDN w:val="0"/>
                    <w:adjustRightInd w:val="0"/>
                    <w:snapToGrid w:val="0"/>
                    <w:spacing w:line="240" w:lineRule="auto"/>
                    <w:jc w:val="left"/>
                    <w:rPr>
                      <w:color w:val="auto"/>
                      <w:kern w:val="0"/>
                      <w:sz w:val="21"/>
                      <w:szCs w:val="21"/>
                    </w:rPr>
                  </w:pPr>
                  <w:r>
                    <w:rPr>
                      <w:rFonts w:hint="eastAsia"/>
                      <w:color w:val="auto"/>
                      <w:kern w:val="0"/>
                      <w:sz w:val="21"/>
                      <w:szCs w:val="21"/>
                    </w:rPr>
                    <w:t>根据产业园区土地利用规划，</w:t>
                  </w:r>
                  <w:r>
                    <w:rPr>
                      <w:color w:val="auto"/>
                      <w:kern w:val="0"/>
                      <w:sz w:val="21"/>
                      <w:szCs w:val="21"/>
                    </w:rPr>
                    <w:t>项目用地属工业用地，</w:t>
                  </w:r>
                  <w:r>
                    <w:rPr>
                      <w:rFonts w:hint="eastAsia"/>
                      <w:color w:val="auto"/>
                      <w:kern w:val="0"/>
                      <w:sz w:val="21"/>
                      <w:szCs w:val="21"/>
                    </w:rPr>
                    <w:t>周边不涉及居住用地。本项目生产污染物以有机废气、生活污水为主，区域建设连接有污水管网，废水可进入污水管网送至大榄坪污水处理厂处理，项目不潜在扰民和突出环境风险。</w:t>
                  </w:r>
                </w:p>
              </w:tc>
            </w:tr>
            <w:tr w14:paraId="5C31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top w:val="nil"/>
                    <w:left w:val="single" w:color="auto" w:sz="4" w:space="0"/>
                    <w:bottom w:val="single" w:color="auto" w:sz="4" w:space="0"/>
                    <w:right w:val="single" w:color="auto" w:sz="4" w:space="0"/>
                  </w:tcBorders>
                  <w:vAlign w:val="center"/>
                </w:tcPr>
                <w:p w14:paraId="7A2E9B75">
                  <w:pPr>
                    <w:widowControl/>
                    <w:adjustRightInd w:val="0"/>
                    <w:snapToGrid w:val="0"/>
                    <w:spacing w:line="240" w:lineRule="auto"/>
                    <w:jc w:val="left"/>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61CEEC3F">
                  <w:pPr>
                    <w:autoSpaceDE w:val="0"/>
                    <w:autoSpaceDN w:val="0"/>
                    <w:adjustRightInd w:val="0"/>
                    <w:snapToGrid w:val="0"/>
                    <w:spacing w:line="240" w:lineRule="auto"/>
                    <w:jc w:val="center"/>
                    <w:rPr>
                      <w:color w:val="auto"/>
                      <w:kern w:val="0"/>
                      <w:sz w:val="21"/>
                      <w:szCs w:val="21"/>
                    </w:rPr>
                  </w:pPr>
                  <w:r>
                    <w:rPr>
                      <w:color w:val="auto"/>
                      <w:kern w:val="0"/>
                      <w:sz w:val="21"/>
                      <w:szCs w:val="21"/>
                    </w:rPr>
                    <w:t>5.园区产业准入执行《广西壮族自治区人民政府办公厅关于印发北钦防一体化产业协同发展限制布局清单（工业类2021年版）的通知》（桂政办函〔2021〕4号）要求，限制新建纸浆制造、原油加工及石油制品制造、水泥制造、建筑陶瓷制品制造、有色金属冶炼等工业项目。</w:t>
                  </w:r>
                </w:p>
              </w:tc>
              <w:tc>
                <w:tcPr>
                  <w:tcW w:w="1937" w:type="pct"/>
                  <w:tcBorders>
                    <w:top w:val="single" w:color="auto" w:sz="4" w:space="0"/>
                    <w:left w:val="nil"/>
                    <w:bottom w:val="single" w:color="auto" w:sz="4" w:space="0"/>
                    <w:right w:val="single" w:color="auto" w:sz="4" w:space="0"/>
                  </w:tcBorders>
                  <w:vAlign w:val="center"/>
                </w:tcPr>
                <w:p w14:paraId="13488BB4">
                  <w:pPr>
                    <w:autoSpaceDE w:val="0"/>
                    <w:autoSpaceDN w:val="0"/>
                    <w:adjustRightInd w:val="0"/>
                    <w:snapToGrid w:val="0"/>
                    <w:spacing w:line="240" w:lineRule="auto"/>
                    <w:jc w:val="center"/>
                    <w:rPr>
                      <w:color w:val="auto"/>
                      <w:kern w:val="0"/>
                      <w:sz w:val="21"/>
                      <w:szCs w:val="21"/>
                    </w:rPr>
                  </w:pPr>
                  <w:r>
                    <w:rPr>
                      <w:color w:val="auto"/>
                      <w:kern w:val="0"/>
                      <w:sz w:val="21"/>
                      <w:szCs w:val="21"/>
                    </w:rPr>
                    <w:t>项目</w:t>
                  </w:r>
                  <w:r>
                    <w:rPr>
                      <w:rFonts w:hint="eastAsia"/>
                      <w:color w:val="auto"/>
                      <w:kern w:val="0"/>
                      <w:sz w:val="21"/>
                      <w:szCs w:val="21"/>
                    </w:rPr>
                    <w:t>主要是生产PET瓶坯、PE瓶盖和提手，不属于</w:t>
                  </w:r>
                  <w:r>
                    <w:rPr>
                      <w:color w:val="auto"/>
                      <w:kern w:val="0"/>
                      <w:sz w:val="21"/>
                      <w:szCs w:val="21"/>
                    </w:rPr>
                    <w:t>《广西壮族自治区人民政府办公厅关于印发北钦防一体化产业协同发展限制布局清单（工业类2021年版）的通知》（桂政办函〔2021〕4号）限制新建纸浆制造、原油加工及石油制品制造、水泥制造、建筑陶瓷制品制造、有色金属冶炼等工业项目</w:t>
                  </w:r>
                  <w:r>
                    <w:rPr>
                      <w:rFonts w:hint="eastAsia"/>
                      <w:color w:val="auto"/>
                      <w:kern w:val="0"/>
                      <w:sz w:val="21"/>
                      <w:szCs w:val="21"/>
                    </w:rPr>
                    <w:t>，符合准入要求。</w:t>
                  </w:r>
                </w:p>
              </w:tc>
            </w:tr>
            <w:tr w14:paraId="2863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restart"/>
                  <w:tcBorders>
                    <w:top w:val="nil"/>
                    <w:left w:val="single" w:color="auto" w:sz="4" w:space="0"/>
                    <w:bottom w:val="single" w:color="auto" w:sz="4" w:space="0"/>
                    <w:right w:val="single" w:color="auto" w:sz="4" w:space="0"/>
                  </w:tcBorders>
                  <w:vAlign w:val="center"/>
                </w:tcPr>
                <w:p w14:paraId="4C2BFEFA">
                  <w:pPr>
                    <w:autoSpaceDE w:val="0"/>
                    <w:autoSpaceDN w:val="0"/>
                    <w:adjustRightInd w:val="0"/>
                    <w:snapToGrid w:val="0"/>
                    <w:spacing w:line="240" w:lineRule="auto"/>
                    <w:jc w:val="center"/>
                    <w:rPr>
                      <w:color w:val="auto"/>
                      <w:kern w:val="0"/>
                      <w:sz w:val="21"/>
                      <w:szCs w:val="21"/>
                    </w:rPr>
                  </w:pPr>
                  <w:r>
                    <w:rPr>
                      <w:color w:val="auto"/>
                      <w:kern w:val="0"/>
                      <w:sz w:val="21"/>
                      <w:szCs w:val="21"/>
                    </w:rPr>
                    <w:t>污染物排放管控</w:t>
                  </w:r>
                </w:p>
              </w:tc>
              <w:tc>
                <w:tcPr>
                  <w:tcW w:w="2546" w:type="pct"/>
                  <w:tcBorders>
                    <w:top w:val="single" w:color="auto" w:sz="4" w:space="0"/>
                    <w:left w:val="nil"/>
                    <w:bottom w:val="single" w:color="auto" w:sz="4" w:space="0"/>
                    <w:right w:val="single" w:color="auto" w:sz="4" w:space="0"/>
                  </w:tcBorders>
                  <w:vAlign w:val="center"/>
                </w:tcPr>
                <w:p w14:paraId="77E4FF5C">
                  <w:pPr>
                    <w:autoSpaceDE w:val="0"/>
                    <w:autoSpaceDN w:val="0"/>
                    <w:adjustRightInd w:val="0"/>
                    <w:snapToGrid w:val="0"/>
                    <w:spacing w:line="240" w:lineRule="auto"/>
                    <w:jc w:val="left"/>
                    <w:rPr>
                      <w:color w:val="auto"/>
                      <w:kern w:val="0"/>
                      <w:sz w:val="21"/>
                      <w:szCs w:val="21"/>
                    </w:rPr>
                  </w:pPr>
                  <w:r>
                    <w:rPr>
                      <w:color w:val="auto"/>
                      <w:kern w:val="0"/>
                      <w:sz w:val="21"/>
                      <w:szCs w:val="21"/>
                    </w:rPr>
                    <w:t>1. 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w:t>
                  </w:r>
                </w:p>
              </w:tc>
              <w:tc>
                <w:tcPr>
                  <w:tcW w:w="1937" w:type="pct"/>
                  <w:tcBorders>
                    <w:top w:val="single" w:color="auto" w:sz="4" w:space="0"/>
                    <w:left w:val="nil"/>
                    <w:bottom w:val="single" w:color="auto" w:sz="4" w:space="0"/>
                    <w:right w:val="single" w:color="auto" w:sz="4" w:space="0"/>
                  </w:tcBorders>
                  <w:vAlign w:val="center"/>
                </w:tcPr>
                <w:p w14:paraId="71F3B376">
                  <w:pPr>
                    <w:autoSpaceDE w:val="0"/>
                    <w:autoSpaceDN w:val="0"/>
                    <w:adjustRightInd w:val="0"/>
                    <w:snapToGrid w:val="0"/>
                    <w:spacing w:line="240" w:lineRule="auto"/>
                    <w:jc w:val="center"/>
                    <w:rPr>
                      <w:color w:val="auto"/>
                      <w:kern w:val="0"/>
                      <w:sz w:val="21"/>
                      <w:szCs w:val="21"/>
                    </w:rPr>
                  </w:pPr>
                  <w:r>
                    <w:rPr>
                      <w:color w:val="auto"/>
                      <w:kern w:val="0"/>
                      <w:sz w:val="21"/>
                      <w:szCs w:val="21"/>
                    </w:rPr>
                    <w:t>项目</w:t>
                  </w:r>
                  <w:r>
                    <w:rPr>
                      <w:rFonts w:hint="eastAsia"/>
                      <w:color w:val="auto"/>
                      <w:kern w:val="0"/>
                      <w:sz w:val="21"/>
                      <w:szCs w:val="21"/>
                    </w:rPr>
                    <w:t>雨污分流，污水经处理达标后</w:t>
                  </w:r>
                  <w:r>
                    <w:rPr>
                      <w:color w:val="auto"/>
                      <w:kern w:val="0"/>
                      <w:sz w:val="21"/>
                      <w:szCs w:val="21"/>
                    </w:rPr>
                    <w:t>经园区污水管网排入大榄坪污水处理厂集中处理。</w:t>
                  </w:r>
                </w:p>
              </w:tc>
            </w:tr>
            <w:tr w14:paraId="00D4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top w:val="nil"/>
                    <w:left w:val="single" w:color="auto" w:sz="4" w:space="0"/>
                    <w:bottom w:val="single" w:color="auto" w:sz="4" w:space="0"/>
                    <w:right w:val="single" w:color="auto" w:sz="4" w:space="0"/>
                  </w:tcBorders>
                  <w:vAlign w:val="center"/>
                </w:tcPr>
                <w:p w14:paraId="24D6BB56">
                  <w:pPr>
                    <w:widowControl/>
                    <w:adjustRightInd w:val="0"/>
                    <w:snapToGrid w:val="0"/>
                    <w:spacing w:line="240" w:lineRule="auto"/>
                    <w:jc w:val="left"/>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367EAF64">
                  <w:pPr>
                    <w:autoSpaceDE w:val="0"/>
                    <w:autoSpaceDN w:val="0"/>
                    <w:adjustRightInd w:val="0"/>
                    <w:snapToGrid w:val="0"/>
                    <w:spacing w:line="240" w:lineRule="auto"/>
                    <w:jc w:val="left"/>
                    <w:rPr>
                      <w:color w:val="auto"/>
                      <w:kern w:val="0"/>
                      <w:sz w:val="21"/>
                      <w:szCs w:val="21"/>
                    </w:rPr>
                  </w:pPr>
                  <w:r>
                    <w:rPr>
                      <w:color w:val="auto"/>
                      <w:kern w:val="0"/>
                      <w:sz w:val="21"/>
                      <w:szCs w:val="21"/>
                    </w:rPr>
                    <w:t>2.推行清洁能源和集中供热。</w:t>
                  </w:r>
                </w:p>
              </w:tc>
              <w:tc>
                <w:tcPr>
                  <w:tcW w:w="1937" w:type="pct"/>
                  <w:tcBorders>
                    <w:top w:val="single" w:color="auto" w:sz="4" w:space="0"/>
                    <w:left w:val="nil"/>
                    <w:bottom w:val="single" w:color="auto" w:sz="4" w:space="0"/>
                    <w:right w:val="single" w:color="auto" w:sz="4" w:space="0"/>
                  </w:tcBorders>
                  <w:vAlign w:val="center"/>
                </w:tcPr>
                <w:p w14:paraId="426F8FBA">
                  <w:pPr>
                    <w:autoSpaceDE w:val="0"/>
                    <w:autoSpaceDN w:val="0"/>
                    <w:adjustRightInd w:val="0"/>
                    <w:snapToGrid w:val="0"/>
                    <w:spacing w:line="240" w:lineRule="auto"/>
                    <w:jc w:val="center"/>
                    <w:rPr>
                      <w:color w:val="auto"/>
                      <w:kern w:val="0"/>
                      <w:sz w:val="21"/>
                      <w:szCs w:val="21"/>
                    </w:rPr>
                  </w:pPr>
                  <w:r>
                    <w:rPr>
                      <w:color w:val="auto"/>
                      <w:kern w:val="0"/>
                      <w:sz w:val="21"/>
                      <w:szCs w:val="21"/>
                    </w:rPr>
                    <w:t>项目</w:t>
                  </w:r>
                  <w:r>
                    <w:rPr>
                      <w:rFonts w:hint="eastAsia"/>
                      <w:color w:val="auto"/>
                      <w:kern w:val="0"/>
                      <w:sz w:val="21"/>
                      <w:szCs w:val="21"/>
                    </w:rPr>
                    <w:t>主要使用</w:t>
                  </w:r>
                  <w:r>
                    <w:rPr>
                      <w:rFonts w:hint="eastAsia"/>
                      <w:color w:val="auto"/>
                      <w:kern w:val="0"/>
                      <w:sz w:val="21"/>
                      <w:szCs w:val="21"/>
                      <w:lang w:eastAsia="zh-CN"/>
                    </w:rPr>
                    <w:t>电力</w:t>
                  </w:r>
                  <w:r>
                    <w:rPr>
                      <w:rFonts w:hint="eastAsia"/>
                      <w:color w:val="auto"/>
                      <w:kern w:val="0"/>
                      <w:sz w:val="21"/>
                      <w:szCs w:val="21"/>
                    </w:rPr>
                    <w:t>供热，为清洁能源。</w:t>
                  </w:r>
                </w:p>
              </w:tc>
            </w:tr>
            <w:tr w14:paraId="149F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top w:val="nil"/>
                    <w:left w:val="single" w:color="auto" w:sz="4" w:space="0"/>
                    <w:bottom w:val="single" w:color="auto" w:sz="4" w:space="0"/>
                    <w:right w:val="single" w:color="auto" w:sz="4" w:space="0"/>
                  </w:tcBorders>
                  <w:vAlign w:val="center"/>
                </w:tcPr>
                <w:p w14:paraId="1EA28EE7">
                  <w:pPr>
                    <w:widowControl/>
                    <w:adjustRightInd w:val="0"/>
                    <w:snapToGrid w:val="0"/>
                    <w:spacing w:line="240" w:lineRule="auto"/>
                    <w:jc w:val="left"/>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232FC76D">
                  <w:pPr>
                    <w:autoSpaceDE w:val="0"/>
                    <w:autoSpaceDN w:val="0"/>
                    <w:adjustRightInd w:val="0"/>
                    <w:snapToGrid w:val="0"/>
                    <w:spacing w:line="240" w:lineRule="auto"/>
                    <w:jc w:val="left"/>
                    <w:rPr>
                      <w:color w:val="auto"/>
                      <w:kern w:val="0"/>
                      <w:sz w:val="21"/>
                      <w:szCs w:val="21"/>
                    </w:rPr>
                  </w:pPr>
                  <w:r>
                    <w:rPr>
                      <w:color w:val="auto"/>
                      <w:kern w:val="0"/>
                      <w:sz w:val="21"/>
                      <w:szCs w:val="21"/>
                    </w:rPr>
                    <w:t>3.有条件的工业聚集区建设集中喷涂工程中心，配备高效治污设施，替代企业独立喷涂工序。推动重点行业挥发性有机物（VOCs）污染防治，强化企业精细化管控、无组织废气排放控制以及高效治污设施建设，严格控制挥发性有机污染物排放。强化大气污染治理措施，降低二氧化硫、氮氧化物排放。</w:t>
                  </w:r>
                </w:p>
              </w:tc>
              <w:tc>
                <w:tcPr>
                  <w:tcW w:w="1937" w:type="pct"/>
                  <w:tcBorders>
                    <w:top w:val="single" w:color="auto" w:sz="4" w:space="0"/>
                    <w:left w:val="nil"/>
                    <w:bottom w:val="single" w:color="auto" w:sz="4" w:space="0"/>
                    <w:right w:val="single" w:color="auto" w:sz="4" w:space="0"/>
                  </w:tcBorders>
                  <w:vAlign w:val="center"/>
                </w:tcPr>
                <w:p w14:paraId="010DE365">
                  <w:pPr>
                    <w:autoSpaceDE w:val="0"/>
                    <w:autoSpaceDN w:val="0"/>
                    <w:adjustRightInd w:val="0"/>
                    <w:snapToGrid w:val="0"/>
                    <w:spacing w:line="240" w:lineRule="auto"/>
                    <w:jc w:val="center"/>
                    <w:rPr>
                      <w:color w:val="auto"/>
                      <w:kern w:val="0"/>
                      <w:sz w:val="21"/>
                      <w:szCs w:val="21"/>
                    </w:rPr>
                  </w:pPr>
                  <w:r>
                    <w:rPr>
                      <w:color w:val="auto"/>
                      <w:kern w:val="0"/>
                      <w:sz w:val="21"/>
                      <w:szCs w:val="21"/>
                    </w:rPr>
                    <w:t>本项目无喷涂工艺，</w:t>
                  </w:r>
                  <w:r>
                    <w:rPr>
                      <w:rFonts w:hint="eastAsia"/>
                      <w:color w:val="auto"/>
                      <w:kern w:val="0"/>
                      <w:sz w:val="21"/>
                      <w:szCs w:val="21"/>
                    </w:rPr>
                    <w:t>主要产生的废气为非甲烷总烃。项目从采用PET、PE原料进行源头控制；生产过程中产生的有机废气采用二级活性炭处理后做有组织排放，整个生产线均采取严格控制有机废气产生的措施</w:t>
                  </w:r>
                  <w:r>
                    <w:rPr>
                      <w:color w:val="auto"/>
                      <w:kern w:val="0"/>
                      <w:sz w:val="21"/>
                      <w:szCs w:val="21"/>
                    </w:rPr>
                    <w:t>。</w:t>
                  </w:r>
                </w:p>
              </w:tc>
            </w:tr>
            <w:tr w14:paraId="3B07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top w:val="nil"/>
                    <w:left w:val="single" w:color="auto" w:sz="4" w:space="0"/>
                    <w:bottom w:val="single" w:color="auto" w:sz="4" w:space="0"/>
                    <w:right w:val="single" w:color="auto" w:sz="4" w:space="0"/>
                  </w:tcBorders>
                  <w:vAlign w:val="center"/>
                </w:tcPr>
                <w:p w14:paraId="486C9B93">
                  <w:pPr>
                    <w:widowControl/>
                    <w:adjustRightInd w:val="0"/>
                    <w:snapToGrid w:val="0"/>
                    <w:spacing w:line="240" w:lineRule="auto"/>
                    <w:jc w:val="left"/>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33350E81">
                  <w:pPr>
                    <w:autoSpaceDE w:val="0"/>
                    <w:autoSpaceDN w:val="0"/>
                    <w:adjustRightInd w:val="0"/>
                    <w:snapToGrid w:val="0"/>
                    <w:spacing w:line="240" w:lineRule="auto"/>
                    <w:jc w:val="left"/>
                    <w:rPr>
                      <w:color w:val="auto"/>
                      <w:kern w:val="0"/>
                      <w:sz w:val="21"/>
                      <w:szCs w:val="21"/>
                    </w:rPr>
                  </w:pPr>
                  <w:r>
                    <w:rPr>
                      <w:color w:val="auto"/>
                      <w:kern w:val="0"/>
                      <w:sz w:val="21"/>
                      <w:szCs w:val="21"/>
                    </w:rPr>
                    <w:t>4.坚持固体废物减量化、资源化和无害化“三化”原则，强化环境风险管控。</w:t>
                  </w:r>
                </w:p>
              </w:tc>
              <w:tc>
                <w:tcPr>
                  <w:tcW w:w="1937" w:type="pct"/>
                  <w:tcBorders>
                    <w:top w:val="single" w:color="auto" w:sz="4" w:space="0"/>
                    <w:left w:val="nil"/>
                    <w:bottom w:val="single" w:color="auto" w:sz="4" w:space="0"/>
                    <w:right w:val="single" w:color="auto" w:sz="4" w:space="0"/>
                  </w:tcBorders>
                  <w:vAlign w:val="center"/>
                </w:tcPr>
                <w:p w14:paraId="27ADE40D">
                  <w:pPr>
                    <w:autoSpaceDE w:val="0"/>
                    <w:autoSpaceDN w:val="0"/>
                    <w:adjustRightInd w:val="0"/>
                    <w:snapToGrid w:val="0"/>
                    <w:spacing w:line="240" w:lineRule="auto"/>
                    <w:jc w:val="center"/>
                    <w:rPr>
                      <w:color w:val="auto"/>
                      <w:kern w:val="0"/>
                      <w:sz w:val="21"/>
                      <w:szCs w:val="21"/>
                    </w:rPr>
                  </w:pPr>
                  <w:r>
                    <w:rPr>
                      <w:color w:val="auto"/>
                      <w:kern w:val="0"/>
                      <w:sz w:val="21"/>
                      <w:szCs w:val="21"/>
                    </w:rPr>
                    <w:t>一般固体废物分类收集于一般固体废物暂存间，委托环卫部门清运。</w:t>
                  </w:r>
                </w:p>
              </w:tc>
            </w:tr>
            <w:tr w14:paraId="23EA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restart"/>
                  <w:tcBorders>
                    <w:top w:val="nil"/>
                    <w:left w:val="single" w:color="auto" w:sz="4" w:space="0"/>
                    <w:right w:val="single" w:color="auto" w:sz="4" w:space="0"/>
                  </w:tcBorders>
                  <w:vAlign w:val="center"/>
                </w:tcPr>
                <w:p w14:paraId="61424876">
                  <w:pPr>
                    <w:autoSpaceDE w:val="0"/>
                    <w:autoSpaceDN w:val="0"/>
                    <w:adjustRightInd w:val="0"/>
                    <w:snapToGrid w:val="0"/>
                    <w:spacing w:line="240" w:lineRule="auto"/>
                    <w:jc w:val="center"/>
                    <w:rPr>
                      <w:color w:val="auto"/>
                      <w:kern w:val="0"/>
                      <w:sz w:val="21"/>
                      <w:szCs w:val="21"/>
                    </w:rPr>
                  </w:pPr>
                  <w:r>
                    <w:rPr>
                      <w:color w:val="auto"/>
                      <w:kern w:val="0"/>
                      <w:sz w:val="21"/>
                      <w:szCs w:val="21"/>
                    </w:rPr>
                    <w:t>环境风险防控</w:t>
                  </w:r>
                </w:p>
              </w:tc>
              <w:tc>
                <w:tcPr>
                  <w:tcW w:w="2546" w:type="pct"/>
                  <w:tcBorders>
                    <w:top w:val="single" w:color="auto" w:sz="4" w:space="0"/>
                    <w:left w:val="nil"/>
                    <w:bottom w:val="single" w:color="auto" w:sz="4" w:space="0"/>
                    <w:right w:val="single" w:color="auto" w:sz="4" w:space="0"/>
                  </w:tcBorders>
                  <w:vAlign w:val="center"/>
                </w:tcPr>
                <w:p w14:paraId="40C3AE3E">
                  <w:pPr>
                    <w:autoSpaceDE w:val="0"/>
                    <w:autoSpaceDN w:val="0"/>
                    <w:adjustRightInd w:val="0"/>
                    <w:snapToGrid w:val="0"/>
                    <w:spacing w:line="240" w:lineRule="auto"/>
                    <w:jc w:val="center"/>
                    <w:rPr>
                      <w:color w:val="auto"/>
                      <w:kern w:val="0"/>
                      <w:sz w:val="21"/>
                      <w:szCs w:val="21"/>
                    </w:rPr>
                  </w:pPr>
                  <w:r>
                    <w:rPr>
                      <w:color w:val="auto"/>
                      <w:sz w:val="21"/>
                      <w:szCs w:val="21"/>
                    </w:rPr>
                    <w:t>1.开展环境风险评估，制定突发环境事件应急预案并备案，配备应急能力和物资，建设环境应急队伍，并定期演练。企业、园区与地方人民政府环境应急预案应当有机衔接。</w:t>
                  </w:r>
                </w:p>
              </w:tc>
              <w:tc>
                <w:tcPr>
                  <w:tcW w:w="1937" w:type="pct"/>
                  <w:tcBorders>
                    <w:top w:val="single" w:color="auto" w:sz="4" w:space="0"/>
                    <w:left w:val="nil"/>
                    <w:bottom w:val="single" w:color="auto" w:sz="4" w:space="0"/>
                    <w:right w:val="single" w:color="auto" w:sz="4" w:space="0"/>
                  </w:tcBorders>
                  <w:vAlign w:val="center"/>
                </w:tcPr>
                <w:p w14:paraId="06613F32">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本项目不涉及风险物质，不需进行风险评估。</w:t>
                  </w:r>
                </w:p>
              </w:tc>
            </w:tr>
            <w:tr w14:paraId="3EBF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left w:val="single" w:color="auto" w:sz="4" w:space="0"/>
                    <w:bottom w:val="single" w:color="auto" w:sz="4" w:space="0"/>
                    <w:right w:val="single" w:color="auto" w:sz="4" w:space="0"/>
                  </w:tcBorders>
                  <w:vAlign w:val="center"/>
                </w:tcPr>
                <w:p w14:paraId="7F2C8F2F">
                  <w:pPr>
                    <w:autoSpaceDE w:val="0"/>
                    <w:autoSpaceDN w:val="0"/>
                    <w:adjustRightInd w:val="0"/>
                    <w:snapToGrid w:val="0"/>
                    <w:spacing w:line="240" w:lineRule="auto"/>
                    <w:jc w:val="center"/>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4AD9A56D">
                  <w:pPr>
                    <w:autoSpaceDE w:val="0"/>
                    <w:autoSpaceDN w:val="0"/>
                    <w:adjustRightInd w:val="0"/>
                    <w:snapToGrid w:val="0"/>
                    <w:spacing w:line="240" w:lineRule="auto"/>
                    <w:jc w:val="center"/>
                    <w:rPr>
                      <w:color w:val="auto"/>
                      <w:kern w:val="0"/>
                      <w:sz w:val="21"/>
                      <w:szCs w:val="21"/>
                    </w:rPr>
                  </w:pPr>
                  <w:r>
                    <w:rPr>
                      <w:color w:val="auto"/>
                      <w:sz w:val="21"/>
                      <w:szCs w:val="21"/>
                    </w:rPr>
                    <w:t>2.建设项目应严格落实环境保护措施和环境风险防范措施，防范对金窝水库饮用水水源保护区的环境风险。</w:t>
                  </w:r>
                </w:p>
              </w:tc>
              <w:tc>
                <w:tcPr>
                  <w:tcW w:w="1937" w:type="pct"/>
                  <w:tcBorders>
                    <w:top w:val="single" w:color="auto" w:sz="4" w:space="0"/>
                    <w:left w:val="nil"/>
                    <w:bottom w:val="single" w:color="auto" w:sz="4" w:space="0"/>
                    <w:right w:val="single" w:color="auto" w:sz="4" w:space="0"/>
                  </w:tcBorders>
                  <w:vAlign w:val="center"/>
                </w:tcPr>
                <w:p w14:paraId="349523E8">
                  <w:pPr>
                    <w:autoSpaceDE w:val="0"/>
                    <w:autoSpaceDN w:val="0"/>
                    <w:adjustRightInd w:val="0"/>
                    <w:snapToGrid w:val="0"/>
                    <w:spacing w:line="240" w:lineRule="auto"/>
                    <w:jc w:val="center"/>
                    <w:rPr>
                      <w:color w:val="auto"/>
                      <w:kern w:val="0"/>
                      <w:sz w:val="21"/>
                      <w:szCs w:val="21"/>
                    </w:rPr>
                  </w:pPr>
                  <w:r>
                    <w:rPr>
                      <w:color w:val="auto"/>
                      <w:kern w:val="0"/>
                      <w:sz w:val="21"/>
                      <w:szCs w:val="21"/>
                    </w:rPr>
                    <w:t>已要求企业严格落实本评价提出的环境保护措施，避免项目建设对金窝水库饮用水水源保护区产生影响。</w:t>
                  </w:r>
                </w:p>
              </w:tc>
            </w:tr>
            <w:tr w14:paraId="3E83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restart"/>
                  <w:tcBorders>
                    <w:top w:val="nil"/>
                    <w:left w:val="single" w:color="auto" w:sz="4" w:space="0"/>
                    <w:bottom w:val="single" w:color="auto" w:sz="4" w:space="0"/>
                    <w:right w:val="single" w:color="auto" w:sz="4" w:space="0"/>
                  </w:tcBorders>
                  <w:vAlign w:val="center"/>
                </w:tcPr>
                <w:p w14:paraId="0E4FC5B6">
                  <w:pPr>
                    <w:autoSpaceDE w:val="0"/>
                    <w:autoSpaceDN w:val="0"/>
                    <w:adjustRightInd w:val="0"/>
                    <w:snapToGrid w:val="0"/>
                    <w:spacing w:line="240" w:lineRule="auto"/>
                    <w:jc w:val="center"/>
                    <w:rPr>
                      <w:color w:val="auto"/>
                      <w:kern w:val="0"/>
                      <w:sz w:val="21"/>
                      <w:szCs w:val="21"/>
                    </w:rPr>
                  </w:pPr>
                  <w:r>
                    <w:rPr>
                      <w:color w:val="auto"/>
                      <w:kern w:val="0"/>
                      <w:sz w:val="21"/>
                      <w:szCs w:val="21"/>
                    </w:rPr>
                    <w:t>资源开发利用效率要求</w:t>
                  </w:r>
                </w:p>
              </w:tc>
              <w:tc>
                <w:tcPr>
                  <w:tcW w:w="2546" w:type="pct"/>
                  <w:tcBorders>
                    <w:top w:val="single" w:color="auto" w:sz="4" w:space="0"/>
                    <w:left w:val="nil"/>
                    <w:bottom w:val="single" w:color="auto" w:sz="4" w:space="0"/>
                    <w:right w:val="single" w:color="auto" w:sz="4" w:space="0"/>
                  </w:tcBorders>
                  <w:vAlign w:val="center"/>
                </w:tcPr>
                <w:p w14:paraId="412738CD">
                  <w:pPr>
                    <w:autoSpaceDE w:val="0"/>
                    <w:autoSpaceDN w:val="0"/>
                    <w:adjustRightInd w:val="0"/>
                    <w:snapToGrid w:val="0"/>
                    <w:spacing w:line="240" w:lineRule="auto"/>
                    <w:jc w:val="center"/>
                    <w:rPr>
                      <w:color w:val="auto"/>
                      <w:kern w:val="0"/>
                      <w:sz w:val="21"/>
                      <w:szCs w:val="21"/>
                    </w:rPr>
                  </w:pPr>
                  <w:r>
                    <w:rPr>
                      <w:color w:val="auto"/>
                      <w:sz w:val="21"/>
                      <w:szCs w:val="21"/>
                    </w:rPr>
                    <w:t>1.依据《钦州市人民政府关于划定高污染燃料禁燃区的通告》，高污染燃料为：除单台出力大于等于20蒸吨/小时锅炉以外的燃用煤炭及其制品；石油焦、油页岩、原油、重油、渣油、煤焦油，以及各种可燃废物和直接燃用的生物质非成型燃料（树木、秸秆、锯末、稻壳、蔗渣等）。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w:t>
                  </w:r>
                </w:p>
              </w:tc>
              <w:tc>
                <w:tcPr>
                  <w:tcW w:w="1937" w:type="pct"/>
                  <w:tcBorders>
                    <w:top w:val="single" w:color="auto" w:sz="4" w:space="0"/>
                    <w:left w:val="nil"/>
                    <w:bottom w:val="single" w:color="auto" w:sz="4" w:space="0"/>
                    <w:right w:val="single" w:color="auto" w:sz="4" w:space="0"/>
                  </w:tcBorders>
                  <w:vAlign w:val="center"/>
                </w:tcPr>
                <w:p w14:paraId="0F19257F">
                  <w:pPr>
                    <w:autoSpaceDE w:val="0"/>
                    <w:autoSpaceDN w:val="0"/>
                    <w:adjustRightInd w:val="0"/>
                    <w:snapToGrid w:val="0"/>
                    <w:spacing w:line="240" w:lineRule="auto"/>
                    <w:jc w:val="center"/>
                    <w:rPr>
                      <w:color w:val="auto"/>
                      <w:kern w:val="0"/>
                      <w:sz w:val="21"/>
                      <w:szCs w:val="21"/>
                    </w:rPr>
                  </w:pPr>
                  <w:r>
                    <w:rPr>
                      <w:color w:val="auto"/>
                      <w:kern w:val="0"/>
                      <w:sz w:val="21"/>
                      <w:szCs w:val="21"/>
                    </w:rPr>
                    <w:t>项目</w:t>
                  </w:r>
                  <w:r>
                    <w:rPr>
                      <w:rFonts w:hint="eastAsia"/>
                      <w:color w:val="auto"/>
                      <w:kern w:val="0"/>
                      <w:sz w:val="21"/>
                      <w:szCs w:val="21"/>
                    </w:rPr>
                    <w:t>采用电供热，电不属于高污染燃料</w:t>
                  </w:r>
                  <w:r>
                    <w:rPr>
                      <w:color w:val="auto"/>
                      <w:kern w:val="0"/>
                      <w:sz w:val="21"/>
                      <w:szCs w:val="21"/>
                    </w:rPr>
                    <w:t>。</w:t>
                  </w:r>
                </w:p>
              </w:tc>
            </w:tr>
            <w:tr w14:paraId="4B87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5" w:type="pct"/>
                  <w:vMerge w:val="continue"/>
                  <w:tcBorders>
                    <w:top w:val="nil"/>
                    <w:left w:val="single" w:color="auto" w:sz="4" w:space="0"/>
                    <w:bottom w:val="single" w:color="auto" w:sz="4" w:space="0"/>
                    <w:right w:val="single" w:color="auto" w:sz="4" w:space="0"/>
                  </w:tcBorders>
                  <w:vAlign w:val="center"/>
                </w:tcPr>
                <w:p w14:paraId="290E9C5F">
                  <w:pPr>
                    <w:widowControl/>
                    <w:adjustRightInd w:val="0"/>
                    <w:snapToGrid w:val="0"/>
                    <w:spacing w:line="240" w:lineRule="auto"/>
                    <w:jc w:val="left"/>
                    <w:rPr>
                      <w:color w:val="auto"/>
                      <w:kern w:val="0"/>
                      <w:sz w:val="21"/>
                      <w:szCs w:val="21"/>
                    </w:rPr>
                  </w:pPr>
                </w:p>
              </w:tc>
              <w:tc>
                <w:tcPr>
                  <w:tcW w:w="2546" w:type="pct"/>
                  <w:tcBorders>
                    <w:top w:val="single" w:color="auto" w:sz="4" w:space="0"/>
                    <w:left w:val="nil"/>
                    <w:bottom w:val="single" w:color="auto" w:sz="4" w:space="0"/>
                    <w:right w:val="single" w:color="auto" w:sz="4" w:space="0"/>
                  </w:tcBorders>
                  <w:vAlign w:val="center"/>
                </w:tcPr>
                <w:p w14:paraId="733C824A">
                  <w:pPr>
                    <w:autoSpaceDE w:val="0"/>
                    <w:autoSpaceDN w:val="0"/>
                    <w:adjustRightInd w:val="0"/>
                    <w:snapToGrid w:val="0"/>
                    <w:spacing w:line="240" w:lineRule="auto"/>
                    <w:jc w:val="center"/>
                    <w:rPr>
                      <w:color w:val="auto"/>
                      <w:kern w:val="0"/>
                      <w:sz w:val="21"/>
                      <w:szCs w:val="21"/>
                    </w:rPr>
                  </w:pPr>
                  <w:r>
                    <w:rPr>
                      <w:color w:val="auto"/>
                      <w:sz w:val="21"/>
                      <w:szCs w:val="21"/>
                    </w:rPr>
                    <w:t>2.严格用水总量，节约水资源，提高水循环利用率。</w:t>
                  </w:r>
                </w:p>
              </w:tc>
              <w:tc>
                <w:tcPr>
                  <w:tcW w:w="1937" w:type="pct"/>
                  <w:tcBorders>
                    <w:top w:val="single" w:color="auto" w:sz="4" w:space="0"/>
                    <w:left w:val="nil"/>
                    <w:bottom w:val="single" w:color="auto" w:sz="4" w:space="0"/>
                    <w:right w:val="single" w:color="auto" w:sz="4" w:space="0"/>
                  </w:tcBorders>
                  <w:vAlign w:val="center"/>
                </w:tcPr>
                <w:p w14:paraId="2A1291D2">
                  <w:pPr>
                    <w:autoSpaceDE w:val="0"/>
                    <w:autoSpaceDN w:val="0"/>
                    <w:adjustRightInd w:val="0"/>
                    <w:snapToGrid w:val="0"/>
                    <w:spacing w:line="240" w:lineRule="auto"/>
                    <w:jc w:val="center"/>
                    <w:rPr>
                      <w:color w:val="auto"/>
                      <w:kern w:val="0"/>
                      <w:sz w:val="21"/>
                      <w:szCs w:val="21"/>
                    </w:rPr>
                  </w:pPr>
                  <w:r>
                    <w:rPr>
                      <w:color w:val="auto"/>
                      <w:kern w:val="0"/>
                      <w:sz w:val="21"/>
                      <w:szCs w:val="21"/>
                    </w:rPr>
                    <w:t>项目水资源来源于园区自来水管网，不涉及自行取水。</w:t>
                  </w:r>
                </w:p>
              </w:tc>
            </w:tr>
          </w:tbl>
          <w:p w14:paraId="2B3CECA1">
            <w:pPr>
              <w:autoSpaceDE w:val="0"/>
              <w:autoSpaceDN w:val="0"/>
              <w:adjustRightInd w:val="0"/>
              <w:snapToGrid w:val="0"/>
              <w:ind w:firstLine="482" w:firstLineChars="200"/>
              <w:rPr>
                <w:b/>
                <w:bCs/>
                <w:color w:val="auto"/>
                <w:kern w:val="0"/>
              </w:rPr>
            </w:pPr>
            <w:r>
              <w:rPr>
                <w:rFonts w:hint="eastAsia"/>
                <w:b/>
                <w:bCs/>
                <w:color w:val="auto"/>
                <w:kern w:val="0"/>
              </w:rPr>
              <w:t>7</w:t>
            </w:r>
            <w:r>
              <w:rPr>
                <w:b/>
                <w:bCs/>
                <w:color w:val="auto"/>
                <w:kern w:val="0"/>
              </w:rPr>
              <w:t>、</w:t>
            </w:r>
            <w:r>
              <w:rPr>
                <w:rFonts w:hint="eastAsia"/>
                <w:b/>
                <w:bCs/>
                <w:color w:val="auto"/>
                <w:kern w:val="0"/>
              </w:rPr>
              <w:t>项目与</w:t>
            </w:r>
            <w:r>
              <w:rPr>
                <w:b/>
                <w:bCs/>
                <w:color w:val="auto"/>
                <w:kern w:val="0"/>
              </w:rPr>
              <w:t>《挥发性有机物无组织排放控制标准》（GB37822-2019）</w:t>
            </w:r>
            <w:r>
              <w:rPr>
                <w:rFonts w:hint="eastAsia"/>
                <w:b/>
                <w:bCs/>
                <w:color w:val="auto"/>
                <w:kern w:val="0"/>
              </w:rPr>
              <w:t>的相符性分析</w:t>
            </w:r>
          </w:p>
          <w:p w14:paraId="721FAC6F">
            <w:pPr>
              <w:autoSpaceDE w:val="0"/>
              <w:autoSpaceDN w:val="0"/>
              <w:adjustRightInd w:val="0"/>
              <w:snapToGrid w:val="0"/>
              <w:jc w:val="center"/>
              <w:rPr>
                <w:b/>
                <w:bCs/>
                <w:color w:val="auto"/>
                <w:kern w:val="0"/>
                <w:sz w:val="21"/>
                <w:szCs w:val="21"/>
              </w:rPr>
            </w:pPr>
            <w:r>
              <w:rPr>
                <w:rFonts w:hint="eastAsia"/>
                <w:b/>
                <w:bCs/>
                <w:color w:val="auto"/>
                <w:kern w:val="0"/>
                <w:sz w:val="21"/>
                <w:szCs w:val="21"/>
              </w:rPr>
              <w:t>表1-2 与</w:t>
            </w:r>
            <w:r>
              <w:rPr>
                <w:b/>
                <w:bCs/>
                <w:color w:val="auto"/>
                <w:kern w:val="0"/>
                <w:sz w:val="21"/>
                <w:szCs w:val="21"/>
              </w:rPr>
              <w:t>《挥发性有机物无组织排放控制标准》（GB37822-2019）</w:t>
            </w:r>
            <w:r>
              <w:rPr>
                <w:rFonts w:hint="eastAsia"/>
                <w:b/>
                <w:bCs/>
                <w:color w:val="auto"/>
                <w:kern w:val="0"/>
                <w:sz w:val="21"/>
                <w:szCs w:val="21"/>
              </w:rPr>
              <w:t>的相符性分析一览表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3818"/>
              <w:gridCol w:w="1778"/>
              <w:gridCol w:w="1070"/>
            </w:tblGrid>
            <w:tr w14:paraId="2866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0" w:type="pct"/>
                  <w:vAlign w:val="center"/>
                </w:tcPr>
                <w:p w14:paraId="67C66167">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项目</w:t>
                  </w:r>
                </w:p>
              </w:tc>
              <w:tc>
                <w:tcPr>
                  <w:tcW w:w="2388" w:type="pct"/>
                  <w:vAlign w:val="center"/>
                </w:tcPr>
                <w:p w14:paraId="3A409B4C">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GB37822-2019相关规定</w:t>
                  </w:r>
                </w:p>
              </w:tc>
              <w:tc>
                <w:tcPr>
                  <w:tcW w:w="1112" w:type="pct"/>
                  <w:vAlign w:val="center"/>
                </w:tcPr>
                <w:p w14:paraId="78542E43">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本项目情况</w:t>
                  </w:r>
                </w:p>
              </w:tc>
              <w:tc>
                <w:tcPr>
                  <w:tcW w:w="669" w:type="pct"/>
                  <w:vAlign w:val="center"/>
                </w:tcPr>
                <w:p w14:paraId="7E59C5B0">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相符性</w:t>
                  </w:r>
                </w:p>
              </w:tc>
            </w:tr>
            <w:tr w14:paraId="222D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830" w:type="pct"/>
                  <w:vMerge w:val="restart"/>
                  <w:vAlign w:val="center"/>
                </w:tcPr>
                <w:p w14:paraId="4AEA62F9">
                  <w:pPr>
                    <w:autoSpaceDE w:val="0"/>
                    <w:autoSpaceDN w:val="0"/>
                    <w:adjustRightInd w:val="0"/>
                    <w:snapToGrid w:val="0"/>
                    <w:spacing w:line="240" w:lineRule="auto"/>
                    <w:rPr>
                      <w:color w:val="auto"/>
                      <w:kern w:val="0"/>
                      <w:sz w:val="21"/>
                      <w:szCs w:val="21"/>
                    </w:rPr>
                  </w:pPr>
                  <w:r>
                    <w:rPr>
                      <w:rFonts w:hint="eastAsia"/>
                      <w:color w:val="auto"/>
                      <w:kern w:val="0"/>
                      <w:sz w:val="21"/>
                      <w:szCs w:val="21"/>
                    </w:rPr>
                    <w:t>VOCs物料储存</w:t>
                  </w:r>
                </w:p>
              </w:tc>
              <w:tc>
                <w:tcPr>
                  <w:tcW w:w="2388" w:type="pct"/>
                  <w:vAlign w:val="center"/>
                </w:tcPr>
                <w:p w14:paraId="438FB502">
                  <w:pPr>
                    <w:autoSpaceDE w:val="0"/>
                    <w:autoSpaceDN w:val="0"/>
                    <w:adjustRightInd w:val="0"/>
                    <w:snapToGrid w:val="0"/>
                    <w:spacing w:line="240" w:lineRule="auto"/>
                    <w:rPr>
                      <w:color w:val="auto"/>
                      <w:kern w:val="0"/>
                      <w:sz w:val="21"/>
                      <w:szCs w:val="21"/>
                    </w:rPr>
                  </w:pPr>
                  <w:r>
                    <w:rPr>
                      <w:rFonts w:hint="eastAsia"/>
                      <w:color w:val="auto"/>
                      <w:kern w:val="0"/>
                      <w:sz w:val="21"/>
                      <w:szCs w:val="21"/>
                    </w:rPr>
                    <w:t>VOCs物料应储存于密闭的容器、包装袋、储罐、储库、料仓中。</w:t>
                  </w:r>
                </w:p>
              </w:tc>
              <w:tc>
                <w:tcPr>
                  <w:tcW w:w="1112" w:type="pct"/>
                  <w:vMerge w:val="restart"/>
                  <w:vAlign w:val="center"/>
                </w:tcPr>
                <w:p w14:paraId="3FBA8121">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本项目原料</w:t>
                  </w:r>
                  <w:bookmarkStart w:id="27" w:name="OLE_LINK19"/>
                  <w:r>
                    <w:rPr>
                      <w:rFonts w:hint="eastAsia"/>
                      <w:color w:val="auto"/>
                      <w:kern w:val="0"/>
                      <w:sz w:val="21"/>
                      <w:szCs w:val="21"/>
                    </w:rPr>
                    <w:t>PET、PE</w:t>
                  </w:r>
                  <w:bookmarkEnd w:id="27"/>
                  <w:r>
                    <w:rPr>
                      <w:rFonts w:hint="eastAsia"/>
                      <w:color w:val="auto"/>
                      <w:kern w:val="0"/>
                      <w:sz w:val="21"/>
                      <w:szCs w:val="21"/>
                    </w:rPr>
                    <w:t>为袋装储存在生产车间原料区，在非取用状态时封口，保持密闭状态。</w:t>
                  </w:r>
                </w:p>
              </w:tc>
              <w:tc>
                <w:tcPr>
                  <w:tcW w:w="669" w:type="pct"/>
                  <w:vAlign w:val="center"/>
                </w:tcPr>
                <w:p w14:paraId="35D068BB">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6132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vAlign w:val="center"/>
                </w:tcPr>
                <w:p w14:paraId="7348FFA2">
                  <w:pPr>
                    <w:autoSpaceDE w:val="0"/>
                    <w:autoSpaceDN w:val="0"/>
                    <w:adjustRightInd w:val="0"/>
                    <w:snapToGrid w:val="0"/>
                    <w:spacing w:line="240" w:lineRule="auto"/>
                    <w:rPr>
                      <w:color w:val="auto"/>
                      <w:kern w:val="0"/>
                      <w:sz w:val="21"/>
                      <w:szCs w:val="21"/>
                    </w:rPr>
                  </w:pPr>
                </w:p>
              </w:tc>
              <w:tc>
                <w:tcPr>
                  <w:tcW w:w="2388" w:type="pct"/>
                  <w:vAlign w:val="center"/>
                </w:tcPr>
                <w:p w14:paraId="003C0DCA">
                  <w:pPr>
                    <w:autoSpaceDE w:val="0"/>
                    <w:autoSpaceDN w:val="0"/>
                    <w:adjustRightInd w:val="0"/>
                    <w:snapToGrid w:val="0"/>
                    <w:spacing w:line="240" w:lineRule="auto"/>
                    <w:rPr>
                      <w:color w:val="auto"/>
                      <w:kern w:val="0"/>
                      <w:sz w:val="21"/>
                      <w:szCs w:val="21"/>
                    </w:rPr>
                  </w:pPr>
                  <w:r>
                    <w:rPr>
                      <w:rFonts w:hint="eastAsia"/>
                      <w:color w:val="auto"/>
                      <w:kern w:val="0"/>
                      <w:sz w:val="21"/>
                      <w:szCs w:val="21"/>
                    </w:rPr>
                    <w:t>盛装VOCs物料的容器或包装袋应存放于室内，或存放于设置有雨棚、遮阳和防渗设施的专用场地。盛装VOCs物料的容器或包装袋在非取用状态时应加盖、封口，保持密闭。</w:t>
                  </w:r>
                </w:p>
              </w:tc>
              <w:tc>
                <w:tcPr>
                  <w:tcW w:w="1112" w:type="pct"/>
                  <w:vMerge w:val="continue"/>
                  <w:vAlign w:val="center"/>
                </w:tcPr>
                <w:p w14:paraId="11AC90DE">
                  <w:pPr>
                    <w:autoSpaceDE w:val="0"/>
                    <w:autoSpaceDN w:val="0"/>
                    <w:adjustRightInd w:val="0"/>
                    <w:snapToGrid w:val="0"/>
                    <w:spacing w:line="240" w:lineRule="auto"/>
                    <w:rPr>
                      <w:color w:val="auto"/>
                      <w:kern w:val="0"/>
                      <w:sz w:val="21"/>
                      <w:szCs w:val="21"/>
                    </w:rPr>
                  </w:pPr>
                </w:p>
              </w:tc>
              <w:tc>
                <w:tcPr>
                  <w:tcW w:w="669" w:type="pct"/>
                  <w:vAlign w:val="center"/>
                </w:tcPr>
                <w:p w14:paraId="44BB6FE7">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236D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vAlign w:val="center"/>
                </w:tcPr>
                <w:p w14:paraId="45862408">
                  <w:pPr>
                    <w:autoSpaceDE w:val="0"/>
                    <w:autoSpaceDN w:val="0"/>
                    <w:adjustRightInd w:val="0"/>
                    <w:snapToGrid w:val="0"/>
                    <w:spacing w:line="240" w:lineRule="auto"/>
                    <w:rPr>
                      <w:color w:val="auto"/>
                      <w:kern w:val="0"/>
                      <w:sz w:val="21"/>
                      <w:szCs w:val="21"/>
                    </w:rPr>
                  </w:pPr>
                </w:p>
              </w:tc>
              <w:tc>
                <w:tcPr>
                  <w:tcW w:w="2388" w:type="pct"/>
                  <w:vAlign w:val="center"/>
                </w:tcPr>
                <w:p w14:paraId="4AD192A2">
                  <w:pPr>
                    <w:autoSpaceDE w:val="0"/>
                    <w:autoSpaceDN w:val="0"/>
                    <w:adjustRightInd w:val="0"/>
                    <w:snapToGrid w:val="0"/>
                    <w:spacing w:line="240" w:lineRule="auto"/>
                    <w:rPr>
                      <w:color w:val="auto"/>
                      <w:kern w:val="0"/>
                      <w:sz w:val="21"/>
                      <w:szCs w:val="21"/>
                    </w:rPr>
                  </w:pPr>
                  <w:r>
                    <w:rPr>
                      <w:rFonts w:hint="eastAsia"/>
                      <w:color w:val="auto"/>
                      <w:kern w:val="0"/>
                      <w:sz w:val="21"/>
                      <w:szCs w:val="21"/>
                    </w:rPr>
                    <w:t>VOCs物料储罐应密封良好，其中挥发性有机液体储罐应符合5.2条规定。</w:t>
                  </w:r>
                </w:p>
              </w:tc>
              <w:tc>
                <w:tcPr>
                  <w:tcW w:w="1112" w:type="pct"/>
                  <w:vMerge w:val="continue"/>
                  <w:vAlign w:val="center"/>
                </w:tcPr>
                <w:p w14:paraId="1E94A247">
                  <w:pPr>
                    <w:autoSpaceDE w:val="0"/>
                    <w:autoSpaceDN w:val="0"/>
                    <w:adjustRightInd w:val="0"/>
                    <w:snapToGrid w:val="0"/>
                    <w:spacing w:line="240" w:lineRule="auto"/>
                    <w:rPr>
                      <w:color w:val="auto"/>
                      <w:kern w:val="0"/>
                      <w:sz w:val="21"/>
                      <w:szCs w:val="21"/>
                    </w:rPr>
                  </w:pPr>
                </w:p>
              </w:tc>
              <w:tc>
                <w:tcPr>
                  <w:tcW w:w="669" w:type="pct"/>
                  <w:vAlign w:val="center"/>
                </w:tcPr>
                <w:p w14:paraId="45EF7B55">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1841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vAlign w:val="center"/>
                </w:tcPr>
                <w:p w14:paraId="2005804E">
                  <w:pPr>
                    <w:autoSpaceDE w:val="0"/>
                    <w:autoSpaceDN w:val="0"/>
                    <w:adjustRightInd w:val="0"/>
                    <w:snapToGrid w:val="0"/>
                    <w:spacing w:line="240" w:lineRule="auto"/>
                    <w:rPr>
                      <w:color w:val="auto"/>
                      <w:kern w:val="0"/>
                      <w:sz w:val="21"/>
                      <w:szCs w:val="21"/>
                    </w:rPr>
                  </w:pPr>
                </w:p>
              </w:tc>
              <w:tc>
                <w:tcPr>
                  <w:tcW w:w="2388" w:type="pct"/>
                  <w:vAlign w:val="center"/>
                </w:tcPr>
                <w:p w14:paraId="23CA91E7">
                  <w:pPr>
                    <w:autoSpaceDE w:val="0"/>
                    <w:autoSpaceDN w:val="0"/>
                    <w:adjustRightInd w:val="0"/>
                    <w:snapToGrid w:val="0"/>
                    <w:spacing w:line="240" w:lineRule="auto"/>
                    <w:rPr>
                      <w:color w:val="auto"/>
                      <w:kern w:val="0"/>
                      <w:sz w:val="21"/>
                      <w:szCs w:val="21"/>
                    </w:rPr>
                  </w:pPr>
                  <w:r>
                    <w:rPr>
                      <w:rFonts w:hint="eastAsia"/>
                      <w:color w:val="auto"/>
                      <w:kern w:val="0"/>
                      <w:sz w:val="21"/>
                      <w:szCs w:val="21"/>
                    </w:rPr>
                    <w:t>VOCs物料储库、料仓应满足3.6条对密闭空间的要求。</w:t>
                  </w:r>
                </w:p>
              </w:tc>
              <w:tc>
                <w:tcPr>
                  <w:tcW w:w="1112" w:type="pct"/>
                  <w:vMerge w:val="continue"/>
                  <w:vAlign w:val="center"/>
                </w:tcPr>
                <w:p w14:paraId="02A202CD">
                  <w:pPr>
                    <w:autoSpaceDE w:val="0"/>
                    <w:autoSpaceDN w:val="0"/>
                    <w:adjustRightInd w:val="0"/>
                    <w:snapToGrid w:val="0"/>
                    <w:spacing w:line="240" w:lineRule="auto"/>
                    <w:rPr>
                      <w:color w:val="auto"/>
                      <w:kern w:val="0"/>
                      <w:sz w:val="21"/>
                      <w:szCs w:val="21"/>
                    </w:rPr>
                  </w:pPr>
                </w:p>
              </w:tc>
              <w:tc>
                <w:tcPr>
                  <w:tcW w:w="669" w:type="pct"/>
                  <w:vAlign w:val="center"/>
                </w:tcPr>
                <w:p w14:paraId="25421912">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0EA6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restart"/>
                  <w:vAlign w:val="center"/>
                </w:tcPr>
                <w:p w14:paraId="41E6D845">
                  <w:pPr>
                    <w:autoSpaceDE w:val="0"/>
                    <w:autoSpaceDN w:val="0"/>
                    <w:adjustRightInd w:val="0"/>
                    <w:snapToGrid w:val="0"/>
                    <w:spacing w:line="240" w:lineRule="auto"/>
                    <w:rPr>
                      <w:color w:val="auto"/>
                      <w:kern w:val="0"/>
                      <w:sz w:val="21"/>
                      <w:szCs w:val="21"/>
                    </w:rPr>
                  </w:pPr>
                  <w:r>
                    <w:rPr>
                      <w:rFonts w:hint="eastAsia"/>
                      <w:color w:val="auto"/>
                      <w:kern w:val="0"/>
                      <w:sz w:val="21"/>
                      <w:szCs w:val="21"/>
                    </w:rPr>
                    <w:t>VOCs物料转移和输送</w:t>
                  </w:r>
                </w:p>
              </w:tc>
              <w:tc>
                <w:tcPr>
                  <w:tcW w:w="2388" w:type="pct"/>
                  <w:vAlign w:val="center"/>
                </w:tcPr>
                <w:p w14:paraId="4E7EB688">
                  <w:pPr>
                    <w:autoSpaceDE w:val="0"/>
                    <w:autoSpaceDN w:val="0"/>
                    <w:adjustRightInd w:val="0"/>
                    <w:snapToGrid w:val="0"/>
                    <w:spacing w:line="240" w:lineRule="auto"/>
                    <w:rPr>
                      <w:color w:val="auto"/>
                      <w:kern w:val="0"/>
                      <w:sz w:val="21"/>
                      <w:szCs w:val="21"/>
                    </w:rPr>
                  </w:pPr>
                  <w:r>
                    <w:rPr>
                      <w:rFonts w:hint="eastAsia"/>
                      <w:color w:val="auto"/>
                      <w:kern w:val="0"/>
                      <w:sz w:val="21"/>
                      <w:szCs w:val="21"/>
                    </w:rPr>
                    <w:t>液态VOCs物料应采用密闭管道输送。采用非管道输送方式转移液态VOCs物料时，应采用密闭容器、罐车。</w:t>
                  </w:r>
                </w:p>
              </w:tc>
              <w:tc>
                <w:tcPr>
                  <w:tcW w:w="1112" w:type="pct"/>
                  <w:vMerge w:val="restart"/>
                  <w:vAlign w:val="center"/>
                </w:tcPr>
                <w:p w14:paraId="4E07EA08">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本项目原料PET、PE为固态，袋装封口密闭保存，取用时在密闭生产车间投入注塑机后密闭加工。</w:t>
                  </w:r>
                </w:p>
              </w:tc>
              <w:tc>
                <w:tcPr>
                  <w:tcW w:w="669" w:type="pct"/>
                  <w:vAlign w:val="center"/>
                </w:tcPr>
                <w:p w14:paraId="4053891A">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5375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vAlign w:val="center"/>
                </w:tcPr>
                <w:p w14:paraId="3C24569D">
                  <w:pPr>
                    <w:autoSpaceDE w:val="0"/>
                    <w:autoSpaceDN w:val="0"/>
                    <w:adjustRightInd w:val="0"/>
                    <w:snapToGrid w:val="0"/>
                    <w:spacing w:line="240" w:lineRule="auto"/>
                    <w:rPr>
                      <w:color w:val="auto"/>
                      <w:kern w:val="0"/>
                      <w:sz w:val="21"/>
                      <w:szCs w:val="21"/>
                    </w:rPr>
                  </w:pPr>
                </w:p>
              </w:tc>
              <w:tc>
                <w:tcPr>
                  <w:tcW w:w="2388" w:type="pct"/>
                  <w:vAlign w:val="center"/>
                </w:tcPr>
                <w:p w14:paraId="532323A6">
                  <w:pPr>
                    <w:autoSpaceDE w:val="0"/>
                    <w:autoSpaceDN w:val="0"/>
                    <w:adjustRightInd w:val="0"/>
                    <w:snapToGrid w:val="0"/>
                    <w:spacing w:line="240" w:lineRule="auto"/>
                    <w:rPr>
                      <w:color w:val="auto"/>
                      <w:kern w:val="0"/>
                      <w:sz w:val="21"/>
                      <w:szCs w:val="21"/>
                    </w:rPr>
                  </w:pPr>
                  <w:r>
                    <w:rPr>
                      <w:rFonts w:hint="eastAsia"/>
                      <w:color w:val="auto"/>
                      <w:kern w:val="0"/>
                      <w:sz w:val="21"/>
                      <w:szCs w:val="21"/>
                    </w:rPr>
                    <w:t>粉状、粒状VOCs物料应采用气力输送设备、管状带式输送机、螺旋输送机等密闭输送方式，或者采用密闭的包装袋、容器或罐车进行物料转移。</w:t>
                  </w:r>
                </w:p>
              </w:tc>
              <w:tc>
                <w:tcPr>
                  <w:tcW w:w="1112" w:type="pct"/>
                  <w:vMerge w:val="continue"/>
                  <w:vAlign w:val="center"/>
                </w:tcPr>
                <w:p w14:paraId="0A543C84">
                  <w:pPr>
                    <w:autoSpaceDE w:val="0"/>
                    <w:autoSpaceDN w:val="0"/>
                    <w:adjustRightInd w:val="0"/>
                    <w:snapToGrid w:val="0"/>
                    <w:spacing w:line="240" w:lineRule="auto"/>
                    <w:rPr>
                      <w:color w:val="auto"/>
                      <w:kern w:val="0"/>
                      <w:sz w:val="21"/>
                      <w:szCs w:val="21"/>
                    </w:rPr>
                  </w:pPr>
                </w:p>
              </w:tc>
              <w:tc>
                <w:tcPr>
                  <w:tcW w:w="669" w:type="pct"/>
                  <w:vAlign w:val="center"/>
                </w:tcPr>
                <w:p w14:paraId="55B55FB5">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4B28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restart"/>
                  <w:vAlign w:val="center"/>
                </w:tcPr>
                <w:p w14:paraId="5BE466D2">
                  <w:pPr>
                    <w:autoSpaceDE w:val="0"/>
                    <w:autoSpaceDN w:val="0"/>
                    <w:adjustRightInd w:val="0"/>
                    <w:snapToGrid w:val="0"/>
                    <w:spacing w:line="240" w:lineRule="auto"/>
                    <w:rPr>
                      <w:color w:val="auto"/>
                      <w:kern w:val="0"/>
                      <w:sz w:val="21"/>
                      <w:szCs w:val="21"/>
                    </w:rPr>
                  </w:pPr>
                  <w:r>
                    <w:rPr>
                      <w:rFonts w:hint="eastAsia"/>
                      <w:color w:val="auto"/>
                      <w:kern w:val="0"/>
                      <w:sz w:val="21"/>
                      <w:szCs w:val="21"/>
                    </w:rPr>
                    <w:t>工艺过程VOCs无组织排放控制要求</w:t>
                  </w:r>
                </w:p>
              </w:tc>
              <w:tc>
                <w:tcPr>
                  <w:tcW w:w="2388" w:type="pct"/>
                  <w:vAlign w:val="center"/>
                </w:tcPr>
                <w:p w14:paraId="3B46D6C5">
                  <w:pPr>
                    <w:autoSpaceDE w:val="0"/>
                    <w:autoSpaceDN w:val="0"/>
                    <w:adjustRightInd w:val="0"/>
                    <w:snapToGrid w:val="0"/>
                    <w:spacing w:line="240" w:lineRule="auto"/>
                    <w:rPr>
                      <w:color w:val="auto"/>
                      <w:kern w:val="0"/>
                      <w:sz w:val="21"/>
                      <w:szCs w:val="21"/>
                    </w:rPr>
                  </w:pPr>
                  <w:r>
                    <w:rPr>
                      <w:rFonts w:hint="eastAsia"/>
                      <w:color w:val="auto"/>
                      <w:kern w:val="0"/>
                      <w:sz w:val="21"/>
                      <w:szCs w:val="21"/>
                    </w:rPr>
                    <w:t>物料投加和卸放：</w:t>
                  </w:r>
                </w:p>
                <w:p w14:paraId="70E4F06D">
                  <w:pPr>
                    <w:autoSpaceDE w:val="0"/>
                    <w:autoSpaceDN w:val="0"/>
                    <w:adjustRightInd w:val="0"/>
                    <w:snapToGrid w:val="0"/>
                    <w:spacing w:line="240" w:lineRule="auto"/>
                    <w:rPr>
                      <w:color w:val="auto"/>
                      <w:kern w:val="0"/>
                      <w:sz w:val="21"/>
                      <w:szCs w:val="21"/>
                    </w:rPr>
                  </w:pPr>
                  <w:r>
                    <w:rPr>
                      <w:rFonts w:hint="eastAsia"/>
                      <w:color w:val="auto"/>
                      <w:kern w:val="0"/>
                      <w:sz w:val="21"/>
                      <w:szCs w:val="21"/>
                    </w:rPr>
                    <w:t>液态VOCs物料应采用密闭管道输送方式或采用高位槽(罐)、桶泵等给料方式密闭投加。无法密闭投加的，应在密闭空间内操作，或进行局部气体收集，废气应排至VOCs废气收集处理系统。粉状、粒状VOCs物料应采用气力输送方式或采用密闭固体投料器等给料方式密闭投加。无法密闭投加的，应在密闭空间内操作，或进行局部气体收集，废气应排至除尘设施、VOCs废气收集处理系统。</w:t>
                  </w:r>
                </w:p>
                <w:p w14:paraId="46C9E81C">
                  <w:pPr>
                    <w:autoSpaceDE w:val="0"/>
                    <w:autoSpaceDN w:val="0"/>
                    <w:adjustRightInd w:val="0"/>
                    <w:snapToGrid w:val="0"/>
                    <w:spacing w:line="240" w:lineRule="auto"/>
                    <w:rPr>
                      <w:color w:val="auto"/>
                      <w:kern w:val="0"/>
                      <w:sz w:val="21"/>
                      <w:szCs w:val="21"/>
                    </w:rPr>
                  </w:pPr>
                  <w:r>
                    <w:rPr>
                      <w:rFonts w:hint="eastAsia"/>
                      <w:color w:val="auto"/>
                      <w:kern w:val="0"/>
                      <w:sz w:val="21"/>
                      <w:szCs w:val="21"/>
                    </w:rPr>
                    <w:t>VOCs物料卸(出、放)料过程应密闭，卸料废气应排至VOCs废气收集处理系统；无法密闭的，应采取局部气体收集措施，废气应排至VOCs废气收集处理系统。</w:t>
                  </w:r>
                </w:p>
              </w:tc>
              <w:tc>
                <w:tcPr>
                  <w:tcW w:w="1112" w:type="pct"/>
                  <w:vAlign w:val="center"/>
                </w:tcPr>
                <w:p w14:paraId="5CA6E0E3">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本项目原料</w:t>
                  </w:r>
                  <w:bookmarkStart w:id="28" w:name="OLE_LINK21"/>
                  <w:r>
                    <w:rPr>
                      <w:rFonts w:hint="eastAsia"/>
                      <w:color w:val="auto"/>
                      <w:kern w:val="0"/>
                      <w:sz w:val="21"/>
                      <w:szCs w:val="21"/>
                    </w:rPr>
                    <w:t>PET、PE为固态，袋装保存</w:t>
                  </w:r>
                  <w:bookmarkEnd w:id="28"/>
                  <w:r>
                    <w:rPr>
                      <w:rFonts w:hint="eastAsia"/>
                      <w:color w:val="auto"/>
                      <w:kern w:val="0"/>
                      <w:sz w:val="21"/>
                      <w:szCs w:val="21"/>
                    </w:rPr>
                    <w:t>，取用时在密闭生产车间投入注塑机后密闭加工。</w:t>
                  </w:r>
                </w:p>
              </w:tc>
              <w:tc>
                <w:tcPr>
                  <w:tcW w:w="669" w:type="pct"/>
                  <w:vAlign w:val="center"/>
                </w:tcPr>
                <w:p w14:paraId="492AB6EC">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788B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vAlign w:val="center"/>
                </w:tcPr>
                <w:p w14:paraId="2557B970">
                  <w:pPr>
                    <w:autoSpaceDE w:val="0"/>
                    <w:autoSpaceDN w:val="0"/>
                    <w:adjustRightInd w:val="0"/>
                    <w:snapToGrid w:val="0"/>
                    <w:spacing w:line="240" w:lineRule="auto"/>
                    <w:rPr>
                      <w:color w:val="auto"/>
                      <w:kern w:val="0"/>
                      <w:sz w:val="21"/>
                      <w:szCs w:val="21"/>
                    </w:rPr>
                  </w:pPr>
                </w:p>
              </w:tc>
              <w:tc>
                <w:tcPr>
                  <w:tcW w:w="2388" w:type="pct"/>
                  <w:vAlign w:val="center"/>
                </w:tcPr>
                <w:p w14:paraId="07B36151">
                  <w:pPr>
                    <w:autoSpaceDE w:val="0"/>
                    <w:autoSpaceDN w:val="0"/>
                    <w:adjustRightInd w:val="0"/>
                    <w:snapToGrid w:val="0"/>
                    <w:spacing w:line="240" w:lineRule="auto"/>
                    <w:rPr>
                      <w:color w:val="auto"/>
                      <w:kern w:val="0"/>
                      <w:sz w:val="21"/>
                      <w:szCs w:val="21"/>
                    </w:rPr>
                  </w:pPr>
                  <w:r>
                    <w:rPr>
                      <w:rFonts w:hint="eastAsia"/>
                      <w:color w:val="auto"/>
                      <w:kern w:val="0"/>
                      <w:sz w:val="21"/>
                      <w:szCs w:val="21"/>
                    </w:rPr>
                    <w:t>配料加工和含VOCs产品的包装：VOCs物料混合、搅拌、研磨、造粒、切片、压块等配料加工过程，以及含VOCs产品的包装(灌装、分装)过程应采用密闭设备或在密闭空间内操作，废气应排至VOCs废气收集处理系统；无法密闭的，应采取局部气体收集措施，废气应排至VOCs废气收集处理系统。</w:t>
                  </w:r>
                </w:p>
              </w:tc>
              <w:tc>
                <w:tcPr>
                  <w:tcW w:w="1112" w:type="pct"/>
                  <w:vMerge w:val="restart"/>
                  <w:vAlign w:val="center"/>
                </w:tcPr>
                <w:p w14:paraId="0B8D20DE">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本项目生产车间密闭设置，原料PET、PE在密闭注塑机内加热熔融、注塑成品，在注塑机进口处设置集气罩，废气排至VOCs废气收集处理系统（二级活性炭措施）。</w:t>
                  </w:r>
                </w:p>
              </w:tc>
              <w:tc>
                <w:tcPr>
                  <w:tcW w:w="669" w:type="pct"/>
                  <w:vAlign w:val="center"/>
                </w:tcPr>
                <w:p w14:paraId="20678BC0">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2CF2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vAlign w:val="center"/>
                </w:tcPr>
                <w:p w14:paraId="3560BA5A">
                  <w:pPr>
                    <w:autoSpaceDE w:val="0"/>
                    <w:autoSpaceDN w:val="0"/>
                    <w:adjustRightInd w:val="0"/>
                    <w:snapToGrid w:val="0"/>
                    <w:spacing w:line="240" w:lineRule="auto"/>
                    <w:rPr>
                      <w:color w:val="auto"/>
                      <w:kern w:val="0"/>
                      <w:sz w:val="21"/>
                      <w:szCs w:val="21"/>
                    </w:rPr>
                  </w:pPr>
                </w:p>
              </w:tc>
              <w:tc>
                <w:tcPr>
                  <w:tcW w:w="2388" w:type="pct"/>
                  <w:vAlign w:val="center"/>
                </w:tcPr>
                <w:p w14:paraId="225BE615">
                  <w:pPr>
                    <w:autoSpaceDE w:val="0"/>
                    <w:autoSpaceDN w:val="0"/>
                    <w:adjustRightInd w:val="0"/>
                    <w:snapToGrid w:val="0"/>
                    <w:spacing w:line="240" w:lineRule="auto"/>
                    <w:rPr>
                      <w:color w:val="auto"/>
                      <w:kern w:val="0"/>
                      <w:sz w:val="21"/>
                      <w:szCs w:val="21"/>
                    </w:rPr>
                  </w:pPr>
                  <w:r>
                    <w:rPr>
                      <w:rFonts w:hint="eastAsia"/>
                      <w:color w:val="auto"/>
                      <w:kern w:val="0"/>
                      <w:sz w:val="21"/>
                      <w:szCs w:val="21"/>
                    </w:rPr>
                    <w:t>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tc>
              <w:tc>
                <w:tcPr>
                  <w:tcW w:w="1112" w:type="pct"/>
                  <w:vMerge w:val="continue"/>
                  <w:vAlign w:val="center"/>
                </w:tcPr>
                <w:p w14:paraId="15EE8305">
                  <w:pPr>
                    <w:autoSpaceDE w:val="0"/>
                    <w:autoSpaceDN w:val="0"/>
                    <w:adjustRightInd w:val="0"/>
                    <w:snapToGrid w:val="0"/>
                    <w:spacing w:line="240" w:lineRule="auto"/>
                    <w:rPr>
                      <w:color w:val="auto"/>
                      <w:kern w:val="0"/>
                      <w:sz w:val="21"/>
                      <w:szCs w:val="21"/>
                    </w:rPr>
                  </w:pPr>
                </w:p>
              </w:tc>
              <w:tc>
                <w:tcPr>
                  <w:tcW w:w="669" w:type="pct"/>
                  <w:vAlign w:val="center"/>
                </w:tcPr>
                <w:p w14:paraId="6D6C6708">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4195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6D010781">
                  <w:pPr>
                    <w:autoSpaceDE w:val="0"/>
                    <w:autoSpaceDN w:val="0"/>
                    <w:adjustRightInd w:val="0"/>
                    <w:snapToGrid w:val="0"/>
                    <w:spacing w:line="240" w:lineRule="auto"/>
                    <w:rPr>
                      <w:color w:val="auto"/>
                      <w:kern w:val="0"/>
                      <w:sz w:val="21"/>
                      <w:szCs w:val="21"/>
                    </w:rPr>
                  </w:pPr>
                  <w:r>
                    <w:rPr>
                      <w:rFonts w:hint="eastAsia"/>
                      <w:color w:val="auto"/>
                      <w:kern w:val="0"/>
                      <w:sz w:val="21"/>
                      <w:szCs w:val="21"/>
                    </w:rPr>
                    <w:t>设备与管线组件VOCs泄漏控制要求</w:t>
                  </w:r>
                </w:p>
              </w:tc>
              <w:tc>
                <w:tcPr>
                  <w:tcW w:w="2388" w:type="pct"/>
                  <w:vAlign w:val="center"/>
                </w:tcPr>
                <w:p w14:paraId="30DE2704">
                  <w:pPr>
                    <w:autoSpaceDE w:val="0"/>
                    <w:autoSpaceDN w:val="0"/>
                    <w:adjustRightInd w:val="0"/>
                    <w:snapToGrid w:val="0"/>
                    <w:spacing w:line="240" w:lineRule="auto"/>
                    <w:rPr>
                      <w:color w:val="auto"/>
                      <w:kern w:val="0"/>
                      <w:sz w:val="21"/>
                      <w:szCs w:val="21"/>
                    </w:rPr>
                  </w:pPr>
                  <w:r>
                    <w:rPr>
                      <w:rFonts w:hint="eastAsia"/>
                      <w:color w:val="auto"/>
                      <w:kern w:val="0"/>
                      <w:sz w:val="21"/>
                      <w:szCs w:val="21"/>
                    </w:rPr>
                    <w:t>企业中载有气态VOCs物料、液态VOCs物料的设备与管线组件的密封点&gt;2000个，应开展泄漏检测与修复工作。设备与管线组件包括：a)泵；b)压缩机；c)搅拌器(机)；d)阀门；e)开口阀或开口管线；f)法兰及其他连接件；g)泄压设备；h)取样连接系统；i)其他密封设备。</w:t>
                  </w:r>
                </w:p>
              </w:tc>
              <w:tc>
                <w:tcPr>
                  <w:tcW w:w="1112" w:type="pct"/>
                  <w:vAlign w:val="center"/>
                </w:tcPr>
                <w:p w14:paraId="2C53CB25">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本项目拟对设备与管线组件的密封点进行每周观察，定期检查其密封处是否可见泄露现象。</w:t>
                  </w:r>
                </w:p>
              </w:tc>
              <w:tc>
                <w:tcPr>
                  <w:tcW w:w="669" w:type="pct"/>
                  <w:vAlign w:val="center"/>
                </w:tcPr>
                <w:p w14:paraId="13C1FF94">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5029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0DE6AC62">
                  <w:pPr>
                    <w:autoSpaceDE w:val="0"/>
                    <w:autoSpaceDN w:val="0"/>
                    <w:adjustRightInd w:val="0"/>
                    <w:snapToGrid w:val="0"/>
                    <w:spacing w:line="240" w:lineRule="auto"/>
                    <w:rPr>
                      <w:color w:val="auto"/>
                      <w:kern w:val="0"/>
                      <w:sz w:val="21"/>
                      <w:szCs w:val="21"/>
                    </w:rPr>
                  </w:pPr>
                  <w:r>
                    <w:rPr>
                      <w:rFonts w:hint="eastAsia"/>
                      <w:color w:val="auto"/>
                      <w:kern w:val="0"/>
                      <w:sz w:val="21"/>
                      <w:szCs w:val="21"/>
                    </w:rPr>
                    <w:t>敞开液面VOCs无组织排放控制要求</w:t>
                  </w:r>
                </w:p>
              </w:tc>
              <w:tc>
                <w:tcPr>
                  <w:tcW w:w="2388" w:type="pct"/>
                  <w:vAlign w:val="center"/>
                </w:tcPr>
                <w:p w14:paraId="02D221E7">
                  <w:pPr>
                    <w:autoSpaceDE w:val="0"/>
                    <w:autoSpaceDN w:val="0"/>
                    <w:adjustRightInd w:val="0"/>
                    <w:snapToGrid w:val="0"/>
                    <w:spacing w:line="240" w:lineRule="auto"/>
                    <w:rPr>
                      <w:color w:val="auto"/>
                      <w:kern w:val="0"/>
                      <w:sz w:val="21"/>
                      <w:szCs w:val="21"/>
                    </w:rPr>
                  </w:pPr>
                  <w:r>
                    <w:rPr>
                      <w:rFonts w:hint="eastAsia"/>
                      <w:color w:val="auto"/>
                      <w:kern w:val="0"/>
                      <w:sz w:val="21"/>
                      <w:szCs w:val="21"/>
                    </w:rPr>
                    <w:t>敞开液面VOCs无组织排放控制要求针对于工艺过程排放的含VOCs废水。采用密闭管道输送，接入口和排出口采取与环境空气隔离的措施；采用沟渠输送，若敞开液面上方100mm处VOCs检测浓度≥200</w:t>
                  </w:r>
                  <w:r>
                    <w:rPr>
                      <w:color w:val="auto"/>
                      <w:kern w:val="0"/>
                      <w:sz w:val="21"/>
                      <w:szCs w:val="21"/>
                    </w:rPr>
                    <w:t>μ</w:t>
                  </w:r>
                  <w:r>
                    <w:rPr>
                      <w:rFonts w:hint="eastAsia"/>
                      <w:color w:val="auto"/>
                      <w:kern w:val="0"/>
                      <w:sz w:val="21"/>
                      <w:szCs w:val="21"/>
                    </w:rPr>
                    <w:t>mol/mol，应加盖密闭，接入口和排出口采取与环境空气隔离的措施。</w:t>
                  </w:r>
                </w:p>
              </w:tc>
              <w:tc>
                <w:tcPr>
                  <w:tcW w:w="1112" w:type="pct"/>
                  <w:vAlign w:val="center"/>
                </w:tcPr>
                <w:p w14:paraId="59317AC7">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本项目不涉及敞开液面VOCs废水。</w:t>
                  </w:r>
                </w:p>
              </w:tc>
              <w:tc>
                <w:tcPr>
                  <w:tcW w:w="669" w:type="pct"/>
                  <w:vAlign w:val="center"/>
                </w:tcPr>
                <w:p w14:paraId="340533E6">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38F6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16197DCB">
                  <w:pPr>
                    <w:autoSpaceDE w:val="0"/>
                    <w:autoSpaceDN w:val="0"/>
                    <w:adjustRightInd w:val="0"/>
                    <w:snapToGrid w:val="0"/>
                    <w:spacing w:line="240" w:lineRule="auto"/>
                    <w:rPr>
                      <w:color w:val="auto"/>
                      <w:kern w:val="0"/>
                      <w:sz w:val="21"/>
                      <w:szCs w:val="21"/>
                    </w:rPr>
                  </w:pPr>
                  <w:r>
                    <w:rPr>
                      <w:rFonts w:hint="eastAsia"/>
                      <w:color w:val="auto"/>
                      <w:kern w:val="0"/>
                      <w:sz w:val="21"/>
                      <w:szCs w:val="21"/>
                    </w:rPr>
                    <w:t>VOCs无组织排放废气收集处理系统要求</w:t>
                  </w:r>
                </w:p>
              </w:tc>
              <w:tc>
                <w:tcPr>
                  <w:tcW w:w="2388" w:type="pct"/>
                  <w:vAlign w:val="center"/>
                </w:tcPr>
                <w:p w14:paraId="28F14EA1">
                  <w:pPr>
                    <w:autoSpaceDE w:val="0"/>
                    <w:autoSpaceDN w:val="0"/>
                    <w:adjustRightInd w:val="0"/>
                    <w:snapToGrid w:val="0"/>
                    <w:spacing w:line="240" w:lineRule="auto"/>
                    <w:rPr>
                      <w:color w:val="auto"/>
                      <w:kern w:val="0"/>
                      <w:sz w:val="21"/>
                      <w:szCs w:val="21"/>
                    </w:rPr>
                  </w:pPr>
                  <w:bookmarkStart w:id="29" w:name="OLE_LINK20"/>
                  <w:r>
                    <w:rPr>
                      <w:rFonts w:hint="eastAsia"/>
                      <w:color w:val="auto"/>
                      <w:kern w:val="0"/>
                      <w:sz w:val="21"/>
                      <w:szCs w:val="21"/>
                    </w:rPr>
                    <w:t>废气收集系统的输送管道应密闭</w:t>
                  </w:r>
                  <w:bookmarkEnd w:id="29"/>
                  <w:r>
                    <w:rPr>
                      <w:rFonts w:hint="eastAsia"/>
                      <w:color w:val="auto"/>
                      <w:kern w:val="0"/>
                      <w:sz w:val="21"/>
                      <w:szCs w:val="21"/>
                    </w:rPr>
                    <w:t>。废气收集系统应在负压下运行，若处于正压状态，应对输送管道组件的密封点进行泄漏检测，泄漏检测值不应超过500</w:t>
                  </w:r>
                  <w:r>
                    <w:rPr>
                      <w:color w:val="auto"/>
                      <w:kern w:val="0"/>
                      <w:sz w:val="21"/>
                      <w:szCs w:val="21"/>
                    </w:rPr>
                    <w:t>μ</w:t>
                  </w:r>
                  <w:r>
                    <w:rPr>
                      <w:rFonts w:hint="eastAsia"/>
                      <w:color w:val="auto"/>
                      <w:kern w:val="0"/>
                      <w:sz w:val="21"/>
                      <w:szCs w:val="21"/>
                    </w:rPr>
                    <w:t>mol/mol，亦不应有感官可察觉泄漏。</w:t>
                  </w:r>
                </w:p>
              </w:tc>
              <w:tc>
                <w:tcPr>
                  <w:tcW w:w="1112" w:type="pct"/>
                  <w:vAlign w:val="center"/>
                </w:tcPr>
                <w:p w14:paraId="05937D8B">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本项目废气收集系统的输送管道为密闭管道，废气通过管道收集至二级活性炭处理。</w:t>
                  </w:r>
                </w:p>
              </w:tc>
              <w:tc>
                <w:tcPr>
                  <w:tcW w:w="669" w:type="pct"/>
                  <w:vAlign w:val="center"/>
                </w:tcPr>
                <w:p w14:paraId="7DB7E4AA">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7C39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Align w:val="center"/>
                </w:tcPr>
                <w:p w14:paraId="3BCA5AEC">
                  <w:pPr>
                    <w:autoSpaceDE w:val="0"/>
                    <w:autoSpaceDN w:val="0"/>
                    <w:adjustRightInd w:val="0"/>
                    <w:snapToGrid w:val="0"/>
                    <w:spacing w:line="240" w:lineRule="auto"/>
                    <w:rPr>
                      <w:color w:val="auto"/>
                      <w:kern w:val="0"/>
                      <w:sz w:val="21"/>
                      <w:szCs w:val="21"/>
                    </w:rPr>
                  </w:pPr>
                  <w:r>
                    <w:rPr>
                      <w:rFonts w:hint="eastAsia"/>
                      <w:color w:val="auto"/>
                      <w:kern w:val="0"/>
                      <w:sz w:val="21"/>
                      <w:szCs w:val="21"/>
                    </w:rPr>
                    <w:t>企业厂区内及周边污染监控要求</w:t>
                  </w:r>
                </w:p>
              </w:tc>
              <w:tc>
                <w:tcPr>
                  <w:tcW w:w="2388" w:type="pct"/>
                  <w:vAlign w:val="center"/>
                </w:tcPr>
                <w:p w14:paraId="5798A3CE">
                  <w:pPr>
                    <w:autoSpaceDE w:val="0"/>
                    <w:autoSpaceDN w:val="0"/>
                    <w:adjustRightInd w:val="0"/>
                    <w:snapToGrid w:val="0"/>
                    <w:spacing w:line="240" w:lineRule="auto"/>
                    <w:rPr>
                      <w:color w:val="auto"/>
                      <w:kern w:val="0"/>
                      <w:sz w:val="21"/>
                      <w:szCs w:val="21"/>
                    </w:rPr>
                  </w:pPr>
                  <w:r>
                    <w:rPr>
                      <w:rFonts w:hint="eastAsia"/>
                      <w:color w:val="auto"/>
                      <w:kern w:val="0"/>
                      <w:sz w:val="21"/>
                      <w:szCs w:val="21"/>
                    </w:rPr>
                    <w:t>企业边界及周边VOCs监控要求执行GB16297或相关行业排放标准的规定。地方生态环境主管部门可根据当地环境保护需要，对厂区内VOCs无组织排放状况进行监控，具体实施方式由各地自行确定。厂区内VOCs无组织排放监控要求参见附录A。</w:t>
                  </w:r>
                </w:p>
              </w:tc>
              <w:tc>
                <w:tcPr>
                  <w:tcW w:w="1112" w:type="pct"/>
                  <w:vAlign w:val="center"/>
                </w:tcPr>
                <w:p w14:paraId="597F9502">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本项目设置企业日常监测计划，对企业内及周边VOCs定期监测。</w:t>
                  </w:r>
                </w:p>
              </w:tc>
              <w:tc>
                <w:tcPr>
                  <w:tcW w:w="669" w:type="pct"/>
                  <w:vAlign w:val="center"/>
                </w:tcPr>
                <w:p w14:paraId="469725A8">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bl>
          <w:p w14:paraId="4167773E">
            <w:pPr>
              <w:autoSpaceDE w:val="0"/>
              <w:autoSpaceDN w:val="0"/>
              <w:adjustRightInd w:val="0"/>
              <w:snapToGrid w:val="0"/>
              <w:spacing w:before="120" w:beforeLines="50"/>
              <w:ind w:firstLine="480" w:firstLineChars="200"/>
              <w:rPr>
                <w:color w:val="auto"/>
                <w:kern w:val="0"/>
              </w:rPr>
            </w:pPr>
            <w:r>
              <w:rPr>
                <w:rFonts w:hint="eastAsia"/>
                <w:color w:val="auto"/>
                <w:kern w:val="0"/>
              </w:rPr>
              <w:t>综上，本项目与</w:t>
            </w:r>
            <w:r>
              <w:rPr>
                <w:color w:val="auto"/>
                <w:kern w:val="0"/>
              </w:rPr>
              <w:t>《挥发性有机物无组织排放控制标准》（GB37822-2019）</w:t>
            </w:r>
            <w:r>
              <w:rPr>
                <w:rFonts w:hint="eastAsia"/>
                <w:color w:val="auto"/>
                <w:kern w:val="0"/>
              </w:rPr>
              <w:t>相符。</w:t>
            </w:r>
          </w:p>
          <w:p w14:paraId="59DA2A0C">
            <w:pPr>
              <w:autoSpaceDE w:val="0"/>
              <w:autoSpaceDN w:val="0"/>
              <w:adjustRightInd w:val="0"/>
              <w:snapToGrid w:val="0"/>
              <w:ind w:firstLine="482" w:firstLineChars="200"/>
              <w:rPr>
                <w:b/>
                <w:bCs/>
                <w:color w:val="auto"/>
                <w:kern w:val="0"/>
              </w:rPr>
            </w:pPr>
            <w:r>
              <w:rPr>
                <w:rFonts w:hint="eastAsia"/>
                <w:b/>
                <w:bCs/>
                <w:color w:val="auto"/>
                <w:kern w:val="0"/>
              </w:rPr>
              <w:t>8、项目与</w:t>
            </w:r>
            <w:r>
              <w:rPr>
                <w:rFonts w:hint="eastAsia" w:hAnsi="宋体"/>
                <w:b/>
                <w:bCs/>
                <w:color w:val="auto"/>
              </w:rPr>
              <w:t>《关于印发&lt;重点行业挥发性有机物综合治理方案&gt;的通知》（环大气〔2019〕53号）</w:t>
            </w:r>
            <w:r>
              <w:rPr>
                <w:rFonts w:hint="eastAsia"/>
                <w:b/>
                <w:bCs/>
                <w:color w:val="auto"/>
                <w:kern w:val="0"/>
              </w:rPr>
              <w:t>的相符性分析</w:t>
            </w:r>
          </w:p>
          <w:p w14:paraId="2CF95359">
            <w:pPr>
              <w:autoSpaceDE w:val="0"/>
              <w:autoSpaceDN w:val="0"/>
              <w:adjustRightInd w:val="0"/>
              <w:snapToGrid w:val="0"/>
              <w:ind w:firstLine="422" w:firstLineChars="200"/>
              <w:jc w:val="center"/>
              <w:rPr>
                <w:b/>
                <w:bCs/>
                <w:color w:val="auto"/>
                <w:kern w:val="0"/>
                <w:sz w:val="21"/>
                <w:szCs w:val="21"/>
              </w:rPr>
            </w:pPr>
            <w:r>
              <w:rPr>
                <w:rFonts w:hint="eastAsia" w:hAnsi="宋体"/>
                <w:b/>
                <w:bCs/>
                <w:color w:val="auto"/>
                <w:sz w:val="21"/>
                <w:szCs w:val="21"/>
              </w:rPr>
              <w:t>表1-3 项目与《重点行业挥发性有机物综合治理方案》</w:t>
            </w:r>
            <w:r>
              <w:rPr>
                <w:rFonts w:hint="eastAsia"/>
                <w:b/>
                <w:bCs/>
                <w:color w:val="auto"/>
                <w:kern w:val="0"/>
                <w:sz w:val="21"/>
                <w:szCs w:val="21"/>
              </w:rPr>
              <w:t>的相符性分析一览表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7"/>
              <w:gridCol w:w="2602"/>
              <w:gridCol w:w="1145"/>
            </w:tblGrid>
            <w:tr w14:paraId="3F20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pct"/>
                  <w:vAlign w:val="center"/>
                </w:tcPr>
                <w:p w14:paraId="188EE008">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化工行业VOCs综合治理要求</w:t>
                  </w:r>
                </w:p>
              </w:tc>
              <w:tc>
                <w:tcPr>
                  <w:tcW w:w="1627" w:type="pct"/>
                  <w:vAlign w:val="center"/>
                </w:tcPr>
                <w:p w14:paraId="453B2713">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本项目情况</w:t>
                  </w:r>
                </w:p>
              </w:tc>
              <w:tc>
                <w:tcPr>
                  <w:tcW w:w="716" w:type="pct"/>
                  <w:vAlign w:val="center"/>
                </w:tcPr>
                <w:p w14:paraId="168BB48B">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相符性</w:t>
                  </w:r>
                </w:p>
              </w:tc>
            </w:tr>
            <w:tr w14:paraId="336B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pct"/>
                  <w:vAlign w:val="center"/>
                </w:tcPr>
                <w:p w14:paraId="603CE4A3">
                  <w:pPr>
                    <w:autoSpaceDE w:val="0"/>
                    <w:autoSpaceDN w:val="0"/>
                    <w:adjustRightInd w:val="0"/>
                    <w:snapToGrid w:val="0"/>
                    <w:spacing w:line="240" w:lineRule="auto"/>
                    <w:rPr>
                      <w:color w:val="auto"/>
                      <w:kern w:val="0"/>
                      <w:sz w:val="21"/>
                      <w:szCs w:val="21"/>
                    </w:rPr>
                  </w:pPr>
                  <w:r>
                    <w:rPr>
                      <w:rFonts w:hint="eastAsia"/>
                      <w:color w:val="auto"/>
                      <w:kern w:val="0"/>
                      <w:sz w:val="21"/>
                      <w:szCs w:val="21"/>
                    </w:rPr>
                    <w:t>加强制药、农药、涂料、油墨、胶粘剂、橡胶和塑料制品等行业VOCs治理力度。重点提高涉VOCs排放主要工序密闭化水平，加强无组织排放收集，加大含VOCs物料储存和装卸治理力度。废水储存、曝气池及其之前废水处理设施应按要求加盖封闭，实施废气收集与处理。密封点大于等于2000个的，要开展LDAR工作。</w:t>
                  </w:r>
                </w:p>
              </w:tc>
              <w:tc>
                <w:tcPr>
                  <w:tcW w:w="1627" w:type="pct"/>
                  <w:vAlign w:val="center"/>
                </w:tcPr>
                <w:p w14:paraId="38DA14D1">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本项目为塑料制品业，生产过程无废水产生，</w:t>
                  </w:r>
                  <w:bookmarkStart w:id="30" w:name="OLE_LINK24"/>
                  <w:r>
                    <w:rPr>
                      <w:rFonts w:hint="eastAsia"/>
                      <w:color w:val="auto"/>
                      <w:kern w:val="0"/>
                      <w:sz w:val="21"/>
                      <w:szCs w:val="21"/>
                    </w:rPr>
                    <w:t>产生的有机废气通过集气罩收集后，由密闭管道输送至二级活性炭措施进行处理，再经排气筒DA001排放</w:t>
                  </w:r>
                  <w:bookmarkEnd w:id="30"/>
                  <w:r>
                    <w:rPr>
                      <w:rFonts w:hint="eastAsia"/>
                      <w:color w:val="auto"/>
                      <w:kern w:val="0"/>
                      <w:sz w:val="21"/>
                      <w:szCs w:val="21"/>
                    </w:rPr>
                    <w:t>；项目原料PET、PE为固态，袋装封口保存。</w:t>
                  </w:r>
                </w:p>
              </w:tc>
              <w:tc>
                <w:tcPr>
                  <w:tcW w:w="716" w:type="pct"/>
                  <w:vAlign w:val="center"/>
                </w:tcPr>
                <w:p w14:paraId="05C4E1CE">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3B81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pct"/>
                  <w:vAlign w:val="center"/>
                </w:tcPr>
                <w:p w14:paraId="09E4BE9B">
                  <w:pPr>
                    <w:autoSpaceDE w:val="0"/>
                    <w:autoSpaceDN w:val="0"/>
                    <w:adjustRightInd w:val="0"/>
                    <w:snapToGrid w:val="0"/>
                    <w:spacing w:line="240" w:lineRule="auto"/>
                    <w:rPr>
                      <w:color w:val="auto"/>
                      <w:kern w:val="0"/>
                      <w:sz w:val="21"/>
                      <w:szCs w:val="21"/>
                    </w:rPr>
                  </w:pPr>
                  <w:r>
                    <w:rPr>
                      <w:rFonts w:hint="eastAsia"/>
                      <w:color w:val="auto"/>
                      <w:kern w:val="0"/>
                      <w:sz w:val="21"/>
                      <w:szCs w:val="21"/>
                    </w:rPr>
                    <w:t>积极推广使用低VOCs含量或低反应活性的原辅材料，加快工艺改进和产品升级。制药、农药行业推广使用非卤代烃和非芳香烃类溶剂，鼓励生产水基化类农药制剂。橡胶制品行业推广使用新型偶联剂、粘合剂，使用石蜡油等替代普通芳烃油、煤焦油等助剂。优化生产工艺，农药行业推广水相法、生物酶法合成等技术；制药行业推广生物酶法合成技术；橡胶制品行业推广采用串联法混炼、常压连续脱硫工艺。</w:t>
                  </w:r>
                </w:p>
              </w:tc>
              <w:tc>
                <w:tcPr>
                  <w:tcW w:w="1627" w:type="pct"/>
                  <w:vAlign w:val="center"/>
                </w:tcPr>
                <w:p w14:paraId="1D12A19A">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w:t>
                  </w:r>
                  <w:bookmarkStart w:id="31" w:name="OLE_LINK22"/>
                  <w:r>
                    <w:rPr>
                      <w:rFonts w:hint="eastAsia"/>
                      <w:color w:val="auto"/>
                      <w:kern w:val="0"/>
                      <w:sz w:val="21"/>
                      <w:szCs w:val="21"/>
                    </w:rPr>
                    <w:t>原料PET、PE为低VOCs含量材料</w:t>
                  </w:r>
                  <w:bookmarkEnd w:id="31"/>
                  <w:r>
                    <w:rPr>
                      <w:rFonts w:hint="eastAsia"/>
                      <w:color w:val="auto"/>
                      <w:kern w:val="0"/>
                      <w:sz w:val="21"/>
                      <w:szCs w:val="21"/>
                    </w:rPr>
                    <w:t>，生产工艺为电加热熔融注塑，工艺简单</w:t>
                  </w:r>
                  <w:r>
                    <w:rPr>
                      <w:rFonts w:hint="eastAsia" w:ascii="宋体" w:hAnsi="宋体" w:cs="宋体"/>
                      <w:color w:val="auto"/>
                      <w:sz w:val="22"/>
                      <w:szCs w:val="22"/>
                    </w:rPr>
                    <w:t>。</w:t>
                  </w:r>
                </w:p>
              </w:tc>
              <w:tc>
                <w:tcPr>
                  <w:tcW w:w="716" w:type="pct"/>
                  <w:vAlign w:val="center"/>
                </w:tcPr>
                <w:p w14:paraId="5C0BCC2C">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6722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pct"/>
                  <w:vAlign w:val="center"/>
                </w:tcPr>
                <w:p w14:paraId="14BBCC1E">
                  <w:pPr>
                    <w:autoSpaceDE w:val="0"/>
                    <w:autoSpaceDN w:val="0"/>
                    <w:adjustRightInd w:val="0"/>
                    <w:snapToGrid w:val="0"/>
                    <w:spacing w:line="240" w:lineRule="auto"/>
                    <w:rPr>
                      <w:color w:val="auto"/>
                      <w:kern w:val="0"/>
                      <w:sz w:val="21"/>
                      <w:szCs w:val="21"/>
                    </w:rPr>
                  </w:pPr>
                  <w:r>
                    <w:rPr>
                      <w:rFonts w:hint="eastAsia"/>
                      <w:color w:val="auto"/>
                      <w:kern w:val="0"/>
                      <w:sz w:val="21"/>
                      <w:szCs w:val="21"/>
                    </w:rPr>
                    <w:t>加快生产设备密闭化改造。对进出料、物料输送、搅拌、固液分离、干燥、灌装等过程，采取密闭化措施，提升工艺装备水平。加快淘汰敞口式、明流式设施。重点区域含VOCs物料输送原则上采用重力流或泵送方式，逐步淘汰真空方式；有机液体进料鼓励采用底部、浸入管给料方式，淘汰喷溅式给料；固体物料投加逐步推进采用密闭式投料装置。</w:t>
                  </w:r>
                </w:p>
              </w:tc>
              <w:tc>
                <w:tcPr>
                  <w:tcW w:w="1627" w:type="pct"/>
                  <w:vAlign w:val="center"/>
                </w:tcPr>
                <w:p w14:paraId="7AEF1EBB">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本项目注塑机为封闭式，加热熔融过程产生的有机废气通过密闭管道输送至二级活性炭措施进行处理，再经排气筒DA001排放。</w:t>
                  </w:r>
                </w:p>
              </w:tc>
              <w:tc>
                <w:tcPr>
                  <w:tcW w:w="716" w:type="pct"/>
                  <w:vAlign w:val="center"/>
                </w:tcPr>
                <w:p w14:paraId="427EDB8D">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3A10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pct"/>
                  <w:vAlign w:val="center"/>
                </w:tcPr>
                <w:p w14:paraId="162B0BF9">
                  <w:pPr>
                    <w:autoSpaceDE w:val="0"/>
                    <w:autoSpaceDN w:val="0"/>
                    <w:adjustRightInd w:val="0"/>
                    <w:snapToGrid w:val="0"/>
                    <w:spacing w:line="240" w:lineRule="auto"/>
                    <w:rPr>
                      <w:color w:val="auto"/>
                      <w:kern w:val="0"/>
                      <w:sz w:val="21"/>
                      <w:szCs w:val="21"/>
                    </w:rPr>
                  </w:pPr>
                  <w:r>
                    <w:rPr>
                      <w:rFonts w:hint="eastAsia"/>
                      <w:color w:val="auto"/>
                      <w:kern w:val="0"/>
                      <w:sz w:val="21"/>
                      <w:szCs w:val="21"/>
                    </w:rPr>
                    <w:t>严格控制储存和装卸过程VOCs排放。鼓励采用压力罐、浮顶罐等替代固定顶罐。真实蒸气压大于等于27.6kPa（重点区域大于等于5.2kPa）的有机液体，利用固定顶罐储存的，应按有关规定采用气相平衡系统或收集净化处理。</w:t>
                  </w:r>
                </w:p>
              </w:tc>
              <w:tc>
                <w:tcPr>
                  <w:tcW w:w="1627" w:type="pct"/>
                  <w:vAlign w:val="center"/>
                </w:tcPr>
                <w:p w14:paraId="005636D4">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w:t>
                  </w:r>
                  <w:bookmarkStart w:id="32" w:name="OLE_LINK23"/>
                  <w:r>
                    <w:rPr>
                      <w:rFonts w:hint="eastAsia"/>
                      <w:color w:val="auto"/>
                      <w:kern w:val="0"/>
                      <w:sz w:val="21"/>
                      <w:szCs w:val="21"/>
                    </w:rPr>
                    <w:t>原料PET、PE为固态，袋装封口保存</w:t>
                  </w:r>
                  <w:bookmarkEnd w:id="32"/>
                  <w:r>
                    <w:rPr>
                      <w:rFonts w:hint="eastAsia"/>
                      <w:color w:val="auto"/>
                      <w:kern w:val="0"/>
                      <w:sz w:val="21"/>
                      <w:szCs w:val="21"/>
                    </w:rPr>
                    <w:t>。</w:t>
                  </w:r>
                </w:p>
              </w:tc>
              <w:tc>
                <w:tcPr>
                  <w:tcW w:w="716" w:type="pct"/>
                  <w:vAlign w:val="center"/>
                </w:tcPr>
                <w:p w14:paraId="1FFBAD98">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1D22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pct"/>
                  <w:vAlign w:val="center"/>
                </w:tcPr>
                <w:p w14:paraId="05FD97BF">
                  <w:pPr>
                    <w:autoSpaceDE w:val="0"/>
                    <w:autoSpaceDN w:val="0"/>
                    <w:adjustRightInd w:val="0"/>
                    <w:snapToGrid w:val="0"/>
                    <w:spacing w:line="240" w:lineRule="auto"/>
                    <w:rPr>
                      <w:color w:val="auto"/>
                      <w:kern w:val="0"/>
                      <w:sz w:val="21"/>
                      <w:szCs w:val="21"/>
                    </w:rPr>
                  </w:pPr>
                  <w:r>
                    <w:rPr>
                      <w:rFonts w:hint="eastAsia"/>
                      <w:color w:val="auto"/>
                      <w:kern w:val="0"/>
                      <w:sz w:val="21"/>
                      <w:szCs w:val="21"/>
                    </w:rPr>
                    <w:t>实施废气分类收集处理。优先选用冷凝、吸附再生等回收技术；难以回收的，宜选用燃烧、吸附浓缩+燃烧等高效治理技术。水溶性、酸碱VOCs废气宜选用多级化学吸收等处理技术。恶臭类废气还应进一步加强除臭处理。</w:t>
                  </w:r>
                </w:p>
              </w:tc>
              <w:tc>
                <w:tcPr>
                  <w:tcW w:w="1627" w:type="pct"/>
                  <w:vAlign w:val="center"/>
                </w:tcPr>
                <w:p w14:paraId="002EA646">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本项目有机废气采用二级活性炭吸附处理。</w:t>
                  </w:r>
                </w:p>
              </w:tc>
              <w:tc>
                <w:tcPr>
                  <w:tcW w:w="716" w:type="pct"/>
                  <w:vAlign w:val="center"/>
                </w:tcPr>
                <w:p w14:paraId="562B6BD1">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r w14:paraId="173E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pct"/>
                  <w:vAlign w:val="center"/>
                </w:tcPr>
                <w:p w14:paraId="0E84E2F1">
                  <w:pPr>
                    <w:autoSpaceDE w:val="0"/>
                    <w:autoSpaceDN w:val="0"/>
                    <w:adjustRightInd w:val="0"/>
                    <w:snapToGrid w:val="0"/>
                    <w:spacing w:line="240" w:lineRule="auto"/>
                    <w:rPr>
                      <w:color w:val="auto"/>
                      <w:kern w:val="0"/>
                      <w:sz w:val="21"/>
                      <w:szCs w:val="21"/>
                    </w:rPr>
                  </w:pPr>
                  <w:r>
                    <w:rPr>
                      <w:rFonts w:hint="eastAsia"/>
                      <w:color w:val="auto"/>
                      <w:kern w:val="0"/>
                      <w:sz w:val="21"/>
                      <w:szCs w:val="21"/>
                    </w:rPr>
                    <w:t>加强非正常工况废气排放控制。退料、吹扫、清洗等过程应加强含VOCs物料回收工作，产生的VOCs废气要加大收集处理力度。开车阶段产生的易挥发性不合格产品应收集至中间储罐等装置。重点区域化工企业应制定开停车、检维修等非正常工况VOCs治理操作规程。</w:t>
                  </w:r>
                </w:p>
              </w:tc>
              <w:tc>
                <w:tcPr>
                  <w:tcW w:w="1627" w:type="pct"/>
                  <w:vAlign w:val="center"/>
                </w:tcPr>
                <w:p w14:paraId="5E9304FC">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本项目在非正常工况下，停止生产，设备检修正常后方可继续生产；本项目不在重点区域范围内。</w:t>
                  </w:r>
                </w:p>
              </w:tc>
              <w:tc>
                <w:tcPr>
                  <w:tcW w:w="716" w:type="pct"/>
                  <w:vAlign w:val="center"/>
                </w:tcPr>
                <w:p w14:paraId="383E436E">
                  <w:pPr>
                    <w:autoSpaceDE w:val="0"/>
                    <w:autoSpaceDN w:val="0"/>
                    <w:adjustRightInd w:val="0"/>
                    <w:snapToGrid w:val="0"/>
                    <w:spacing w:line="240" w:lineRule="auto"/>
                    <w:jc w:val="center"/>
                    <w:rPr>
                      <w:color w:val="auto"/>
                      <w:kern w:val="0"/>
                      <w:sz w:val="21"/>
                      <w:szCs w:val="21"/>
                    </w:rPr>
                  </w:pPr>
                  <w:r>
                    <w:rPr>
                      <w:rFonts w:hint="eastAsia"/>
                      <w:color w:val="auto"/>
                      <w:kern w:val="0"/>
                      <w:sz w:val="21"/>
                      <w:szCs w:val="21"/>
                    </w:rPr>
                    <w:t>符合</w:t>
                  </w:r>
                </w:p>
              </w:tc>
            </w:tr>
          </w:tbl>
          <w:p w14:paraId="211AA282">
            <w:pPr>
              <w:autoSpaceDE w:val="0"/>
              <w:autoSpaceDN w:val="0"/>
              <w:adjustRightInd w:val="0"/>
              <w:snapToGrid w:val="0"/>
              <w:ind w:firstLine="480" w:firstLineChars="200"/>
              <w:rPr>
                <w:color w:val="auto"/>
                <w:kern w:val="0"/>
              </w:rPr>
            </w:pPr>
            <w:r>
              <w:rPr>
                <w:rFonts w:hint="eastAsia"/>
                <w:color w:val="auto"/>
                <w:kern w:val="0"/>
              </w:rPr>
              <w:t>综上，项目与</w:t>
            </w:r>
            <w:r>
              <w:rPr>
                <w:rFonts w:hint="eastAsia" w:hAnsi="宋体"/>
                <w:color w:val="auto"/>
              </w:rPr>
              <w:t>《关于印发&lt;重点行业挥发性有机物综合治理方案&gt;的通知》（环大气〔2019〕53号）相符。</w:t>
            </w:r>
          </w:p>
          <w:p w14:paraId="15F37198">
            <w:pPr>
              <w:autoSpaceDE w:val="0"/>
              <w:autoSpaceDN w:val="0"/>
              <w:adjustRightInd w:val="0"/>
              <w:snapToGrid w:val="0"/>
              <w:ind w:firstLine="482" w:firstLineChars="200"/>
              <w:rPr>
                <w:b/>
                <w:bCs/>
                <w:color w:val="auto"/>
                <w:kern w:val="0"/>
              </w:rPr>
            </w:pPr>
            <w:r>
              <w:rPr>
                <w:rFonts w:hint="eastAsia" w:hAnsi="宋体"/>
                <w:b/>
                <w:bCs/>
                <w:color w:val="auto"/>
              </w:rPr>
              <w:t>9、</w:t>
            </w:r>
            <w:r>
              <w:rPr>
                <w:rFonts w:hint="eastAsia"/>
                <w:b/>
                <w:bCs/>
                <w:color w:val="auto"/>
                <w:kern w:val="0"/>
              </w:rPr>
              <w:t>项目与</w:t>
            </w:r>
            <w:r>
              <w:rPr>
                <w:rFonts w:hint="eastAsia" w:hAnsi="宋体"/>
                <w:b/>
                <w:bCs/>
                <w:color w:val="auto"/>
              </w:rPr>
              <w:t>《关于印发《2020年挥发性有机物治理攻坚方案》的通知》（环大气</w:t>
            </w:r>
            <w:r>
              <w:rPr>
                <w:rFonts w:hint="eastAsia" w:hAnsi="宋体"/>
                <w:b/>
                <w:bCs/>
                <w:color w:val="auto"/>
                <w:lang w:bidi="ar"/>
              </w:rPr>
              <w:t>〔</w:t>
            </w:r>
            <w:r>
              <w:rPr>
                <w:rFonts w:hint="eastAsia" w:hAnsi="宋体"/>
                <w:b/>
                <w:bCs/>
                <w:color w:val="auto"/>
              </w:rPr>
              <w:t>2020</w:t>
            </w:r>
            <w:r>
              <w:rPr>
                <w:rFonts w:hint="eastAsia" w:hAnsi="宋体"/>
                <w:b/>
                <w:bCs/>
                <w:color w:val="auto"/>
                <w:lang w:bidi="ar"/>
              </w:rPr>
              <w:t>〕</w:t>
            </w:r>
            <w:r>
              <w:rPr>
                <w:rFonts w:hint="eastAsia" w:hAnsi="宋体"/>
                <w:b/>
                <w:bCs/>
                <w:color w:val="auto"/>
              </w:rPr>
              <w:t>33号）</w:t>
            </w:r>
            <w:r>
              <w:rPr>
                <w:rFonts w:hint="eastAsia"/>
                <w:b/>
                <w:bCs/>
                <w:color w:val="auto"/>
                <w:kern w:val="0"/>
              </w:rPr>
              <w:t>的相符性分析</w:t>
            </w:r>
          </w:p>
          <w:p w14:paraId="3A708F7A">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表1-4 项目与</w:t>
            </w:r>
            <w:r>
              <w:rPr>
                <w:rFonts w:hint="eastAsia" w:hAnsi="宋体"/>
                <w:b/>
                <w:bCs/>
                <w:color w:val="auto"/>
                <w:sz w:val="21"/>
                <w:szCs w:val="21"/>
              </w:rPr>
              <w:t>《关于印发《2020年挥发性有机物治理攻坚方案》的通知》（环大气</w:t>
            </w:r>
            <w:r>
              <w:rPr>
                <w:rFonts w:hint="eastAsia" w:hAnsi="宋体"/>
                <w:b/>
                <w:bCs/>
                <w:color w:val="auto"/>
                <w:sz w:val="21"/>
                <w:szCs w:val="21"/>
                <w:lang w:bidi="ar"/>
              </w:rPr>
              <w:t>〔</w:t>
            </w:r>
            <w:r>
              <w:rPr>
                <w:rFonts w:hint="eastAsia" w:hAnsi="宋体"/>
                <w:b/>
                <w:bCs/>
                <w:color w:val="auto"/>
                <w:sz w:val="21"/>
                <w:szCs w:val="21"/>
              </w:rPr>
              <w:t>2020</w:t>
            </w:r>
            <w:r>
              <w:rPr>
                <w:rFonts w:hint="eastAsia" w:hAnsi="宋体"/>
                <w:b/>
                <w:bCs/>
                <w:color w:val="auto"/>
                <w:sz w:val="21"/>
                <w:szCs w:val="21"/>
                <w:lang w:bidi="ar"/>
              </w:rPr>
              <w:t>〕</w:t>
            </w:r>
            <w:r>
              <w:rPr>
                <w:rFonts w:hint="eastAsia" w:hAnsi="宋体"/>
                <w:b/>
                <w:bCs/>
                <w:color w:val="auto"/>
                <w:sz w:val="21"/>
                <w:szCs w:val="21"/>
              </w:rPr>
              <w:t>33号）</w:t>
            </w:r>
            <w:r>
              <w:rPr>
                <w:rFonts w:hint="eastAsia"/>
                <w:b/>
                <w:bCs/>
                <w:color w:val="auto"/>
                <w:kern w:val="0"/>
                <w:sz w:val="21"/>
                <w:szCs w:val="21"/>
              </w:rPr>
              <w:t>的相符性分析一览表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0"/>
              <w:gridCol w:w="3021"/>
              <w:gridCol w:w="1142"/>
            </w:tblGrid>
            <w:tr w14:paraId="22A7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vAlign w:val="center"/>
                </w:tcPr>
                <w:p w14:paraId="5F7A7532">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要求</w:t>
                  </w:r>
                </w:p>
              </w:tc>
              <w:tc>
                <w:tcPr>
                  <w:tcW w:w="1889" w:type="pct"/>
                  <w:vAlign w:val="center"/>
                </w:tcPr>
                <w:p w14:paraId="6714681D">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本项目情况</w:t>
                  </w:r>
                </w:p>
              </w:tc>
              <w:tc>
                <w:tcPr>
                  <w:tcW w:w="714" w:type="pct"/>
                  <w:vAlign w:val="center"/>
                </w:tcPr>
                <w:p w14:paraId="73290F07">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相符性</w:t>
                  </w:r>
                </w:p>
              </w:tc>
            </w:tr>
            <w:tr w14:paraId="3125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vAlign w:val="center"/>
                </w:tcPr>
                <w:p w14:paraId="60A142C3">
                  <w:pPr>
                    <w:autoSpaceDE w:val="0"/>
                    <w:autoSpaceDN w:val="0"/>
                    <w:adjustRightInd w:val="0"/>
                    <w:snapToGrid w:val="0"/>
                    <w:spacing w:line="240" w:lineRule="auto"/>
                    <w:rPr>
                      <w:color w:val="auto"/>
                      <w:kern w:val="0"/>
                      <w:sz w:val="21"/>
                      <w:szCs w:val="21"/>
                    </w:rPr>
                  </w:pPr>
                  <w:r>
                    <w:rPr>
                      <w:rFonts w:hint="eastAsia"/>
                      <w:color w:val="auto"/>
                      <w:kern w:val="0"/>
                      <w:sz w:val="21"/>
                      <w:szCs w:val="21"/>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w:t>
                  </w:r>
                </w:p>
              </w:tc>
              <w:tc>
                <w:tcPr>
                  <w:tcW w:w="1889" w:type="pct"/>
                  <w:vAlign w:val="center"/>
                </w:tcPr>
                <w:p w14:paraId="0336B0C5">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本项目原料PET、PE为低VOCs含量材料；项目建成后建设单位建立原辅材料台账，记录各项原辅材料的进出库信息。</w:t>
                  </w:r>
                </w:p>
              </w:tc>
              <w:tc>
                <w:tcPr>
                  <w:tcW w:w="714" w:type="pct"/>
                  <w:vAlign w:val="center"/>
                </w:tcPr>
                <w:p w14:paraId="598C0071">
                  <w:pPr>
                    <w:autoSpaceDE w:val="0"/>
                    <w:autoSpaceDN w:val="0"/>
                    <w:adjustRightInd w:val="0"/>
                    <w:snapToGrid w:val="0"/>
                    <w:spacing w:line="240" w:lineRule="auto"/>
                    <w:rPr>
                      <w:color w:val="auto"/>
                      <w:kern w:val="0"/>
                      <w:sz w:val="21"/>
                      <w:szCs w:val="21"/>
                    </w:rPr>
                  </w:pPr>
                  <w:r>
                    <w:rPr>
                      <w:rFonts w:hint="eastAsia"/>
                      <w:color w:val="auto"/>
                      <w:kern w:val="0"/>
                      <w:sz w:val="21"/>
                      <w:szCs w:val="21"/>
                    </w:rPr>
                    <w:t>相符</w:t>
                  </w:r>
                </w:p>
              </w:tc>
            </w:tr>
            <w:tr w14:paraId="11B7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vAlign w:val="center"/>
                </w:tcPr>
                <w:p w14:paraId="25BD22EB">
                  <w:pPr>
                    <w:autoSpaceDE w:val="0"/>
                    <w:autoSpaceDN w:val="0"/>
                    <w:adjustRightInd w:val="0"/>
                    <w:snapToGrid w:val="0"/>
                    <w:spacing w:line="240" w:lineRule="auto"/>
                    <w:rPr>
                      <w:color w:val="auto"/>
                      <w:kern w:val="0"/>
                      <w:sz w:val="21"/>
                      <w:szCs w:val="21"/>
                    </w:rPr>
                  </w:pPr>
                  <w:r>
                    <w:rPr>
                      <w:rFonts w:hint="eastAsia"/>
                      <w:color w:val="auto"/>
                      <w:kern w:val="0"/>
                      <w:sz w:val="21"/>
                      <w:szCs w:val="21"/>
                    </w:rPr>
                    <w:t>2020年7月1日起，全面执行《挥发性有机物无组织排放控制标准》，重点区域应落实无组织排放特别控制要求。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p>
              </w:tc>
              <w:tc>
                <w:tcPr>
                  <w:tcW w:w="1889" w:type="pct"/>
                  <w:vAlign w:val="center"/>
                </w:tcPr>
                <w:p w14:paraId="10CBB9F6">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本项目有机废气排放</w:t>
                  </w:r>
                  <w:bookmarkStart w:id="33" w:name="OLE_LINK25"/>
                  <w:r>
                    <w:rPr>
                      <w:rFonts w:hint="eastAsia"/>
                      <w:color w:val="auto"/>
                      <w:kern w:val="0"/>
                      <w:sz w:val="21"/>
                      <w:szCs w:val="21"/>
                    </w:rPr>
                    <w:t>在厂房外执行《挥发性有机物无组织排放控制标准》（GB37822-2019），厂界执行</w:t>
                  </w:r>
                  <w:bookmarkEnd w:id="33"/>
                  <w:r>
                    <w:rPr>
                      <w:rFonts w:hint="eastAsia"/>
                      <w:color w:val="auto"/>
                      <w:kern w:val="0"/>
                      <w:sz w:val="21"/>
                      <w:szCs w:val="21"/>
                    </w:rPr>
                    <w:t>《合成树脂工业污染物排放标准》(GB31572-2015)（含2024修改单）；本项目原料PET、PE为固态，袋装封口保存；产生的有机废气通过集气罩收集后，由密闭管道输送至二级活性炭措施进行处理，再经排气筒DA001排放；废活性炭等暂存于</w:t>
                  </w:r>
                  <w:r>
                    <w:rPr>
                      <w:rFonts w:hint="eastAsia"/>
                      <w:color w:val="auto"/>
                      <w:kern w:val="0"/>
                      <w:sz w:val="21"/>
                      <w:szCs w:val="21"/>
                      <w:lang w:eastAsia="zh-CN"/>
                    </w:rPr>
                    <w:t>危废暂存间</w:t>
                  </w:r>
                  <w:r>
                    <w:rPr>
                      <w:rFonts w:hint="eastAsia"/>
                      <w:color w:val="auto"/>
                      <w:kern w:val="0"/>
                      <w:sz w:val="21"/>
                      <w:szCs w:val="21"/>
                    </w:rPr>
                    <w:t>由有资质单位清运处置，不随意丢弃。</w:t>
                  </w:r>
                </w:p>
              </w:tc>
              <w:tc>
                <w:tcPr>
                  <w:tcW w:w="714" w:type="pct"/>
                  <w:vAlign w:val="center"/>
                </w:tcPr>
                <w:p w14:paraId="3BA40313">
                  <w:pPr>
                    <w:autoSpaceDE w:val="0"/>
                    <w:autoSpaceDN w:val="0"/>
                    <w:adjustRightInd w:val="0"/>
                    <w:snapToGrid w:val="0"/>
                    <w:spacing w:line="240" w:lineRule="auto"/>
                    <w:rPr>
                      <w:color w:val="auto"/>
                      <w:kern w:val="0"/>
                      <w:sz w:val="21"/>
                      <w:szCs w:val="21"/>
                    </w:rPr>
                  </w:pPr>
                  <w:r>
                    <w:rPr>
                      <w:rFonts w:hint="eastAsia"/>
                      <w:color w:val="auto"/>
                      <w:kern w:val="0"/>
                      <w:sz w:val="21"/>
                      <w:szCs w:val="21"/>
                    </w:rPr>
                    <w:t>相符</w:t>
                  </w:r>
                </w:p>
              </w:tc>
            </w:tr>
            <w:tr w14:paraId="6DFF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vAlign w:val="center"/>
                </w:tcPr>
                <w:p w14:paraId="26194DDE">
                  <w:pPr>
                    <w:autoSpaceDE w:val="0"/>
                    <w:autoSpaceDN w:val="0"/>
                    <w:adjustRightInd w:val="0"/>
                    <w:snapToGrid w:val="0"/>
                    <w:spacing w:line="240" w:lineRule="auto"/>
                    <w:rPr>
                      <w:color w:val="auto"/>
                      <w:kern w:val="0"/>
                      <w:sz w:val="21"/>
                      <w:szCs w:val="21"/>
                    </w:rPr>
                  </w:pPr>
                  <w:r>
                    <w:rPr>
                      <w:rFonts w:hint="eastAsia"/>
                      <w:color w:val="auto"/>
                      <w:kern w:val="0"/>
                      <w:sz w:val="21"/>
                      <w:szCs w:val="21"/>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889" w:type="pct"/>
                  <w:vAlign w:val="center"/>
                </w:tcPr>
                <w:p w14:paraId="78288132">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产生的有机废气通过集气罩收集后，由密闭管道输送至二级活性炭措施进行处理，再经排气筒DA001达标排放；有机废气在厂房外执行《挥发性有机物无组织排放控制标准》（GB37822-2019），厂界执行《合成树脂工业污染物排放标准》(GB31572-2015)（含2024修改单）。</w:t>
                  </w:r>
                </w:p>
              </w:tc>
              <w:tc>
                <w:tcPr>
                  <w:tcW w:w="714" w:type="pct"/>
                  <w:vAlign w:val="center"/>
                </w:tcPr>
                <w:p w14:paraId="61787C49">
                  <w:pPr>
                    <w:autoSpaceDE w:val="0"/>
                    <w:autoSpaceDN w:val="0"/>
                    <w:adjustRightInd w:val="0"/>
                    <w:snapToGrid w:val="0"/>
                    <w:spacing w:line="240" w:lineRule="auto"/>
                    <w:rPr>
                      <w:color w:val="auto"/>
                      <w:kern w:val="0"/>
                      <w:sz w:val="21"/>
                      <w:szCs w:val="21"/>
                    </w:rPr>
                  </w:pPr>
                  <w:r>
                    <w:rPr>
                      <w:rFonts w:hint="eastAsia"/>
                      <w:color w:val="auto"/>
                      <w:kern w:val="0"/>
                      <w:sz w:val="21"/>
                      <w:szCs w:val="21"/>
                    </w:rPr>
                    <w:t>相符</w:t>
                  </w:r>
                </w:p>
              </w:tc>
            </w:tr>
            <w:tr w14:paraId="6CFE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6" w:type="pct"/>
                  <w:vAlign w:val="center"/>
                </w:tcPr>
                <w:p w14:paraId="74810948">
                  <w:pPr>
                    <w:autoSpaceDE w:val="0"/>
                    <w:autoSpaceDN w:val="0"/>
                    <w:adjustRightInd w:val="0"/>
                    <w:snapToGrid w:val="0"/>
                    <w:spacing w:line="240" w:lineRule="auto"/>
                    <w:rPr>
                      <w:color w:val="auto"/>
                      <w:kern w:val="0"/>
                      <w:sz w:val="21"/>
                      <w:szCs w:val="21"/>
                    </w:rPr>
                  </w:pPr>
                  <w:r>
                    <w:rPr>
                      <w:rFonts w:hint="eastAsia"/>
                      <w:color w:val="auto"/>
                      <w:kern w:val="0"/>
                      <w:sz w:val="21"/>
                      <w:szCs w:val="21"/>
                    </w:rPr>
                    <w:t>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1889" w:type="pct"/>
                  <w:vAlign w:val="center"/>
                </w:tcPr>
                <w:p w14:paraId="4ACBD7BA">
                  <w:pPr>
                    <w:autoSpaceDE w:val="0"/>
                    <w:autoSpaceDN w:val="0"/>
                    <w:adjustRightInd w:val="0"/>
                    <w:snapToGrid w:val="0"/>
                    <w:spacing w:line="240" w:lineRule="auto"/>
                    <w:rPr>
                      <w:color w:val="auto"/>
                      <w:kern w:val="0"/>
                      <w:sz w:val="21"/>
                      <w:szCs w:val="21"/>
                    </w:rPr>
                  </w:pPr>
                  <w:r>
                    <w:rPr>
                      <w:rFonts w:hint="eastAsia"/>
                      <w:color w:val="auto"/>
                      <w:kern w:val="0"/>
                      <w:sz w:val="21"/>
                      <w:szCs w:val="21"/>
                    </w:rPr>
                    <w:t>项目生产车间密闭设置，生产车间进出口采用密闭性好的塑钢门；本项目生产过程中先将废气收集设施打开正常运行方启动生产设备，VOCs废气处理系统发生故障时，生产车间内生产线均停止生产，故障检修完成后方可重新生产。</w:t>
                  </w:r>
                </w:p>
              </w:tc>
              <w:tc>
                <w:tcPr>
                  <w:tcW w:w="714" w:type="pct"/>
                  <w:vAlign w:val="center"/>
                </w:tcPr>
                <w:p w14:paraId="72E4FB73">
                  <w:pPr>
                    <w:autoSpaceDE w:val="0"/>
                    <w:autoSpaceDN w:val="0"/>
                    <w:adjustRightInd w:val="0"/>
                    <w:snapToGrid w:val="0"/>
                    <w:spacing w:line="240" w:lineRule="auto"/>
                    <w:rPr>
                      <w:color w:val="auto"/>
                      <w:kern w:val="0"/>
                      <w:sz w:val="21"/>
                      <w:szCs w:val="21"/>
                    </w:rPr>
                  </w:pPr>
                  <w:r>
                    <w:rPr>
                      <w:rFonts w:hint="eastAsia"/>
                      <w:color w:val="auto"/>
                      <w:kern w:val="0"/>
                      <w:sz w:val="21"/>
                      <w:szCs w:val="21"/>
                    </w:rPr>
                    <w:t>相符</w:t>
                  </w:r>
                </w:p>
              </w:tc>
            </w:tr>
          </w:tbl>
          <w:p w14:paraId="7FB32772">
            <w:pPr>
              <w:autoSpaceDE w:val="0"/>
              <w:autoSpaceDN w:val="0"/>
              <w:adjustRightInd w:val="0"/>
              <w:snapToGrid w:val="0"/>
              <w:spacing w:before="120" w:beforeLines="50"/>
              <w:ind w:firstLine="480" w:firstLineChars="200"/>
              <w:rPr>
                <w:color w:val="auto"/>
                <w:kern w:val="0"/>
              </w:rPr>
            </w:pPr>
            <w:r>
              <w:rPr>
                <w:rFonts w:hint="eastAsia"/>
                <w:color w:val="auto"/>
                <w:kern w:val="0"/>
              </w:rPr>
              <w:t>综上，项目与</w:t>
            </w:r>
            <w:r>
              <w:rPr>
                <w:rFonts w:hint="eastAsia" w:hAnsi="宋体"/>
                <w:color w:val="auto"/>
              </w:rPr>
              <w:t>《关于印发《2020年挥发性有机物治理攻坚方案》的通知》（环大气</w:t>
            </w:r>
            <w:r>
              <w:rPr>
                <w:rFonts w:hint="eastAsia" w:hAnsi="宋体"/>
                <w:color w:val="auto"/>
                <w:lang w:bidi="ar"/>
              </w:rPr>
              <w:t>〔</w:t>
            </w:r>
            <w:r>
              <w:rPr>
                <w:rFonts w:hint="eastAsia" w:hAnsi="宋体"/>
                <w:color w:val="auto"/>
              </w:rPr>
              <w:t>2020</w:t>
            </w:r>
            <w:r>
              <w:rPr>
                <w:rFonts w:hint="eastAsia" w:hAnsi="宋体"/>
                <w:color w:val="auto"/>
                <w:lang w:bidi="ar"/>
              </w:rPr>
              <w:t>〕</w:t>
            </w:r>
            <w:r>
              <w:rPr>
                <w:rFonts w:hint="eastAsia" w:hAnsi="宋体"/>
                <w:color w:val="auto"/>
              </w:rPr>
              <w:t>33号）</w:t>
            </w:r>
            <w:r>
              <w:rPr>
                <w:rFonts w:hint="eastAsia"/>
                <w:color w:val="auto"/>
                <w:kern w:val="0"/>
              </w:rPr>
              <w:t>相符。</w:t>
            </w:r>
          </w:p>
          <w:p w14:paraId="163AB36B">
            <w:pPr>
              <w:autoSpaceDE w:val="0"/>
              <w:autoSpaceDN w:val="0"/>
              <w:adjustRightInd w:val="0"/>
              <w:snapToGrid w:val="0"/>
              <w:ind w:firstLine="482" w:firstLineChars="200"/>
              <w:rPr>
                <w:b/>
                <w:bCs/>
                <w:color w:val="auto"/>
                <w:kern w:val="0"/>
              </w:rPr>
            </w:pPr>
            <w:r>
              <w:rPr>
                <w:rFonts w:hint="eastAsia"/>
                <w:b/>
                <w:bCs/>
                <w:color w:val="auto"/>
                <w:kern w:val="0"/>
              </w:rPr>
              <w:t>10、项目与</w:t>
            </w:r>
            <w:r>
              <w:rPr>
                <w:rFonts w:hint="eastAsia" w:hAnsi="宋体"/>
                <w:b/>
                <w:bCs/>
                <w:color w:val="auto"/>
              </w:rPr>
              <w:t>《关于加快解决当前挥发性有机物治理突出问题的通知》（环大气〔2021〕65号）</w:t>
            </w:r>
            <w:r>
              <w:rPr>
                <w:rFonts w:hint="eastAsia"/>
                <w:b/>
                <w:bCs/>
                <w:color w:val="auto"/>
                <w:kern w:val="0"/>
              </w:rPr>
              <w:t>的相符性分析</w:t>
            </w:r>
          </w:p>
          <w:p w14:paraId="14A05ADE">
            <w:pPr>
              <w:autoSpaceDE w:val="0"/>
              <w:autoSpaceDN w:val="0"/>
              <w:adjustRightInd w:val="0"/>
              <w:snapToGrid w:val="0"/>
              <w:spacing w:line="240" w:lineRule="auto"/>
              <w:jc w:val="center"/>
              <w:rPr>
                <w:rFonts w:hint="eastAsia"/>
                <w:b/>
                <w:bCs/>
                <w:color w:val="auto"/>
                <w:kern w:val="0"/>
                <w:sz w:val="21"/>
                <w:szCs w:val="21"/>
              </w:rPr>
            </w:pPr>
          </w:p>
          <w:p w14:paraId="004D4D8F">
            <w:pPr>
              <w:autoSpaceDE w:val="0"/>
              <w:autoSpaceDN w:val="0"/>
              <w:adjustRightInd w:val="0"/>
              <w:snapToGrid w:val="0"/>
              <w:spacing w:line="240" w:lineRule="auto"/>
              <w:jc w:val="center"/>
              <w:rPr>
                <w:rFonts w:hint="eastAsia"/>
                <w:b/>
                <w:bCs/>
                <w:color w:val="auto"/>
                <w:kern w:val="0"/>
                <w:sz w:val="21"/>
                <w:szCs w:val="21"/>
              </w:rPr>
            </w:pPr>
          </w:p>
          <w:p w14:paraId="42F9FEBA">
            <w:pPr>
              <w:autoSpaceDE w:val="0"/>
              <w:autoSpaceDN w:val="0"/>
              <w:adjustRightInd w:val="0"/>
              <w:snapToGrid w:val="0"/>
              <w:spacing w:line="240" w:lineRule="auto"/>
              <w:jc w:val="center"/>
              <w:rPr>
                <w:rFonts w:hint="eastAsia"/>
                <w:b/>
                <w:bCs/>
                <w:color w:val="auto"/>
                <w:kern w:val="0"/>
                <w:sz w:val="21"/>
                <w:szCs w:val="21"/>
              </w:rPr>
            </w:pPr>
          </w:p>
          <w:p w14:paraId="7D72C027">
            <w:pPr>
              <w:autoSpaceDE w:val="0"/>
              <w:autoSpaceDN w:val="0"/>
              <w:adjustRightInd w:val="0"/>
              <w:snapToGrid w:val="0"/>
              <w:spacing w:line="240" w:lineRule="auto"/>
              <w:jc w:val="center"/>
              <w:rPr>
                <w:rFonts w:hint="eastAsia"/>
                <w:b/>
                <w:bCs/>
                <w:color w:val="auto"/>
                <w:kern w:val="0"/>
                <w:sz w:val="21"/>
                <w:szCs w:val="21"/>
              </w:rPr>
            </w:pPr>
          </w:p>
          <w:p w14:paraId="115E2A0E">
            <w:pPr>
              <w:autoSpaceDE w:val="0"/>
              <w:autoSpaceDN w:val="0"/>
              <w:adjustRightInd w:val="0"/>
              <w:snapToGrid w:val="0"/>
              <w:spacing w:line="240" w:lineRule="auto"/>
              <w:jc w:val="center"/>
              <w:rPr>
                <w:rFonts w:hint="eastAsia"/>
                <w:b/>
                <w:bCs/>
                <w:color w:val="auto"/>
                <w:kern w:val="0"/>
                <w:sz w:val="21"/>
                <w:szCs w:val="21"/>
              </w:rPr>
            </w:pPr>
          </w:p>
          <w:p w14:paraId="30881ACD">
            <w:pPr>
              <w:autoSpaceDE w:val="0"/>
              <w:autoSpaceDN w:val="0"/>
              <w:adjustRightInd w:val="0"/>
              <w:snapToGrid w:val="0"/>
              <w:spacing w:line="240" w:lineRule="auto"/>
              <w:jc w:val="center"/>
              <w:rPr>
                <w:rFonts w:hint="eastAsia"/>
                <w:b/>
                <w:bCs/>
                <w:color w:val="auto"/>
                <w:kern w:val="0"/>
                <w:sz w:val="21"/>
                <w:szCs w:val="21"/>
              </w:rPr>
            </w:pPr>
          </w:p>
          <w:p w14:paraId="2AA691D3">
            <w:pPr>
              <w:autoSpaceDE w:val="0"/>
              <w:autoSpaceDN w:val="0"/>
              <w:adjustRightInd w:val="0"/>
              <w:snapToGrid w:val="0"/>
              <w:spacing w:line="240" w:lineRule="auto"/>
              <w:jc w:val="center"/>
              <w:rPr>
                <w:rFonts w:hint="eastAsia"/>
                <w:b/>
                <w:bCs/>
                <w:color w:val="auto"/>
                <w:kern w:val="0"/>
                <w:sz w:val="21"/>
                <w:szCs w:val="21"/>
              </w:rPr>
            </w:pPr>
          </w:p>
          <w:p w14:paraId="4B3B3107">
            <w:pPr>
              <w:autoSpaceDE w:val="0"/>
              <w:autoSpaceDN w:val="0"/>
              <w:adjustRightInd w:val="0"/>
              <w:snapToGrid w:val="0"/>
              <w:spacing w:line="240" w:lineRule="auto"/>
              <w:jc w:val="center"/>
              <w:rPr>
                <w:rFonts w:hint="eastAsia"/>
                <w:b/>
                <w:bCs/>
                <w:color w:val="auto"/>
                <w:kern w:val="0"/>
                <w:sz w:val="21"/>
                <w:szCs w:val="21"/>
              </w:rPr>
            </w:pPr>
          </w:p>
          <w:p w14:paraId="0D2D638B">
            <w:pPr>
              <w:autoSpaceDE w:val="0"/>
              <w:autoSpaceDN w:val="0"/>
              <w:adjustRightInd w:val="0"/>
              <w:snapToGrid w:val="0"/>
              <w:spacing w:line="240" w:lineRule="auto"/>
              <w:jc w:val="center"/>
              <w:rPr>
                <w:rFonts w:hint="eastAsia"/>
                <w:b/>
                <w:bCs/>
                <w:color w:val="auto"/>
                <w:kern w:val="0"/>
                <w:sz w:val="21"/>
                <w:szCs w:val="21"/>
              </w:rPr>
            </w:pPr>
          </w:p>
          <w:p w14:paraId="329BF95F">
            <w:pPr>
              <w:autoSpaceDE w:val="0"/>
              <w:autoSpaceDN w:val="0"/>
              <w:adjustRightInd w:val="0"/>
              <w:snapToGrid w:val="0"/>
              <w:spacing w:line="240" w:lineRule="auto"/>
              <w:jc w:val="center"/>
              <w:rPr>
                <w:rFonts w:hint="eastAsia"/>
                <w:b/>
                <w:bCs/>
                <w:color w:val="auto"/>
                <w:kern w:val="0"/>
                <w:sz w:val="21"/>
                <w:szCs w:val="21"/>
              </w:rPr>
            </w:pPr>
          </w:p>
          <w:p w14:paraId="3E84362E">
            <w:pPr>
              <w:autoSpaceDE w:val="0"/>
              <w:autoSpaceDN w:val="0"/>
              <w:adjustRightInd w:val="0"/>
              <w:snapToGrid w:val="0"/>
              <w:spacing w:line="240" w:lineRule="auto"/>
              <w:jc w:val="center"/>
              <w:rPr>
                <w:rFonts w:hint="eastAsia"/>
                <w:b/>
                <w:bCs/>
                <w:color w:val="auto"/>
                <w:kern w:val="0"/>
                <w:sz w:val="21"/>
                <w:szCs w:val="21"/>
              </w:rPr>
            </w:pPr>
          </w:p>
          <w:p w14:paraId="1B89EC1D">
            <w:pPr>
              <w:autoSpaceDE w:val="0"/>
              <w:autoSpaceDN w:val="0"/>
              <w:adjustRightInd w:val="0"/>
              <w:snapToGrid w:val="0"/>
              <w:spacing w:line="240" w:lineRule="auto"/>
              <w:jc w:val="center"/>
              <w:rPr>
                <w:rFonts w:hint="eastAsia"/>
                <w:b/>
                <w:bCs/>
                <w:color w:val="auto"/>
                <w:kern w:val="0"/>
                <w:sz w:val="21"/>
                <w:szCs w:val="21"/>
              </w:rPr>
            </w:pPr>
          </w:p>
          <w:p w14:paraId="69E1514D">
            <w:pPr>
              <w:autoSpaceDE w:val="0"/>
              <w:autoSpaceDN w:val="0"/>
              <w:adjustRightInd w:val="0"/>
              <w:snapToGrid w:val="0"/>
              <w:spacing w:line="240" w:lineRule="auto"/>
              <w:jc w:val="center"/>
              <w:rPr>
                <w:rFonts w:hint="eastAsia"/>
                <w:b/>
                <w:bCs/>
                <w:color w:val="auto"/>
                <w:kern w:val="0"/>
                <w:sz w:val="21"/>
                <w:szCs w:val="21"/>
              </w:rPr>
            </w:pPr>
          </w:p>
          <w:p w14:paraId="020E8B80">
            <w:pPr>
              <w:autoSpaceDE w:val="0"/>
              <w:autoSpaceDN w:val="0"/>
              <w:adjustRightInd w:val="0"/>
              <w:snapToGrid w:val="0"/>
              <w:spacing w:line="240" w:lineRule="auto"/>
              <w:jc w:val="center"/>
              <w:rPr>
                <w:rFonts w:hint="eastAsia"/>
                <w:b/>
                <w:bCs/>
                <w:color w:val="auto"/>
                <w:kern w:val="0"/>
                <w:sz w:val="21"/>
                <w:szCs w:val="21"/>
              </w:rPr>
            </w:pPr>
          </w:p>
          <w:p w14:paraId="5BD64822">
            <w:pPr>
              <w:autoSpaceDE w:val="0"/>
              <w:autoSpaceDN w:val="0"/>
              <w:adjustRightInd w:val="0"/>
              <w:snapToGrid w:val="0"/>
              <w:spacing w:line="240" w:lineRule="auto"/>
              <w:jc w:val="center"/>
              <w:rPr>
                <w:rFonts w:hint="eastAsia"/>
                <w:b/>
                <w:bCs/>
                <w:color w:val="auto"/>
                <w:kern w:val="0"/>
                <w:sz w:val="21"/>
                <w:szCs w:val="21"/>
              </w:rPr>
            </w:pPr>
          </w:p>
          <w:p w14:paraId="683545B9">
            <w:pPr>
              <w:autoSpaceDE w:val="0"/>
              <w:autoSpaceDN w:val="0"/>
              <w:adjustRightInd w:val="0"/>
              <w:snapToGrid w:val="0"/>
              <w:spacing w:line="240" w:lineRule="auto"/>
              <w:jc w:val="center"/>
              <w:rPr>
                <w:rFonts w:hint="eastAsia"/>
                <w:b/>
                <w:bCs/>
                <w:color w:val="auto"/>
                <w:kern w:val="0"/>
                <w:sz w:val="21"/>
                <w:szCs w:val="21"/>
              </w:rPr>
            </w:pPr>
          </w:p>
          <w:p w14:paraId="53AA9D7E">
            <w:pPr>
              <w:autoSpaceDE w:val="0"/>
              <w:autoSpaceDN w:val="0"/>
              <w:adjustRightInd w:val="0"/>
              <w:snapToGrid w:val="0"/>
              <w:spacing w:line="240" w:lineRule="auto"/>
              <w:jc w:val="center"/>
              <w:rPr>
                <w:rFonts w:hint="eastAsia"/>
                <w:b/>
                <w:bCs/>
                <w:color w:val="auto"/>
                <w:kern w:val="0"/>
                <w:sz w:val="21"/>
                <w:szCs w:val="21"/>
              </w:rPr>
            </w:pPr>
          </w:p>
          <w:p w14:paraId="4E96FFED">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表1-5 项目与</w:t>
            </w:r>
            <w:r>
              <w:rPr>
                <w:rFonts w:hint="eastAsia" w:hAnsi="宋体"/>
                <w:b/>
                <w:bCs/>
                <w:color w:val="auto"/>
                <w:sz w:val="21"/>
                <w:szCs w:val="21"/>
              </w:rPr>
              <w:t>《关于加快解决当前挥发性有机物治理突出问题的通知》（环大气〔2021〕65号）</w:t>
            </w:r>
            <w:r>
              <w:rPr>
                <w:rFonts w:hint="eastAsia"/>
                <w:b/>
                <w:bCs/>
                <w:color w:val="auto"/>
                <w:kern w:val="0"/>
                <w:sz w:val="21"/>
                <w:szCs w:val="21"/>
              </w:rPr>
              <w:t>的相符性分析一览表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7"/>
              <w:gridCol w:w="3168"/>
              <w:gridCol w:w="1078"/>
            </w:tblGrid>
            <w:tr w14:paraId="5C1D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pct"/>
                  <w:vAlign w:val="center"/>
                </w:tcPr>
                <w:p w14:paraId="3D891D62">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要求</w:t>
                  </w:r>
                </w:p>
              </w:tc>
              <w:tc>
                <w:tcPr>
                  <w:tcW w:w="1981" w:type="pct"/>
                  <w:vAlign w:val="center"/>
                </w:tcPr>
                <w:p w14:paraId="6AC01AD0">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本项目情况</w:t>
                  </w:r>
                </w:p>
              </w:tc>
              <w:tc>
                <w:tcPr>
                  <w:tcW w:w="674" w:type="pct"/>
                  <w:vAlign w:val="center"/>
                </w:tcPr>
                <w:p w14:paraId="23508780">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相符性</w:t>
                  </w:r>
                </w:p>
              </w:tc>
            </w:tr>
            <w:tr w14:paraId="455B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3" w:hRule="atLeast"/>
              </w:trPr>
              <w:tc>
                <w:tcPr>
                  <w:tcW w:w="2343" w:type="pct"/>
                  <w:vAlign w:val="center"/>
                </w:tcPr>
                <w:p w14:paraId="6B672ABB">
                  <w:pPr>
                    <w:autoSpaceDE w:val="0"/>
                    <w:autoSpaceDN w:val="0"/>
                    <w:adjustRightInd w:val="0"/>
                    <w:snapToGrid w:val="0"/>
                    <w:spacing w:line="240" w:lineRule="auto"/>
                    <w:rPr>
                      <w:color w:val="auto"/>
                      <w:kern w:val="0"/>
                      <w:sz w:val="21"/>
                      <w:szCs w:val="21"/>
                    </w:rPr>
                  </w:pPr>
                  <w:r>
                    <w:rPr>
                      <w:rFonts w:hint="eastAsia"/>
                      <w:color w:val="auto"/>
                      <w:kern w:val="0"/>
                      <w:sz w:val="21"/>
                      <w:szCs w:val="21"/>
                    </w:rPr>
                    <w:t>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w:t>
                  </w:r>
                </w:p>
              </w:tc>
              <w:tc>
                <w:tcPr>
                  <w:tcW w:w="1981" w:type="pct"/>
                  <w:vAlign w:val="center"/>
                </w:tcPr>
                <w:p w14:paraId="4DE88726">
                  <w:pPr>
                    <w:autoSpaceDE w:val="0"/>
                    <w:autoSpaceDN w:val="0"/>
                    <w:adjustRightInd w:val="0"/>
                    <w:snapToGrid w:val="0"/>
                    <w:spacing w:line="240" w:lineRule="auto"/>
                    <w:rPr>
                      <w:color w:val="auto"/>
                      <w:kern w:val="0"/>
                      <w:sz w:val="21"/>
                      <w:szCs w:val="21"/>
                    </w:rPr>
                  </w:pPr>
                  <w:r>
                    <w:rPr>
                      <w:rFonts w:hint="eastAsia"/>
                      <w:color w:val="auto"/>
                      <w:kern w:val="0"/>
                      <w:sz w:val="21"/>
                      <w:szCs w:val="21"/>
                    </w:rPr>
                    <w:t>项目生产车间密闭设置，生产过程产生的有机废气通过集气罩收集后，由密闭管道输送至二级活性炭措施进行处理，再经排气筒DA001排放。</w:t>
                  </w:r>
                </w:p>
              </w:tc>
              <w:tc>
                <w:tcPr>
                  <w:tcW w:w="674" w:type="pct"/>
                  <w:vAlign w:val="center"/>
                </w:tcPr>
                <w:p w14:paraId="2A93C45D">
                  <w:pPr>
                    <w:autoSpaceDE w:val="0"/>
                    <w:autoSpaceDN w:val="0"/>
                    <w:adjustRightInd w:val="0"/>
                    <w:snapToGrid w:val="0"/>
                    <w:spacing w:line="240" w:lineRule="auto"/>
                    <w:rPr>
                      <w:color w:val="auto"/>
                      <w:kern w:val="0"/>
                      <w:sz w:val="21"/>
                      <w:szCs w:val="21"/>
                    </w:rPr>
                  </w:pPr>
                  <w:r>
                    <w:rPr>
                      <w:rFonts w:hint="eastAsia"/>
                      <w:color w:val="auto"/>
                      <w:kern w:val="0"/>
                      <w:sz w:val="21"/>
                      <w:szCs w:val="21"/>
                    </w:rPr>
                    <w:t>符合</w:t>
                  </w:r>
                </w:p>
              </w:tc>
            </w:tr>
            <w:tr w14:paraId="31DF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pct"/>
                  <w:vAlign w:val="center"/>
                </w:tcPr>
                <w:p w14:paraId="236BAE47">
                  <w:pPr>
                    <w:autoSpaceDE w:val="0"/>
                    <w:autoSpaceDN w:val="0"/>
                    <w:adjustRightInd w:val="0"/>
                    <w:snapToGrid w:val="0"/>
                    <w:spacing w:line="240" w:lineRule="auto"/>
                    <w:rPr>
                      <w:color w:val="auto"/>
                      <w:kern w:val="0"/>
                      <w:sz w:val="21"/>
                      <w:szCs w:val="21"/>
                    </w:rPr>
                  </w:pPr>
                  <w:r>
                    <w:rPr>
                      <w:rFonts w:hint="eastAsia"/>
                      <w:color w:val="auto"/>
                      <w:kern w:val="0"/>
                      <w:sz w:val="21"/>
                      <w:szCs w:val="21"/>
                    </w:rPr>
                    <w:t>新建治理设施或对现有治理设施实施改造，应依据排放废气特征、VOCs组分及浓度、生产工况等，合理选择治理技术；对治理难度大、单一治理工艺难以稳定达标的，宜采用多种技术的组合工艺。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tc>
              <w:tc>
                <w:tcPr>
                  <w:tcW w:w="1981" w:type="pct"/>
                  <w:vAlign w:val="center"/>
                </w:tcPr>
                <w:p w14:paraId="61A9224F">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w:t>
                  </w:r>
                  <w:bookmarkStart w:id="34" w:name="OLE_LINK26"/>
                  <w:r>
                    <w:rPr>
                      <w:rFonts w:hint="eastAsia"/>
                      <w:color w:val="auto"/>
                      <w:kern w:val="0"/>
                      <w:sz w:val="21"/>
                      <w:szCs w:val="21"/>
                    </w:rPr>
                    <w:t>生产过程产生的有机废气通过集气罩收集后，排至废气处理设施处理（二级活性炭吸附处理）</w:t>
                  </w:r>
                  <w:bookmarkEnd w:id="34"/>
                  <w:r>
                    <w:rPr>
                      <w:rFonts w:hint="eastAsia"/>
                      <w:color w:val="auto"/>
                      <w:kern w:val="0"/>
                      <w:sz w:val="21"/>
                      <w:szCs w:val="21"/>
                    </w:rPr>
                    <w:t>；建设单位日常加强运行维护管理，废气处理设施采用“先启后停”管理；废气处理设施处理（二级活性炭吸附处理）定期更换活性炭等，废活性炭等暂存于</w:t>
                  </w:r>
                  <w:r>
                    <w:rPr>
                      <w:rFonts w:hint="eastAsia"/>
                      <w:color w:val="auto"/>
                      <w:kern w:val="0"/>
                      <w:sz w:val="21"/>
                      <w:szCs w:val="21"/>
                      <w:lang w:eastAsia="zh-CN"/>
                    </w:rPr>
                    <w:t>危废暂存间</w:t>
                  </w:r>
                  <w:r>
                    <w:rPr>
                      <w:rFonts w:hint="eastAsia"/>
                      <w:color w:val="auto"/>
                      <w:kern w:val="0"/>
                      <w:sz w:val="21"/>
                      <w:szCs w:val="21"/>
                    </w:rPr>
                    <w:t>，由有资质单位清运处置；建设单位做好生产设备和治理设施启停机时间、检维修情况、治理设施耗材维护更换、处置情况等台账记录。</w:t>
                  </w:r>
                </w:p>
              </w:tc>
              <w:tc>
                <w:tcPr>
                  <w:tcW w:w="674" w:type="pct"/>
                  <w:vAlign w:val="center"/>
                </w:tcPr>
                <w:p w14:paraId="0953E1D9">
                  <w:pPr>
                    <w:autoSpaceDE w:val="0"/>
                    <w:autoSpaceDN w:val="0"/>
                    <w:adjustRightInd w:val="0"/>
                    <w:snapToGrid w:val="0"/>
                    <w:spacing w:line="240" w:lineRule="auto"/>
                    <w:rPr>
                      <w:color w:val="auto"/>
                      <w:kern w:val="0"/>
                      <w:sz w:val="21"/>
                      <w:szCs w:val="21"/>
                    </w:rPr>
                  </w:pPr>
                  <w:r>
                    <w:rPr>
                      <w:rFonts w:hint="eastAsia"/>
                      <w:color w:val="auto"/>
                      <w:kern w:val="0"/>
                      <w:sz w:val="21"/>
                      <w:szCs w:val="21"/>
                    </w:rPr>
                    <w:t>符合</w:t>
                  </w:r>
                </w:p>
              </w:tc>
            </w:tr>
            <w:tr w14:paraId="755E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pct"/>
                  <w:vAlign w:val="center"/>
                </w:tcPr>
                <w:p w14:paraId="0012E802">
                  <w:pPr>
                    <w:autoSpaceDE w:val="0"/>
                    <w:autoSpaceDN w:val="0"/>
                    <w:adjustRightInd w:val="0"/>
                    <w:snapToGrid w:val="0"/>
                    <w:spacing w:line="240" w:lineRule="auto"/>
                    <w:rPr>
                      <w:color w:val="auto"/>
                      <w:kern w:val="0"/>
                      <w:sz w:val="21"/>
                      <w:szCs w:val="21"/>
                    </w:rPr>
                  </w:pPr>
                  <w:r>
                    <w:rPr>
                      <w:rFonts w:hint="eastAsia"/>
                      <w:color w:val="auto"/>
                      <w:kern w:val="0"/>
                      <w:sz w:val="21"/>
                      <w:szCs w:val="21"/>
                    </w:rPr>
                    <w:t>石化、化工企业提前向当地生态环境部门报告检维修计划，制定非正常工况VOCs管控规程，严格按照规程进行操作。企业开停工、检维修期间，退料、清洗、吹扫等作业产生的VOCs废气应及时收集处理，确保满足标准要求。</w:t>
                  </w:r>
                </w:p>
              </w:tc>
              <w:tc>
                <w:tcPr>
                  <w:tcW w:w="1981" w:type="pct"/>
                  <w:vAlign w:val="center"/>
                </w:tcPr>
                <w:p w14:paraId="394C03AF">
                  <w:pPr>
                    <w:autoSpaceDE w:val="0"/>
                    <w:autoSpaceDN w:val="0"/>
                    <w:adjustRightInd w:val="0"/>
                    <w:snapToGrid w:val="0"/>
                    <w:spacing w:line="240" w:lineRule="auto"/>
                    <w:rPr>
                      <w:color w:val="auto"/>
                      <w:kern w:val="0"/>
                      <w:sz w:val="21"/>
                      <w:szCs w:val="21"/>
                    </w:rPr>
                  </w:pPr>
                  <w:r>
                    <w:rPr>
                      <w:rFonts w:hint="eastAsia"/>
                      <w:color w:val="auto"/>
                      <w:kern w:val="0"/>
                      <w:sz w:val="21"/>
                      <w:szCs w:val="21"/>
                    </w:rPr>
                    <w:t>建设单位提前向当地生态环境部门报告检维修计划，制定非正常工况VOCs管控规程，严格按照规程进行操作。VOCs废气处理系统发生故障时，生产车间内生产线均停止生产，故障检修完成后方可重新生产。</w:t>
                  </w:r>
                </w:p>
              </w:tc>
              <w:tc>
                <w:tcPr>
                  <w:tcW w:w="674" w:type="pct"/>
                  <w:vAlign w:val="center"/>
                </w:tcPr>
                <w:p w14:paraId="6C21FCB7">
                  <w:pPr>
                    <w:autoSpaceDE w:val="0"/>
                    <w:autoSpaceDN w:val="0"/>
                    <w:adjustRightInd w:val="0"/>
                    <w:snapToGrid w:val="0"/>
                    <w:spacing w:line="240" w:lineRule="auto"/>
                    <w:rPr>
                      <w:color w:val="auto"/>
                      <w:kern w:val="0"/>
                      <w:sz w:val="21"/>
                      <w:szCs w:val="21"/>
                    </w:rPr>
                  </w:pPr>
                  <w:r>
                    <w:rPr>
                      <w:rFonts w:hint="eastAsia"/>
                      <w:color w:val="auto"/>
                      <w:kern w:val="0"/>
                      <w:sz w:val="21"/>
                      <w:szCs w:val="21"/>
                    </w:rPr>
                    <w:t>符合</w:t>
                  </w:r>
                </w:p>
              </w:tc>
            </w:tr>
            <w:tr w14:paraId="1C94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pct"/>
                  <w:vAlign w:val="center"/>
                </w:tcPr>
                <w:p w14:paraId="06261C8B">
                  <w:pPr>
                    <w:autoSpaceDE w:val="0"/>
                    <w:autoSpaceDN w:val="0"/>
                    <w:adjustRightInd w:val="0"/>
                    <w:snapToGrid w:val="0"/>
                    <w:spacing w:line="240" w:lineRule="auto"/>
                    <w:rPr>
                      <w:color w:val="auto"/>
                      <w:kern w:val="0"/>
                      <w:sz w:val="21"/>
                      <w:szCs w:val="21"/>
                    </w:rPr>
                  </w:pPr>
                  <w:r>
                    <w:rPr>
                      <w:rFonts w:hint="eastAsia"/>
                      <w:color w:val="auto"/>
                      <w:kern w:val="0"/>
                      <w:sz w:val="21"/>
                      <w:szCs w:val="21"/>
                    </w:rPr>
                    <w:t>工业涂装、包装印刷、鞋革箱包制造、竹木制品、电子等重点行业要加大低（无）VOCs含量原辅材料的源头替代力度，加强成熟技术替代品的应用。涂料、油墨、胶粘剂、清洗剂等生产企业在产品出厂时应配有产品标签，注明产品名称、使用领域、施工配比以及VOCs含量等信息，提供载有详细技术信息的产品技术说明书或者产品安全数据表。</w:t>
                  </w:r>
                </w:p>
              </w:tc>
              <w:tc>
                <w:tcPr>
                  <w:tcW w:w="1981" w:type="pct"/>
                  <w:vAlign w:val="center"/>
                </w:tcPr>
                <w:p w14:paraId="325DCE6E">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本项目使用的PET、PE原料为低VOCs含量材料；不涉及涂料、油墨、胶粘剂、清洗剂等生产。</w:t>
                  </w:r>
                </w:p>
              </w:tc>
              <w:tc>
                <w:tcPr>
                  <w:tcW w:w="674" w:type="pct"/>
                  <w:vAlign w:val="center"/>
                </w:tcPr>
                <w:p w14:paraId="0E3B821F">
                  <w:pPr>
                    <w:autoSpaceDE w:val="0"/>
                    <w:autoSpaceDN w:val="0"/>
                    <w:adjustRightInd w:val="0"/>
                    <w:snapToGrid w:val="0"/>
                    <w:spacing w:line="240" w:lineRule="auto"/>
                    <w:rPr>
                      <w:color w:val="auto"/>
                      <w:kern w:val="0"/>
                      <w:sz w:val="21"/>
                      <w:szCs w:val="21"/>
                    </w:rPr>
                  </w:pPr>
                  <w:r>
                    <w:rPr>
                      <w:rFonts w:hint="eastAsia"/>
                      <w:color w:val="auto"/>
                      <w:kern w:val="0"/>
                      <w:sz w:val="21"/>
                      <w:szCs w:val="21"/>
                    </w:rPr>
                    <w:t>符合</w:t>
                  </w:r>
                </w:p>
              </w:tc>
            </w:tr>
          </w:tbl>
          <w:p w14:paraId="52CC45DF">
            <w:pPr>
              <w:autoSpaceDE w:val="0"/>
              <w:autoSpaceDN w:val="0"/>
              <w:adjustRightInd w:val="0"/>
              <w:snapToGrid w:val="0"/>
              <w:spacing w:before="120" w:beforeLines="50"/>
              <w:ind w:firstLine="480" w:firstLineChars="200"/>
              <w:rPr>
                <w:color w:val="auto"/>
                <w:kern w:val="0"/>
              </w:rPr>
            </w:pPr>
            <w:r>
              <w:rPr>
                <w:rFonts w:hint="eastAsia"/>
                <w:color w:val="auto"/>
                <w:kern w:val="0"/>
              </w:rPr>
              <w:t>综上，项目与</w:t>
            </w:r>
            <w:r>
              <w:rPr>
                <w:rFonts w:hint="eastAsia" w:hAnsi="宋体"/>
                <w:color w:val="auto"/>
              </w:rPr>
              <w:t>《关于加快解决当前挥发性有机物治理突出问题的通知》（环大气〔2021〕65号）</w:t>
            </w:r>
            <w:r>
              <w:rPr>
                <w:rFonts w:hint="eastAsia"/>
                <w:color w:val="auto"/>
                <w:kern w:val="0"/>
              </w:rPr>
              <w:t>相符。</w:t>
            </w:r>
          </w:p>
          <w:p w14:paraId="54889141">
            <w:pPr>
              <w:autoSpaceDE w:val="0"/>
              <w:autoSpaceDN w:val="0"/>
              <w:adjustRightInd w:val="0"/>
              <w:snapToGrid w:val="0"/>
              <w:ind w:firstLine="480" w:firstLineChars="200"/>
              <w:rPr>
                <w:color w:val="auto"/>
                <w:kern w:val="0"/>
              </w:rPr>
            </w:pPr>
            <w:r>
              <w:rPr>
                <w:rFonts w:hint="eastAsia"/>
                <w:color w:val="auto"/>
                <w:kern w:val="0"/>
              </w:rPr>
              <w:t>11、项目与</w:t>
            </w:r>
            <w:r>
              <w:rPr>
                <w:rFonts w:hint="eastAsia" w:hAnsi="宋体"/>
                <w:color w:val="auto"/>
              </w:rPr>
              <w:t>《广西壮族自治区“十四五”空气质量全面改善规划》（桂环发〔2022〕27号）</w:t>
            </w:r>
            <w:r>
              <w:rPr>
                <w:rFonts w:hint="eastAsia"/>
                <w:color w:val="auto"/>
                <w:kern w:val="0"/>
              </w:rPr>
              <w:t>的相符性分析</w:t>
            </w:r>
          </w:p>
          <w:p w14:paraId="534D8D56">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表1-6 项目与</w:t>
            </w:r>
            <w:r>
              <w:rPr>
                <w:rFonts w:hint="eastAsia" w:hAnsi="宋体"/>
                <w:b/>
                <w:bCs/>
                <w:color w:val="auto"/>
                <w:sz w:val="21"/>
                <w:szCs w:val="21"/>
              </w:rPr>
              <w:t>《广西壮族自治区“十四五”空气质量全面改善规划》（桂环发〔2022〕27号）</w:t>
            </w:r>
            <w:r>
              <w:rPr>
                <w:rFonts w:hint="eastAsia"/>
                <w:b/>
                <w:bCs/>
                <w:color w:val="auto"/>
                <w:kern w:val="0"/>
                <w:sz w:val="21"/>
                <w:szCs w:val="21"/>
              </w:rPr>
              <w:t>的相符性分析一览表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4"/>
              <w:gridCol w:w="3112"/>
              <w:gridCol w:w="1097"/>
            </w:tblGrid>
            <w:tr w14:paraId="2FE3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6" w:type="pct"/>
                  <w:vAlign w:val="center"/>
                </w:tcPr>
                <w:p w14:paraId="59299A05">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要求</w:t>
                  </w:r>
                </w:p>
              </w:tc>
              <w:tc>
                <w:tcPr>
                  <w:tcW w:w="1946" w:type="pct"/>
                  <w:vAlign w:val="center"/>
                </w:tcPr>
                <w:p w14:paraId="01F6BB9B">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本项目情况</w:t>
                  </w:r>
                </w:p>
              </w:tc>
              <w:tc>
                <w:tcPr>
                  <w:tcW w:w="686" w:type="pct"/>
                  <w:vAlign w:val="center"/>
                </w:tcPr>
                <w:p w14:paraId="7AFB8AFC">
                  <w:pPr>
                    <w:autoSpaceDE w:val="0"/>
                    <w:autoSpaceDN w:val="0"/>
                    <w:adjustRightInd w:val="0"/>
                    <w:snapToGrid w:val="0"/>
                    <w:spacing w:line="240" w:lineRule="auto"/>
                    <w:jc w:val="center"/>
                    <w:rPr>
                      <w:b/>
                      <w:bCs/>
                      <w:color w:val="auto"/>
                      <w:kern w:val="0"/>
                      <w:sz w:val="21"/>
                      <w:szCs w:val="21"/>
                    </w:rPr>
                  </w:pPr>
                  <w:r>
                    <w:rPr>
                      <w:rFonts w:hint="eastAsia"/>
                      <w:b/>
                      <w:bCs/>
                      <w:color w:val="auto"/>
                      <w:kern w:val="0"/>
                      <w:sz w:val="21"/>
                      <w:szCs w:val="21"/>
                    </w:rPr>
                    <w:t>相符性</w:t>
                  </w:r>
                </w:p>
              </w:tc>
            </w:tr>
            <w:tr w14:paraId="10B9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6" w:type="pct"/>
                  <w:vAlign w:val="center"/>
                </w:tcPr>
                <w:p w14:paraId="39145FEB">
                  <w:pPr>
                    <w:autoSpaceDE w:val="0"/>
                    <w:autoSpaceDN w:val="0"/>
                    <w:adjustRightInd w:val="0"/>
                    <w:snapToGrid w:val="0"/>
                    <w:spacing w:line="240" w:lineRule="auto"/>
                    <w:rPr>
                      <w:color w:val="auto"/>
                      <w:kern w:val="0"/>
                      <w:sz w:val="21"/>
                      <w:szCs w:val="21"/>
                    </w:rPr>
                  </w:pPr>
                  <w:r>
                    <w:rPr>
                      <w:rFonts w:hint="eastAsia"/>
                      <w:color w:val="auto"/>
                      <w:kern w:val="0"/>
                      <w:sz w:val="21"/>
                      <w:szCs w:val="21"/>
                    </w:rPr>
                    <w:t>大力推进源头替代。加快推广使用水性、粉末、高固体分、无溶剂、辐射固化等低VOCs含量的涂料，水性、辐射固化、植物基等低VOCs含量的油墨，水基、热熔、无溶剂、辐射固化、改性、生物降解等低VOCs含量的胶黏剂，以及低VOCs含量、低反应活性的清洗剂等，替代高VOCs含量等溶剂型涂料、油墨、胶黏剂、清洗剂等高污染材料，从源头减少VOCs产生。</w:t>
                  </w:r>
                </w:p>
              </w:tc>
              <w:tc>
                <w:tcPr>
                  <w:tcW w:w="1946" w:type="pct"/>
                  <w:vAlign w:val="center"/>
                </w:tcPr>
                <w:p w14:paraId="3CBC5F1B">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本项目使用的PET、PE原料为低VOCs含量材料；不涉及高VOCs含量等溶剂型涂料、油墨、胶黏剂、清洗剂等高污染材料。</w:t>
                  </w:r>
                </w:p>
              </w:tc>
              <w:tc>
                <w:tcPr>
                  <w:tcW w:w="686" w:type="pct"/>
                  <w:vAlign w:val="center"/>
                </w:tcPr>
                <w:p w14:paraId="7026ACD4">
                  <w:pPr>
                    <w:autoSpaceDE w:val="0"/>
                    <w:autoSpaceDN w:val="0"/>
                    <w:adjustRightInd w:val="0"/>
                    <w:snapToGrid w:val="0"/>
                    <w:spacing w:line="240" w:lineRule="auto"/>
                    <w:rPr>
                      <w:color w:val="auto"/>
                      <w:kern w:val="0"/>
                      <w:sz w:val="21"/>
                      <w:szCs w:val="21"/>
                    </w:rPr>
                  </w:pPr>
                  <w:r>
                    <w:rPr>
                      <w:rFonts w:hint="eastAsia"/>
                      <w:color w:val="auto"/>
                      <w:kern w:val="0"/>
                      <w:sz w:val="21"/>
                      <w:szCs w:val="21"/>
                    </w:rPr>
                    <w:t>符合</w:t>
                  </w:r>
                </w:p>
              </w:tc>
            </w:tr>
            <w:tr w14:paraId="4B36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6" w:type="pct"/>
                  <w:vAlign w:val="center"/>
                </w:tcPr>
                <w:p w14:paraId="357B2A91">
                  <w:pPr>
                    <w:autoSpaceDE w:val="0"/>
                    <w:autoSpaceDN w:val="0"/>
                    <w:adjustRightInd w:val="0"/>
                    <w:snapToGrid w:val="0"/>
                    <w:spacing w:line="240" w:lineRule="auto"/>
                    <w:rPr>
                      <w:color w:val="auto"/>
                      <w:kern w:val="0"/>
                      <w:sz w:val="21"/>
                      <w:szCs w:val="21"/>
                    </w:rPr>
                  </w:pPr>
                  <w:r>
                    <w:rPr>
                      <w:rFonts w:hint="eastAsia"/>
                      <w:color w:val="auto"/>
                      <w:kern w:val="0"/>
                      <w:sz w:val="21"/>
                      <w:szCs w:val="21"/>
                    </w:rPr>
                    <w:t>深入推进实施重点行业企业VOCs综合整治。各设区市应结合本地产业结构特征，加快实施VOCs排放行业的源头减排、过程控制和末端治理，落实重点监管企业“一企一策”综合治理。推进北海、钦州、百色等市石油和化工等行业VOCs综合治理，按《工业企业挥发性有机物泄漏检测与修复技术指南》（HJ1230—2021）强化泄漏检测与修复；</w:t>
                  </w:r>
                </w:p>
              </w:tc>
              <w:tc>
                <w:tcPr>
                  <w:tcW w:w="1946" w:type="pct"/>
                  <w:vAlign w:val="center"/>
                </w:tcPr>
                <w:p w14:paraId="12D369A6">
                  <w:pPr>
                    <w:autoSpaceDE w:val="0"/>
                    <w:autoSpaceDN w:val="0"/>
                    <w:adjustRightInd w:val="0"/>
                    <w:snapToGrid w:val="0"/>
                    <w:spacing w:line="240" w:lineRule="auto"/>
                    <w:rPr>
                      <w:color w:val="auto"/>
                      <w:kern w:val="0"/>
                      <w:sz w:val="21"/>
                      <w:szCs w:val="21"/>
                    </w:rPr>
                  </w:pPr>
                  <w:r>
                    <w:rPr>
                      <w:rFonts w:hint="eastAsia"/>
                      <w:color w:val="auto"/>
                      <w:kern w:val="0"/>
                      <w:sz w:val="21"/>
                      <w:szCs w:val="21"/>
                    </w:rPr>
                    <w:t>本项目使用的PET、PE原料为低VOCs含量材料；项目生产车间密闭设置，生产过程产生的有机废气通过集气罩收集后，排至废气处理设施处理（二级活性炭吸附处理）；项目建成后建设单位按《工业企业挥发性有机物泄漏检测与修复技术指南》（HJ1230—2021）强化泄漏检测与修复。</w:t>
                  </w:r>
                </w:p>
              </w:tc>
              <w:tc>
                <w:tcPr>
                  <w:tcW w:w="686" w:type="pct"/>
                  <w:vAlign w:val="center"/>
                </w:tcPr>
                <w:p w14:paraId="4F2A30BF">
                  <w:pPr>
                    <w:autoSpaceDE w:val="0"/>
                    <w:autoSpaceDN w:val="0"/>
                    <w:adjustRightInd w:val="0"/>
                    <w:snapToGrid w:val="0"/>
                    <w:spacing w:line="240" w:lineRule="auto"/>
                    <w:rPr>
                      <w:color w:val="auto"/>
                      <w:kern w:val="0"/>
                      <w:sz w:val="21"/>
                      <w:szCs w:val="21"/>
                    </w:rPr>
                  </w:pPr>
                  <w:r>
                    <w:rPr>
                      <w:rFonts w:hint="eastAsia"/>
                      <w:color w:val="auto"/>
                      <w:kern w:val="0"/>
                      <w:sz w:val="21"/>
                      <w:szCs w:val="21"/>
                    </w:rPr>
                    <w:t>符合</w:t>
                  </w:r>
                </w:p>
              </w:tc>
            </w:tr>
            <w:tr w14:paraId="2750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6" w:type="pct"/>
                  <w:vAlign w:val="center"/>
                </w:tcPr>
                <w:p w14:paraId="01DA5706">
                  <w:pPr>
                    <w:autoSpaceDE w:val="0"/>
                    <w:autoSpaceDN w:val="0"/>
                    <w:adjustRightInd w:val="0"/>
                    <w:snapToGrid w:val="0"/>
                    <w:spacing w:line="240" w:lineRule="auto"/>
                    <w:rPr>
                      <w:color w:val="auto"/>
                      <w:kern w:val="0"/>
                      <w:sz w:val="21"/>
                      <w:szCs w:val="21"/>
                    </w:rPr>
                  </w:pPr>
                  <w:r>
                    <w:rPr>
                      <w:rFonts w:hint="eastAsia"/>
                      <w:color w:val="auto"/>
                      <w:kern w:val="0"/>
                      <w:sz w:val="21"/>
                      <w:szCs w:val="21"/>
                    </w:rPr>
                    <w:t>提升综合治理效率。按照“应收尽收”的原则提升废气收集率。对于VOCs无组织排放，按照《挥发性有机物无组织排放控制标准》（GB37822—2019）执行，通过采用全密闭、连续化、自动化等生产技术，以及高效工艺和设备等，减少工艺过程无组织排放和逸散，提高VOCs集中收集和综合治理效率。加强非正常工况废气排放控制。</w:t>
                  </w:r>
                </w:p>
              </w:tc>
              <w:tc>
                <w:tcPr>
                  <w:tcW w:w="1946" w:type="pct"/>
                  <w:vAlign w:val="center"/>
                </w:tcPr>
                <w:p w14:paraId="72934DC2">
                  <w:pPr>
                    <w:autoSpaceDE w:val="0"/>
                    <w:autoSpaceDN w:val="0"/>
                    <w:adjustRightInd w:val="0"/>
                    <w:snapToGrid w:val="0"/>
                    <w:spacing w:line="240" w:lineRule="auto"/>
                    <w:rPr>
                      <w:color w:val="auto"/>
                      <w:kern w:val="0"/>
                      <w:sz w:val="21"/>
                      <w:szCs w:val="21"/>
                    </w:rPr>
                  </w:pPr>
                  <w:r>
                    <w:rPr>
                      <w:rFonts w:hint="eastAsia"/>
                      <w:color w:val="auto"/>
                      <w:kern w:val="0"/>
                      <w:sz w:val="21"/>
                      <w:szCs w:val="21"/>
                    </w:rPr>
                    <w:t>项目生产车间密闭设置，生产过程产生的有机废气通过集气罩收集后，通过密闭管道排至废气处理设施处理（二级活性炭吸附处理）；VOCs废气处理系统发生故障时，生产车间内生产线均停止生产，故障检修完成后方可重新生产。</w:t>
                  </w:r>
                </w:p>
              </w:tc>
              <w:tc>
                <w:tcPr>
                  <w:tcW w:w="686" w:type="pct"/>
                  <w:vAlign w:val="center"/>
                </w:tcPr>
                <w:p w14:paraId="748F6076">
                  <w:pPr>
                    <w:autoSpaceDE w:val="0"/>
                    <w:autoSpaceDN w:val="0"/>
                    <w:adjustRightInd w:val="0"/>
                    <w:snapToGrid w:val="0"/>
                    <w:spacing w:line="240" w:lineRule="auto"/>
                    <w:rPr>
                      <w:color w:val="auto"/>
                      <w:kern w:val="0"/>
                      <w:sz w:val="21"/>
                      <w:szCs w:val="21"/>
                    </w:rPr>
                  </w:pPr>
                  <w:r>
                    <w:rPr>
                      <w:rFonts w:hint="eastAsia"/>
                      <w:color w:val="auto"/>
                      <w:kern w:val="0"/>
                      <w:sz w:val="21"/>
                      <w:szCs w:val="21"/>
                    </w:rPr>
                    <w:t>符合</w:t>
                  </w:r>
                </w:p>
              </w:tc>
            </w:tr>
          </w:tbl>
          <w:p w14:paraId="087BA662">
            <w:pPr>
              <w:adjustRightInd w:val="0"/>
              <w:snapToGrid w:val="0"/>
              <w:spacing w:before="120" w:beforeLines="50"/>
              <w:ind w:firstLine="480" w:firstLineChars="200"/>
              <w:jc w:val="left"/>
              <w:rPr>
                <w:b/>
                <w:bCs/>
                <w:color w:val="auto"/>
                <w:kern w:val="0"/>
              </w:rPr>
            </w:pPr>
            <w:r>
              <w:rPr>
                <w:rFonts w:hint="eastAsia"/>
                <w:color w:val="auto"/>
                <w:kern w:val="0"/>
              </w:rPr>
              <w:t>综上，项目与</w:t>
            </w:r>
            <w:r>
              <w:rPr>
                <w:rFonts w:hint="eastAsia" w:hAnsi="宋体"/>
                <w:color w:val="auto"/>
              </w:rPr>
              <w:t>《广西壮族自治区“十四五”空气质量全面改善规划》（桂环发〔2022〕27号）</w:t>
            </w:r>
            <w:r>
              <w:rPr>
                <w:rFonts w:hint="eastAsia"/>
                <w:color w:val="auto"/>
                <w:kern w:val="0"/>
              </w:rPr>
              <w:t>相符。</w:t>
            </w:r>
          </w:p>
        </w:tc>
      </w:tr>
    </w:tbl>
    <w:p w14:paraId="289B0DCD">
      <w:pPr>
        <w:pStyle w:val="21"/>
        <w:rPr>
          <w:color w:val="auto"/>
        </w:rPr>
      </w:pPr>
      <w:r>
        <w:rPr>
          <w:snapToGrid w:val="0"/>
          <w:color w:val="auto"/>
        </w:rPr>
        <w:br w:type="page"/>
      </w:r>
      <w:bookmarkStart w:id="35" w:name="_Toc80604819"/>
      <w:r>
        <w:rPr>
          <w:snapToGrid w:val="0"/>
          <w:color w:val="auto"/>
        </w:rPr>
        <w:t>二、建设项目工程分析</w:t>
      </w:r>
      <w:bookmarkEnd w:id="35"/>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313"/>
        <w:gridCol w:w="8292"/>
      </w:tblGrid>
      <w:tr w14:paraId="48772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1" w:hRule="atLeast"/>
          <w:jc w:val="center"/>
        </w:trPr>
        <w:tc>
          <w:tcPr>
            <w:tcW w:w="455" w:type="dxa"/>
            <w:vAlign w:val="center"/>
          </w:tcPr>
          <w:p w14:paraId="062945E4">
            <w:pPr>
              <w:jc w:val="center"/>
              <w:rPr>
                <w:b/>
                <w:color w:val="auto"/>
              </w:rPr>
            </w:pPr>
            <w:r>
              <w:rPr>
                <w:b/>
                <w:bCs/>
                <w:color w:val="auto"/>
                <w:sz w:val="21"/>
                <w:szCs w:val="21"/>
              </w:rPr>
              <w:t>建设内容</w:t>
            </w:r>
          </w:p>
        </w:tc>
        <w:tc>
          <w:tcPr>
            <w:tcW w:w="8605" w:type="dxa"/>
            <w:gridSpan w:val="2"/>
          </w:tcPr>
          <w:p w14:paraId="2BF6D0D8">
            <w:pPr>
              <w:adjustRightInd w:val="0"/>
              <w:snapToGrid w:val="0"/>
              <w:ind w:firstLine="482" w:firstLineChars="200"/>
              <w:jc w:val="left"/>
              <w:rPr>
                <w:b/>
                <w:bCs/>
                <w:color w:val="auto"/>
              </w:rPr>
            </w:pPr>
            <w:r>
              <w:rPr>
                <w:b/>
                <w:color w:val="auto"/>
              </w:rPr>
              <w:t>1、</w:t>
            </w:r>
            <w:bookmarkStart w:id="36" w:name="OLE_LINK87"/>
            <w:r>
              <w:rPr>
                <w:rFonts w:hint="eastAsia"/>
                <w:b/>
                <w:bCs/>
                <w:color w:val="auto"/>
              </w:rPr>
              <w:t>项目环评及排污许可判定情况</w:t>
            </w:r>
            <w:bookmarkEnd w:id="36"/>
          </w:p>
          <w:p w14:paraId="49709DEF">
            <w:pPr>
              <w:adjustRightInd w:val="0"/>
              <w:snapToGrid w:val="0"/>
              <w:ind w:firstLine="480" w:firstLineChars="200"/>
              <w:jc w:val="left"/>
              <w:rPr>
                <w:color w:val="auto"/>
              </w:rPr>
            </w:pPr>
            <w:bookmarkStart w:id="37" w:name="OLE_LINK88"/>
            <w:r>
              <w:rPr>
                <w:rFonts w:hint="eastAsia"/>
                <w:color w:val="auto"/>
              </w:rPr>
              <w:t>根据《建设项目环境影响评价分类管理名录（2021年版）》（生态环境部令第16号），属于名录中：“</w:t>
            </w:r>
            <w:bookmarkStart w:id="38" w:name="OLE_LINK83"/>
            <w:r>
              <w:rPr>
                <w:rFonts w:hint="eastAsia"/>
                <w:color w:val="auto"/>
              </w:rPr>
              <w:t>二十六、橡胶和塑料制品业——第53项：塑料制品业</w:t>
            </w:r>
            <w:bookmarkEnd w:id="38"/>
            <w:r>
              <w:rPr>
                <w:rFonts w:hint="eastAsia"/>
                <w:color w:val="auto"/>
              </w:rPr>
              <w:t>——其他（年用非溶剂型低VOCs含量涂料10吨以下的除外）”类别，应编制环境影响报告表。</w:t>
            </w:r>
          </w:p>
          <w:p w14:paraId="7BE8E1C2">
            <w:pPr>
              <w:adjustRightInd w:val="0"/>
              <w:snapToGrid w:val="0"/>
              <w:ind w:firstLine="480" w:firstLineChars="200"/>
              <w:jc w:val="left"/>
              <w:rPr>
                <w:color w:val="auto"/>
              </w:rPr>
            </w:pPr>
            <w:r>
              <w:rPr>
                <w:rFonts w:hint="eastAsia"/>
                <w:color w:val="auto"/>
              </w:rPr>
              <w:t>根据对照《固定污染源排污许可分类管理名录》（2019年版），本项目属于其中的“二十四、橡胶和塑料制品业29——第62项：塑料制品业292——其他”，属于排污许可中“</w:t>
            </w:r>
            <w:r>
              <w:rPr>
                <w:rFonts w:hint="eastAsia"/>
                <w:color w:val="auto"/>
                <w:lang w:eastAsia="zh-CN"/>
              </w:rPr>
              <w:t>登记管理</w:t>
            </w:r>
            <w:r>
              <w:rPr>
                <w:rFonts w:hint="eastAsia"/>
                <w:color w:val="auto"/>
              </w:rPr>
              <w:t>。</w:t>
            </w:r>
          </w:p>
          <w:bookmarkEnd w:id="37"/>
          <w:p w14:paraId="42E1072D">
            <w:pPr>
              <w:adjustRightInd w:val="0"/>
              <w:snapToGrid w:val="0"/>
              <w:ind w:firstLine="482" w:firstLineChars="200"/>
              <w:jc w:val="left"/>
              <w:rPr>
                <w:b/>
                <w:bCs/>
                <w:color w:val="auto"/>
              </w:rPr>
            </w:pPr>
            <w:r>
              <w:rPr>
                <w:rFonts w:hint="eastAsia"/>
                <w:b/>
                <w:bCs/>
                <w:color w:val="auto"/>
              </w:rPr>
              <w:t>2、项目概况</w:t>
            </w:r>
          </w:p>
          <w:p w14:paraId="54D90432">
            <w:pPr>
              <w:adjustRightInd w:val="0"/>
              <w:snapToGrid w:val="0"/>
              <w:ind w:firstLine="480" w:firstLineChars="200"/>
              <w:jc w:val="left"/>
              <w:rPr>
                <w:rFonts w:hint="eastAsia" w:hAnsi="宋体"/>
                <w:color w:val="auto"/>
              </w:rPr>
            </w:pPr>
            <w:r>
              <w:rPr>
                <w:rFonts w:hint="eastAsia" w:hAnsi="宋体"/>
                <w:color w:val="auto"/>
              </w:rPr>
              <w:t>项目名称：</w:t>
            </w:r>
            <w:bookmarkStart w:id="39" w:name="OLE_LINK82"/>
            <w:bookmarkStart w:id="40" w:name="OLE_LINK74"/>
            <w:r>
              <w:rPr>
                <w:rFonts w:hint="eastAsia"/>
                <w:color w:val="auto"/>
              </w:rPr>
              <w:t>年产</w:t>
            </w:r>
            <w:r>
              <w:rPr>
                <w:color w:val="auto"/>
              </w:rPr>
              <w:t>PET</w:t>
            </w:r>
            <w:r>
              <w:rPr>
                <w:rFonts w:hint="eastAsia"/>
                <w:color w:val="auto"/>
              </w:rPr>
              <w:t>瓶坯</w:t>
            </w:r>
            <w:r>
              <w:rPr>
                <w:color w:val="auto"/>
              </w:rPr>
              <w:t>2400</w:t>
            </w:r>
            <w:r>
              <w:rPr>
                <w:rFonts w:hint="eastAsia"/>
                <w:color w:val="auto"/>
              </w:rPr>
              <w:t>吨、</w:t>
            </w:r>
            <w:r>
              <w:rPr>
                <w:color w:val="auto"/>
              </w:rPr>
              <w:t>PE</w:t>
            </w:r>
            <w:r>
              <w:rPr>
                <w:rFonts w:hint="eastAsia"/>
                <w:color w:val="auto"/>
              </w:rPr>
              <w:t>瓶盖和提手</w:t>
            </w:r>
            <w:r>
              <w:rPr>
                <w:color w:val="auto"/>
              </w:rPr>
              <w:t>480</w:t>
            </w:r>
            <w:r>
              <w:rPr>
                <w:rFonts w:hint="eastAsia"/>
                <w:color w:val="auto"/>
              </w:rPr>
              <w:t>吨项目</w:t>
            </w:r>
            <w:bookmarkEnd w:id="39"/>
            <w:r>
              <w:rPr>
                <w:rFonts w:hint="eastAsia"/>
                <w:color w:val="auto"/>
              </w:rPr>
              <w:t xml:space="preserve"> </w:t>
            </w:r>
            <w:bookmarkEnd w:id="40"/>
            <w:r>
              <w:rPr>
                <w:rFonts w:hint="eastAsia" w:hAnsi="宋体"/>
                <w:color w:val="auto"/>
              </w:rPr>
              <w:t xml:space="preserve">； </w:t>
            </w:r>
          </w:p>
          <w:p w14:paraId="3D02A486">
            <w:pPr>
              <w:adjustRightInd w:val="0"/>
              <w:snapToGrid w:val="0"/>
              <w:ind w:firstLine="480" w:firstLineChars="200"/>
              <w:jc w:val="left"/>
              <w:rPr>
                <w:rFonts w:hint="eastAsia" w:hAnsi="宋体"/>
                <w:color w:val="auto"/>
              </w:rPr>
            </w:pPr>
            <w:r>
              <w:rPr>
                <w:rFonts w:hint="eastAsia" w:hAnsi="宋体"/>
                <w:color w:val="auto"/>
              </w:rPr>
              <w:t xml:space="preserve">建设单位：广西钦州华林包装科技有限公司； </w:t>
            </w:r>
          </w:p>
          <w:p w14:paraId="215E2BF8">
            <w:pPr>
              <w:adjustRightInd w:val="0"/>
              <w:snapToGrid w:val="0"/>
              <w:ind w:firstLine="480" w:firstLineChars="200"/>
              <w:jc w:val="left"/>
              <w:rPr>
                <w:rFonts w:hint="eastAsia" w:hAnsi="宋体"/>
                <w:color w:val="auto"/>
              </w:rPr>
            </w:pPr>
            <w:r>
              <w:rPr>
                <w:rFonts w:hint="eastAsia" w:hAnsi="宋体"/>
                <w:color w:val="auto"/>
              </w:rPr>
              <w:t xml:space="preserve">项目性质：新建； </w:t>
            </w:r>
          </w:p>
          <w:p w14:paraId="4F63B610">
            <w:pPr>
              <w:autoSpaceDE w:val="0"/>
              <w:autoSpaceDN w:val="0"/>
              <w:adjustRightInd w:val="0"/>
              <w:snapToGrid w:val="0"/>
              <w:ind w:firstLine="480" w:firstLineChars="200"/>
              <w:rPr>
                <w:color w:val="auto"/>
                <w:kern w:val="0"/>
              </w:rPr>
            </w:pPr>
            <w:r>
              <w:rPr>
                <w:rFonts w:hint="eastAsia" w:hAnsi="宋体"/>
                <w:color w:val="auto"/>
              </w:rPr>
              <w:t>建设地点：</w:t>
            </w:r>
            <w:r>
              <w:rPr>
                <w:rFonts w:hint="eastAsia"/>
                <w:color w:val="auto"/>
              </w:rPr>
              <w:t>广西钦州市</w:t>
            </w:r>
            <w:r>
              <w:rPr>
                <w:rFonts w:hint="eastAsia"/>
                <w:color w:val="auto"/>
                <w:kern w:val="0"/>
              </w:rPr>
              <w:t>中国（广西）自由贸易试验区</w:t>
            </w:r>
            <w:bookmarkStart w:id="41" w:name="OLE_LINK36"/>
            <w:bookmarkStart w:id="42" w:name="OLE_LINK75"/>
            <w:r>
              <w:rPr>
                <w:rFonts w:hint="eastAsia"/>
                <w:color w:val="auto"/>
              </w:rPr>
              <w:t>钦州港片区中马钦州产业园区</w:t>
            </w:r>
            <w:bookmarkEnd w:id="41"/>
            <w:bookmarkStart w:id="43" w:name="OLE_LINK30"/>
            <w:r>
              <w:rPr>
                <w:rFonts w:hint="eastAsia"/>
                <w:color w:val="auto"/>
              </w:rPr>
              <w:t>台湾中小企业园区2＃厂房</w:t>
            </w:r>
            <w:bookmarkEnd w:id="43"/>
            <w:r>
              <w:rPr>
                <w:rFonts w:hint="eastAsia"/>
                <w:color w:val="auto"/>
              </w:rPr>
              <w:t>第一层</w:t>
            </w:r>
            <w:bookmarkEnd w:id="42"/>
            <w:r>
              <w:rPr>
                <w:rFonts w:hint="eastAsia"/>
                <w:color w:val="auto"/>
              </w:rPr>
              <w:t>，</w:t>
            </w:r>
            <w:r>
              <w:rPr>
                <w:rFonts w:hint="eastAsia" w:hAnsi="宋体"/>
                <w:bCs/>
                <w:color w:val="auto"/>
              </w:rPr>
              <w:t>中心地理位置</w:t>
            </w:r>
            <w:r>
              <w:rPr>
                <w:bCs/>
                <w:color w:val="auto"/>
              </w:rPr>
              <w:t>为：</w:t>
            </w:r>
            <w:bookmarkStart w:id="44" w:name="OLE_LINK72"/>
            <w:r>
              <w:rPr>
                <w:bCs/>
                <w:color w:val="auto"/>
              </w:rPr>
              <w:t>东经</w:t>
            </w:r>
            <w:bookmarkStart w:id="45" w:name="OLE_LINK68"/>
            <w:r>
              <w:rPr>
                <w:bCs/>
                <w:color w:val="auto"/>
              </w:rPr>
              <w:t>1</w:t>
            </w:r>
            <w:r>
              <w:rPr>
                <w:color w:val="auto"/>
              </w:rPr>
              <w:t>08°4</w:t>
            </w:r>
            <w:r>
              <w:rPr>
                <w:rFonts w:hint="eastAsia"/>
                <w:color w:val="auto"/>
              </w:rPr>
              <w:t>1</w:t>
            </w:r>
            <w:r>
              <w:rPr>
                <w:color w:val="auto"/>
              </w:rPr>
              <w:t>′</w:t>
            </w:r>
            <w:r>
              <w:rPr>
                <w:rFonts w:hint="eastAsia"/>
                <w:color w:val="auto"/>
              </w:rPr>
              <w:t>6.527</w:t>
            </w:r>
            <w:r>
              <w:rPr>
                <w:color w:val="auto"/>
              </w:rPr>
              <w:t>″，</w:t>
            </w:r>
            <w:r>
              <w:rPr>
                <w:bCs/>
                <w:color w:val="auto"/>
              </w:rPr>
              <w:t>北纬</w:t>
            </w:r>
            <w:r>
              <w:rPr>
                <w:color w:val="auto"/>
              </w:rPr>
              <w:t>2</w:t>
            </w:r>
            <w:r>
              <w:rPr>
                <w:rFonts w:hint="eastAsia"/>
                <w:color w:val="auto"/>
              </w:rPr>
              <w:t>4</w:t>
            </w:r>
            <w:r>
              <w:rPr>
                <w:color w:val="auto"/>
              </w:rPr>
              <w:t>°4</w:t>
            </w:r>
            <w:r>
              <w:rPr>
                <w:rFonts w:hint="eastAsia"/>
                <w:color w:val="auto"/>
              </w:rPr>
              <w:t>7</w:t>
            </w:r>
            <w:r>
              <w:rPr>
                <w:color w:val="auto"/>
              </w:rPr>
              <w:t>′1</w:t>
            </w:r>
            <w:r>
              <w:rPr>
                <w:rFonts w:hint="eastAsia"/>
                <w:color w:val="auto"/>
              </w:rPr>
              <w:t>6.637</w:t>
            </w:r>
            <w:r>
              <w:rPr>
                <w:color w:val="auto"/>
              </w:rPr>
              <w:t>″</w:t>
            </w:r>
            <w:bookmarkEnd w:id="44"/>
            <w:bookmarkEnd w:id="45"/>
            <w:r>
              <w:rPr>
                <w:rFonts w:hint="eastAsia" w:ascii="宋体" w:hAnsi="宋体" w:cs="宋体"/>
                <w:color w:val="auto"/>
                <w:kern w:val="0"/>
              </w:rPr>
              <w:t>；</w:t>
            </w:r>
          </w:p>
          <w:p w14:paraId="385DF46C">
            <w:pPr>
              <w:adjustRightInd w:val="0"/>
              <w:snapToGrid w:val="0"/>
              <w:ind w:firstLine="480" w:firstLineChars="200"/>
              <w:jc w:val="left"/>
              <w:rPr>
                <w:rFonts w:hint="eastAsia" w:hAnsi="宋体"/>
                <w:color w:val="auto"/>
              </w:rPr>
            </w:pPr>
            <w:r>
              <w:rPr>
                <w:rFonts w:hint="eastAsia" w:hAnsi="宋体"/>
                <w:color w:val="auto"/>
              </w:rPr>
              <w:t xml:space="preserve">投资总额：2000.00万元； </w:t>
            </w:r>
          </w:p>
          <w:p w14:paraId="4D0FE21B">
            <w:pPr>
              <w:adjustRightInd w:val="0"/>
              <w:snapToGrid w:val="0"/>
              <w:ind w:firstLine="480" w:firstLineChars="200"/>
              <w:jc w:val="left"/>
              <w:rPr>
                <w:color w:val="auto"/>
                <w:kern w:val="0"/>
              </w:rPr>
            </w:pPr>
            <w:r>
              <w:rPr>
                <w:rFonts w:hint="eastAsia"/>
                <w:color w:val="auto"/>
                <w:kern w:val="0"/>
              </w:rPr>
              <w:t>占地面积：1353.75m</w:t>
            </w:r>
            <w:r>
              <w:rPr>
                <w:rFonts w:hint="eastAsia"/>
                <w:color w:val="auto"/>
                <w:kern w:val="0"/>
                <w:vertAlign w:val="superscript"/>
              </w:rPr>
              <w:t>2</w:t>
            </w:r>
            <w:r>
              <w:rPr>
                <w:rFonts w:hint="eastAsia"/>
                <w:color w:val="auto"/>
                <w:kern w:val="0"/>
              </w:rPr>
              <w:t>；</w:t>
            </w:r>
          </w:p>
          <w:p w14:paraId="0FDFEFD7">
            <w:pPr>
              <w:adjustRightInd w:val="0"/>
              <w:snapToGrid w:val="0"/>
              <w:ind w:firstLine="480" w:firstLineChars="200"/>
              <w:jc w:val="left"/>
              <w:rPr>
                <w:color w:val="auto"/>
                <w:kern w:val="0"/>
              </w:rPr>
            </w:pPr>
            <w:r>
              <w:rPr>
                <w:rFonts w:hint="eastAsia"/>
                <w:color w:val="auto"/>
                <w:kern w:val="0"/>
              </w:rPr>
              <w:t>周边环境情况：项目周边主要为企业、道路等。项目场地现状为闲置的标准厂房，西面</w:t>
            </w:r>
            <w:r>
              <w:rPr>
                <w:rFonts w:hint="eastAsia"/>
                <w:color w:val="auto"/>
                <w:kern w:val="0"/>
                <w:lang w:val="en-US" w:eastAsia="zh-CN"/>
              </w:rPr>
              <w:t>约25m处为城市次干道-</w:t>
            </w:r>
            <w:r>
              <w:rPr>
                <w:rFonts w:hint="eastAsia"/>
                <w:color w:val="auto"/>
                <w:kern w:val="0"/>
              </w:rPr>
              <w:t>锦绣大道；东面、南面、北面均为标准厂房，目前均为闲置状态。项目最近敏感点为东南面400m的</w:t>
            </w:r>
            <w:bookmarkStart w:id="46" w:name="OLE_LINK41"/>
            <w:r>
              <w:rPr>
                <w:rFonts w:hint="eastAsia"/>
                <w:color w:val="auto"/>
                <w:kern w:val="0"/>
              </w:rPr>
              <w:t>细鸡屋</w:t>
            </w:r>
            <w:bookmarkEnd w:id="46"/>
            <w:r>
              <w:rPr>
                <w:rFonts w:hint="eastAsia"/>
                <w:color w:val="auto"/>
                <w:kern w:val="0"/>
              </w:rPr>
              <w:t>。</w:t>
            </w:r>
          </w:p>
          <w:p w14:paraId="7751981B">
            <w:pPr>
              <w:adjustRightInd w:val="0"/>
              <w:snapToGrid w:val="0"/>
              <w:ind w:firstLine="480" w:firstLineChars="200"/>
              <w:jc w:val="left"/>
              <w:rPr>
                <w:color w:val="auto"/>
                <w:kern w:val="0"/>
              </w:rPr>
            </w:pPr>
            <w:r>
              <w:rPr>
                <w:rFonts w:hint="eastAsia"/>
                <w:color w:val="auto"/>
                <w:kern w:val="0"/>
              </w:rPr>
              <w:t>项目建设内容：项目设置4条PET瓶坯生产线、4条PE瓶盖和提手生产线，建成后计划年产PET瓶坯2400吨和PE瓶盖和提手480吨。项目建设内容包括生产区、原料区、成品区，并配套建设公共工程和环保工程等。</w:t>
            </w:r>
          </w:p>
          <w:p w14:paraId="1474AFF5">
            <w:pPr>
              <w:adjustRightInd w:val="0"/>
              <w:snapToGrid w:val="0"/>
              <w:ind w:firstLine="480" w:firstLineChars="200"/>
              <w:jc w:val="left"/>
              <w:rPr>
                <w:color w:val="auto"/>
              </w:rPr>
            </w:pPr>
            <w:r>
              <w:rPr>
                <w:bCs/>
                <w:color w:val="auto"/>
              </w:rPr>
              <w:t>项目工程组成见表2-1。</w:t>
            </w:r>
          </w:p>
          <w:p w14:paraId="015EE655">
            <w:pPr>
              <w:spacing w:line="240" w:lineRule="auto"/>
              <w:jc w:val="center"/>
              <w:rPr>
                <w:b/>
                <w:color w:val="auto"/>
                <w:sz w:val="21"/>
                <w:szCs w:val="21"/>
                <w:highlight w:val="none"/>
              </w:rPr>
            </w:pPr>
            <w:r>
              <w:rPr>
                <w:b/>
                <w:color w:val="auto"/>
                <w:sz w:val="21"/>
                <w:szCs w:val="21"/>
                <w:highlight w:val="none"/>
              </w:rPr>
              <w:t>表2-1  项目工程内容一览表</w:t>
            </w:r>
          </w:p>
          <w:tbl>
            <w:tblPr>
              <w:tblStyle w:val="25"/>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277"/>
              <w:gridCol w:w="4273"/>
              <w:gridCol w:w="2033"/>
            </w:tblGrid>
            <w:tr w14:paraId="6874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Align w:val="center"/>
                </w:tcPr>
                <w:p w14:paraId="6F8C7C6D">
                  <w:pPr>
                    <w:pStyle w:val="111"/>
                    <w:adjustRightInd w:val="0"/>
                    <w:snapToGrid w:val="0"/>
                    <w:spacing w:line="240" w:lineRule="auto"/>
                    <w:rPr>
                      <w:b/>
                      <w:color w:val="auto"/>
                    </w:rPr>
                  </w:pPr>
                  <w:r>
                    <w:rPr>
                      <w:b/>
                      <w:color w:val="auto"/>
                    </w:rPr>
                    <w:t>工程类别</w:t>
                  </w:r>
                </w:p>
              </w:tc>
              <w:tc>
                <w:tcPr>
                  <w:tcW w:w="763" w:type="pct"/>
                  <w:vAlign w:val="center"/>
                </w:tcPr>
                <w:p w14:paraId="6D432EE7">
                  <w:pPr>
                    <w:pStyle w:val="111"/>
                    <w:adjustRightInd w:val="0"/>
                    <w:snapToGrid w:val="0"/>
                    <w:spacing w:line="240" w:lineRule="auto"/>
                    <w:rPr>
                      <w:b/>
                      <w:color w:val="auto"/>
                    </w:rPr>
                  </w:pPr>
                  <w:r>
                    <w:rPr>
                      <w:b/>
                      <w:color w:val="auto"/>
                    </w:rPr>
                    <w:t>项目名称</w:t>
                  </w:r>
                </w:p>
              </w:tc>
              <w:tc>
                <w:tcPr>
                  <w:tcW w:w="2553" w:type="pct"/>
                  <w:vAlign w:val="center"/>
                </w:tcPr>
                <w:p w14:paraId="093288F0">
                  <w:pPr>
                    <w:pStyle w:val="111"/>
                    <w:adjustRightInd w:val="0"/>
                    <w:snapToGrid w:val="0"/>
                    <w:spacing w:line="240" w:lineRule="auto"/>
                    <w:rPr>
                      <w:b/>
                      <w:color w:val="auto"/>
                    </w:rPr>
                  </w:pPr>
                  <w:r>
                    <w:rPr>
                      <w:b/>
                      <w:color w:val="auto"/>
                    </w:rPr>
                    <w:t>建设内容</w:t>
                  </w:r>
                </w:p>
              </w:tc>
              <w:tc>
                <w:tcPr>
                  <w:tcW w:w="1214" w:type="pct"/>
                  <w:vAlign w:val="center"/>
                </w:tcPr>
                <w:p w14:paraId="413421A4">
                  <w:pPr>
                    <w:pStyle w:val="111"/>
                    <w:adjustRightInd w:val="0"/>
                    <w:snapToGrid w:val="0"/>
                    <w:spacing w:line="240" w:lineRule="auto"/>
                    <w:rPr>
                      <w:b/>
                      <w:color w:val="auto"/>
                    </w:rPr>
                  </w:pPr>
                  <w:r>
                    <w:rPr>
                      <w:rFonts w:hint="eastAsia"/>
                      <w:b/>
                      <w:color w:val="auto"/>
                    </w:rPr>
                    <w:t>备注</w:t>
                  </w:r>
                </w:p>
              </w:tc>
            </w:tr>
            <w:tr w14:paraId="2F40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68" w:type="pct"/>
                  <w:vAlign w:val="center"/>
                </w:tcPr>
                <w:p w14:paraId="55D8A559">
                  <w:pPr>
                    <w:pStyle w:val="111"/>
                    <w:adjustRightInd w:val="0"/>
                    <w:snapToGrid w:val="0"/>
                    <w:spacing w:line="240" w:lineRule="auto"/>
                    <w:rPr>
                      <w:b/>
                      <w:color w:val="auto"/>
                    </w:rPr>
                  </w:pPr>
                  <w:r>
                    <w:rPr>
                      <w:color w:val="auto"/>
                    </w:rPr>
                    <w:t>主体工程</w:t>
                  </w:r>
                </w:p>
              </w:tc>
              <w:tc>
                <w:tcPr>
                  <w:tcW w:w="763" w:type="pct"/>
                  <w:vAlign w:val="center"/>
                </w:tcPr>
                <w:p w14:paraId="091A924E">
                  <w:pPr>
                    <w:pStyle w:val="111"/>
                    <w:adjustRightInd w:val="0"/>
                    <w:snapToGrid w:val="0"/>
                    <w:spacing w:line="240" w:lineRule="auto"/>
                    <w:rPr>
                      <w:bCs/>
                      <w:color w:val="auto"/>
                    </w:rPr>
                  </w:pPr>
                  <w:r>
                    <w:rPr>
                      <w:rFonts w:hint="eastAsia"/>
                      <w:bCs/>
                      <w:color w:val="auto"/>
                    </w:rPr>
                    <w:t>生产区</w:t>
                  </w:r>
                </w:p>
              </w:tc>
              <w:tc>
                <w:tcPr>
                  <w:tcW w:w="2553" w:type="pct"/>
                  <w:vAlign w:val="center"/>
                </w:tcPr>
                <w:p w14:paraId="2C4AE493">
                  <w:pPr>
                    <w:pStyle w:val="111"/>
                    <w:adjustRightInd w:val="0"/>
                    <w:snapToGrid w:val="0"/>
                    <w:spacing w:line="240" w:lineRule="auto"/>
                    <w:jc w:val="left"/>
                    <w:rPr>
                      <w:rFonts w:hint="eastAsia" w:eastAsia="宋体"/>
                      <w:color w:val="auto"/>
                      <w:lang w:eastAsia="zh-CN"/>
                    </w:rPr>
                  </w:pPr>
                  <w:r>
                    <w:rPr>
                      <w:rFonts w:hint="eastAsia"/>
                      <w:color w:val="auto"/>
                      <w:kern w:val="0"/>
                    </w:rPr>
                    <w:t>占地面积850m</w:t>
                  </w:r>
                  <w:r>
                    <w:rPr>
                      <w:rFonts w:hint="eastAsia"/>
                      <w:color w:val="auto"/>
                      <w:kern w:val="0"/>
                      <w:vertAlign w:val="superscript"/>
                    </w:rPr>
                    <w:t>2</w:t>
                  </w:r>
                  <w:r>
                    <w:rPr>
                      <w:rFonts w:hint="eastAsia"/>
                      <w:color w:val="auto"/>
                      <w:kern w:val="0"/>
                    </w:rPr>
                    <w:t>，设置4条PET瓶坯生产线、4条PE瓶盖和提手生产线，年产PET瓶坯2400吨和PE瓶盖和提手480吨。主要设备有注塑机、</w:t>
                  </w:r>
                  <w:bookmarkStart w:id="47" w:name="OLE_LINK29"/>
                  <w:r>
                    <w:rPr>
                      <w:rFonts w:hint="eastAsia"/>
                      <w:color w:val="auto"/>
                      <w:kern w:val="0"/>
                    </w:rPr>
                    <w:t>组盖机</w:t>
                  </w:r>
                  <w:bookmarkEnd w:id="47"/>
                  <w:r>
                    <w:rPr>
                      <w:rFonts w:hint="eastAsia"/>
                      <w:color w:val="auto"/>
                      <w:kern w:val="0"/>
                    </w:rPr>
                    <w:t>。</w:t>
                  </w:r>
                </w:p>
              </w:tc>
              <w:tc>
                <w:tcPr>
                  <w:tcW w:w="1214" w:type="pct"/>
                  <w:vMerge w:val="restart"/>
                  <w:vAlign w:val="center"/>
                </w:tcPr>
                <w:p w14:paraId="47682939">
                  <w:pPr>
                    <w:pStyle w:val="111"/>
                    <w:adjustRightInd w:val="0"/>
                    <w:snapToGrid w:val="0"/>
                    <w:spacing w:line="240" w:lineRule="auto"/>
                    <w:rPr>
                      <w:bCs/>
                      <w:color w:val="auto"/>
                    </w:rPr>
                  </w:pPr>
                  <w:bookmarkStart w:id="48" w:name="OLE_LINK35"/>
                  <w:r>
                    <w:rPr>
                      <w:rFonts w:hint="eastAsia"/>
                      <w:bCs/>
                      <w:color w:val="auto"/>
                      <w:u w:val="single"/>
                      <w:lang w:eastAsia="zh-CN"/>
                    </w:rPr>
                    <w:t>项目另外设置有</w:t>
                  </w:r>
                  <w:r>
                    <w:rPr>
                      <w:rFonts w:hint="eastAsia"/>
                      <w:bCs/>
                      <w:color w:val="auto"/>
                      <w:u w:val="single"/>
                      <w:lang w:val="en-US" w:eastAsia="zh-CN"/>
                    </w:rPr>
                    <w:t>4条</w:t>
                  </w:r>
                  <w:r>
                    <w:rPr>
                      <w:rFonts w:hint="eastAsia"/>
                      <w:bCs/>
                      <w:color w:val="auto"/>
                      <w:u w:val="single"/>
                      <w:lang w:eastAsia="zh-CN"/>
                    </w:rPr>
                    <w:t>备用</w:t>
                  </w:r>
                  <w:r>
                    <w:rPr>
                      <w:rFonts w:hint="eastAsia"/>
                      <w:bCs/>
                      <w:color w:val="auto"/>
                      <w:u w:val="single"/>
                      <w:lang w:val="en-US" w:eastAsia="zh-CN"/>
                    </w:rPr>
                    <w:t>PET瓶坯生产线，主要是方便不在同一条生产线上频繁更换模具。</w:t>
                  </w:r>
                  <w:r>
                    <w:rPr>
                      <w:rFonts w:hint="eastAsia"/>
                      <w:bCs/>
                      <w:color w:val="auto"/>
                    </w:rPr>
                    <w:t>小企业园区2＃厂房第一层进行运营生产</w:t>
                  </w:r>
                  <w:bookmarkEnd w:id="48"/>
                  <w:r>
                    <w:rPr>
                      <w:rFonts w:hint="eastAsia"/>
                      <w:bCs/>
                      <w:color w:val="auto"/>
                    </w:rPr>
                    <w:t>，总占地面积（包括车间内通道等）1353.75m</w:t>
                  </w:r>
                  <w:r>
                    <w:rPr>
                      <w:rFonts w:hint="eastAsia"/>
                      <w:bCs/>
                      <w:color w:val="auto"/>
                      <w:vertAlign w:val="superscript"/>
                    </w:rPr>
                    <w:t>2</w:t>
                  </w:r>
                  <w:r>
                    <w:rPr>
                      <w:rFonts w:hint="eastAsia"/>
                      <w:bCs/>
                      <w:color w:val="auto"/>
                    </w:rPr>
                    <w:t>，砖混结构、封闭式车间。</w:t>
                  </w:r>
                </w:p>
              </w:tc>
            </w:tr>
            <w:tr w14:paraId="1348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68" w:type="pct"/>
                  <w:vMerge w:val="restart"/>
                  <w:vAlign w:val="center"/>
                </w:tcPr>
                <w:p w14:paraId="7A98F41C">
                  <w:pPr>
                    <w:pStyle w:val="111"/>
                    <w:adjustRightInd w:val="0"/>
                    <w:snapToGrid w:val="0"/>
                    <w:spacing w:line="240" w:lineRule="auto"/>
                    <w:rPr>
                      <w:b/>
                      <w:color w:val="auto"/>
                    </w:rPr>
                  </w:pPr>
                  <w:r>
                    <w:rPr>
                      <w:rFonts w:hint="eastAsia"/>
                      <w:color w:val="auto"/>
                    </w:rPr>
                    <w:t>储运工程</w:t>
                  </w:r>
                </w:p>
              </w:tc>
              <w:tc>
                <w:tcPr>
                  <w:tcW w:w="763" w:type="pct"/>
                  <w:vAlign w:val="center"/>
                </w:tcPr>
                <w:p w14:paraId="0786B5BD">
                  <w:pPr>
                    <w:pStyle w:val="111"/>
                    <w:adjustRightInd w:val="0"/>
                    <w:snapToGrid w:val="0"/>
                    <w:spacing w:line="240" w:lineRule="auto"/>
                    <w:rPr>
                      <w:bCs/>
                      <w:color w:val="auto"/>
                    </w:rPr>
                  </w:pPr>
                  <w:r>
                    <w:rPr>
                      <w:rFonts w:hint="eastAsia"/>
                      <w:bCs/>
                      <w:color w:val="auto"/>
                    </w:rPr>
                    <w:t>原料区</w:t>
                  </w:r>
                </w:p>
              </w:tc>
              <w:tc>
                <w:tcPr>
                  <w:tcW w:w="2553" w:type="pct"/>
                  <w:vAlign w:val="center"/>
                </w:tcPr>
                <w:p w14:paraId="1EFF0EDC">
                  <w:pPr>
                    <w:pStyle w:val="111"/>
                    <w:adjustRightInd w:val="0"/>
                    <w:snapToGrid w:val="0"/>
                    <w:spacing w:line="240" w:lineRule="auto"/>
                    <w:rPr>
                      <w:bCs/>
                      <w:color w:val="auto"/>
                    </w:rPr>
                  </w:pPr>
                  <w:r>
                    <w:rPr>
                      <w:rFonts w:hint="eastAsia"/>
                      <w:bCs/>
                      <w:color w:val="auto"/>
                    </w:rPr>
                    <w:t>占地面积100</w:t>
                  </w:r>
                  <w:r>
                    <w:rPr>
                      <w:rFonts w:hint="eastAsia"/>
                      <w:color w:val="auto"/>
                      <w:kern w:val="0"/>
                    </w:rPr>
                    <w:t>m</w:t>
                  </w:r>
                  <w:r>
                    <w:rPr>
                      <w:rFonts w:hint="eastAsia"/>
                      <w:color w:val="auto"/>
                      <w:kern w:val="0"/>
                      <w:vertAlign w:val="superscript"/>
                    </w:rPr>
                    <w:t>2</w:t>
                  </w:r>
                  <w:r>
                    <w:rPr>
                      <w:rFonts w:hint="eastAsia"/>
                      <w:color w:val="auto"/>
                      <w:kern w:val="0"/>
                    </w:rPr>
                    <w:t>，主要存放PET和PE原料</w:t>
                  </w:r>
                  <w:r>
                    <w:rPr>
                      <w:rFonts w:hint="eastAsia"/>
                      <w:color w:val="auto"/>
                      <w:kern w:val="0"/>
                      <w:lang w:eastAsia="zh-CN"/>
                    </w:rPr>
                    <w:t>、色母粒</w:t>
                  </w:r>
                  <w:r>
                    <w:rPr>
                      <w:rFonts w:hint="eastAsia"/>
                      <w:color w:val="auto"/>
                      <w:kern w:val="0"/>
                    </w:rPr>
                    <w:t>。</w:t>
                  </w:r>
                </w:p>
              </w:tc>
              <w:tc>
                <w:tcPr>
                  <w:tcW w:w="1214" w:type="pct"/>
                  <w:vMerge w:val="continue"/>
                  <w:vAlign w:val="center"/>
                </w:tcPr>
                <w:p w14:paraId="331AB25E">
                  <w:pPr>
                    <w:pStyle w:val="111"/>
                    <w:adjustRightInd w:val="0"/>
                    <w:snapToGrid w:val="0"/>
                    <w:spacing w:line="240" w:lineRule="auto"/>
                    <w:rPr>
                      <w:bCs/>
                      <w:color w:val="auto"/>
                    </w:rPr>
                  </w:pPr>
                </w:p>
              </w:tc>
            </w:tr>
            <w:tr w14:paraId="3BB8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68" w:type="pct"/>
                  <w:vMerge w:val="continue"/>
                  <w:vAlign w:val="center"/>
                </w:tcPr>
                <w:p w14:paraId="3F72E8EA">
                  <w:pPr>
                    <w:pStyle w:val="111"/>
                    <w:adjustRightInd w:val="0"/>
                    <w:snapToGrid w:val="0"/>
                    <w:spacing w:line="240" w:lineRule="auto"/>
                    <w:rPr>
                      <w:color w:val="auto"/>
                    </w:rPr>
                  </w:pPr>
                </w:p>
              </w:tc>
              <w:tc>
                <w:tcPr>
                  <w:tcW w:w="763" w:type="pct"/>
                  <w:vAlign w:val="center"/>
                </w:tcPr>
                <w:p w14:paraId="67E7397B">
                  <w:pPr>
                    <w:pStyle w:val="111"/>
                    <w:adjustRightInd w:val="0"/>
                    <w:snapToGrid w:val="0"/>
                    <w:spacing w:line="240" w:lineRule="auto"/>
                    <w:rPr>
                      <w:bCs/>
                      <w:color w:val="auto"/>
                    </w:rPr>
                  </w:pPr>
                  <w:r>
                    <w:rPr>
                      <w:rFonts w:hint="eastAsia"/>
                      <w:bCs/>
                      <w:color w:val="auto"/>
                    </w:rPr>
                    <w:t>成品区</w:t>
                  </w:r>
                </w:p>
              </w:tc>
              <w:tc>
                <w:tcPr>
                  <w:tcW w:w="2553" w:type="pct"/>
                  <w:vAlign w:val="center"/>
                </w:tcPr>
                <w:p w14:paraId="2F598EEC">
                  <w:pPr>
                    <w:pStyle w:val="111"/>
                    <w:adjustRightInd w:val="0"/>
                    <w:snapToGrid w:val="0"/>
                    <w:spacing w:line="240" w:lineRule="auto"/>
                    <w:rPr>
                      <w:bCs/>
                      <w:color w:val="auto"/>
                    </w:rPr>
                  </w:pPr>
                  <w:r>
                    <w:rPr>
                      <w:rFonts w:hint="eastAsia"/>
                      <w:bCs/>
                      <w:color w:val="auto"/>
                    </w:rPr>
                    <w:t>占地面积150</w:t>
                  </w:r>
                  <w:r>
                    <w:rPr>
                      <w:rFonts w:hint="eastAsia"/>
                      <w:color w:val="auto"/>
                      <w:kern w:val="0"/>
                    </w:rPr>
                    <w:t>m</w:t>
                  </w:r>
                  <w:r>
                    <w:rPr>
                      <w:rFonts w:hint="eastAsia"/>
                      <w:color w:val="auto"/>
                      <w:kern w:val="0"/>
                      <w:vertAlign w:val="superscript"/>
                    </w:rPr>
                    <w:t>2</w:t>
                  </w:r>
                  <w:r>
                    <w:rPr>
                      <w:rFonts w:hint="eastAsia"/>
                      <w:color w:val="auto"/>
                      <w:kern w:val="0"/>
                    </w:rPr>
                    <w:t>，主要存放PET瓶坯、PE瓶盖和提手。</w:t>
                  </w:r>
                </w:p>
              </w:tc>
              <w:tc>
                <w:tcPr>
                  <w:tcW w:w="1214" w:type="pct"/>
                  <w:vMerge w:val="continue"/>
                  <w:vAlign w:val="center"/>
                </w:tcPr>
                <w:p w14:paraId="3547FFE6">
                  <w:pPr>
                    <w:pStyle w:val="111"/>
                    <w:adjustRightInd w:val="0"/>
                    <w:snapToGrid w:val="0"/>
                    <w:spacing w:line="240" w:lineRule="auto"/>
                    <w:rPr>
                      <w:bCs/>
                      <w:color w:val="auto"/>
                    </w:rPr>
                  </w:pPr>
                </w:p>
              </w:tc>
            </w:tr>
            <w:tr w14:paraId="5648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68" w:type="pct"/>
                  <w:vAlign w:val="center"/>
                </w:tcPr>
                <w:p w14:paraId="72A13DFD">
                  <w:pPr>
                    <w:pStyle w:val="111"/>
                    <w:adjustRightInd w:val="0"/>
                    <w:snapToGrid w:val="0"/>
                    <w:spacing w:line="240" w:lineRule="auto"/>
                    <w:rPr>
                      <w:b/>
                      <w:color w:val="auto"/>
                    </w:rPr>
                  </w:pPr>
                  <w:r>
                    <w:rPr>
                      <w:rFonts w:hint="eastAsia"/>
                      <w:color w:val="auto"/>
                    </w:rPr>
                    <w:t>辅助工程</w:t>
                  </w:r>
                </w:p>
              </w:tc>
              <w:tc>
                <w:tcPr>
                  <w:tcW w:w="763" w:type="pct"/>
                  <w:vAlign w:val="center"/>
                </w:tcPr>
                <w:p w14:paraId="2C632900">
                  <w:pPr>
                    <w:pStyle w:val="111"/>
                    <w:adjustRightInd w:val="0"/>
                    <w:snapToGrid w:val="0"/>
                    <w:spacing w:line="240" w:lineRule="auto"/>
                    <w:rPr>
                      <w:bCs/>
                      <w:color w:val="auto"/>
                    </w:rPr>
                  </w:pPr>
                  <w:r>
                    <w:rPr>
                      <w:rFonts w:hint="eastAsia"/>
                      <w:bCs/>
                      <w:color w:val="auto"/>
                    </w:rPr>
                    <w:t>办公区</w:t>
                  </w:r>
                </w:p>
              </w:tc>
              <w:tc>
                <w:tcPr>
                  <w:tcW w:w="2553" w:type="pct"/>
                  <w:vAlign w:val="center"/>
                </w:tcPr>
                <w:p w14:paraId="229B5388">
                  <w:pPr>
                    <w:pStyle w:val="111"/>
                    <w:adjustRightInd w:val="0"/>
                    <w:snapToGrid w:val="0"/>
                    <w:spacing w:line="240" w:lineRule="auto"/>
                    <w:rPr>
                      <w:bCs/>
                      <w:color w:val="auto"/>
                    </w:rPr>
                  </w:pPr>
                  <w:r>
                    <w:rPr>
                      <w:rFonts w:hint="eastAsia"/>
                      <w:bCs/>
                      <w:color w:val="auto"/>
                    </w:rPr>
                    <w:t>占地面积50</w:t>
                  </w:r>
                  <w:r>
                    <w:rPr>
                      <w:rFonts w:hint="eastAsia"/>
                      <w:color w:val="auto"/>
                      <w:kern w:val="0"/>
                    </w:rPr>
                    <w:t>m</w:t>
                  </w:r>
                  <w:r>
                    <w:rPr>
                      <w:rFonts w:hint="eastAsia"/>
                      <w:color w:val="auto"/>
                      <w:kern w:val="0"/>
                      <w:vertAlign w:val="superscript"/>
                    </w:rPr>
                    <w:t>2</w:t>
                  </w:r>
                  <w:r>
                    <w:rPr>
                      <w:rFonts w:hint="eastAsia"/>
                      <w:color w:val="auto"/>
                      <w:kern w:val="0"/>
                    </w:rPr>
                    <w:t>，主要用于员工办公。</w:t>
                  </w:r>
                </w:p>
              </w:tc>
              <w:tc>
                <w:tcPr>
                  <w:tcW w:w="1214" w:type="pct"/>
                  <w:vMerge w:val="continue"/>
                  <w:vAlign w:val="center"/>
                </w:tcPr>
                <w:p w14:paraId="400DDA76">
                  <w:pPr>
                    <w:pStyle w:val="111"/>
                    <w:adjustRightInd w:val="0"/>
                    <w:snapToGrid w:val="0"/>
                    <w:spacing w:line="240" w:lineRule="auto"/>
                    <w:rPr>
                      <w:bCs/>
                      <w:color w:val="auto"/>
                    </w:rPr>
                  </w:pPr>
                </w:p>
              </w:tc>
            </w:tr>
            <w:tr w14:paraId="2AE7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68" w:type="pct"/>
                  <w:vMerge w:val="restart"/>
                  <w:vAlign w:val="center"/>
                </w:tcPr>
                <w:p w14:paraId="3F308961">
                  <w:pPr>
                    <w:pStyle w:val="111"/>
                    <w:adjustRightInd w:val="0"/>
                    <w:snapToGrid w:val="0"/>
                    <w:spacing w:line="240" w:lineRule="auto"/>
                    <w:rPr>
                      <w:color w:val="auto"/>
                    </w:rPr>
                  </w:pPr>
                  <w:bookmarkStart w:id="49" w:name="OLE_LINK9" w:colFirst="2" w:colLast="2"/>
                  <w:r>
                    <w:rPr>
                      <w:color w:val="auto"/>
                    </w:rPr>
                    <w:t>公用</w:t>
                  </w:r>
                </w:p>
                <w:p w14:paraId="11FFD8C2">
                  <w:pPr>
                    <w:pStyle w:val="111"/>
                    <w:adjustRightInd w:val="0"/>
                    <w:snapToGrid w:val="0"/>
                    <w:spacing w:line="240" w:lineRule="auto"/>
                    <w:rPr>
                      <w:color w:val="auto"/>
                    </w:rPr>
                  </w:pPr>
                  <w:r>
                    <w:rPr>
                      <w:color w:val="auto"/>
                    </w:rPr>
                    <w:t>工程</w:t>
                  </w:r>
                </w:p>
              </w:tc>
              <w:tc>
                <w:tcPr>
                  <w:tcW w:w="763" w:type="pct"/>
                  <w:shd w:val="clear" w:color="auto" w:fill="auto"/>
                  <w:vAlign w:val="center"/>
                </w:tcPr>
                <w:p w14:paraId="66D95A31">
                  <w:pPr>
                    <w:pStyle w:val="111"/>
                    <w:adjustRightInd w:val="0"/>
                    <w:snapToGrid w:val="0"/>
                    <w:spacing w:line="240" w:lineRule="auto"/>
                    <w:rPr>
                      <w:color w:val="auto"/>
                    </w:rPr>
                  </w:pPr>
                  <w:r>
                    <w:rPr>
                      <w:color w:val="auto"/>
                    </w:rPr>
                    <w:t>供电</w:t>
                  </w:r>
                </w:p>
              </w:tc>
              <w:tc>
                <w:tcPr>
                  <w:tcW w:w="3767" w:type="pct"/>
                  <w:gridSpan w:val="2"/>
                  <w:shd w:val="clear" w:color="auto" w:fill="auto"/>
                  <w:vAlign w:val="center"/>
                </w:tcPr>
                <w:p w14:paraId="04871044">
                  <w:pPr>
                    <w:adjustRightInd w:val="0"/>
                    <w:snapToGrid w:val="0"/>
                    <w:spacing w:line="240" w:lineRule="auto"/>
                    <w:jc w:val="left"/>
                    <w:rPr>
                      <w:color w:val="auto"/>
                      <w:szCs w:val="21"/>
                    </w:rPr>
                  </w:pPr>
                  <w:r>
                    <w:rPr>
                      <w:color w:val="auto"/>
                      <w:sz w:val="21"/>
                      <w:szCs w:val="21"/>
                    </w:rPr>
                    <w:t>引自园区电网。</w:t>
                  </w:r>
                </w:p>
              </w:tc>
            </w:tr>
            <w:tr w14:paraId="5671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68" w:type="pct"/>
                  <w:vMerge w:val="continue"/>
                  <w:vAlign w:val="center"/>
                </w:tcPr>
                <w:p w14:paraId="7C94B4C6">
                  <w:pPr>
                    <w:pStyle w:val="111"/>
                    <w:adjustRightInd w:val="0"/>
                    <w:snapToGrid w:val="0"/>
                    <w:spacing w:line="240" w:lineRule="auto"/>
                    <w:rPr>
                      <w:color w:val="auto"/>
                    </w:rPr>
                  </w:pPr>
                </w:p>
              </w:tc>
              <w:tc>
                <w:tcPr>
                  <w:tcW w:w="763" w:type="pct"/>
                  <w:shd w:val="clear" w:color="auto" w:fill="auto"/>
                  <w:vAlign w:val="center"/>
                </w:tcPr>
                <w:p w14:paraId="2CF9C309">
                  <w:pPr>
                    <w:pStyle w:val="111"/>
                    <w:adjustRightInd w:val="0"/>
                    <w:snapToGrid w:val="0"/>
                    <w:spacing w:line="240" w:lineRule="auto"/>
                    <w:rPr>
                      <w:color w:val="auto"/>
                    </w:rPr>
                  </w:pPr>
                  <w:r>
                    <w:rPr>
                      <w:color w:val="auto"/>
                    </w:rPr>
                    <w:t>供水</w:t>
                  </w:r>
                </w:p>
              </w:tc>
              <w:tc>
                <w:tcPr>
                  <w:tcW w:w="3767" w:type="pct"/>
                  <w:gridSpan w:val="2"/>
                  <w:shd w:val="clear" w:color="auto" w:fill="auto"/>
                  <w:vAlign w:val="center"/>
                </w:tcPr>
                <w:p w14:paraId="15C38FAF">
                  <w:pPr>
                    <w:pStyle w:val="111"/>
                    <w:adjustRightInd w:val="0"/>
                    <w:snapToGrid w:val="0"/>
                    <w:spacing w:line="240" w:lineRule="auto"/>
                    <w:jc w:val="left"/>
                    <w:rPr>
                      <w:color w:val="auto"/>
                      <w:szCs w:val="21"/>
                    </w:rPr>
                  </w:pPr>
                  <w:r>
                    <w:rPr>
                      <w:color w:val="auto"/>
                      <w:szCs w:val="21"/>
                    </w:rPr>
                    <w:t>引自园区供水管网。</w:t>
                  </w:r>
                </w:p>
              </w:tc>
            </w:tr>
            <w:bookmarkEnd w:id="49"/>
            <w:tr w14:paraId="734D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468" w:type="pct"/>
                  <w:vMerge w:val="continue"/>
                  <w:vAlign w:val="center"/>
                </w:tcPr>
                <w:p w14:paraId="021AE68A">
                  <w:pPr>
                    <w:pStyle w:val="111"/>
                    <w:adjustRightInd w:val="0"/>
                    <w:snapToGrid w:val="0"/>
                    <w:spacing w:line="240" w:lineRule="auto"/>
                    <w:rPr>
                      <w:color w:val="auto"/>
                    </w:rPr>
                  </w:pPr>
                </w:p>
              </w:tc>
              <w:tc>
                <w:tcPr>
                  <w:tcW w:w="763" w:type="pct"/>
                  <w:shd w:val="clear" w:color="auto" w:fill="auto"/>
                  <w:vAlign w:val="center"/>
                </w:tcPr>
                <w:p w14:paraId="7D4A1249">
                  <w:pPr>
                    <w:pStyle w:val="111"/>
                    <w:adjustRightInd w:val="0"/>
                    <w:snapToGrid w:val="0"/>
                    <w:spacing w:line="240" w:lineRule="auto"/>
                    <w:rPr>
                      <w:color w:val="auto"/>
                    </w:rPr>
                  </w:pPr>
                  <w:r>
                    <w:rPr>
                      <w:color w:val="auto"/>
                    </w:rPr>
                    <w:t>排水</w:t>
                  </w:r>
                </w:p>
              </w:tc>
              <w:tc>
                <w:tcPr>
                  <w:tcW w:w="3767" w:type="pct"/>
                  <w:gridSpan w:val="2"/>
                  <w:shd w:val="clear" w:color="auto" w:fill="auto"/>
                  <w:vAlign w:val="center"/>
                </w:tcPr>
                <w:p w14:paraId="168106D6">
                  <w:pPr>
                    <w:adjustRightInd w:val="0"/>
                    <w:snapToGrid w:val="0"/>
                    <w:spacing w:line="240" w:lineRule="auto"/>
                    <w:jc w:val="left"/>
                    <w:rPr>
                      <w:color w:val="auto"/>
                    </w:rPr>
                  </w:pPr>
                  <w:r>
                    <w:rPr>
                      <w:rFonts w:hint="eastAsia"/>
                      <w:color w:val="auto"/>
                      <w:sz w:val="21"/>
                      <w:szCs w:val="21"/>
                    </w:rPr>
                    <w:t>项目冷却水循环使用，不外排；生活污水经化粪池处理后排入园区污水管网，最后输送至大榄坪污水处理厂进一步处理。</w:t>
                  </w:r>
                </w:p>
              </w:tc>
            </w:tr>
            <w:tr w14:paraId="3D05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468" w:type="pct"/>
                  <w:vMerge w:val="restart"/>
                  <w:vAlign w:val="center"/>
                </w:tcPr>
                <w:p w14:paraId="7D5A305A">
                  <w:pPr>
                    <w:pStyle w:val="111"/>
                    <w:adjustRightInd w:val="0"/>
                    <w:snapToGrid w:val="0"/>
                    <w:spacing w:line="240" w:lineRule="auto"/>
                    <w:rPr>
                      <w:color w:val="auto"/>
                    </w:rPr>
                  </w:pPr>
                  <w:r>
                    <w:rPr>
                      <w:color w:val="auto"/>
                    </w:rPr>
                    <w:t>环保</w:t>
                  </w:r>
                </w:p>
                <w:p w14:paraId="1C86FF36">
                  <w:pPr>
                    <w:pStyle w:val="111"/>
                    <w:adjustRightInd w:val="0"/>
                    <w:snapToGrid w:val="0"/>
                    <w:spacing w:line="240" w:lineRule="auto"/>
                    <w:rPr>
                      <w:color w:val="auto"/>
                    </w:rPr>
                  </w:pPr>
                  <w:r>
                    <w:rPr>
                      <w:color w:val="auto"/>
                    </w:rPr>
                    <w:t>工程</w:t>
                  </w:r>
                </w:p>
              </w:tc>
              <w:tc>
                <w:tcPr>
                  <w:tcW w:w="763" w:type="pct"/>
                  <w:vAlign w:val="center"/>
                </w:tcPr>
                <w:p w14:paraId="2830DA00">
                  <w:pPr>
                    <w:pStyle w:val="111"/>
                    <w:adjustRightInd w:val="0"/>
                    <w:snapToGrid w:val="0"/>
                    <w:spacing w:line="240" w:lineRule="auto"/>
                    <w:rPr>
                      <w:color w:val="auto"/>
                      <w:highlight w:val="yellow"/>
                    </w:rPr>
                  </w:pPr>
                  <w:r>
                    <w:rPr>
                      <w:color w:val="auto"/>
                    </w:rPr>
                    <w:t>废气治理</w:t>
                  </w:r>
                </w:p>
              </w:tc>
              <w:tc>
                <w:tcPr>
                  <w:tcW w:w="3767" w:type="pct"/>
                  <w:gridSpan w:val="2"/>
                  <w:vAlign w:val="center"/>
                </w:tcPr>
                <w:p w14:paraId="0F5AD69B">
                  <w:pPr>
                    <w:pStyle w:val="111"/>
                    <w:adjustRightInd w:val="0"/>
                    <w:snapToGrid w:val="0"/>
                    <w:spacing w:line="240" w:lineRule="auto"/>
                    <w:jc w:val="left"/>
                    <w:rPr>
                      <w:color w:val="auto"/>
                    </w:rPr>
                  </w:pPr>
                  <w:r>
                    <w:rPr>
                      <w:color w:val="auto"/>
                      <w:szCs w:val="21"/>
                    </w:rPr>
                    <w:t>①</w:t>
                  </w:r>
                  <w:r>
                    <w:rPr>
                      <w:rFonts w:hint="eastAsia"/>
                      <w:color w:val="auto"/>
                      <w:szCs w:val="21"/>
                    </w:rPr>
                    <w:t>注塑有机废气经</w:t>
                  </w:r>
                  <w:r>
                    <w:rPr>
                      <w:rFonts w:hint="eastAsia"/>
                      <w:color w:val="auto"/>
                    </w:rPr>
                    <w:t>集气罩收集后，通过密闭管道进入二级活性炭吸附装置处理，再由</w:t>
                  </w:r>
                  <w:r>
                    <w:rPr>
                      <w:rFonts w:hint="eastAsia"/>
                      <w:color w:val="auto"/>
                      <w:lang w:val="en-US" w:eastAsia="zh-CN"/>
                    </w:rPr>
                    <w:t>20m</w:t>
                  </w:r>
                  <w:r>
                    <w:rPr>
                      <w:rFonts w:hint="eastAsia"/>
                      <w:color w:val="auto"/>
                    </w:rPr>
                    <w:t>高排气筒排放。</w:t>
                  </w:r>
                </w:p>
                <w:p w14:paraId="2656141E">
                  <w:pPr>
                    <w:pStyle w:val="111"/>
                    <w:adjustRightInd w:val="0"/>
                    <w:snapToGrid w:val="0"/>
                    <w:spacing w:line="240" w:lineRule="auto"/>
                    <w:jc w:val="left"/>
                    <w:rPr>
                      <w:rFonts w:hint="eastAsia"/>
                      <w:color w:val="auto"/>
                      <w:szCs w:val="21"/>
                    </w:rPr>
                  </w:pPr>
                  <w:r>
                    <w:rPr>
                      <w:color w:val="auto"/>
                      <w:szCs w:val="21"/>
                    </w:rPr>
                    <w:t>②</w:t>
                  </w:r>
                  <w:r>
                    <w:rPr>
                      <w:rFonts w:hint="eastAsia"/>
                      <w:color w:val="auto"/>
                      <w:szCs w:val="21"/>
                    </w:rPr>
                    <w:t>未能收集的有机废气作无组织排放。</w:t>
                  </w:r>
                </w:p>
                <w:p w14:paraId="4E86FF7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rPr>
                    <w:t>③</w:t>
                  </w:r>
                  <w:r>
                    <w:rPr>
                      <w:rFonts w:hint="default" w:ascii="Times New Roman" w:hAnsi="Times New Roman" w:cs="Times New Roman"/>
                      <w:color w:val="auto"/>
                      <w:sz w:val="21"/>
                      <w:szCs w:val="21"/>
                      <w:u w:val="single"/>
                    </w:rPr>
                    <w:t>干燥P</w:t>
                  </w:r>
                  <w:r>
                    <w:rPr>
                      <w:rFonts w:hint="default" w:ascii="Times New Roman" w:hAnsi="Times New Roman" w:cs="Times New Roman"/>
                      <w:color w:val="auto"/>
                      <w:sz w:val="21"/>
                      <w:szCs w:val="21"/>
                      <w:u w:val="single"/>
                      <w:lang w:val="en-US" w:eastAsia="zh-CN"/>
                    </w:rPr>
                    <w:t>E</w:t>
                  </w:r>
                  <w:r>
                    <w:rPr>
                      <w:rFonts w:hint="default" w:ascii="Times New Roman" w:hAnsi="Times New Roman" w:cs="Times New Roman"/>
                      <w:color w:val="auto"/>
                      <w:sz w:val="21"/>
                      <w:szCs w:val="21"/>
                      <w:u w:val="single"/>
                    </w:rPr>
                    <w:t>T原料为片状</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PE和和色母粒粒径为0.5~0.8cm大小的颗粒物</w:t>
                  </w:r>
                  <w:r>
                    <w:rPr>
                      <w:rFonts w:hint="default" w:ascii="Times New Roman" w:hAnsi="Times New Roman" w:cs="Times New Roman"/>
                      <w:color w:val="auto"/>
                      <w:sz w:val="21"/>
                      <w:szCs w:val="21"/>
                      <w:u w:val="single"/>
                    </w:rPr>
                    <w:t>，</w:t>
                  </w:r>
                  <w:r>
                    <w:rPr>
                      <w:rFonts w:hint="default" w:ascii="Times New Roman" w:hAnsi="Times New Roman" w:cs="Times New Roman"/>
                      <w:color w:val="auto"/>
                      <w:sz w:val="21"/>
                      <w:szCs w:val="21"/>
                      <w:u w:val="single"/>
                      <w:lang w:eastAsia="zh-CN"/>
                    </w:rPr>
                    <w:t>且采用负压管吸入；干燥桶为封闭式，且干燥过程无扰动现象，因此，原料投入干燥筒及原料干燥过程颗粒物产生量极小</w:t>
                  </w:r>
                  <w:r>
                    <w:rPr>
                      <w:rFonts w:hint="eastAsia" w:ascii="Times New Roman" w:hAnsi="Times New Roman" w:cs="Times New Roman"/>
                      <w:color w:val="auto"/>
                      <w:sz w:val="21"/>
                      <w:szCs w:val="21"/>
                      <w:u w:val="single"/>
                      <w:lang w:eastAsia="zh-CN"/>
                    </w:rPr>
                    <w:t>，投料过程中规范操作，定期检查设备，减少颗粒物非正常排放情况产生。</w:t>
                  </w:r>
                </w:p>
                <w:p w14:paraId="1CCE34A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rPr>
                  </w:pPr>
                  <w:r>
                    <w:rPr>
                      <w:rFonts w:hint="eastAsia" w:ascii="宋体" w:hAnsi="宋体" w:eastAsia="宋体" w:cs="宋体"/>
                      <w:color w:val="auto"/>
                      <w:sz w:val="21"/>
                      <w:szCs w:val="21"/>
                      <w:u w:val="single"/>
                      <w:lang w:eastAsia="zh-CN"/>
                    </w:rPr>
                    <w:t>④干燥后</w:t>
                  </w:r>
                  <w:r>
                    <w:rPr>
                      <w:rFonts w:hint="default" w:ascii="Times New Roman" w:hAnsi="Times New Roman" w:eastAsia="宋体" w:cs="Times New Roman"/>
                      <w:color w:val="auto"/>
                      <w:sz w:val="21"/>
                      <w:szCs w:val="21"/>
                      <w:u w:val="single"/>
                      <w:lang w:eastAsia="zh-CN"/>
                    </w:rPr>
                    <w:t>的</w:t>
                  </w:r>
                  <w:r>
                    <w:rPr>
                      <w:rFonts w:hint="default" w:ascii="Times New Roman" w:hAnsi="Times New Roman" w:eastAsia="宋体" w:cs="Times New Roman"/>
                      <w:color w:val="auto"/>
                      <w:sz w:val="21"/>
                      <w:szCs w:val="21"/>
                      <w:u w:val="single"/>
                      <w:lang w:val="en-US" w:eastAsia="zh-CN"/>
                    </w:rPr>
                    <w:t>PET</w:t>
                  </w:r>
                  <w:r>
                    <w:rPr>
                      <w:rFonts w:hint="default" w:ascii="Times New Roman" w:hAnsi="Times New Roman" w:eastAsia="宋体" w:cs="Times New Roman"/>
                      <w:color w:val="auto"/>
                      <w:sz w:val="21"/>
                      <w:szCs w:val="21"/>
                      <w:u w:val="single"/>
                      <w:lang w:eastAsia="zh-CN"/>
                    </w:rPr>
                    <w:t>原料</w:t>
                  </w:r>
                  <w:r>
                    <w:rPr>
                      <w:rFonts w:hint="eastAsia" w:ascii="宋体" w:hAnsi="宋体" w:eastAsia="宋体" w:cs="宋体"/>
                      <w:color w:val="auto"/>
                      <w:sz w:val="21"/>
                      <w:szCs w:val="21"/>
                      <w:u w:val="single"/>
                      <w:lang w:eastAsia="zh-CN"/>
                    </w:rPr>
                    <w:t>从干燥筒中通过软管吸入</w:t>
                  </w:r>
                  <w:r>
                    <w:rPr>
                      <w:rFonts w:hint="eastAsia" w:ascii="宋体" w:hAnsi="宋体" w:cs="宋体"/>
                      <w:color w:val="auto"/>
                      <w:sz w:val="21"/>
                      <w:szCs w:val="21"/>
                      <w:u w:val="single"/>
                      <w:lang w:eastAsia="zh-CN"/>
                    </w:rPr>
                    <w:t>瓶坯</w:t>
                  </w:r>
                  <w:r>
                    <w:rPr>
                      <w:rFonts w:hint="eastAsia" w:ascii="宋体" w:hAnsi="宋体" w:eastAsia="宋体" w:cs="宋体"/>
                      <w:color w:val="auto"/>
                      <w:sz w:val="21"/>
                      <w:szCs w:val="21"/>
                      <w:u w:val="single"/>
                      <w:lang w:eastAsia="zh-CN"/>
                    </w:rPr>
                    <w:t>注塑机进行熔融，</w:t>
                  </w:r>
                  <w:r>
                    <w:rPr>
                      <w:rFonts w:hint="default" w:ascii="Times New Roman" w:hAnsi="Times New Roman" w:eastAsia="宋体" w:cs="Times New Roman"/>
                      <w:color w:val="auto"/>
                      <w:sz w:val="21"/>
                      <w:szCs w:val="21"/>
                      <w:u w:val="single"/>
                      <w:lang w:val="en-US" w:eastAsia="zh-CN"/>
                    </w:rPr>
                    <w:t>PE</w:t>
                  </w:r>
                  <w:r>
                    <w:rPr>
                      <w:rFonts w:hint="eastAsia" w:ascii="宋体" w:hAnsi="宋体" w:eastAsia="宋体" w:cs="宋体"/>
                      <w:color w:val="auto"/>
                      <w:sz w:val="21"/>
                      <w:szCs w:val="21"/>
                      <w:u w:val="single"/>
                      <w:lang w:val="en-US" w:eastAsia="zh-CN"/>
                    </w:rPr>
                    <w:t>和母粒</w:t>
                  </w:r>
                  <w:r>
                    <w:rPr>
                      <w:rFonts w:hint="eastAsia" w:ascii="宋体" w:hAnsi="宋体" w:eastAsia="宋体" w:cs="宋体"/>
                      <w:color w:val="auto"/>
                      <w:sz w:val="21"/>
                      <w:szCs w:val="21"/>
                      <w:u w:val="single"/>
                      <w:lang w:eastAsia="zh-CN"/>
                    </w:rPr>
                    <w:t>通过软管吸入</w:t>
                  </w:r>
                  <w:r>
                    <w:rPr>
                      <w:rFonts w:hint="eastAsia" w:ascii="宋体" w:hAnsi="宋体" w:cs="宋体"/>
                      <w:color w:val="auto"/>
                      <w:sz w:val="21"/>
                      <w:szCs w:val="21"/>
                      <w:u w:val="single"/>
                      <w:lang w:eastAsia="zh-CN"/>
                    </w:rPr>
                    <w:t>盖提</w:t>
                  </w:r>
                  <w:r>
                    <w:rPr>
                      <w:rFonts w:hint="eastAsia" w:ascii="宋体" w:hAnsi="宋体" w:eastAsia="宋体" w:cs="宋体"/>
                      <w:color w:val="auto"/>
                      <w:sz w:val="21"/>
                      <w:szCs w:val="21"/>
                      <w:u w:val="single"/>
                      <w:lang w:eastAsia="zh-CN"/>
                    </w:rPr>
                    <w:t>注塑机进行熔融，原料运输过程为封闭式，本项目对运输粉尘不做定量分析</w:t>
                  </w:r>
                  <w:r>
                    <w:rPr>
                      <w:rFonts w:hint="eastAsia" w:cs="Times New Roman"/>
                      <w:color w:val="auto"/>
                      <w:sz w:val="21"/>
                      <w:szCs w:val="21"/>
                      <w:u w:val="single"/>
                      <w:lang w:eastAsia="zh-CN"/>
                    </w:rPr>
                    <w:t>。</w:t>
                  </w:r>
                </w:p>
              </w:tc>
            </w:tr>
            <w:tr w14:paraId="44FB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8" w:type="pct"/>
                  <w:vMerge w:val="continue"/>
                  <w:vAlign w:val="center"/>
                </w:tcPr>
                <w:p w14:paraId="5815CF40">
                  <w:pPr>
                    <w:pStyle w:val="111"/>
                    <w:adjustRightInd w:val="0"/>
                    <w:snapToGrid w:val="0"/>
                    <w:spacing w:line="240" w:lineRule="auto"/>
                    <w:rPr>
                      <w:color w:val="auto"/>
                    </w:rPr>
                  </w:pPr>
                </w:p>
              </w:tc>
              <w:tc>
                <w:tcPr>
                  <w:tcW w:w="763" w:type="pct"/>
                  <w:vAlign w:val="center"/>
                </w:tcPr>
                <w:p w14:paraId="4CF85D53">
                  <w:pPr>
                    <w:pStyle w:val="111"/>
                    <w:adjustRightInd w:val="0"/>
                    <w:snapToGrid w:val="0"/>
                    <w:spacing w:line="240" w:lineRule="auto"/>
                    <w:rPr>
                      <w:color w:val="auto"/>
                    </w:rPr>
                  </w:pPr>
                  <w:r>
                    <w:rPr>
                      <w:color w:val="auto"/>
                    </w:rPr>
                    <w:t>废水处理</w:t>
                  </w:r>
                </w:p>
              </w:tc>
              <w:tc>
                <w:tcPr>
                  <w:tcW w:w="3767" w:type="pct"/>
                  <w:gridSpan w:val="2"/>
                  <w:vAlign w:val="center"/>
                </w:tcPr>
                <w:p w14:paraId="18836B0C">
                  <w:pPr>
                    <w:pStyle w:val="111"/>
                    <w:adjustRightInd w:val="0"/>
                    <w:snapToGrid w:val="0"/>
                    <w:spacing w:line="240" w:lineRule="auto"/>
                    <w:rPr>
                      <w:color w:val="auto"/>
                      <w:szCs w:val="21"/>
                    </w:rPr>
                  </w:pPr>
                  <w:r>
                    <w:rPr>
                      <w:rFonts w:hint="eastAsia"/>
                      <w:color w:val="auto"/>
                      <w:szCs w:val="21"/>
                    </w:rPr>
                    <w:t>化粪池（1个，10</w:t>
                  </w:r>
                  <w:r>
                    <w:rPr>
                      <w:color w:val="auto"/>
                      <w:szCs w:val="21"/>
                    </w:rPr>
                    <w:t xml:space="preserve"> m</w:t>
                  </w:r>
                  <w:r>
                    <w:rPr>
                      <w:rFonts w:hint="eastAsia"/>
                      <w:color w:val="auto"/>
                      <w:szCs w:val="21"/>
                      <w:vertAlign w:val="superscript"/>
                    </w:rPr>
                    <w:t>3</w:t>
                  </w:r>
                  <w:r>
                    <w:rPr>
                      <w:rFonts w:hint="eastAsia"/>
                      <w:color w:val="auto"/>
                      <w:szCs w:val="21"/>
                      <w:vertAlign w:val="baseline"/>
                      <w:lang w:eastAsia="zh-CN"/>
                    </w:rPr>
                    <w:t>，</w:t>
                  </w:r>
                  <w:r>
                    <w:rPr>
                      <w:rFonts w:hint="eastAsia"/>
                      <w:color w:val="auto"/>
                      <w:szCs w:val="21"/>
                    </w:rPr>
                    <w:t>依托园区）</w:t>
                  </w:r>
                </w:p>
              </w:tc>
            </w:tr>
            <w:tr w14:paraId="4B35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68" w:type="pct"/>
                  <w:vMerge w:val="continue"/>
                  <w:vAlign w:val="center"/>
                </w:tcPr>
                <w:p w14:paraId="75978273">
                  <w:pPr>
                    <w:pStyle w:val="111"/>
                    <w:adjustRightInd w:val="0"/>
                    <w:snapToGrid w:val="0"/>
                    <w:spacing w:line="240" w:lineRule="auto"/>
                    <w:rPr>
                      <w:color w:val="auto"/>
                    </w:rPr>
                  </w:pPr>
                </w:p>
              </w:tc>
              <w:tc>
                <w:tcPr>
                  <w:tcW w:w="763" w:type="pct"/>
                  <w:vAlign w:val="center"/>
                </w:tcPr>
                <w:p w14:paraId="20B3D152">
                  <w:pPr>
                    <w:pStyle w:val="111"/>
                    <w:adjustRightInd w:val="0"/>
                    <w:snapToGrid w:val="0"/>
                    <w:spacing w:line="240" w:lineRule="auto"/>
                    <w:rPr>
                      <w:color w:val="auto"/>
                    </w:rPr>
                  </w:pPr>
                  <w:r>
                    <w:rPr>
                      <w:color w:val="auto"/>
                    </w:rPr>
                    <w:t>噪声治理</w:t>
                  </w:r>
                </w:p>
              </w:tc>
              <w:tc>
                <w:tcPr>
                  <w:tcW w:w="3767" w:type="pct"/>
                  <w:gridSpan w:val="2"/>
                  <w:vAlign w:val="center"/>
                </w:tcPr>
                <w:p w14:paraId="51F6B33E">
                  <w:pPr>
                    <w:pStyle w:val="111"/>
                    <w:adjustRightInd w:val="0"/>
                    <w:snapToGrid w:val="0"/>
                    <w:spacing w:line="240" w:lineRule="auto"/>
                    <w:rPr>
                      <w:color w:val="auto"/>
                      <w:szCs w:val="21"/>
                    </w:rPr>
                  </w:pPr>
                  <w:r>
                    <w:rPr>
                      <w:color w:val="auto"/>
                    </w:rPr>
                    <w:t>选用低噪声设备</w:t>
                  </w:r>
                  <w:r>
                    <w:rPr>
                      <w:rFonts w:hint="eastAsia"/>
                      <w:color w:val="auto"/>
                    </w:rPr>
                    <w:t>、</w:t>
                  </w:r>
                  <w:r>
                    <w:rPr>
                      <w:rFonts w:hint="eastAsia"/>
                      <w:color w:val="auto"/>
                      <w:lang w:val="zh-CN"/>
                    </w:rPr>
                    <w:t>减振防噪、隔声处理等。</w:t>
                  </w:r>
                </w:p>
              </w:tc>
            </w:tr>
            <w:tr w14:paraId="7A15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68" w:type="pct"/>
                  <w:vMerge w:val="continue"/>
                  <w:vAlign w:val="center"/>
                </w:tcPr>
                <w:p w14:paraId="28B7814F">
                  <w:pPr>
                    <w:pStyle w:val="111"/>
                    <w:adjustRightInd w:val="0"/>
                    <w:snapToGrid w:val="0"/>
                    <w:spacing w:line="240" w:lineRule="auto"/>
                    <w:rPr>
                      <w:color w:val="auto"/>
                    </w:rPr>
                  </w:pPr>
                </w:p>
              </w:tc>
              <w:tc>
                <w:tcPr>
                  <w:tcW w:w="763" w:type="pct"/>
                  <w:vAlign w:val="center"/>
                </w:tcPr>
                <w:p w14:paraId="77A7B896">
                  <w:pPr>
                    <w:pStyle w:val="111"/>
                    <w:adjustRightInd w:val="0"/>
                    <w:snapToGrid w:val="0"/>
                    <w:spacing w:line="240" w:lineRule="auto"/>
                    <w:rPr>
                      <w:color w:val="auto"/>
                    </w:rPr>
                  </w:pPr>
                  <w:r>
                    <w:rPr>
                      <w:color w:val="auto"/>
                    </w:rPr>
                    <w:t>固废处理</w:t>
                  </w:r>
                </w:p>
              </w:tc>
              <w:tc>
                <w:tcPr>
                  <w:tcW w:w="3767" w:type="pct"/>
                  <w:gridSpan w:val="2"/>
                  <w:vAlign w:val="center"/>
                </w:tcPr>
                <w:p w14:paraId="243EBE71">
                  <w:pPr>
                    <w:pStyle w:val="111"/>
                    <w:adjustRightInd w:val="0"/>
                    <w:snapToGrid w:val="0"/>
                    <w:spacing w:line="240" w:lineRule="auto"/>
                    <w:jc w:val="left"/>
                    <w:rPr>
                      <w:color w:val="auto"/>
                    </w:rPr>
                  </w:pPr>
                  <w:r>
                    <w:rPr>
                      <w:rFonts w:hint="eastAsia"/>
                      <w:color w:val="auto"/>
                    </w:rPr>
                    <w:t>生活垃圾：经垃圾桶收集后，由环卫部门外运集中处理。</w:t>
                  </w:r>
                </w:p>
                <w:p w14:paraId="2341F59C">
                  <w:pPr>
                    <w:pStyle w:val="111"/>
                    <w:adjustRightInd w:val="0"/>
                    <w:snapToGrid w:val="0"/>
                    <w:spacing w:line="240" w:lineRule="auto"/>
                    <w:jc w:val="left"/>
                    <w:rPr>
                      <w:color w:val="auto"/>
                    </w:rPr>
                  </w:pPr>
                  <w:r>
                    <w:rPr>
                      <w:color w:val="auto"/>
                    </w:rPr>
                    <w:t>一般固废：</w:t>
                  </w:r>
                  <w:r>
                    <w:rPr>
                      <w:rFonts w:hint="eastAsia"/>
                      <w:color w:val="auto"/>
                    </w:rPr>
                    <w:t>设置1处1</w:t>
                  </w:r>
                  <w:r>
                    <w:rPr>
                      <w:color w:val="auto"/>
                    </w:rPr>
                    <w:t>0m</w:t>
                  </w:r>
                  <w:r>
                    <w:rPr>
                      <w:color w:val="auto"/>
                      <w:vertAlign w:val="superscript"/>
                    </w:rPr>
                    <w:t>2</w:t>
                  </w:r>
                  <w:r>
                    <w:rPr>
                      <w:rFonts w:hint="eastAsia"/>
                      <w:color w:val="auto"/>
                    </w:rPr>
                    <w:t>的一般固废暂存间，收集暂存产生的一般固体废物。</w:t>
                  </w:r>
                </w:p>
                <w:p w14:paraId="01277AAC">
                  <w:pPr>
                    <w:pStyle w:val="111"/>
                    <w:adjustRightInd w:val="0"/>
                    <w:snapToGrid w:val="0"/>
                    <w:spacing w:line="240" w:lineRule="auto"/>
                    <w:jc w:val="left"/>
                    <w:rPr>
                      <w:color w:val="auto"/>
                    </w:rPr>
                  </w:pPr>
                  <w:r>
                    <w:rPr>
                      <w:rFonts w:hint="eastAsia"/>
                      <w:color w:val="auto"/>
                    </w:rPr>
                    <w:t>危险废物：设置1处</w:t>
                  </w:r>
                  <w:r>
                    <w:rPr>
                      <w:rFonts w:hint="eastAsia"/>
                      <w:color w:val="auto"/>
                      <w:lang w:val="en-US" w:eastAsia="zh-CN"/>
                    </w:rPr>
                    <w:t>15</w:t>
                  </w:r>
                  <w:r>
                    <w:rPr>
                      <w:color w:val="auto"/>
                    </w:rPr>
                    <w:t>m</w:t>
                  </w:r>
                  <w:r>
                    <w:rPr>
                      <w:rFonts w:hint="eastAsia"/>
                      <w:color w:val="auto"/>
                      <w:vertAlign w:val="superscript"/>
                      <w:lang w:val="en-US" w:eastAsia="zh-CN"/>
                    </w:rPr>
                    <w:t>3</w:t>
                  </w:r>
                  <w:r>
                    <w:rPr>
                      <w:rFonts w:hint="eastAsia"/>
                      <w:color w:val="auto"/>
                    </w:rPr>
                    <w:t>的</w:t>
                  </w:r>
                  <w:r>
                    <w:rPr>
                      <w:rFonts w:hint="eastAsia"/>
                      <w:color w:val="auto"/>
                      <w:lang w:eastAsia="zh-CN"/>
                    </w:rPr>
                    <w:t>危废暂存间</w:t>
                  </w:r>
                  <w:r>
                    <w:rPr>
                      <w:rFonts w:hint="eastAsia"/>
                      <w:color w:val="auto"/>
                    </w:rPr>
                    <w:t>，收集暂存产生的废活性炭、废机油、机油桶等。</w:t>
                  </w:r>
                </w:p>
              </w:tc>
            </w:tr>
          </w:tbl>
          <w:p w14:paraId="09D46637">
            <w:pPr>
              <w:spacing w:before="120" w:beforeLines="50"/>
              <w:ind w:firstLine="482" w:firstLineChars="200"/>
              <w:rPr>
                <w:b/>
                <w:color w:val="auto"/>
              </w:rPr>
            </w:pPr>
            <w:r>
              <w:rPr>
                <w:b/>
                <w:color w:val="auto"/>
              </w:rPr>
              <w:t>2、产品方案及规模</w:t>
            </w:r>
          </w:p>
          <w:p w14:paraId="7603DB08">
            <w:pPr>
              <w:ind w:firstLine="480" w:firstLineChars="200"/>
              <w:rPr>
                <w:color w:val="auto"/>
              </w:rPr>
            </w:pPr>
            <w:r>
              <w:rPr>
                <w:color w:val="auto"/>
              </w:rPr>
              <w:t>本项目产品方案及生产规模</w:t>
            </w:r>
            <w:r>
              <w:rPr>
                <w:rFonts w:hint="eastAsia"/>
                <w:color w:val="auto"/>
              </w:rPr>
              <w:t>详见</w:t>
            </w:r>
            <w:r>
              <w:rPr>
                <w:color w:val="auto"/>
              </w:rPr>
              <w:t>表2-2。</w:t>
            </w:r>
          </w:p>
          <w:p w14:paraId="1041B2F5">
            <w:pPr>
              <w:spacing w:line="240" w:lineRule="auto"/>
              <w:ind w:firstLine="482"/>
              <w:jc w:val="center"/>
              <w:rPr>
                <w:b/>
                <w:color w:val="auto"/>
                <w:sz w:val="21"/>
                <w:szCs w:val="21"/>
              </w:rPr>
            </w:pPr>
            <w:r>
              <w:rPr>
                <w:rFonts w:hint="eastAsia"/>
                <w:b/>
                <w:color w:val="auto"/>
                <w:sz w:val="21"/>
                <w:szCs w:val="21"/>
              </w:rPr>
              <w:t>表2-2  产品方案一览表</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2039"/>
              <w:gridCol w:w="2161"/>
              <w:gridCol w:w="2162"/>
            </w:tblGrid>
            <w:tr w14:paraId="4E77E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07" w:type="pct"/>
                  <w:tcBorders>
                    <w:top w:val="single" w:color="auto" w:sz="2" w:space="0"/>
                    <w:left w:val="single" w:color="auto" w:sz="0" w:space="0"/>
                    <w:bottom w:val="single" w:color="auto" w:sz="2" w:space="0"/>
                    <w:right w:val="single" w:color="auto" w:sz="2" w:space="0"/>
                  </w:tcBorders>
                  <w:vAlign w:val="center"/>
                </w:tcPr>
                <w:p w14:paraId="57BA4B4E">
                  <w:pPr>
                    <w:spacing w:line="240" w:lineRule="auto"/>
                    <w:jc w:val="center"/>
                    <w:rPr>
                      <w:b/>
                      <w:bCs/>
                      <w:color w:val="auto"/>
                      <w:sz w:val="21"/>
                      <w:szCs w:val="21"/>
                    </w:rPr>
                  </w:pPr>
                  <w:r>
                    <w:rPr>
                      <w:rFonts w:hint="eastAsia"/>
                      <w:b/>
                      <w:bCs/>
                      <w:color w:val="auto"/>
                      <w:sz w:val="21"/>
                      <w:szCs w:val="21"/>
                    </w:rPr>
                    <w:t>名称</w:t>
                  </w:r>
                </w:p>
              </w:tc>
              <w:tc>
                <w:tcPr>
                  <w:tcW w:w="1215" w:type="pct"/>
                  <w:tcBorders>
                    <w:top w:val="single" w:color="auto" w:sz="2" w:space="0"/>
                    <w:left w:val="single" w:color="auto" w:sz="2" w:space="0"/>
                    <w:bottom w:val="single" w:color="auto" w:sz="2" w:space="0"/>
                    <w:right w:val="single" w:color="auto" w:sz="2" w:space="0"/>
                  </w:tcBorders>
                  <w:vAlign w:val="center"/>
                </w:tcPr>
                <w:p w14:paraId="0C2C9D08">
                  <w:pPr>
                    <w:spacing w:line="240" w:lineRule="auto"/>
                    <w:jc w:val="center"/>
                    <w:rPr>
                      <w:b/>
                      <w:bCs/>
                      <w:color w:val="auto"/>
                      <w:sz w:val="21"/>
                      <w:szCs w:val="21"/>
                    </w:rPr>
                  </w:pPr>
                  <w:r>
                    <w:rPr>
                      <w:rFonts w:hint="eastAsia"/>
                      <w:b/>
                      <w:bCs/>
                      <w:color w:val="auto"/>
                      <w:sz w:val="21"/>
                      <w:szCs w:val="21"/>
                    </w:rPr>
                    <w:t>年产量</w:t>
                  </w:r>
                </w:p>
              </w:tc>
              <w:tc>
                <w:tcPr>
                  <w:tcW w:w="1288" w:type="pct"/>
                  <w:tcBorders>
                    <w:top w:val="single" w:color="auto" w:sz="2" w:space="0"/>
                    <w:left w:val="single" w:color="auto" w:sz="2" w:space="0"/>
                    <w:bottom w:val="single" w:color="auto" w:sz="2" w:space="0"/>
                    <w:right w:val="single" w:color="auto" w:sz="2" w:space="0"/>
                  </w:tcBorders>
                  <w:vAlign w:val="center"/>
                </w:tcPr>
                <w:p w14:paraId="43BBEF84">
                  <w:pPr>
                    <w:spacing w:line="240" w:lineRule="auto"/>
                    <w:jc w:val="center"/>
                    <w:rPr>
                      <w:b/>
                      <w:bCs/>
                      <w:color w:val="auto"/>
                      <w:sz w:val="21"/>
                      <w:szCs w:val="21"/>
                      <w:u w:val="single"/>
                    </w:rPr>
                  </w:pPr>
                  <w:r>
                    <w:rPr>
                      <w:rFonts w:hint="eastAsia"/>
                      <w:b/>
                      <w:bCs/>
                      <w:color w:val="auto"/>
                      <w:sz w:val="21"/>
                      <w:szCs w:val="21"/>
                    </w:rPr>
                    <w:t>规格</w:t>
                  </w:r>
                </w:p>
              </w:tc>
              <w:tc>
                <w:tcPr>
                  <w:tcW w:w="1288" w:type="pct"/>
                  <w:tcBorders>
                    <w:top w:val="single" w:color="auto" w:sz="2" w:space="0"/>
                    <w:left w:val="single" w:color="auto" w:sz="2" w:space="0"/>
                    <w:bottom w:val="single" w:color="auto" w:sz="2" w:space="0"/>
                    <w:right w:val="single" w:color="auto" w:sz="2" w:space="0"/>
                  </w:tcBorders>
                  <w:vAlign w:val="center"/>
                </w:tcPr>
                <w:p w14:paraId="6F10F966">
                  <w:pPr>
                    <w:spacing w:line="240" w:lineRule="auto"/>
                    <w:jc w:val="center"/>
                    <w:rPr>
                      <w:b/>
                      <w:bCs/>
                      <w:color w:val="auto"/>
                      <w:sz w:val="21"/>
                      <w:szCs w:val="21"/>
                    </w:rPr>
                  </w:pPr>
                  <w:r>
                    <w:rPr>
                      <w:rFonts w:hint="eastAsia"/>
                      <w:b/>
                      <w:bCs/>
                      <w:color w:val="auto"/>
                      <w:sz w:val="21"/>
                      <w:szCs w:val="21"/>
                    </w:rPr>
                    <w:t>备注</w:t>
                  </w:r>
                </w:p>
              </w:tc>
            </w:tr>
            <w:tr w14:paraId="544B2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07" w:type="pct"/>
                  <w:tcBorders>
                    <w:top w:val="single" w:color="auto" w:sz="2" w:space="0"/>
                    <w:left w:val="single" w:color="auto" w:sz="4" w:space="0"/>
                    <w:bottom w:val="single" w:color="auto" w:sz="2" w:space="0"/>
                    <w:right w:val="single" w:color="auto" w:sz="2" w:space="0"/>
                  </w:tcBorders>
                  <w:vAlign w:val="center"/>
                </w:tcPr>
                <w:p w14:paraId="69C21C4C">
                  <w:pPr>
                    <w:pStyle w:val="135"/>
                    <w:rPr>
                      <w:rFonts w:hint="default"/>
                      <w:color w:val="auto"/>
                      <w:sz w:val="21"/>
                    </w:rPr>
                  </w:pPr>
                  <w:r>
                    <w:rPr>
                      <w:rFonts w:hint="default"/>
                      <w:color w:val="auto"/>
                      <w:sz w:val="21"/>
                    </w:rPr>
                    <w:t>PET瓶坯</w:t>
                  </w:r>
                </w:p>
              </w:tc>
              <w:tc>
                <w:tcPr>
                  <w:tcW w:w="1215" w:type="pct"/>
                  <w:tcBorders>
                    <w:top w:val="single" w:color="auto" w:sz="2" w:space="0"/>
                    <w:left w:val="single" w:color="auto" w:sz="2" w:space="0"/>
                    <w:bottom w:val="single" w:color="auto" w:sz="2" w:space="0"/>
                    <w:right w:val="single" w:color="auto" w:sz="2" w:space="0"/>
                  </w:tcBorders>
                  <w:vAlign w:val="center"/>
                </w:tcPr>
                <w:p w14:paraId="6AD3BCA9">
                  <w:pPr>
                    <w:pStyle w:val="135"/>
                    <w:rPr>
                      <w:rFonts w:hint="default"/>
                      <w:color w:val="auto"/>
                      <w:sz w:val="21"/>
                      <w:vertAlign w:val="superscript"/>
                    </w:rPr>
                  </w:pPr>
                  <w:r>
                    <w:rPr>
                      <w:color w:val="auto"/>
                      <w:sz w:val="21"/>
                    </w:rPr>
                    <w:t>2400</w:t>
                  </w:r>
                  <w:r>
                    <w:rPr>
                      <w:rFonts w:hint="default"/>
                      <w:color w:val="auto"/>
                      <w:sz w:val="21"/>
                    </w:rPr>
                    <w:t>吨</w:t>
                  </w:r>
                </w:p>
              </w:tc>
              <w:tc>
                <w:tcPr>
                  <w:tcW w:w="1288" w:type="pct"/>
                  <w:tcBorders>
                    <w:top w:val="single" w:color="auto" w:sz="2" w:space="0"/>
                    <w:left w:val="single" w:color="auto" w:sz="2" w:space="0"/>
                    <w:bottom w:val="single" w:color="auto" w:sz="2" w:space="0"/>
                    <w:right w:val="single" w:color="auto" w:sz="2" w:space="0"/>
                  </w:tcBorders>
                  <w:vAlign w:val="center"/>
                </w:tcPr>
                <w:p w14:paraId="0A736315">
                  <w:pPr>
                    <w:pStyle w:val="135"/>
                    <w:rPr>
                      <w:rFonts w:hint="default"/>
                      <w:color w:val="auto"/>
                      <w:sz w:val="21"/>
                      <w:u w:val="single"/>
                    </w:rPr>
                  </w:pPr>
                  <w:r>
                    <w:rPr>
                      <w:color w:val="auto"/>
                      <w:sz w:val="21"/>
                    </w:rPr>
                    <w:t>15L、5L、2L装</w:t>
                  </w:r>
                </w:p>
              </w:tc>
              <w:tc>
                <w:tcPr>
                  <w:tcW w:w="1288" w:type="pct"/>
                  <w:vMerge w:val="restart"/>
                  <w:tcBorders>
                    <w:top w:val="single" w:color="auto" w:sz="2" w:space="0"/>
                    <w:left w:val="single" w:color="auto" w:sz="2" w:space="0"/>
                    <w:right w:val="single" w:color="auto" w:sz="2" w:space="0"/>
                  </w:tcBorders>
                  <w:vAlign w:val="center"/>
                </w:tcPr>
                <w:p w14:paraId="33EEF5E1">
                  <w:pPr>
                    <w:pStyle w:val="135"/>
                    <w:rPr>
                      <w:rFonts w:hint="default"/>
                      <w:color w:val="auto"/>
                      <w:sz w:val="21"/>
                    </w:rPr>
                  </w:pPr>
                  <w:r>
                    <w:rPr>
                      <w:color w:val="auto"/>
                      <w:sz w:val="21"/>
                    </w:rPr>
                    <w:t>用于食用油容器包装</w:t>
                  </w:r>
                </w:p>
              </w:tc>
            </w:tr>
            <w:tr w14:paraId="28545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207" w:type="pct"/>
                  <w:tcBorders>
                    <w:top w:val="single" w:color="auto" w:sz="2" w:space="0"/>
                    <w:left w:val="single" w:color="auto" w:sz="4" w:space="0"/>
                    <w:bottom w:val="single" w:color="auto" w:sz="2" w:space="0"/>
                    <w:right w:val="single" w:color="auto" w:sz="2" w:space="0"/>
                  </w:tcBorders>
                  <w:vAlign w:val="center"/>
                </w:tcPr>
                <w:p w14:paraId="67C31C98">
                  <w:pPr>
                    <w:pStyle w:val="135"/>
                    <w:rPr>
                      <w:rFonts w:hint="default"/>
                      <w:color w:val="auto"/>
                      <w:sz w:val="21"/>
                    </w:rPr>
                  </w:pPr>
                  <w:r>
                    <w:rPr>
                      <w:rFonts w:hint="default"/>
                      <w:color w:val="auto"/>
                      <w:sz w:val="21"/>
                    </w:rPr>
                    <w:t>PE盖提</w:t>
                  </w:r>
                </w:p>
              </w:tc>
              <w:tc>
                <w:tcPr>
                  <w:tcW w:w="1215" w:type="pct"/>
                  <w:tcBorders>
                    <w:top w:val="single" w:color="auto" w:sz="2" w:space="0"/>
                    <w:left w:val="single" w:color="auto" w:sz="2" w:space="0"/>
                    <w:bottom w:val="single" w:color="auto" w:sz="2" w:space="0"/>
                    <w:right w:val="single" w:color="auto" w:sz="2" w:space="0"/>
                  </w:tcBorders>
                  <w:vAlign w:val="center"/>
                </w:tcPr>
                <w:p w14:paraId="34D618F9">
                  <w:pPr>
                    <w:pStyle w:val="135"/>
                    <w:rPr>
                      <w:rFonts w:hint="default"/>
                      <w:color w:val="auto"/>
                      <w:sz w:val="21"/>
                      <w:vertAlign w:val="superscript"/>
                    </w:rPr>
                  </w:pPr>
                  <w:r>
                    <w:rPr>
                      <w:color w:val="auto"/>
                      <w:sz w:val="21"/>
                    </w:rPr>
                    <w:t>48</w:t>
                  </w:r>
                  <w:r>
                    <w:rPr>
                      <w:rFonts w:hint="default"/>
                      <w:color w:val="auto"/>
                      <w:sz w:val="21"/>
                    </w:rPr>
                    <w:t>0吨</w:t>
                  </w:r>
                </w:p>
              </w:tc>
              <w:tc>
                <w:tcPr>
                  <w:tcW w:w="1288" w:type="pct"/>
                  <w:tcBorders>
                    <w:top w:val="single" w:color="auto" w:sz="2" w:space="0"/>
                    <w:left w:val="single" w:color="auto" w:sz="2" w:space="0"/>
                    <w:bottom w:val="single" w:color="auto" w:sz="2" w:space="0"/>
                    <w:right w:val="single" w:color="auto" w:sz="2" w:space="0"/>
                  </w:tcBorders>
                  <w:vAlign w:val="center"/>
                </w:tcPr>
                <w:p w14:paraId="5C56AE4B">
                  <w:pPr>
                    <w:pStyle w:val="135"/>
                    <w:rPr>
                      <w:rFonts w:hint="default"/>
                      <w:color w:val="auto"/>
                      <w:sz w:val="21"/>
                      <w:u w:val="single"/>
                    </w:rPr>
                  </w:pPr>
                  <w:r>
                    <w:rPr>
                      <w:color w:val="auto"/>
                      <w:sz w:val="21"/>
                    </w:rPr>
                    <w:t>/</w:t>
                  </w:r>
                </w:p>
              </w:tc>
              <w:tc>
                <w:tcPr>
                  <w:tcW w:w="1288" w:type="pct"/>
                  <w:vMerge w:val="continue"/>
                  <w:tcBorders>
                    <w:left w:val="single" w:color="auto" w:sz="2" w:space="0"/>
                    <w:bottom w:val="single" w:color="auto" w:sz="2" w:space="0"/>
                    <w:right w:val="single" w:color="auto" w:sz="2" w:space="0"/>
                  </w:tcBorders>
                  <w:vAlign w:val="center"/>
                </w:tcPr>
                <w:p w14:paraId="4525C1A3">
                  <w:pPr>
                    <w:pStyle w:val="135"/>
                    <w:rPr>
                      <w:rFonts w:hint="default"/>
                      <w:color w:val="auto"/>
                      <w:sz w:val="21"/>
                    </w:rPr>
                  </w:pPr>
                </w:p>
              </w:tc>
            </w:tr>
          </w:tbl>
          <w:p w14:paraId="5F418FD3">
            <w:pPr>
              <w:spacing w:before="120" w:beforeLines="50"/>
              <w:ind w:firstLine="482" w:firstLineChars="200"/>
              <w:rPr>
                <w:b/>
                <w:color w:val="auto"/>
              </w:rPr>
            </w:pPr>
            <w:r>
              <w:rPr>
                <w:b/>
                <w:color w:val="auto"/>
              </w:rPr>
              <w:t>3、主要原辅材料及能耗</w:t>
            </w:r>
          </w:p>
          <w:p w14:paraId="4DC3456A">
            <w:pPr>
              <w:ind w:firstLine="480" w:firstLineChars="200"/>
              <w:rPr>
                <w:b/>
                <w:color w:val="auto"/>
              </w:rPr>
            </w:pPr>
            <w:r>
              <w:rPr>
                <w:color w:val="auto"/>
              </w:rPr>
              <w:t>项目主要原辅材料及能耗见表2-3。</w:t>
            </w:r>
          </w:p>
          <w:p w14:paraId="73C1FA73">
            <w:pPr>
              <w:pStyle w:val="136"/>
              <w:spacing w:line="240" w:lineRule="auto"/>
              <w:rPr>
                <w:rFonts w:hint="eastAsia"/>
                <w:color w:val="auto"/>
              </w:rPr>
            </w:pPr>
          </w:p>
          <w:p w14:paraId="190C5360">
            <w:pPr>
              <w:pStyle w:val="136"/>
              <w:spacing w:line="240" w:lineRule="auto"/>
              <w:rPr>
                <w:rFonts w:hint="eastAsia"/>
                <w:color w:val="auto"/>
              </w:rPr>
            </w:pPr>
          </w:p>
          <w:p w14:paraId="0ACB252F">
            <w:pPr>
              <w:pStyle w:val="136"/>
              <w:spacing w:line="240" w:lineRule="auto"/>
              <w:rPr>
                <w:color w:val="auto"/>
              </w:rPr>
            </w:pPr>
            <w:r>
              <w:rPr>
                <w:rFonts w:hint="eastAsia"/>
                <w:color w:val="auto"/>
              </w:rPr>
              <w:t>表2-3 主要原材料及能源消耗情况一览表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047"/>
              <w:gridCol w:w="2092"/>
              <w:gridCol w:w="2096"/>
              <w:gridCol w:w="2099"/>
            </w:tblGrid>
            <w:tr w14:paraId="47F1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pct"/>
                  <w:gridSpan w:val="2"/>
                  <w:vAlign w:val="center"/>
                </w:tcPr>
                <w:p w14:paraId="2974ADBA">
                  <w:pPr>
                    <w:pStyle w:val="135"/>
                    <w:rPr>
                      <w:rFonts w:hint="default"/>
                      <w:b/>
                      <w:bCs/>
                      <w:color w:val="auto"/>
                      <w:sz w:val="21"/>
                    </w:rPr>
                  </w:pPr>
                  <w:r>
                    <w:rPr>
                      <w:rFonts w:hint="default"/>
                      <w:b/>
                      <w:bCs/>
                      <w:color w:val="auto"/>
                      <w:sz w:val="21"/>
                    </w:rPr>
                    <w:t>原辅料名称</w:t>
                  </w:r>
                </w:p>
              </w:tc>
              <w:tc>
                <w:tcPr>
                  <w:tcW w:w="1249" w:type="pct"/>
                  <w:vAlign w:val="center"/>
                </w:tcPr>
                <w:p w14:paraId="4A16C4B4">
                  <w:pPr>
                    <w:pStyle w:val="135"/>
                    <w:rPr>
                      <w:rFonts w:hint="default"/>
                      <w:b/>
                      <w:bCs/>
                      <w:color w:val="auto"/>
                      <w:sz w:val="21"/>
                    </w:rPr>
                  </w:pPr>
                  <w:r>
                    <w:rPr>
                      <w:b/>
                      <w:bCs/>
                      <w:color w:val="auto"/>
                      <w:sz w:val="21"/>
                    </w:rPr>
                    <w:t>用量</w:t>
                  </w:r>
                </w:p>
              </w:tc>
              <w:tc>
                <w:tcPr>
                  <w:tcW w:w="1251" w:type="pct"/>
                  <w:vAlign w:val="center"/>
                </w:tcPr>
                <w:p w14:paraId="62265095">
                  <w:pPr>
                    <w:pStyle w:val="135"/>
                    <w:rPr>
                      <w:rFonts w:hint="default"/>
                      <w:b/>
                      <w:bCs/>
                      <w:color w:val="auto"/>
                      <w:sz w:val="21"/>
                    </w:rPr>
                  </w:pPr>
                  <w:r>
                    <w:rPr>
                      <w:b/>
                      <w:bCs/>
                      <w:color w:val="auto"/>
                      <w:sz w:val="21"/>
                    </w:rPr>
                    <w:t>最大贮存量</w:t>
                  </w:r>
                </w:p>
              </w:tc>
              <w:tc>
                <w:tcPr>
                  <w:tcW w:w="1251" w:type="pct"/>
                  <w:vAlign w:val="center"/>
                </w:tcPr>
                <w:p w14:paraId="117960AC">
                  <w:pPr>
                    <w:pStyle w:val="135"/>
                    <w:rPr>
                      <w:rFonts w:hint="default"/>
                      <w:b/>
                      <w:bCs/>
                      <w:color w:val="auto"/>
                      <w:sz w:val="21"/>
                    </w:rPr>
                  </w:pPr>
                  <w:r>
                    <w:rPr>
                      <w:b/>
                      <w:bCs/>
                      <w:color w:val="auto"/>
                      <w:sz w:val="21"/>
                    </w:rPr>
                    <w:t>备注</w:t>
                  </w:r>
                </w:p>
              </w:tc>
            </w:tr>
            <w:tr w14:paraId="4E03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247" w:type="pct"/>
                  <w:gridSpan w:val="2"/>
                  <w:vAlign w:val="center"/>
                </w:tcPr>
                <w:p w14:paraId="3CA35B34">
                  <w:pPr>
                    <w:tabs>
                      <w:tab w:val="left" w:pos="3225"/>
                    </w:tabs>
                    <w:spacing w:line="240" w:lineRule="auto"/>
                    <w:jc w:val="center"/>
                    <w:rPr>
                      <w:color w:val="auto"/>
                      <w:sz w:val="21"/>
                      <w:szCs w:val="21"/>
                    </w:rPr>
                  </w:pPr>
                  <w:r>
                    <w:rPr>
                      <w:color w:val="auto"/>
                      <w:sz w:val="21"/>
                      <w:szCs w:val="21"/>
                    </w:rPr>
                    <w:t>聚对苯二甲酸乙二醇酯</w:t>
                  </w:r>
                  <w:r>
                    <w:rPr>
                      <w:rFonts w:hint="eastAsia"/>
                      <w:color w:val="auto"/>
                      <w:sz w:val="21"/>
                      <w:szCs w:val="21"/>
                    </w:rPr>
                    <w:t>（</w:t>
                  </w:r>
                  <w:r>
                    <w:rPr>
                      <w:color w:val="auto"/>
                      <w:sz w:val="21"/>
                      <w:szCs w:val="21"/>
                    </w:rPr>
                    <w:t>PET</w:t>
                  </w:r>
                  <w:r>
                    <w:rPr>
                      <w:rFonts w:hint="eastAsia"/>
                      <w:color w:val="auto"/>
                      <w:sz w:val="21"/>
                      <w:szCs w:val="21"/>
                    </w:rPr>
                    <w:t>）</w:t>
                  </w:r>
                </w:p>
              </w:tc>
              <w:tc>
                <w:tcPr>
                  <w:tcW w:w="1249" w:type="pct"/>
                  <w:vAlign w:val="center"/>
                </w:tcPr>
                <w:p w14:paraId="625927C9">
                  <w:pPr>
                    <w:tabs>
                      <w:tab w:val="left" w:pos="3225"/>
                    </w:tabs>
                    <w:spacing w:line="240" w:lineRule="auto"/>
                    <w:jc w:val="center"/>
                    <w:rPr>
                      <w:color w:val="auto"/>
                      <w:sz w:val="21"/>
                      <w:szCs w:val="21"/>
                    </w:rPr>
                  </w:pPr>
                  <w:r>
                    <w:rPr>
                      <w:rFonts w:hint="eastAsia"/>
                      <w:color w:val="auto"/>
                      <w:sz w:val="21"/>
                      <w:szCs w:val="21"/>
                    </w:rPr>
                    <w:t>2425t/a</w:t>
                  </w:r>
                </w:p>
              </w:tc>
              <w:tc>
                <w:tcPr>
                  <w:tcW w:w="1251" w:type="pct"/>
                  <w:vAlign w:val="center"/>
                </w:tcPr>
                <w:p w14:paraId="439F95D1">
                  <w:pPr>
                    <w:tabs>
                      <w:tab w:val="left" w:pos="3225"/>
                    </w:tabs>
                    <w:spacing w:line="240" w:lineRule="auto"/>
                    <w:jc w:val="center"/>
                    <w:rPr>
                      <w:color w:val="auto"/>
                      <w:sz w:val="21"/>
                      <w:szCs w:val="21"/>
                    </w:rPr>
                  </w:pPr>
                  <w:r>
                    <w:rPr>
                      <w:rFonts w:hint="eastAsia"/>
                      <w:color w:val="auto"/>
                      <w:sz w:val="21"/>
                      <w:szCs w:val="21"/>
                    </w:rPr>
                    <w:t>50t</w:t>
                  </w:r>
                </w:p>
              </w:tc>
              <w:tc>
                <w:tcPr>
                  <w:tcW w:w="1251" w:type="pct"/>
                  <w:vAlign w:val="center"/>
                </w:tcPr>
                <w:p w14:paraId="1C3FF03A">
                  <w:pPr>
                    <w:tabs>
                      <w:tab w:val="left" w:pos="3225"/>
                    </w:tabs>
                    <w:spacing w:line="240" w:lineRule="auto"/>
                    <w:jc w:val="center"/>
                    <w:rPr>
                      <w:rFonts w:hint="eastAsia" w:eastAsia="宋体"/>
                      <w:color w:val="auto"/>
                      <w:sz w:val="21"/>
                      <w:szCs w:val="21"/>
                      <w:lang w:eastAsia="zh-CN"/>
                    </w:rPr>
                  </w:pPr>
                  <w:r>
                    <w:rPr>
                      <w:rFonts w:hint="eastAsia"/>
                      <w:color w:val="auto"/>
                      <w:sz w:val="21"/>
                      <w:szCs w:val="21"/>
                    </w:rPr>
                    <w:t>外购，250kg/袋，</w:t>
                  </w:r>
                  <w:r>
                    <w:rPr>
                      <w:rFonts w:hint="eastAsia"/>
                      <w:color w:val="auto"/>
                      <w:sz w:val="21"/>
                      <w:szCs w:val="21"/>
                      <w:highlight w:val="none"/>
                      <w:u w:val="single"/>
                    </w:rPr>
                    <w:t>全新PET塑料切片</w:t>
                  </w:r>
                </w:p>
              </w:tc>
            </w:tr>
            <w:tr w14:paraId="5DF1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pct"/>
                  <w:gridSpan w:val="2"/>
                  <w:vAlign w:val="center"/>
                </w:tcPr>
                <w:p w14:paraId="52C3CF8E">
                  <w:pPr>
                    <w:tabs>
                      <w:tab w:val="left" w:pos="3225"/>
                    </w:tabs>
                    <w:spacing w:line="240" w:lineRule="auto"/>
                    <w:jc w:val="center"/>
                    <w:rPr>
                      <w:color w:val="auto"/>
                      <w:sz w:val="21"/>
                      <w:szCs w:val="21"/>
                    </w:rPr>
                  </w:pPr>
                  <w:r>
                    <w:rPr>
                      <w:color w:val="auto"/>
                      <w:sz w:val="21"/>
                      <w:szCs w:val="21"/>
                    </w:rPr>
                    <w:t>聚乙烯</w:t>
                  </w:r>
                  <w:r>
                    <w:rPr>
                      <w:rFonts w:hint="eastAsia"/>
                      <w:color w:val="auto"/>
                      <w:sz w:val="21"/>
                      <w:szCs w:val="21"/>
                    </w:rPr>
                    <w:t>（PE）</w:t>
                  </w:r>
                </w:p>
              </w:tc>
              <w:tc>
                <w:tcPr>
                  <w:tcW w:w="1249" w:type="pct"/>
                  <w:vAlign w:val="center"/>
                </w:tcPr>
                <w:p w14:paraId="60B70A62">
                  <w:pPr>
                    <w:tabs>
                      <w:tab w:val="left" w:pos="3225"/>
                    </w:tabs>
                    <w:spacing w:line="240" w:lineRule="auto"/>
                    <w:jc w:val="center"/>
                    <w:rPr>
                      <w:color w:val="auto"/>
                      <w:sz w:val="21"/>
                      <w:szCs w:val="21"/>
                    </w:rPr>
                  </w:pPr>
                  <w:r>
                    <w:rPr>
                      <w:rFonts w:hint="eastAsia"/>
                      <w:color w:val="auto"/>
                      <w:sz w:val="21"/>
                      <w:szCs w:val="21"/>
                    </w:rPr>
                    <w:t>480t/a</w:t>
                  </w:r>
                </w:p>
              </w:tc>
              <w:tc>
                <w:tcPr>
                  <w:tcW w:w="1251" w:type="pct"/>
                  <w:vAlign w:val="center"/>
                </w:tcPr>
                <w:p w14:paraId="0F3CF63D">
                  <w:pPr>
                    <w:tabs>
                      <w:tab w:val="left" w:pos="3225"/>
                    </w:tabs>
                    <w:spacing w:line="240" w:lineRule="auto"/>
                    <w:jc w:val="center"/>
                    <w:rPr>
                      <w:color w:val="auto"/>
                      <w:sz w:val="21"/>
                      <w:szCs w:val="21"/>
                    </w:rPr>
                  </w:pPr>
                  <w:r>
                    <w:rPr>
                      <w:rFonts w:hint="eastAsia"/>
                      <w:color w:val="auto"/>
                      <w:sz w:val="21"/>
                      <w:szCs w:val="21"/>
                    </w:rPr>
                    <w:t>10t</w:t>
                  </w:r>
                </w:p>
              </w:tc>
              <w:tc>
                <w:tcPr>
                  <w:tcW w:w="1251" w:type="pct"/>
                  <w:vAlign w:val="center"/>
                </w:tcPr>
                <w:p w14:paraId="10C8A052">
                  <w:pPr>
                    <w:tabs>
                      <w:tab w:val="left" w:pos="3225"/>
                    </w:tabs>
                    <w:spacing w:line="240" w:lineRule="auto"/>
                    <w:jc w:val="center"/>
                    <w:rPr>
                      <w:color w:val="auto"/>
                      <w:sz w:val="21"/>
                      <w:szCs w:val="21"/>
                    </w:rPr>
                  </w:pPr>
                  <w:r>
                    <w:rPr>
                      <w:rFonts w:hint="eastAsia"/>
                      <w:color w:val="auto"/>
                      <w:sz w:val="21"/>
                      <w:szCs w:val="21"/>
                    </w:rPr>
                    <w:t>50kg/袋，全新PE塑料颗粒</w:t>
                  </w:r>
                </w:p>
              </w:tc>
            </w:tr>
            <w:tr w14:paraId="28E3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pct"/>
                  <w:gridSpan w:val="2"/>
                  <w:vAlign w:val="center"/>
                </w:tcPr>
                <w:p w14:paraId="057D08EB">
                  <w:pPr>
                    <w:tabs>
                      <w:tab w:val="left" w:pos="3225"/>
                    </w:tabs>
                    <w:spacing w:line="240" w:lineRule="auto"/>
                    <w:jc w:val="center"/>
                    <w:rPr>
                      <w:color w:val="auto"/>
                      <w:sz w:val="21"/>
                      <w:szCs w:val="21"/>
                    </w:rPr>
                  </w:pPr>
                  <w:r>
                    <w:rPr>
                      <w:rFonts w:hint="eastAsia"/>
                      <w:color w:val="auto"/>
                      <w:sz w:val="21"/>
                      <w:szCs w:val="21"/>
                    </w:rPr>
                    <w:t>色母粒</w:t>
                  </w:r>
                </w:p>
              </w:tc>
              <w:tc>
                <w:tcPr>
                  <w:tcW w:w="1249" w:type="pct"/>
                  <w:vAlign w:val="center"/>
                </w:tcPr>
                <w:p w14:paraId="0608E871">
                  <w:pPr>
                    <w:tabs>
                      <w:tab w:val="left" w:pos="3225"/>
                    </w:tabs>
                    <w:spacing w:line="240" w:lineRule="auto"/>
                    <w:jc w:val="center"/>
                    <w:rPr>
                      <w:color w:val="auto"/>
                      <w:sz w:val="21"/>
                      <w:szCs w:val="21"/>
                    </w:rPr>
                  </w:pPr>
                  <w:r>
                    <w:rPr>
                      <w:rFonts w:hint="eastAsia"/>
                      <w:color w:val="auto"/>
                      <w:sz w:val="21"/>
                      <w:szCs w:val="21"/>
                    </w:rPr>
                    <w:t>5t/a</w:t>
                  </w:r>
                </w:p>
              </w:tc>
              <w:tc>
                <w:tcPr>
                  <w:tcW w:w="1251" w:type="pct"/>
                  <w:vAlign w:val="center"/>
                </w:tcPr>
                <w:p w14:paraId="42A944F2">
                  <w:pPr>
                    <w:tabs>
                      <w:tab w:val="left" w:pos="3225"/>
                    </w:tabs>
                    <w:spacing w:line="240" w:lineRule="auto"/>
                    <w:jc w:val="center"/>
                    <w:rPr>
                      <w:color w:val="auto"/>
                      <w:sz w:val="21"/>
                      <w:szCs w:val="21"/>
                    </w:rPr>
                  </w:pPr>
                  <w:r>
                    <w:rPr>
                      <w:rFonts w:hint="eastAsia"/>
                      <w:color w:val="auto"/>
                      <w:sz w:val="21"/>
                      <w:szCs w:val="21"/>
                    </w:rPr>
                    <w:t>1t</w:t>
                  </w:r>
                </w:p>
              </w:tc>
              <w:tc>
                <w:tcPr>
                  <w:tcW w:w="1251" w:type="pct"/>
                  <w:vAlign w:val="center"/>
                </w:tcPr>
                <w:p w14:paraId="176B0E6A">
                  <w:pPr>
                    <w:tabs>
                      <w:tab w:val="left" w:pos="3225"/>
                    </w:tabs>
                    <w:spacing w:line="240" w:lineRule="auto"/>
                    <w:jc w:val="center"/>
                    <w:rPr>
                      <w:color w:val="auto"/>
                      <w:sz w:val="21"/>
                      <w:szCs w:val="21"/>
                    </w:rPr>
                  </w:pPr>
                  <w:r>
                    <w:rPr>
                      <w:rFonts w:hint="eastAsia"/>
                      <w:color w:val="auto"/>
                      <w:sz w:val="21"/>
                      <w:szCs w:val="21"/>
                    </w:rPr>
                    <w:t>外购，50kg/袋</w:t>
                  </w:r>
                </w:p>
              </w:tc>
            </w:tr>
            <w:tr w14:paraId="69E3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vMerge w:val="restart"/>
                  <w:vAlign w:val="center"/>
                </w:tcPr>
                <w:p w14:paraId="2F9F2F90">
                  <w:pPr>
                    <w:tabs>
                      <w:tab w:val="left" w:pos="3225"/>
                    </w:tabs>
                    <w:spacing w:line="240" w:lineRule="auto"/>
                    <w:jc w:val="center"/>
                    <w:rPr>
                      <w:color w:val="auto"/>
                      <w:sz w:val="21"/>
                      <w:szCs w:val="21"/>
                    </w:rPr>
                  </w:pPr>
                  <w:r>
                    <w:rPr>
                      <w:rFonts w:hint="eastAsia"/>
                      <w:color w:val="auto"/>
                      <w:sz w:val="21"/>
                      <w:szCs w:val="21"/>
                    </w:rPr>
                    <w:t>能源</w:t>
                  </w:r>
                </w:p>
              </w:tc>
              <w:tc>
                <w:tcPr>
                  <w:tcW w:w="625" w:type="pct"/>
                  <w:vAlign w:val="center"/>
                </w:tcPr>
                <w:p w14:paraId="674FDAA0">
                  <w:pPr>
                    <w:tabs>
                      <w:tab w:val="left" w:pos="3225"/>
                    </w:tabs>
                    <w:spacing w:line="240" w:lineRule="auto"/>
                    <w:jc w:val="center"/>
                    <w:rPr>
                      <w:color w:val="auto"/>
                      <w:sz w:val="21"/>
                      <w:szCs w:val="21"/>
                    </w:rPr>
                  </w:pPr>
                  <w:r>
                    <w:rPr>
                      <w:rFonts w:hint="eastAsia"/>
                      <w:color w:val="auto"/>
                      <w:sz w:val="21"/>
                      <w:szCs w:val="21"/>
                    </w:rPr>
                    <w:t>水</w:t>
                  </w:r>
                </w:p>
              </w:tc>
              <w:tc>
                <w:tcPr>
                  <w:tcW w:w="1249" w:type="pct"/>
                  <w:vAlign w:val="center"/>
                </w:tcPr>
                <w:p w14:paraId="654AC557">
                  <w:pPr>
                    <w:tabs>
                      <w:tab w:val="left" w:pos="3225"/>
                    </w:tabs>
                    <w:spacing w:line="240" w:lineRule="auto"/>
                    <w:jc w:val="center"/>
                    <w:rPr>
                      <w:color w:val="auto"/>
                      <w:sz w:val="21"/>
                      <w:szCs w:val="21"/>
                    </w:rPr>
                  </w:pPr>
                  <w:r>
                    <w:rPr>
                      <w:rFonts w:hint="eastAsia"/>
                      <w:color w:val="auto"/>
                      <w:sz w:val="21"/>
                      <w:szCs w:val="21"/>
                    </w:rPr>
                    <w:t>210m</w:t>
                  </w:r>
                  <w:r>
                    <w:rPr>
                      <w:rFonts w:hint="eastAsia"/>
                      <w:color w:val="auto"/>
                      <w:sz w:val="21"/>
                      <w:szCs w:val="21"/>
                      <w:vertAlign w:val="superscript"/>
                    </w:rPr>
                    <w:t>3</w:t>
                  </w:r>
                  <w:r>
                    <w:rPr>
                      <w:rFonts w:hint="eastAsia"/>
                      <w:color w:val="auto"/>
                      <w:sz w:val="21"/>
                      <w:szCs w:val="21"/>
                    </w:rPr>
                    <w:t>/a</w:t>
                  </w:r>
                </w:p>
              </w:tc>
              <w:tc>
                <w:tcPr>
                  <w:tcW w:w="1251" w:type="pct"/>
                  <w:vAlign w:val="center"/>
                </w:tcPr>
                <w:p w14:paraId="2BC401B6">
                  <w:pPr>
                    <w:tabs>
                      <w:tab w:val="left" w:pos="3225"/>
                    </w:tabs>
                    <w:spacing w:line="240" w:lineRule="auto"/>
                    <w:jc w:val="center"/>
                    <w:rPr>
                      <w:color w:val="auto"/>
                      <w:sz w:val="21"/>
                      <w:szCs w:val="21"/>
                    </w:rPr>
                  </w:pPr>
                  <w:r>
                    <w:rPr>
                      <w:rFonts w:hint="eastAsia"/>
                      <w:color w:val="auto"/>
                      <w:sz w:val="21"/>
                      <w:szCs w:val="21"/>
                    </w:rPr>
                    <w:t>/</w:t>
                  </w:r>
                </w:p>
              </w:tc>
              <w:tc>
                <w:tcPr>
                  <w:tcW w:w="1251" w:type="pct"/>
                  <w:vAlign w:val="center"/>
                </w:tcPr>
                <w:p w14:paraId="7280822B">
                  <w:pPr>
                    <w:pStyle w:val="111"/>
                    <w:adjustRightInd w:val="0"/>
                    <w:snapToGrid w:val="0"/>
                    <w:jc w:val="left"/>
                    <w:rPr>
                      <w:color w:val="auto"/>
                      <w:szCs w:val="21"/>
                    </w:rPr>
                  </w:pPr>
                  <w:r>
                    <w:rPr>
                      <w:color w:val="auto"/>
                      <w:szCs w:val="21"/>
                    </w:rPr>
                    <w:t>引自园区供水管网。</w:t>
                  </w:r>
                </w:p>
              </w:tc>
            </w:tr>
            <w:tr w14:paraId="0158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vMerge w:val="continue"/>
                  <w:vAlign w:val="center"/>
                </w:tcPr>
                <w:p w14:paraId="4E91B869">
                  <w:pPr>
                    <w:tabs>
                      <w:tab w:val="left" w:pos="3225"/>
                    </w:tabs>
                    <w:spacing w:line="240" w:lineRule="auto"/>
                    <w:jc w:val="center"/>
                    <w:rPr>
                      <w:color w:val="auto"/>
                      <w:sz w:val="21"/>
                      <w:szCs w:val="21"/>
                    </w:rPr>
                  </w:pPr>
                </w:p>
              </w:tc>
              <w:tc>
                <w:tcPr>
                  <w:tcW w:w="625" w:type="pct"/>
                  <w:vAlign w:val="center"/>
                </w:tcPr>
                <w:p w14:paraId="1D3F11E9">
                  <w:pPr>
                    <w:tabs>
                      <w:tab w:val="left" w:pos="3225"/>
                    </w:tabs>
                    <w:spacing w:line="240" w:lineRule="auto"/>
                    <w:jc w:val="center"/>
                    <w:rPr>
                      <w:color w:val="auto"/>
                      <w:sz w:val="21"/>
                      <w:szCs w:val="21"/>
                    </w:rPr>
                  </w:pPr>
                  <w:r>
                    <w:rPr>
                      <w:rFonts w:hint="eastAsia"/>
                      <w:color w:val="auto"/>
                      <w:sz w:val="21"/>
                      <w:szCs w:val="21"/>
                    </w:rPr>
                    <w:t>电</w:t>
                  </w:r>
                </w:p>
              </w:tc>
              <w:tc>
                <w:tcPr>
                  <w:tcW w:w="1249" w:type="pct"/>
                  <w:vAlign w:val="center"/>
                </w:tcPr>
                <w:p w14:paraId="6B019DB0">
                  <w:pPr>
                    <w:tabs>
                      <w:tab w:val="left" w:pos="3225"/>
                    </w:tabs>
                    <w:spacing w:line="240" w:lineRule="auto"/>
                    <w:jc w:val="center"/>
                    <w:rPr>
                      <w:color w:val="auto"/>
                      <w:sz w:val="21"/>
                      <w:szCs w:val="21"/>
                    </w:rPr>
                  </w:pPr>
                  <w:r>
                    <w:rPr>
                      <w:rFonts w:hint="eastAsia"/>
                      <w:color w:val="auto"/>
                      <w:sz w:val="21"/>
                      <w:szCs w:val="21"/>
                    </w:rPr>
                    <w:t>80万</w:t>
                  </w:r>
                  <w:r>
                    <w:rPr>
                      <w:color w:val="auto"/>
                      <w:sz w:val="21"/>
                      <w:szCs w:val="21"/>
                    </w:rPr>
                    <w:t>KW·h</w:t>
                  </w:r>
                  <w:r>
                    <w:rPr>
                      <w:rFonts w:hint="eastAsia"/>
                      <w:color w:val="auto"/>
                      <w:sz w:val="21"/>
                      <w:szCs w:val="21"/>
                    </w:rPr>
                    <w:t>/a</w:t>
                  </w:r>
                </w:p>
              </w:tc>
              <w:tc>
                <w:tcPr>
                  <w:tcW w:w="1251" w:type="pct"/>
                  <w:vAlign w:val="center"/>
                </w:tcPr>
                <w:p w14:paraId="3F06FB2A">
                  <w:pPr>
                    <w:tabs>
                      <w:tab w:val="left" w:pos="3225"/>
                    </w:tabs>
                    <w:spacing w:line="240" w:lineRule="auto"/>
                    <w:jc w:val="center"/>
                    <w:rPr>
                      <w:color w:val="auto"/>
                      <w:sz w:val="21"/>
                      <w:szCs w:val="21"/>
                    </w:rPr>
                  </w:pPr>
                  <w:r>
                    <w:rPr>
                      <w:rFonts w:hint="eastAsia"/>
                      <w:color w:val="auto"/>
                      <w:sz w:val="21"/>
                      <w:szCs w:val="21"/>
                    </w:rPr>
                    <w:t>/</w:t>
                  </w:r>
                </w:p>
              </w:tc>
              <w:tc>
                <w:tcPr>
                  <w:tcW w:w="1251" w:type="pct"/>
                  <w:vAlign w:val="center"/>
                </w:tcPr>
                <w:p w14:paraId="01929CDB">
                  <w:pPr>
                    <w:pStyle w:val="111"/>
                    <w:adjustRightInd w:val="0"/>
                    <w:snapToGrid w:val="0"/>
                    <w:jc w:val="left"/>
                    <w:rPr>
                      <w:color w:val="auto"/>
                      <w:szCs w:val="21"/>
                    </w:rPr>
                  </w:pPr>
                  <w:r>
                    <w:rPr>
                      <w:color w:val="auto"/>
                      <w:szCs w:val="21"/>
                    </w:rPr>
                    <w:t>引自园区电网。</w:t>
                  </w:r>
                </w:p>
              </w:tc>
            </w:tr>
            <w:tr w14:paraId="4175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14:paraId="262A26F8">
                  <w:pPr>
                    <w:pStyle w:val="111"/>
                    <w:adjustRightInd w:val="0"/>
                    <w:snapToGrid w:val="0"/>
                    <w:spacing w:line="240" w:lineRule="auto"/>
                    <w:jc w:val="left"/>
                    <w:rPr>
                      <w:color w:val="auto"/>
                      <w:szCs w:val="21"/>
                    </w:rPr>
                  </w:pPr>
                  <w:r>
                    <w:rPr>
                      <w:rFonts w:hint="eastAsia"/>
                      <w:color w:val="auto"/>
                      <w:szCs w:val="21"/>
                      <w:highlight w:val="none"/>
                      <w:u w:val="single"/>
                    </w:rPr>
                    <w:t>注：本项目使用的P</w:t>
                  </w:r>
                  <w:r>
                    <w:rPr>
                      <w:rFonts w:hint="eastAsia"/>
                      <w:color w:val="auto"/>
                      <w:szCs w:val="21"/>
                      <w:highlight w:val="none"/>
                      <w:u w:val="single"/>
                      <w:lang w:val="en-US" w:eastAsia="zh-CN"/>
                    </w:rPr>
                    <w:t>E</w:t>
                  </w:r>
                  <w:r>
                    <w:rPr>
                      <w:rFonts w:hint="eastAsia"/>
                      <w:color w:val="auto"/>
                      <w:szCs w:val="21"/>
                      <w:highlight w:val="none"/>
                      <w:u w:val="single"/>
                    </w:rPr>
                    <w:t>T</w:t>
                  </w:r>
                  <w:r>
                    <w:rPr>
                      <w:rFonts w:hint="eastAsia"/>
                      <w:color w:val="auto"/>
                      <w:u w:val="single"/>
                      <w:lang w:eastAsia="zh-CN"/>
                    </w:rPr>
                    <w:t>、</w:t>
                  </w:r>
                  <w:r>
                    <w:rPr>
                      <w:rFonts w:hint="eastAsia"/>
                      <w:color w:val="auto"/>
                      <w:u w:val="single"/>
                      <w:lang w:val="en-US" w:eastAsia="zh-CN"/>
                    </w:rPr>
                    <w:t>PE、色母粒</w:t>
                  </w:r>
                  <w:r>
                    <w:rPr>
                      <w:rFonts w:hint="eastAsia"/>
                      <w:color w:val="auto"/>
                      <w:szCs w:val="21"/>
                      <w:highlight w:val="none"/>
                      <w:u w:val="single"/>
                    </w:rPr>
                    <w:t>原料均为新料，不涉及以再生塑料作为原料。</w:t>
                  </w:r>
                </w:p>
              </w:tc>
            </w:tr>
          </w:tbl>
          <w:p w14:paraId="18593C4D">
            <w:pPr>
              <w:pStyle w:val="136"/>
              <w:spacing w:line="240" w:lineRule="auto"/>
              <w:rPr>
                <w:color w:val="auto"/>
              </w:rPr>
            </w:pPr>
            <w:r>
              <w:rPr>
                <w:rFonts w:hint="eastAsia"/>
                <w:color w:val="auto"/>
              </w:rPr>
              <w:t>表2-4 项目主要原辅材料理化性质一览表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6861"/>
            </w:tblGrid>
            <w:tr w14:paraId="7D51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6" w:type="dxa"/>
                  <w:vAlign w:val="center"/>
                </w:tcPr>
                <w:p w14:paraId="48FC6E1D">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名称</w:t>
                  </w:r>
                </w:p>
              </w:tc>
              <w:tc>
                <w:tcPr>
                  <w:tcW w:w="6861" w:type="dxa"/>
                  <w:vAlign w:val="center"/>
                </w:tcPr>
                <w:p w14:paraId="26FDF5B6">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理化性质</w:t>
                  </w:r>
                </w:p>
              </w:tc>
            </w:tr>
            <w:tr w14:paraId="19E1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6" w:type="dxa"/>
                  <w:vAlign w:val="center"/>
                </w:tcPr>
                <w:p w14:paraId="4404CE08">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聚对苯二甲酸乙二醇酯（PET）</w:t>
                  </w:r>
                </w:p>
              </w:tc>
              <w:tc>
                <w:tcPr>
                  <w:tcW w:w="6861" w:type="dxa"/>
                </w:tcPr>
                <w:p w14:paraId="4C9EAAC0">
                  <w:pPr>
                    <w:keepNext w:val="0"/>
                    <w:keepLines w:val="0"/>
                    <w:pageBreakBefore w:val="0"/>
                    <w:widowControl w:val="0"/>
                    <w:tabs>
                      <w:tab w:val="left" w:pos="3225"/>
                    </w:tabs>
                    <w:kinsoku/>
                    <w:wordWrap/>
                    <w:overflowPunct/>
                    <w:topLinePunct w:val="0"/>
                    <w:autoSpaceDE/>
                    <w:autoSpaceDN/>
                    <w:bidi w:val="0"/>
                    <w:adjustRightInd/>
                    <w:snapToGrid/>
                    <w:spacing w:line="240" w:lineRule="auto"/>
                    <w:ind w:firstLine="420" w:firstLineChars="200"/>
                    <w:jc w:val="left"/>
                    <w:textAlignment w:val="auto"/>
                    <w:rPr>
                      <w:color w:val="auto"/>
                      <w:sz w:val="21"/>
                      <w:szCs w:val="21"/>
                    </w:rPr>
                  </w:pPr>
                  <w:r>
                    <w:rPr>
                      <w:color w:val="auto"/>
                      <w:sz w:val="21"/>
                      <w:szCs w:val="21"/>
                    </w:rPr>
                    <w:t>PET中文名称为聚对二苯二甲酸乙二醇脂树脂，化学式为(C</w:t>
                  </w:r>
                  <w:r>
                    <w:rPr>
                      <w:color w:val="auto"/>
                      <w:sz w:val="21"/>
                      <w:szCs w:val="21"/>
                      <w:vertAlign w:val="subscript"/>
                    </w:rPr>
                    <w:t>10</w:t>
                  </w:r>
                  <w:r>
                    <w:rPr>
                      <w:color w:val="auto"/>
                      <w:sz w:val="21"/>
                      <w:szCs w:val="21"/>
                    </w:rPr>
                    <w:t>H</w:t>
                  </w:r>
                  <w:r>
                    <w:rPr>
                      <w:color w:val="auto"/>
                      <w:sz w:val="21"/>
                      <w:szCs w:val="21"/>
                      <w:vertAlign w:val="subscript"/>
                    </w:rPr>
                    <w:t>8</w:t>
                  </w:r>
                  <w:r>
                    <w:rPr>
                      <w:color w:val="auto"/>
                      <w:sz w:val="21"/>
                      <w:szCs w:val="21"/>
                    </w:rPr>
                    <w:t>O</w:t>
                  </w:r>
                  <w:r>
                    <w:rPr>
                      <w:color w:val="auto"/>
                      <w:sz w:val="21"/>
                      <w:szCs w:val="21"/>
                      <w:vertAlign w:val="subscript"/>
                    </w:rPr>
                    <w:t>4</w:t>
                  </w:r>
                  <w:r>
                    <w:rPr>
                      <w:color w:val="auto"/>
                      <w:sz w:val="21"/>
                      <w:szCs w:val="21"/>
                    </w:rPr>
                    <w:t>)</w:t>
                  </w:r>
                  <w:r>
                    <w:rPr>
                      <w:i/>
                      <w:iCs/>
                      <w:color w:val="auto"/>
                      <w:sz w:val="21"/>
                      <w:szCs w:val="21"/>
                    </w:rPr>
                    <w:t>n</w:t>
                  </w:r>
                  <w:r>
                    <w:rPr>
                      <w:color w:val="auto"/>
                      <w:sz w:val="21"/>
                      <w:szCs w:val="21"/>
                    </w:rPr>
                    <w:t>，熔点为</w:t>
                  </w:r>
                  <w:bookmarkStart w:id="50" w:name="OLE_LINK51"/>
                  <w:r>
                    <w:rPr>
                      <w:color w:val="auto"/>
                      <w:sz w:val="21"/>
                      <w:szCs w:val="21"/>
                    </w:rPr>
                    <w:t>250-255℃，分解温度为300℃</w:t>
                  </w:r>
                  <w:bookmarkEnd w:id="50"/>
                  <w:r>
                    <w:rPr>
                      <w:color w:val="auto"/>
                      <w:sz w:val="21"/>
                      <w:szCs w:val="21"/>
                    </w:rPr>
                    <w:t>，CAS号：25038-59-9。</w:t>
                  </w:r>
                </w:p>
                <w:p w14:paraId="20433DE4">
                  <w:pPr>
                    <w:keepNext w:val="0"/>
                    <w:keepLines w:val="0"/>
                    <w:pageBreakBefore w:val="0"/>
                    <w:widowControl w:val="0"/>
                    <w:tabs>
                      <w:tab w:val="left" w:pos="3225"/>
                    </w:tabs>
                    <w:kinsoku/>
                    <w:wordWrap/>
                    <w:overflowPunct/>
                    <w:topLinePunct w:val="0"/>
                    <w:autoSpaceDE/>
                    <w:autoSpaceDN/>
                    <w:bidi w:val="0"/>
                    <w:adjustRightInd/>
                    <w:snapToGrid/>
                    <w:spacing w:line="240" w:lineRule="auto"/>
                    <w:ind w:firstLine="420" w:firstLineChars="200"/>
                    <w:jc w:val="left"/>
                    <w:textAlignment w:val="auto"/>
                    <w:rPr>
                      <w:color w:val="auto"/>
                      <w:sz w:val="21"/>
                      <w:szCs w:val="21"/>
                    </w:rPr>
                  </w:pPr>
                  <w:r>
                    <w:rPr>
                      <w:color w:val="auto"/>
                      <w:sz w:val="21"/>
                      <w:szCs w:val="21"/>
                    </w:rPr>
                    <w:t>PET聚酯薄膜具有优异的物理、化学性能、透明性、可回收性，可广泛应用于饮料包装、磁记录、感光材料、电子、电器绝缘、工业用膜及包装装饰等领域。PET是乳白色或浅黄色高度结晶性的聚合物，表面平滑而有光泽。无毒、耐气候性、抗化学药品稳定性好，吸水率低，耐弱酸和有机溶剂，但不耐热水侵泡和不耐碱。</w:t>
                  </w:r>
                </w:p>
              </w:tc>
            </w:tr>
            <w:tr w14:paraId="43A0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6" w:type="dxa"/>
                  <w:vAlign w:val="center"/>
                </w:tcPr>
                <w:p w14:paraId="4790E068">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聚乙烯（PE）</w:t>
                  </w:r>
                </w:p>
              </w:tc>
              <w:tc>
                <w:tcPr>
                  <w:tcW w:w="6861" w:type="dxa"/>
                </w:tcPr>
                <w:p w14:paraId="72D802BB">
                  <w:pPr>
                    <w:keepNext w:val="0"/>
                    <w:keepLines w:val="0"/>
                    <w:pageBreakBefore w:val="0"/>
                    <w:widowControl w:val="0"/>
                    <w:tabs>
                      <w:tab w:val="left" w:pos="3225"/>
                    </w:tabs>
                    <w:kinsoku/>
                    <w:wordWrap/>
                    <w:overflowPunct/>
                    <w:topLinePunct w:val="0"/>
                    <w:autoSpaceDE/>
                    <w:autoSpaceDN/>
                    <w:bidi w:val="0"/>
                    <w:adjustRightInd/>
                    <w:snapToGrid/>
                    <w:spacing w:line="240" w:lineRule="auto"/>
                    <w:ind w:firstLine="420" w:firstLineChars="200"/>
                    <w:jc w:val="left"/>
                    <w:textAlignment w:val="auto"/>
                    <w:rPr>
                      <w:color w:val="auto"/>
                      <w:sz w:val="21"/>
                      <w:szCs w:val="21"/>
                    </w:rPr>
                  </w:pPr>
                  <w:r>
                    <w:rPr>
                      <w:color w:val="auto"/>
                      <w:sz w:val="21"/>
                      <w:szCs w:val="21"/>
                    </w:rPr>
                    <w:t>聚乙烯(polvethylene，简称PE)是乙烯经聚合制得的一种热塑性树脂。在工业上，也包括乙烯与少量a-烯烃的共聚物。聚乙烯无臭，无毒，手感似蜡，具有优良的耐低温性能(最低使用温度可达-100~-70°C)，化学稳定性好，能耐大多数酸碱的侵蚀(不耐具有氧化性质的酸)。常温下不溶于一般溶剂，吸水性小，电绝缘性优良。聚乙烯分子量越高，其物理力学性能越好，越接近工程材料的要求水平。但分子量越高，其加工的难度也随之增大。聚乙烯</w:t>
                  </w:r>
                  <w:bookmarkStart w:id="51" w:name="OLE_LINK52"/>
                  <w:r>
                    <w:rPr>
                      <w:color w:val="auto"/>
                      <w:sz w:val="21"/>
                      <w:szCs w:val="21"/>
                    </w:rPr>
                    <w:t>熔点为100-130℃</w:t>
                  </w:r>
                  <w:bookmarkEnd w:id="51"/>
                  <w:r>
                    <w:rPr>
                      <w:color w:val="auto"/>
                      <w:sz w:val="21"/>
                      <w:szCs w:val="21"/>
                    </w:rPr>
                    <w:t>其耐低温性能优良，在-60℃下仍可保持良好的力学性能，但使用温度在80~110℃。</w:t>
                  </w:r>
                </w:p>
                <w:p w14:paraId="1F97AD11">
                  <w:pPr>
                    <w:keepNext w:val="0"/>
                    <w:keepLines w:val="0"/>
                    <w:pageBreakBefore w:val="0"/>
                    <w:widowControl w:val="0"/>
                    <w:tabs>
                      <w:tab w:val="left" w:pos="3225"/>
                    </w:tabs>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聚乙烯化学稳定性较好，室温下可耐稀硝酸、稀硫酸和任何浓度的盐酸、氢氟酸、磷酸、甲酸、醋酸、氨水、胺类、过氧化氢、氢氧化钠、氢氧化钾等溶液。但不耐强氧化的腐饨，如发烟硫酸·浓硝酸、铬酸与硫酸的混合液在室温下上述溶剂会对聚乙烯产生缓慢的侵蚀作用，而在90-100℃下，浓硫酸和浓硝酸会快速地侵蚀聚乙烯，使其破坏或分解。</w:t>
                  </w:r>
                </w:p>
              </w:tc>
            </w:tr>
            <w:tr w14:paraId="6F38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6" w:type="dxa"/>
                  <w:vAlign w:val="center"/>
                </w:tcPr>
                <w:p w14:paraId="77CA57EB">
                  <w:pPr>
                    <w:keepNext w:val="0"/>
                    <w:keepLines w:val="0"/>
                    <w:pageBreakBefore w:val="0"/>
                    <w:widowControl w:val="0"/>
                    <w:tabs>
                      <w:tab w:val="left" w:pos="3225"/>
                    </w:tabs>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色母粒</w:t>
                  </w:r>
                </w:p>
              </w:tc>
              <w:tc>
                <w:tcPr>
                  <w:tcW w:w="6861" w:type="dxa"/>
                </w:tcPr>
                <w:p w14:paraId="25426E6D">
                  <w:pPr>
                    <w:keepNext w:val="0"/>
                    <w:keepLines w:val="0"/>
                    <w:pageBreakBefore w:val="0"/>
                    <w:widowControl w:val="0"/>
                    <w:tabs>
                      <w:tab w:val="left" w:pos="3225"/>
                    </w:tabs>
                    <w:kinsoku/>
                    <w:wordWrap/>
                    <w:overflowPunct/>
                    <w:topLinePunct w:val="0"/>
                    <w:autoSpaceDE/>
                    <w:autoSpaceDN/>
                    <w:bidi w:val="0"/>
                    <w:adjustRightInd/>
                    <w:snapToGrid/>
                    <w:spacing w:line="240" w:lineRule="auto"/>
                    <w:ind w:firstLine="420" w:firstLineChars="200"/>
                    <w:jc w:val="left"/>
                    <w:textAlignment w:val="auto"/>
                    <w:rPr>
                      <w:color w:val="auto"/>
                      <w:sz w:val="21"/>
                      <w:szCs w:val="21"/>
                    </w:rPr>
                  </w:pPr>
                  <w:r>
                    <w:rPr>
                      <w:color w:val="auto"/>
                      <w:sz w:val="21"/>
                      <w:szCs w:val="21"/>
                    </w:rPr>
                    <w:t>由高比例的颜料或添加剂与热塑性树脂，经良好分散面成的塑料着色剂，所选用的树脂对着色剂具有良好润湿和分散作用，并且与被着色材料具有良好的相容性。无毒、无臭、无味的塑料粒子。</w:t>
                  </w:r>
                </w:p>
              </w:tc>
            </w:tr>
          </w:tbl>
          <w:p w14:paraId="490FF412">
            <w:pPr>
              <w:adjustRightInd w:val="0"/>
              <w:snapToGrid w:val="0"/>
              <w:ind w:firstLine="482" w:firstLineChars="200"/>
              <w:rPr>
                <w:b/>
                <w:bCs/>
                <w:color w:val="auto"/>
              </w:rPr>
            </w:pPr>
            <w:r>
              <w:rPr>
                <w:b/>
                <w:bCs/>
                <w:color w:val="auto"/>
              </w:rPr>
              <w:t>4、生产设备</w:t>
            </w:r>
          </w:p>
          <w:p w14:paraId="66E602C0">
            <w:pPr>
              <w:adjustRightInd w:val="0"/>
              <w:snapToGrid w:val="0"/>
              <w:ind w:firstLine="480" w:firstLineChars="200"/>
              <w:rPr>
                <w:color w:val="auto"/>
              </w:rPr>
            </w:pPr>
            <w:r>
              <w:rPr>
                <w:color w:val="auto"/>
              </w:rPr>
              <w:t>项目主要生产设备见表2-</w:t>
            </w:r>
            <w:r>
              <w:rPr>
                <w:rFonts w:hint="eastAsia"/>
                <w:color w:val="auto"/>
              </w:rPr>
              <w:t>5</w:t>
            </w:r>
            <w:r>
              <w:rPr>
                <w:color w:val="auto"/>
              </w:rPr>
              <w:t>。</w:t>
            </w:r>
          </w:p>
          <w:p w14:paraId="04C5353A">
            <w:pPr>
              <w:pStyle w:val="136"/>
              <w:spacing w:line="240" w:lineRule="auto"/>
              <w:rPr>
                <w:color w:val="auto"/>
              </w:rPr>
            </w:pPr>
            <w:r>
              <w:rPr>
                <w:color w:val="auto"/>
              </w:rPr>
              <w:t>表2-</w:t>
            </w:r>
            <w:r>
              <w:rPr>
                <w:rFonts w:hint="eastAsia"/>
                <w:color w:val="auto"/>
              </w:rPr>
              <w:t>5</w:t>
            </w:r>
            <w:r>
              <w:rPr>
                <w:color w:val="auto"/>
              </w:rPr>
              <w:t xml:space="preserve"> </w:t>
            </w:r>
            <w:r>
              <w:rPr>
                <w:rFonts w:hint="eastAsia"/>
                <w:color w:val="auto"/>
              </w:rPr>
              <w:t>本</w:t>
            </w:r>
            <w:r>
              <w:rPr>
                <w:color w:val="auto"/>
              </w:rPr>
              <w:t>项目主要生产设备清单表</w:t>
            </w:r>
            <w:r>
              <w:rPr>
                <w:rFonts w:hint="eastAsia"/>
                <w:color w:val="auto"/>
              </w:rPr>
              <w:t>一览表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1"/>
              <w:gridCol w:w="1704"/>
              <w:gridCol w:w="1305"/>
              <w:gridCol w:w="624"/>
              <w:gridCol w:w="824"/>
              <w:gridCol w:w="3471"/>
            </w:tblGrid>
            <w:tr w14:paraId="3B4D7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noWrap/>
                  <w:tcMar>
                    <w:top w:w="15" w:type="dxa"/>
                    <w:left w:w="15" w:type="dxa"/>
                    <w:right w:w="15" w:type="dxa"/>
                  </w:tcMar>
                  <w:vAlign w:val="center"/>
                </w:tcPr>
                <w:p w14:paraId="4814A780">
                  <w:pPr>
                    <w:pStyle w:val="71"/>
                    <w:rPr>
                      <w:b/>
                      <w:bCs/>
                      <w:color w:val="auto"/>
                    </w:rPr>
                  </w:pPr>
                  <w:r>
                    <w:rPr>
                      <w:rFonts w:hint="eastAsia"/>
                      <w:b/>
                      <w:bCs/>
                      <w:color w:val="auto"/>
                    </w:rPr>
                    <w:t>序号</w:t>
                  </w:r>
                </w:p>
              </w:tc>
              <w:tc>
                <w:tcPr>
                  <w:tcW w:w="1016" w:type="pct"/>
                  <w:noWrap/>
                  <w:tcMar>
                    <w:top w:w="15" w:type="dxa"/>
                    <w:left w:w="15" w:type="dxa"/>
                    <w:right w:w="15" w:type="dxa"/>
                  </w:tcMar>
                  <w:vAlign w:val="center"/>
                </w:tcPr>
                <w:p w14:paraId="2BFBA2A5">
                  <w:pPr>
                    <w:pStyle w:val="71"/>
                    <w:rPr>
                      <w:b/>
                      <w:bCs/>
                      <w:color w:val="auto"/>
                    </w:rPr>
                  </w:pPr>
                  <w:r>
                    <w:rPr>
                      <w:rFonts w:hint="eastAsia"/>
                      <w:b/>
                      <w:bCs/>
                      <w:color w:val="auto"/>
                    </w:rPr>
                    <w:t>设备名称</w:t>
                  </w:r>
                </w:p>
              </w:tc>
              <w:tc>
                <w:tcPr>
                  <w:tcW w:w="778" w:type="pct"/>
                  <w:noWrap/>
                  <w:tcMar>
                    <w:top w:w="15" w:type="dxa"/>
                    <w:left w:w="15" w:type="dxa"/>
                    <w:right w:w="15" w:type="dxa"/>
                  </w:tcMar>
                  <w:vAlign w:val="center"/>
                </w:tcPr>
                <w:p w14:paraId="63580E87">
                  <w:pPr>
                    <w:pStyle w:val="71"/>
                    <w:rPr>
                      <w:b/>
                      <w:bCs/>
                      <w:color w:val="auto"/>
                    </w:rPr>
                  </w:pPr>
                  <w:r>
                    <w:rPr>
                      <w:rFonts w:hint="eastAsia"/>
                      <w:b/>
                      <w:bCs/>
                      <w:color w:val="auto"/>
                    </w:rPr>
                    <w:t>规格</w:t>
                  </w:r>
                </w:p>
              </w:tc>
              <w:tc>
                <w:tcPr>
                  <w:tcW w:w="372" w:type="pct"/>
                  <w:noWrap/>
                  <w:tcMar>
                    <w:top w:w="15" w:type="dxa"/>
                    <w:left w:w="15" w:type="dxa"/>
                    <w:right w:w="15" w:type="dxa"/>
                  </w:tcMar>
                  <w:vAlign w:val="center"/>
                </w:tcPr>
                <w:p w14:paraId="48197C33">
                  <w:pPr>
                    <w:pStyle w:val="71"/>
                    <w:rPr>
                      <w:b/>
                      <w:bCs/>
                      <w:color w:val="auto"/>
                    </w:rPr>
                  </w:pPr>
                  <w:r>
                    <w:rPr>
                      <w:rFonts w:hint="eastAsia"/>
                      <w:b/>
                      <w:bCs/>
                      <w:color w:val="auto"/>
                    </w:rPr>
                    <w:t>数量</w:t>
                  </w:r>
                </w:p>
              </w:tc>
              <w:tc>
                <w:tcPr>
                  <w:tcW w:w="491" w:type="pct"/>
                  <w:noWrap/>
                  <w:tcMar>
                    <w:top w:w="15" w:type="dxa"/>
                    <w:left w:w="15" w:type="dxa"/>
                    <w:right w:w="15" w:type="dxa"/>
                  </w:tcMar>
                  <w:vAlign w:val="center"/>
                </w:tcPr>
                <w:p w14:paraId="5A884170">
                  <w:pPr>
                    <w:pStyle w:val="71"/>
                    <w:rPr>
                      <w:b/>
                      <w:bCs/>
                      <w:color w:val="auto"/>
                    </w:rPr>
                  </w:pPr>
                  <w:r>
                    <w:rPr>
                      <w:rFonts w:hint="eastAsia"/>
                      <w:b/>
                      <w:bCs/>
                      <w:color w:val="auto"/>
                    </w:rPr>
                    <w:t>单位</w:t>
                  </w:r>
                </w:p>
              </w:tc>
              <w:tc>
                <w:tcPr>
                  <w:tcW w:w="2071" w:type="pct"/>
                  <w:noWrap/>
                  <w:tcMar>
                    <w:top w:w="15" w:type="dxa"/>
                    <w:left w:w="15" w:type="dxa"/>
                    <w:right w:w="15" w:type="dxa"/>
                  </w:tcMar>
                  <w:vAlign w:val="center"/>
                </w:tcPr>
                <w:p w14:paraId="72B1ED61">
                  <w:pPr>
                    <w:pStyle w:val="71"/>
                    <w:rPr>
                      <w:b/>
                      <w:bCs/>
                      <w:color w:val="auto"/>
                    </w:rPr>
                  </w:pPr>
                  <w:r>
                    <w:rPr>
                      <w:rFonts w:hint="eastAsia"/>
                      <w:b/>
                      <w:bCs/>
                      <w:color w:val="auto"/>
                    </w:rPr>
                    <w:t>备注</w:t>
                  </w:r>
                </w:p>
              </w:tc>
            </w:tr>
            <w:tr w14:paraId="3882B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noWrap/>
                  <w:tcMar>
                    <w:top w:w="15" w:type="dxa"/>
                    <w:left w:w="15" w:type="dxa"/>
                    <w:right w:w="15" w:type="dxa"/>
                  </w:tcMar>
                  <w:vAlign w:val="center"/>
                </w:tcPr>
                <w:p w14:paraId="2D1A9B30">
                  <w:pPr>
                    <w:pStyle w:val="71"/>
                    <w:rPr>
                      <w:color w:val="auto"/>
                    </w:rPr>
                  </w:pPr>
                  <w:bookmarkStart w:id="52" w:name="OLE_LINK66" w:colFirst="1" w:colLast="1"/>
                  <w:r>
                    <w:rPr>
                      <w:rFonts w:hint="eastAsia"/>
                      <w:color w:val="auto"/>
                    </w:rPr>
                    <w:t>1</w:t>
                  </w:r>
                </w:p>
              </w:tc>
              <w:tc>
                <w:tcPr>
                  <w:tcW w:w="1016" w:type="pct"/>
                  <w:noWrap/>
                  <w:tcMar>
                    <w:top w:w="15" w:type="dxa"/>
                    <w:left w:w="15" w:type="dxa"/>
                    <w:right w:w="15" w:type="dxa"/>
                  </w:tcMar>
                  <w:vAlign w:val="center"/>
                </w:tcPr>
                <w:p w14:paraId="63C06FFA">
                  <w:pPr>
                    <w:pStyle w:val="71"/>
                    <w:rPr>
                      <w:rFonts w:hint="eastAsia" w:eastAsia="宋体"/>
                      <w:color w:val="auto"/>
                      <w:lang w:val="en-US" w:eastAsia="zh-CN"/>
                    </w:rPr>
                  </w:pPr>
                  <w:r>
                    <w:rPr>
                      <w:rFonts w:hint="eastAsia"/>
                      <w:color w:val="auto"/>
                      <w:lang w:eastAsia="zh-CN"/>
                    </w:rPr>
                    <w:t>瓶坯</w:t>
                  </w:r>
                  <w:r>
                    <w:rPr>
                      <w:rFonts w:hint="eastAsia"/>
                      <w:color w:val="auto"/>
                    </w:rPr>
                    <w:t>注</w:t>
                  </w:r>
                  <w:r>
                    <w:rPr>
                      <w:rFonts w:hint="default" w:ascii="Times New Roman" w:hAnsi="Times New Roman" w:cs="Times New Roman"/>
                      <w:color w:val="auto"/>
                    </w:rPr>
                    <w:t>塑机</w:t>
                  </w:r>
                  <w:r>
                    <w:rPr>
                      <w:rFonts w:hint="default" w:ascii="Times New Roman" w:hAnsi="Times New Roman" w:cs="Times New Roman"/>
                      <w:color w:val="auto"/>
                      <w:vertAlign w:val="superscript"/>
                      <w:lang w:val="en-US" w:eastAsia="zh-CN"/>
                    </w:rPr>
                    <w:t>a</w:t>
                  </w:r>
                </w:p>
              </w:tc>
              <w:tc>
                <w:tcPr>
                  <w:tcW w:w="778" w:type="pct"/>
                  <w:noWrap/>
                  <w:tcMar>
                    <w:top w:w="15" w:type="dxa"/>
                    <w:left w:w="15" w:type="dxa"/>
                    <w:right w:w="15" w:type="dxa"/>
                  </w:tcMar>
                  <w:vAlign w:val="center"/>
                </w:tcPr>
                <w:p w14:paraId="57F6C89D">
                  <w:pPr>
                    <w:pStyle w:val="71"/>
                    <w:rPr>
                      <w:rFonts w:hint="default"/>
                      <w:color w:val="auto"/>
                      <w:u w:val="single"/>
                      <w:lang w:val="en-US" w:eastAsia="zh-CN"/>
                    </w:rPr>
                  </w:pPr>
                  <w:r>
                    <w:rPr>
                      <w:rFonts w:hint="eastAsia" w:ascii="Times New Roman" w:hAnsi="Times New Roman" w:cs="Times New Roman"/>
                      <w:color w:val="auto"/>
                      <w:u w:val="single"/>
                      <w:lang w:val="en-US" w:eastAsia="zh-CN"/>
                    </w:rPr>
                    <w:t>280/</w:t>
                  </w:r>
                  <w:r>
                    <w:rPr>
                      <w:rFonts w:ascii="Times New Roman" w:hAnsi="Times New Roman" w:cs="Times New Roman"/>
                      <w:color w:val="auto"/>
                      <w:u w:val="single"/>
                    </w:rPr>
                    <w:t>320/400</w:t>
                  </w:r>
                  <w:r>
                    <w:rPr>
                      <w:rFonts w:hint="eastAsia" w:ascii="Times New Roman" w:hAnsi="Times New Roman" w:cs="Times New Roman"/>
                      <w:color w:val="auto"/>
                      <w:u w:val="single"/>
                      <w:lang w:val="en-US" w:eastAsia="zh-CN"/>
                    </w:rPr>
                    <w:t>/</w:t>
                  </w:r>
                  <w:r>
                    <w:rPr>
                      <w:rFonts w:ascii="Times New Roman" w:hAnsi="Times New Roman" w:cs="Times New Roman"/>
                      <w:color w:val="auto"/>
                      <w:u w:val="single"/>
                    </w:rPr>
                    <w:t>480</w:t>
                  </w:r>
                  <w:r>
                    <w:rPr>
                      <w:rFonts w:hint="eastAsia" w:ascii="Times New Roman" w:hAnsi="Times New Roman" w:cs="Times New Roman"/>
                      <w:color w:val="auto"/>
                      <w:u w:val="single"/>
                      <w:lang w:val="en-US" w:eastAsia="zh-CN"/>
                    </w:rPr>
                    <w:t>L，生产能力0.1t/h</w:t>
                  </w:r>
                </w:p>
              </w:tc>
              <w:tc>
                <w:tcPr>
                  <w:tcW w:w="372" w:type="pct"/>
                  <w:noWrap/>
                  <w:tcMar>
                    <w:top w:w="15" w:type="dxa"/>
                    <w:left w:w="15" w:type="dxa"/>
                    <w:right w:w="15" w:type="dxa"/>
                  </w:tcMar>
                  <w:vAlign w:val="center"/>
                </w:tcPr>
                <w:p w14:paraId="74127F20">
                  <w:pPr>
                    <w:pStyle w:val="71"/>
                    <w:rPr>
                      <w:rFonts w:hint="eastAsia" w:ascii="Times New Roman" w:hAnsi="Times New Roman" w:eastAsia="宋体" w:cs="Times New Roman"/>
                      <w:color w:val="auto"/>
                      <w:u w:val="single"/>
                      <w:lang w:eastAsia="zh-CN"/>
                    </w:rPr>
                  </w:pPr>
                  <w:r>
                    <w:rPr>
                      <w:rFonts w:hint="eastAsia" w:ascii="Times New Roman" w:hAnsi="Times New Roman" w:cs="Times New Roman"/>
                      <w:color w:val="auto"/>
                      <w:u w:val="single"/>
                      <w:lang w:val="en-US" w:eastAsia="zh-CN"/>
                    </w:rPr>
                    <w:t>4</w:t>
                  </w:r>
                </w:p>
              </w:tc>
              <w:tc>
                <w:tcPr>
                  <w:tcW w:w="491" w:type="pct"/>
                  <w:noWrap/>
                  <w:tcMar>
                    <w:top w:w="15" w:type="dxa"/>
                    <w:left w:w="15" w:type="dxa"/>
                    <w:right w:w="15" w:type="dxa"/>
                  </w:tcMar>
                  <w:vAlign w:val="center"/>
                </w:tcPr>
                <w:p w14:paraId="3A9801A7">
                  <w:pPr>
                    <w:pStyle w:val="71"/>
                    <w:rPr>
                      <w:rFonts w:ascii="Times New Roman" w:hAnsi="Times New Roman" w:cs="Times New Roman"/>
                      <w:color w:val="auto"/>
                      <w:u w:val="single"/>
                    </w:rPr>
                  </w:pPr>
                  <w:r>
                    <w:rPr>
                      <w:rFonts w:ascii="Times New Roman" w:hAnsi="Times New Roman" w:cs="Times New Roman"/>
                      <w:color w:val="auto"/>
                      <w:u w:val="single"/>
                    </w:rPr>
                    <w:t>台</w:t>
                  </w:r>
                </w:p>
              </w:tc>
              <w:tc>
                <w:tcPr>
                  <w:tcW w:w="2071" w:type="pct"/>
                  <w:noWrap/>
                  <w:tcMar>
                    <w:top w:w="15" w:type="dxa"/>
                    <w:left w:w="15" w:type="dxa"/>
                    <w:right w:w="15" w:type="dxa"/>
                  </w:tcMar>
                  <w:vAlign w:val="center"/>
                </w:tcPr>
                <w:p w14:paraId="650A5F48">
                  <w:pPr>
                    <w:pStyle w:val="71"/>
                    <w:rPr>
                      <w:rFonts w:ascii="Times New Roman" w:hAnsi="Times New Roman" w:cs="Times New Roman"/>
                      <w:color w:val="auto"/>
                      <w:u w:val="single"/>
                    </w:rPr>
                  </w:pPr>
                  <w:r>
                    <w:rPr>
                      <w:rFonts w:hint="eastAsia" w:ascii="Times New Roman" w:hAnsi="Times New Roman" w:cs="Times New Roman"/>
                      <w:color w:val="auto"/>
                      <w:u w:val="single"/>
                      <w:lang w:val="en-US" w:eastAsia="zh-CN"/>
                    </w:rPr>
                    <w:t>/</w:t>
                  </w:r>
                </w:p>
              </w:tc>
            </w:tr>
            <w:tr w14:paraId="7F9A4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noWrap/>
                  <w:tcMar>
                    <w:top w:w="15" w:type="dxa"/>
                    <w:left w:w="15" w:type="dxa"/>
                    <w:right w:w="15" w:type="dxa"/>
                  </w:tcMar>
                  <w:vAlign w:val="center"/>
                </w:tcPr>
                <w:p w14:paraId="1DF1AC1C">
                  <w:pPr>
                    <w:pStyle w:val="71"/>
                    <w:rPr>
                      <w:rFonts w:hint="eastAsia" w:ascii="Calibri" w:hAnsi="Calibri" w:eastAsia="宋体" w:cs="Courier New"/>
                      <w:color w:val="auto"/>
                      <w:kern w:val="2"/>
                      <w:sz w:val="21"/>
                      <w:szCs w:val="22"/>
                      <w:lang w:val="en-US" w:eastAsia="zh-CN" w:bidi="ar-SA"/>
                    </w:rPr>
                  </w:pPr>
                  <w:r>
                    <w:rPr>
                      <w:rFonts w:hint="eastAsia" w:cs="Courier New"/>
                      <w:color w:val="auto"/>
                      <w:kern w:val="2"/>
                      <w:sz w:val="21"/>
                      <w:szCs w:val="22"/>
                      <w:lang w:val="en-US" w:eastAsia="zh-CN" w:bidi="ar-SA"/>
                    </w:rPr>
                    <w:t>2</w:t>
                  </w:r>
                </w:p>
              </w:tc>
              <w:tc>
                <w:tcPr>
                  <w:tcW w:w="1016" w:type="pct"/>
                  <w:noWrap/>
                  <w:tcMar>
                    <w:top w:w="15" w:type="dxa"/>
                    <w:left w:w="15" w:type="dxa"/>
                    <w:right w:w="15" w:type="dxa"/>
                  </w:tcMar>
                  <w:vAlign w:val="center"/>
                </w:tcPr>
                <w:p w14:paraId="53F5FC32">
                  <w:pPr>
                    <w:pStyle w:val="71"/>
                    <w:rPr>
                      <w:rFonts w:hint="eastAsia"/>
                      <w:color w:val="auto"/>
                      <w:lang w:eastAsia="zh-CN"/>
                    </w:rPr>
                  </w:pPr>
                  <w:r>
                    <w:rPr>
                      <w:rFonts w:hint="eastAsia"/>
                      <w:color w:val="auto"/>
                      <w:lang w:eastAsia="zh-CN"/>
                    </w:rPr>
                    <w:t>盖提注塑机</w:t>
                  </w:r>
                </w:p>
              </w:tc>
              <w:tc>
                <w:tcPr>
                  <w:tcW w:w="778" w:type="pct"/>
                  <w:noWrap/>
                  <w:tcMar>
                    <w:top w:w="15" w:type="dxa"/>
                    <w:left w:w="15" w:type="dxa"/>
                    <w:right w:w="15" w:type="dxa"/>
                  </w:tcMar>
                  <w:vAlign w:val="center"/>
                </w:tcPr>
                <w:p w14:paraId="7BEAB53C">
                  <w:pPr>
                    <w:jc w:val="center"/>
                    <w:rPr>
                      <w:rFonts w:hint="default"/>
                      <w:color w:val="auto"/>
                      <w:lang w:val="en-US" w:eastAsia="zh-CN"/>
                    </w:rPr>
                  </w:pPr>
                  <w:r>
                    <w:rPr>
                      <w:rFonts w:hint="eastAsia" w:ascii="Calibri" w:hAnsi="Calibri" w:cs="Courier New"/>
                      <w:color w:val="auto"/>
                      <w:kern w:val="2"/>
                      <w:sz w:val="21"/>
                      <w:szCs w:val="22"/>
                      <w:lang w:val="en-US" w:eastAsia="zh-CN" w:bidi="ar-SA"/>
                    </w:rPr>
                    <w:t>18牙~50牙</w:t>
                  </w:r>
                </w:p>
              </w:tc>
              <w:tc>
                <w:tcPr>
                  <w:tcW w:w="372" w:type="pct"/>
                  <w:noWrap/>
                  <w:tcMar>
                    <w:top w:w="15" w:type="dxa"/>
                    <w:left w:w="15" w:type="dxa"/>
                    <w:right w:w="15" w:type="dxa"/>
                  </w:tcMar>
                  <w:vAlign w:val="center"/>
                </w:tcPr>
                <w:p w14:paraId="52BA9BC9">
                  <w:pPr>
                    <w:pStyle w:val="71"/>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w:t>
                  </w:r>
                </w:p>
              </w:tc>
              <w:tc>
                <w:tcPr>
                  <w:tcW w:w="491" w:type="pct"/>
                  <w:noWrap/>
                  <w:tcMar>
                    <w:top w:w="15" w:type="dxa"/>
                    <w:left w:w="15" w:type="dxa"/>
                    <w:right w:w="15" w:type="dxa"/>
                  </w:tcMar>
                  <w:vAlign w:val="center"/>
                </w:tcPr>
                <w:p w14:paraId="78AFB5CB">
                  <w:pPr>
                    <w:pStyle w:val="71"/>
                    <w:rPr>
                      <w:rFonts w:ascii="Times New Roman" w:hAnsi="Times New Roman" w:cs="Times New Roman"/>
                      <w:color w:val="auto"/>
                    </w:rPr>
                  </w:pPr>
                  <w:r>
                    <w:rPr>
                      <w:rFonts w:ascii="Times New Roman" w:hAnsi="Times New Roman" w:cs="Times New Roman"/>
                      <w:color w:val="auto"/>
                    </w:rPr>
                    <w:t>台</w:t>
                  </w:r>
                </w:p>
              </w:tc>
              <w:tc>
                <w:tcPr>
                  <w:tcW w:w="2071" w:type="pct"/>
                  <w:noWrap/>
                  <w:tcMar>
                    <w:top w:w="15" w:type="dxa"/>
                    <w:left w:w="15" w:type="dxa"/>
                    <w:right w:w="15" w:type="dxa"/>
                  </w:tcMar>
                  <w:vAlign w:val="center"/>
                </w:tcPr>
                <w:p w14:paraId="76219ED7">
                  <w:pPr>
                    <w:pStyle w:val="71"/>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盖提原料不需热风干燥，不需配套热风干燥桶</w:t>
                  </w:r>
                </w:p>
              </w:tc>
            </w:tr>
            <w:tr w14:paraId="4162F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noWrap/>
                  <w:tcMar>
                    <w:top w:w="15" w:type="dxa"/>
                    <w:left w:w="15" w:type="dxa"/>
                    <w:right w:w="15" w:type="dxa"/>
                  </w:tcMar>
                  <w:vAlign w:val="center"/>
                </w:tcPr>
                <w:p w14:paraId="6AD482CD">
                  <w:pPr>
                    <w:pStyle w:val="71"/>
                    <w:rPr>
                      <w:rFonts w:hint="default" w:ascii="Calibri" w:hAnsi="Calibri" w:eastAsia="宋体" w:cs="Courier New"/>
                      <w:color w:val="auto"/>
                      <w:kern w:val="2"/>
                      <w:sz w:val="21"/>
                      <w:szCs w:val="22"/>
                      <w:lang w:val="en-US" w:eastAsia="zh-CN" w:bidi="ar-SA"/>
                    </w:rPr>
                  </w:pPr>
                  <w:r>
                    <w:rPr>
                      <w:rFonts w:hint="eastAsia"/>
                      <w:color w:val="auto"/>
                    </w:rPr>
                    <w:t>3</w:t>
                  </w:r>
                </w:p>
              </w:tc>
              <w:tc>
                <w:tcPr>
                  <w:tcW w:w="1016" w:type="pct"/>
                  <w:noWrap/>
                  <w:tcMar>
                    <w:top w:w="15" w:type="dxa"/>
                    <w:left w:w="15" w:type="dxa"/>
                    <w:right w:w="15" w:type="dxa"/>
                  </w:tcMar>
                  <w:vAlign w:val="center"/>
                </w:tcPr>
                <w:p w14:paraId="66B6CA20">
                  <w:pPr>
                    <w:pStyle w:val="71"/>
                    <w:rPr>
                      <w:rFonts w:hint="eastAsia" w:eastAsia="宋体"/>
                      <w:color w:val="auto"/>
                      <w:lang w:eastAsia="zh-CN"/>
                    </w:rPr>
                  </w:pPr>
                  <w:r>
                    <w:rPr>
                      <w:rFonts w:hint="eastAsia"/>
                      <w:color w:val="auto"/>
                      <w:lang w:eastAsia="zh-CN"/>
                    </w:rPr>
                    <w:t>热风干燥桶</w:t>
                  </w:r>
                </w:p>
              </w:tc>
              <w:tc>
                <w:tcPr>
                  <w:tcW w:w="778" w:type="pct"/>
                  <w:noWrap/>
                  <w:tcMar>
                    <w:top w:w="15" w:type="dxa"/>
                    <w:left w:w="15" w:type="dxa"/>
                    <w:right w:w="15" w:type="dxa"/>
                  </w:tcMar>
                  <w:vAlign w:val="center"/>
                </w:tcPr>
                <w:p w14:paraId="36CBC175">
                  <w:pPr>
                    <w:pStyle w:val="7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2m</w:t>
                  </w:r>
                  <w:r>
                    <w:rPr>
                      <w:rFonts w:hint="eastAsia" w:ascii="Times New Roman" w:hAnsi="Times New Roman" w:cs="Times New Roman"/>
                      <w:color w:val="auto"/>
                      <w:vertAlign w:val="superscript"/>
                      <w:lang w:val="en-US" w:eastAsia="zh-CN"/>
                    </w:rPr>
                    <w:t>3</w:t>
                  </w:r>
                </w:p>
              </w:tc>
              <w:tc>
                <w:tcPr>
                  <w:tcW w:w="372" w:type="pct"/>
                  <w:noWrap/>
                  <w:tcMar>
                    <w:top w:w="15" w:type="dxa"/>
                    <w:left w:w="15" w:type="dxa"/>
                    <w:right w:w="15" w:type="dxa"/>
                  </w:tcMar>
                  <w:vAlign w:val="center"/>
                </w:tcPr>
                <w:p w14:paraId="47312C84">
                  <w:pPr>
                    <w:pStyle w:val="71"/>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w:t>
                  </w:r>
                </w:p>
              </w:tc>
              <w:tc>
                <w:tcPr>
                  <w:tcW w:w="491" w:type="pct"/>
                  <w:noWrap/>
                  <w:tcMar>
                    <w:top w:w="15" w:type="dxa"/>
                    <w:left w:w="15" w:type="dxa"/>
                    <w:right w:w="15" w:type="dxa"/>
                  </w:tcMar>
                  <w:vAlign w:val="center"/>
                </w:tcPr>
                <w:p w14:paraId="2FFA1963">
                  <w:pPr>
                    <w:pStyle w:val="71"/>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个</w:t>
                  </w:r>
                </w:p>
              </w:tc>
              <w:tc>
                <w:tcPr>
                  <w:tcW w:w="2071" w:type="pct"/>
                  <w:noWrap/>
                  <w:tcMar>
                    <w:top w:w="15" w:type="dxa"/>
                    <w:left w:w="15" w:type="dxa"/>
                    <w:right w:w="15" w:type="dxa"/>
                  </w:tcMar>
                  <w:vAlign w:val="center"/>
                </w:tcPr>
                <w:p w14:paraId="60B71064">
                  <w:pPr>
                    <w:pStyle w:val="71"/>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eastAsia="zh-CN"/>
                    </w:rPr>
                    <w:t>每</w:t>
                  </w:r>
                  <w:r>
                    <w:rPr>
                      <w:rFonts w:hint="eastAsia" w:ascii="Times New Roman" w:hAnsi="Times New Roman" w:cs="Times New Roman"/>
                      <w:color w:val="auto"/>
                      <w:u w:val="single"/>
                      <w:lang w:val="en-US" w:eastAsia="zh-CN"/>
                    </w:rPr>
                    <w:t>2台瓶坯注塑机配套1个热风干燥桶</w:t>
                  </w:r>
                </w:p>
              </w:tc>
            </w:tr>
            <w:tr w14:paraId="5E93E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noWrap/>
                  <w:tcMar>
                    <w:top w:w="15" w:type="dxa"/>
                    <w:left w:w="15" w:type="dxa"/>
                    <w:right w:w="15" w:type="dxa"/>
                  </w:tcMar>
                  <w:vAlign w:val="center"/>
                </w:tcPr>
                <w:p w14:paraId="43F57B78">
                  <w:pPr>
                    <w:pStyle w:val="71"/>
                    <w:rPr>
                      <w:rFonts w:ascii="Calibri" w:hAnsi="Calibri" w:eastAsia="宋体" w:cs="Courier New"/>
                      <w:color w:val="auto"/>
                      <w:kern w:val="2"/>
                      <w:sz w:val="21"/>
                      <w:szCs w:val="22"/>
                      <w:lang w:val="en-US" w:eastAsia="zh-CN" w:bidi="ar-SA"/>
                    </w:rPr>
                  </w:pPr>
                  <w:r>
                    <w:rPr>
                      <w:rFonts w:hint="eastAsia"/>
                      <w:color w:val="auto"/>
                    </w:rPr>
                    <w:t>4</w:t>
                  </w:r>
                </w:p>
              </w:tc>
              <w:tc>
                <w:tcPr>
                  <w:tcW w:w="1016" w:type="pct"/>
                  <w:noWrap/>
                  <w:tcMar>
                    <w:top w:w="15" w:type="dxa"/>
                    <w:left w:w="15" w:type="dxa"/>
                    <w:right w:w="15" w:type="dxa"/>
                  </w:tcMar>
                  <w:vAlign w:val="center"/>
                </w:tcPr>
                <w:p w14:paraId="2BFC848D">
                  <w:pPr>
                    <w:pStyle w:val="71"/>
                    <w:rPr>
                      <w:color w:val="auto"/>
                    </w:rPr>
                  </w:pPr>
                  <w:bookmarkStart w:id="53" w:name="OLE_LINK38"/>
                  <w:r>
                    <w:rPr>
                      <w:rFonts w:hint="eastAsia"/>
                      <w:color w:val="auto"/>
                    </w:rPr>
                    <w:t>组盖机</w:t>
                  </w:r>
                  <w:bookmarkEnd w:id="53"/>
                </w:p>
              </w:tc>
              <w:tc>
                <w:tcPr>
                  <w:tcW w:w="778" w:type="pct"/>
                  <w:noWrap/>
                  <w:tcMar>
                    <w:top w:w="15" w:type="dxa"/>
                    <w:left w:w="15" w:type="dxa"/>
                    <w:right w:w="15" w:type="dxa"/>
                  </w:tcMar>
                  <w:vAlign w:val="center"/>
                </w:tcPr>
                <w:p w14:paraId="4577350C">
                  <w:pPr>
                    <w:pStyle w:val="71"/>
                    <w:rPr>
                      <w:rFonts w:ascii="Times New Roman" w:hAnsi="Times New Roman" w:cs="Times New Roman"/>
                      <w:color w:val="auto"/>
                    </w:rPr>
                  </w:pPr>
                  <w:r>
                    <w:rPr>
                      <w:rFonts w:ascii="Times New Roman" w:hAnsi="Times New Roman" w:cs="Times New Roman"/>
                      <w:color w:val="auto"/>
                    </w:rPr>
                    <w:t>80口</w:t>
                  </w:r>
                </w:p>
              </w:tc>
              <w:tc>
                <w:tcPr>
                  <w:tcW w:w="372" w:type="pct"/>
                  <w:noWrap/>
                  <w:tcMar>
                    <w:top w:w="15" w:type="dxa"/>
                    <w:left w:w="15" w:type="dxa"/>
                    <w:right w:w="15" w:type="dxa"/>
                  </w:tcMar>
                  <w:vAlign w:val="center"/>
                </w:tcPr>
                <w:p w14:paraId="6518245A">
                  <w:pPr>
                    <w:pStyle w:val="71"/>
                    <w:rPr>
                      <w:rFonts w:ascii="Times New Roman" w:hAnsi="Times New Roman" w:cs="Times New Roman"/>
                      <w:color w:val="auto"/>
                    </w:rPr>
                  </w:pPr>
                  <w:r>
                    <w:rPr>
                      <w:rFonts w:ascii="Times New Roman" w:hAnsi="Times New Roman" w:cs="Times New Roman"/>
                      <w:color w:val="auto"/>
                    </w:rPr>
                    <w:t>4</w:t>
                  </w:r>
                </w:p>
              </w:tc>
              <w:tc>
                <w:tcPr>
                  <w:tcW w:w="491" w:type="pct"/>
                  <w:noWrap/>
                  <w:tcMar>
                    <w:top w:w="15" w:type="dxa"/>
                    <w:left w:w="15" w:type="dxa"/>
                    <w:right w:w="15" w:type="dxa"/>
                  </w:tcMar>
                  <w:vAlign w:val="center"/>
                </w:tcPr>
                <w:p w14:paraId="355B40FE">
                  <w:pPr>
                    <w:pStyle w:val="71"/>
                    <w:rPr>
                      <w:rFonts w:ascii="Times New Roman" w:hAnsi="Times New Roman" w:cs="Times New Roman"/>
                      <w:color w:val="auto"/>
                    </w:rPr>
                  </w:pPr>
                  <w:r>
                    <w:rPr>
                      <w:rFonts w:ascii="Times New Roman" w:hAnsi="Times New Roman" w:cs="Times New Roman"/>
                      <w:color w:val="auto"/>
                    </w:rPr>
                    <w:t>台</w:t>
                  </w:r>
                </w:p>
              </w:tc>
              <w:tc>
                <w:tcPr>
                  <w:tcW w:w="2071" w:type="pct"/>
                  <w:noWrap/>
                  <w:tcMar>
                    <w:top w:w="15" w:type="dxa"/>
                    <w:left w:w="15" w:type="dxa"/>
                    <w:right w:w="15" w:type="dxa"/>
                  </w:tcMar>
                  <w:vAlign w:val="center"/>
                </w:tcPr>
                <w:p w14:paraId="21E17098">
                  <w:pPr>
                    <w:pStyle w:val="71"/>
                    <w:rPr>
                      <w:rFonts w:ascii="Times New Roman" w:hAnsi="Times New Roman" w:cs="Times New Roman"/>
                      <w:color w:val="auto"/>
                      <w:u w:val="single"/>
                    </w:rPr>
                  </w:pPr>
                  <w:r>
                    <w:rPr>
                      <w:rFonts w:hint="eastAsia" w:ascii="Times New Roman" w:hAnsi="Times New Roman" w:cs="Times New Roman"/>
                      <w:color w:val="auto"/>
                      <w:u w:val="single"/>
                    </w:rPr>
                    <w:t>/</w:t>
                  </w:r>
                </w:p>
              </w:tc>
            </w:tr>
            <w:tr w14:paraId="3808E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noWrap/>
                  <w:tcMar>
                    <w:top w:w="15" w:type="dxa"/>
                    <w:left w:w="15" w:type="dxa"/>
                    <w:right w:w="15" w:type="dxa"/>
                  </w:tcMar>
                  <w:vAlign w:val="center"/>
                </w:tcPr>
                <w:p w14:paraId="1F9C1E81">
                  <w:pPr>
                    <w:pStyle w:val="71"/>
                    <w:rPr>
                      <w:rFonts w:hint="eastAsia" w:ascii="Calibri" w:hAnsi="Calibri" w:eastAsia="宋体" w:cs="Courier New"/>
                      <w:color w:val="auto"/>
                      <w:kern w:val="2"/>
                      <w:sz w:val="21"/>
                      <w:szCs w:val="22"/>
                      <w:lang w:val="en-US" w:eastAsia="zh-CN" w:bidi="ar-SA"/>
                    </w:rPr>
                  </w:pPr>
                  <w:bookmarkStart w:id="54" w:name="OLE_LINK67" w:colFirst="1" w:colLast="1"/>
                  <w:r>
                    <w:rPr>
                      <w:rFonts w:hint="eastAsia" w:cs="Courier New"/>
                      <w:color w:val="auto"/>
                      <w:kern w:val="2"/>
                      <w:sz w:val="21"/>
                      <w:szCs w:val="22"/>
                      <w:lang w:val="en-US" w:eastAsia="zh-CN" w:bidi="ar-SA"/>
                    </w:rPr>
                    <w:t>5</w:t>
                  </w:r>
                </w:p>
              </w:tc>
              <w:tc>
                <w:tcPr>
                  <w:tcW w:w="1016" w:type="pct"/>
                  <w:noWrap/>
                  <w:tcMar>
                    <w:top w:w="15" w:type="dxa"/>
                    <w:left w:w="15" w:type="dxa"/>
                    <w:right w:w="15" w:type="dxa"/>
                  </w:tcMar>
                  <w:vAlign w:val="center"/>
                </w:tcPr>
                <w:p w14:paraId="61C09FB9">
                  <w:pPr>
                    <w:pStyle w:val="71"/>
                    <w:rPr>
                      <w:rFonts w:hint="eastAsia" w:eastAsia="宋体"/>
                      <w:color w:val="auto"/>
                      <w:lang w:eastAsia="zh-CN"/>
                    </w:rPr>
                  </w:pPr>
                  <w:r>
                    <w:rPr>
                      <w:rFonts w:hint="eastAsia"/>
                      <w:color w:val="auto"/>
                      <w:lang w:eastAsia="zh-CN"/>
                    </w:rPr>
                    <w:t>家庭式净水器</w:t>
                  </w:r>
                </w:p>
              </w:tc>
              <w:tc>
                <w:tcPr>
                  <w:tcW w:w="778" w:type="pct"/>
                  <w:noWrap/>
                  <w:tcMar>
                    <w:top w:w="15" w:type="dxa"/>
                    <w:left w:w="15" w:type="dxa"/>
                    <w:right w:w="15" w:type="dxa"/>
                  </w:tcMar>
                  <w:vAlign w:val="center"/>
                </w:tcPr>
                <w:p w14:paraId="7A4EFE48">
                  <w:pPr>
                    <w:pStyle w:val="71"/>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372" w:type="pct"/>
                  <w:noWrap/>
                  <w:tcMar>
                    <w:top w:w="15" w:type="dxa"/>
                    <w:left w:w="15" w:type="dxa"/>
                    <w:right w:w="15" w:type="dxa"/>
                  </w:tcMar>
                  <w:vAlign w:val="center"/>
                </w:tcPr>
                <w:p w14:paraId="318BCCDC">
                  <w:pPr>
                    <w:pStyle w:val="71"/>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491" w:type="pct"/>
                  <w:noWrap/>
                  <w:tcMar>
                    <w:top w:w="15" w:type="dxa"/>
                    <w:left w:w="15" w:type="dxa"/>
                    <w:right w:w="15" w:type="dxa"/>
                  </w:tcMar>
                  <w:vAlign w:val="center"/>
                </w:tcPr>
                <w:p w14:paraId="4DB119A8">
                  <w:pPr>
                    <w:pStyle w:val="7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 xml:space="preserve">台 </w:t>
                  </w:r>
                </w:p>
              </w:tc>
              <w:tc>
                <w:tcPr>
                  <w:tcW w:w="2071" w:type="pct"/>
                  <w:noWrap/>
                  <w:tcMar>
                    <w:top w:w="15" w:type="dxa"/>
                    <w:left w:w="15" w:type="dxa"/>
                    <w:right w:w="15" w:type="dxa"/>
                  </w:tcMar>
                  <w:vAlign w:val="center"/>
                </w:tcPr>
                <w:p w14:paraId="644A38E1">
                  <w:pPr>
                    <w:pStyle w:val="71"/>
                    <w:rPr>
                      <w:rFonts w:hint="eastAsia"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主要是采用活性炭过滤器进行过滤自来水中少量钙物质等。</w:t>
                  </w:r>
                </w:p>
              </w:tc>
            </w:tr>
            <w:bookmarkEnd w:id="52"/>
            <w:tr w14:paraId="4915C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shd w:val="clear" w:color="auto" w:fill="auto"/>
                  <w:noWrap/>
                  <w:tcMar>
                    <w:top w:w="15" w:type="dxa"/>
                    <w:left w:w="15" w:type="dxa"/>
                    <w:right w:w="15" w:type="dxa"/>
                  </w:tcMar>
                  <w:vAlign w:val="center"/>
                </w:tcPr>
                <w:p w14:paraId="23C111CF">
                  <w:pPr>
                    <w:pStyle w:val="71"/>
                    <w:rPr>
                      <w:rFonts w:hint="default" w:ascii="Calibri" w:hAnsi="Calibri" w:eastAsia="宋体" w:cs="Courier New"/>
                      <w:color w:val="auto"/>
                      <w:kern w:val="2"/>
                      <w:sz w:val="21"/>
                      <w:szCs w:val="22"/>
                      <w:lang w:val="en-US" w:eastAsia="zh-CN" w:bidi="ar-SA"/>
                    </w:rPr>
                  </w:pPr>
                  <w:r>
                    <w:rPr>
                      <w:rFonts w:hint="eastAsia"/>
                      <w:color w:val="auto"/>
                      <w:lang w:val="en-US" w:eastAsia="zh-CN"/>
                    </w:rPr>
                    <w:t>6</w:t>
                  </w:r>
                </w:p>
              </w:tc>
              <w:tc>
                <w:tcPr>
                  <w:tcW w:w="1016" w:type="pct"/>
                  <w:noWrap/>
                  <w:tcMar>
                    <w:top w:w="15" w:type="dxa"/>
                    <w:left w:w="15" w:type="dxa"/>
                    <w:right w:w="15" w:type="dxa"/>
                  </w:tcMar>
                  <w:vAlign w:val="center"/>
                </w:tcPr>
                <w:p w14:paraId="38BBFB8B">
                  <w:pPr>
                    <w:pStyle w:val="71"/>
                    <w:rPr>
                      <w:color w:val="auto"/>
                    </w:rPr>
                  </w:pPr>
                  <w:r>
                    <w:rPr>
                      <w:rFonts w:hint="eastAsia"/>
                      <w:color w:val="auto"/>
                      <w:lang w:eastAsia="zh-CN"/>
                    </w:rPr>
                    <w:t>冷却机</w:t>
                  </w:r>
                  <w:r>
                    <w:rPr>
                      <w:rFonts w:hint="eastAsia"/>
                      <w:color w:val="auto"/>
                    </w:rPr>
                    <w:t>循环水泵</w:t>
                  </w:r>
                </w:p>
              </w:tc>
              <w:tc>
                <w:tcPr>
                  <w:tcW w:w="778" w:type="pct"/>
                  <w:noWrap/>
                  <w:tcMar>
                    <w:top w:w="15" w:type="dxa"/>
                    <w:left w:w="15" w:type="dxa"/>
                    <w:right w:w="15" w:type="dxa"/>
                  </w:tcMar>
                  <w:vAlign w:val="center"/>
                </w:tcPr>
                <w:p w14:paraId="693304B0">
                  <w:pPr>
                    <w:pStyle w:val="71"/>
                    <w:rPr>
                      <w:rFonts w:ascii="Times New Roman" w:hAnsi="Times New Roman" w:cs="Times New Roman"/>
                      <w:color w:val="auto"/>
                    </w:rPr>
                  </w:pPr>
                  <w:r>
                    <w:rPr>
                      <w:rFonts w:ascii="Times New Roman" w:hAnsi="Times New Roman" w:cs="Times New Roman"/>
                      <w:color w:val="auto"/>
                    </w:rPr>
                    <w:t>/</w:t>
                  </w:r>
                </w:p>
              </w:tc>
              <w:tc>
                <w:tcPr>
                  <w:tcW w:w="372" w:type="pct"/>
                  <w:noWrap/>
                  <w:tcMar>
                    <w:top w:w="15" w:type="dxa"/>
                    <w:left w:w="15" w:type="dxa"/>
                    <w:right w:w="15" w:type="dxa"/>
                  </w:tcMar>
                  <w:vAlign w:val="center"/>
                </w:tcPr>
                <w:p w14:paraId="41376E70">
                  <w:pPr>
                    <w:pStyle w:val="71"/>
                    <w:rPr>
                      <w:rFonts w:ascii="Times New Roman" w:hAnsi="Times New Roman" w:cs="Times New Roman"/>
                      <w:color w:val="auto"/>
                    </w:rPr>
                  </w:pPr>
                  <w:r>
                    <w:rPr>
                      <w:rFonts w:ascii="Times New Roman" w:hAnsi="Times New Roman" w:cs="Times New Roman"/>
                      <w:color w:val="auto"/>
                    </w:rPr>
                    <w:t>1</w:t>
                  </w:r>
                </w:p>
              </w:tc>
              <w:tc>
                <w:tcPr>
                  <w:tcW w:w="491" w:type="pct"/>
                  <w:noWrap/>
                  <w:tcMar>
                    <w:top w:w="15" w:type="dxa"/>
                    <w:left w:w="15" w:type="dxa"/>
                    <w:right w:w="15" w:type="dxa"/>
                  </w:tcMar>
                  <w:vAlign w:val="center"/>
                </w:tcPr>
                <w:p w14:paraId="7BBA58BB">
                  <w:pPr>
                    <w:pStyle w:val="71"/>
                    <w:rPr>
                      <w:rFonts w:ascii="Times New Roman" w:hAnsi="Times New Roman" w:cs="Times New Roman"/>
                      <w:color w:val="auto"/>
                    </w:rPr>
                  </w:pPr>
                  <w:r>
                    <w:rPr>
                      <w:rFonts w:ascii="Times New Roman" w:hAnsi="Times New Roman" w:cs="Times New Roman"/>
                      <w:color w:val="auto"/>
                    </w:rPr>
                    <w:t>台</w:t>
                  </w:r>
                </w:p>
              </w:tc>
              <w:tc>
                <w:tcPr>
                  <w:tcW w:w="2071" w:type="pct"/>
                  <w:noWrap/>
                  <w:tcMar>
                    <w:top w:w="15" w:type="dxa"/>
                    <w:left w:w="15" w:type="dxa"/>
                    <w:right w:w="15" w:type="dxa"/>
                  </w:tcMar>
                  <w:vAlign w:val="center"/>
                </w:tcPr>
                <w:p w14:paraId="369417EA">
                  <w:pPr>
                    <w:pStyle w:val="71"/>
                    <w:rPr>
                      <w:rFonts w:ascii="Times New Roman" w:hAnsi="Times New Roman" w:cs="Times New Roman"/>
                      <w:color w:val="auto"/>
                      <w:u w:val="single"/>
                    </w:rPr>
                  </w:pPr>
                  <w:r>
                    <w:rPr>
                      <w:rFonts w:hint="eastAsia" w:ascii="Times New Roman" w:hAnsi="Times New Roman" w:cs="Times New Roman"/>
                      <w:color w:val="auto"/>
                      <w:u w:val="single"/>
                    </w:rPr>
                    <w:t>/</w:t>
                  </w:r>
                </w:p>
              </w:tc>
            </w:tr>
            <w:tr w14:paraId="272E4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9" w:type="pct"/>
                  <w:noWrap/>
                  <w:tcMar>
                    <w:top w:w="15" w:type="dxa"/>
                    <w:left w:w="15" w:type="dxa"/>
                    <w:right w:w="15" w:type="dxa"/>
                  </w:tcMar>
                  <w:vAlign w:val="center"/>
                </w:tcPr>
                <w:p w14:paraId="42D4CDF9">
                  <w:pPr>
                    <w:pStyle w:val="71"/>
                    <w:rPr>
                      <w:rFonts w:hint="default" w:eastAsia="宋体"/>
                      <w:color w:val="auto"/>
                      <w:lang w:val="en-US" w:eastAsia="zh-CN"/>
                    </w:rPr>
                  </w:pPr>
                  <w:r>
                    <w:rPr>
                      <w:rFonts w:hint="eastAsia"/>
                      <w:color w:val="auto"/>
                      <w:lang w:val="en-US" w:eastAsia="zh-CN"/>
                    </w:rPr>
                    <w:t>7</w:t>
                  </w:r>
                </w:p>
              </w:tc>
              <w:tc>
                <w:tcPr>
                  <w:tcW w:w="1016" w:type="pct"/>
                  <w:noWrap/>
                  <w:tcMar>
                    <w:top w:w="15" w:type="dxa"/>
                    <w:left w:w="15" w:type="dxa"/>
                    <w:right w:w="15" w:type="dxa"/>
                  </w:tcMar>
                  <w:vAlign w:val="center"/>
                </w:tcPr>
                <w:p w14:paraId="4A503223">
                  <w:pPr>
                    <w:pStyle w:val="71"/>
                    <w:rPr>
                      <w:rFonts w:hint="eastAsia" w:eastAsia="宋体"/>
                      <w:color w:val="auto"/>
                      <w:lang w:eastAsia="zh-CN"/>
                    </w:rPr>
                  </w:pPr>
                  <w:bookmarkStart w:id="55" w:name="OLE_LINK80"/>
                  <w:r>
                    <w:rPr>
                      <w:rFonts w:hint="eastAsia"/>
                      <w:color w:val="auto"/>
                      <w:lang w:eastAsia="zh-CN"/>
                    </w:rPr>
                    <w:t>活性炭环保设施</w:t>
                  </w:r>
                  <w:bookmarkEnd w:id="55"/>
                </w:p>
              </w:tc>
              <w:tc>
                <w:tcPr>
                  <w:tcW w:w="778" w:type="pct"/>
                  <w:noWrap/>
                  <w:tcMar>
                    <w:top w:w="15" w:type="dxa"/>
                    <w:left w:w="15" w:type="dxa"/>
                    <w:right w:w="15" w:type="dxa"/>
                  </w:tcMar>
                  <w:vAlign w:val="center"/>
                </w:tcPr>
                <w:p w14:paraId="106D0F3B">
                  <w:pPr>
                    <w:pStyle w:val="71"/>
                    <w:rPr>
                      <w:rFonts w:ascii="Times New Roman" w:hAnsi="Times New Roman" w:cs="Times New Roman"/>
                      <w:color w:val="auto"/>
                    </w:rPr>
                  </w:pPr>
                  <w:r>
                    <w:rPr>
                      <w:rFonts w:ascii="Times New Roman" w:hAnsi="Times New Roman" w:cs="Times New Roman"/>
                      <w:color w:val="auto"/>
                    </w:rPr>
                    <w:t>/</w:t>
                  </w:r>
                </w:p>
              </w:tc>
              <w:tc>
                <w:tcPr>
                  <w:tcW w:w="372" w:type="pct"/>
                  <w:noWrap/>
                  <w:tcMar>
                    <w:top w:w="15" w:type="dxa"/>
                    <w:left w:w="15" w:type="dxa"/>
                    <w:right w:w="15" w:type="dxa"/>
                  </w:tcMar>
                  <w:vAlign w:val="center"/>
                </w:tcPr>
                <w:p w14:paraId="1C2861D1">
                  <w:pPr>
                    <w:pStyle w:val="71"/>
                    <w:rPr>
                      <w:rFonts w:ascii="Times New Roman" w:hAnsi="Times New Roman" w:cs="Times New Roman"/>
                      <w:color w:val="auto"/>
                    </w:rPr>
                  </w:pPr>
                  <w:r>
                    <w:rPr>
                      <w:rFonts w:ascii="Times New Roman" w:hAnsi="Times New Roman" w:cs="Times New Roman"/>
                      <w:color w:val="auto"/>
                    </w:rPr>
                    <w:t>1</w:t>
                  </w:r>
                </w:p>
              </w:tc>
              <w:tc>
                <w:tcPr>
                  <w:tcW w:w="491" w:type="pct"/>
                  <w:noWrap/>
                  <w:tcMar>
                    <w:top w:w="15" w:type="dxa"/>
                    <w:left w:w="15" w:type="dxa"/>
                    <w:right w:w="15" w:type="dxa"/>
                  </w:tcMar>
                  <w:vAlign w:val="center"/>
                </w:tcPr>
                <w:p w14:paraId="4678374C">
                  <w:pPr>
                    <w:pStyle w:val="71"/>
                    <w:rPr>
                      <w:rFonts w:ascii="Times New Roman" w:hAnsi="Times New Roman" w:cs="Times New Roman"/>
                      <w:color w:val="auto"/>
                    </w:rPr>
                  </w:pPr>
                  <w:r>
                    <w:rPr>
                      <w:rFonts w:ascii="Times New Roman" w:hAnsi="Times New Roman" w:cs="Times New Roman"/>
                      <w:color w:val="auto"/>
                    </w:rPr>
                    <w:t>台</w:t>
                  </w:r>
                </w:p>
              </w:tc>
              <w:tc>
                <w:tcPr>
                  <w:tcW w:w="2071" w:type="pct"/>
                  <w:noWrap/>
                  <w:tcMar>
                    <w:top w:w="15" w:type="dxa"/>
                    <w:left w:w="15" w:type="dxa"/>
                    <w:right w:w="15" w:type="dxa"/>
                  </w:tcMar>
                  <w:vAlign w:val="center"/>
                </w:tcPr>
                <w:p w14:paraId="5FF0E703">
                  <w:pPr>
                    <w:pStyle w:val="71"/>
                    <w:jc w:val="center"/>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每台注塑机和组盖机产生的废气均收集到该环保处理设施</w:t>
                  </w:r>
                </w:p>
              </w:tc>
            </w:tr>
            <w:bookmarkEnd w:id="54"/>
          </w:tbl>
          <w:p w14:paraId="6E27FC42">
            <w:pPr>
              <w:pStyle w:val="111"/>
              <w:adjustRightInd w:val="0"/>
              <w:snapToGrid w:val="0"/>
              <w:spacing w:line="240" w:lineRule="auto"/>
              <w:jc w:val="left"/>
              <w:rPr>
                <w:rFonts w:hint="eastAsia" w:eastAsia="宋体"/>
                <w:bCs/>
                <w:color w:val="auto"/>
                <w:u w:val="single"/>
                <w:lang w:val="en-US" w:eastAsia="zh-CN"/>
              </w:rPr>
            </w:pPr>
            <w:r>
              <w:rPr>
                <w:rFonts w:hint="eastAsia"/>
                <w:b w:val="0"/>
                <w:bCs w:val="0"/>
                <w:color w:val="auto"/>
                <w:sz w:val="21"/>
                <w:szCs w:val="21"/>
                <w:u w:val="single"/>
                <w:lang w:eastAsia="zh-CN"/>
              </w:rPr>
              <w:t>注</w:t>
            </w:r>
            <w:r>
              <w:rPr>
                <w:rFonts w:hint="eastAsia"/>
                <w:b w:val="0"/>
                <w:bCs w:val="0"/>
                <w:color w:val="auto"/>
                <w:sz w:val="21"/>
                <w:szCs w:val="21"/>
                <w:u w:val="single"/>
                <w:lang w:val="en-US" w:eastAsia="zh-CN"/>
              </w:rPr>
              <w:t>a：厂区内每台注塑机生产能力0.1t/h，常年运营为4台，运营时间为300d、24h/d，则年运营瓶坯生产量为0.1*300*24*4=2880t</w:t>
            </w:r>
            <w:r>
              <w:rPr>
                <w:rFonts w:hint="eastAsia" w:ascii="微软雅黑" w:hAnsi="微软雅黑" w:eastAsia="微软雅黑" w:cs="微软雅黑"/>
                <w:b w:val="0"/>
                <w:bCs w:val="0"/>
                <w:color w:val="auto"/>
                <w:sz w:val="21"/>
                <w:szCs w:val="21"/>
                <w:u w:val="single"/>
                <w:lang w:val="en-US" w:eastAsia="zh-CN"/>
              </w:rPr>
              <w:t>&gt;</w:t>
            </w:r>
            <w:r>
              <w:rPr>
                <w:rFonts w:hint="eastAsia"/>
                <w:b w:val="0"/>
                <w:bCs w:val="0"/>
                <w:color w:val="auto"/>
                <w:sz w:val="21"/>
                <w:szCs w:val="21"/>
                <w:u w:val="single"/>
                <w:lang w:val="en-US" w:eastAsia="zh-CN"/>
              </w:rPr>
              <w:t>2400t，满足本项目瓶坯生产需求。</w:t>
            </w:r>
            <w:r>
              <w:rPr>
                <w:rFonts w:hint="eastAsia"/>
                <w:bCs/>
                <w:color w:val="auto"/>
                <w:u w:val="single"/>
                <w:lang w:eastAsia="zh-CN"/>
              </w:rPr>
              <w:t>项目有</w:t>
            </w:r>
            <w:r>
              <w:rPr>
                <w:rFonts w:hint="eastAsia"/>
                <w:bCs/>
                <w:color w:val="auto"/>
                <w:u w:val="single"/>
                <w:lang w:val="en-US" w:eastAsia="zh-CN"/>
              </w:rPr>
              <w:t>4条</w:t>
            </w:r>
            <w:r>
              <w:rPr>
                <w:rFonts w:hint="eastAsia"/>
                <w:bCs/>
                <w:color w:val="auto"/>
                <w:u w:val="single"/>
                <w:lang w:eastAsia="zh-CN"/>
              </w:rPr>
              <w:t>备用</w:t>
            </w:r>
            <w:r>
              <w:rPr>
                <w:rFonts w:hint="eastAsia"/>
                <w:bCs/>
                <w:color w:val="auto"/>
                <w:u w:val="single"/>
                <w:lang w:val="en-US" w:eastAsia="zh-CN"/>
              </w:rPr>
              <w:t>PET瓶坯生产线，主要是方便不在同一条生产线上频繁更换模具。</w:t>
            </w:r>
          </w:p>
          <w:p w14:paraId="39BBC3D8">
            <w:pPr>
              <w:spacing w:before="120" w:beforeLines="50"/>
              <w:ind w:firstLine="482" w:firstLineChars="200"/>
              <w:rPr>
                <w:b/>
                <w:bCs/>
                <w:color w:val="auto"/>
              </w:rPr>
            </w:pPr>
            <w:r>
              <w:rPr>
                <w:rFonts w:hint="eastAsia"/>
                <w:b/>
                <w:bCs/>
                <w:color w:val="auto"/>
              </w:rPr>
              <w:t>5、公用工程</w:t>
            </w:r>
          </w:p>
          <w:p w14:paraId="0C421E2E">
            <w:pPr>
              <w:ind w:firstLine="480" w:firstLineChars="200"/>
              <w:rPr>
                <w:color w:val="auto"/>
              </w:rPr>
            </w:pPr>
            <w:r>
              <w:rPr>
                <w:rFonts w:hint="eastAsia"/>
                <w:color w:val="auto"/>
              </w:rPr>
              <w:t>（1）给水工程</w:t>
            </w:r>
          </w:p>
          <w:p w14:paraId="36E0131F">
            <w:pPr>
              <w:ind w:firstLine="480" w:firstLineChars="200"/>
              <w:rPr>
                <w:color w:val="auto"/>
              </w:rPr>
            </w:pPr>
            <w:r>
              <w:rPr>
                <w:rFonts w:hint="eastAsia"/>
                <w:color w:val="auto"/>
              </w:rPr>
              <w:t>项目用水由园区自来水管网供给，满足生产和生活需求。</w:t>
            </w:r>
          </w:p>
          <w:p w14:paraId="16C701C7">
            <w:pPr>
              <w:ind w:firstLine="480" w:firstLineChars="200"/>
              <w:rPr>
                <w:color w:val="auto"/>
              </w:rPr>
            </w:pPr>
            <w:r>
              <w:rPr>
                <w:rFonts w:hint="eastAsia"/>
                <w:color w:val="auto"/>
              </w:rPr>
              <w:t>（2）排水工程</w:t>
            </w:r>
          </w:p>
          <w:p w14:paraId="05209C62">
            <w:pPr>
              <w:ind w:firstLine="480" w:firstLineChars="200"/>
              <w:rPr>
                <w:color w:val="auto"/>
              </w:rPr>
            </w:pPr>
            <w:bookmarkStart w:id="56" w:name="OLE_LINK43"/>
            <w:r>
              <w:rPr>
                <w:rFonts w:hint="eastAsia"/>
                <w:color w:val="auto"/>
              </w:rPr>
              <w:t>项目</w:t>
            </w:r>
            <w:bookmarkStart w:id="57" w:name="OLE_LINK31"/>
            <w:bookmarkStart w:id="58" w:name="OLE_LINK32"/>
            <w:r>
              <w:rPr>
                <w:rFonts w:hint="eastAsia"/>
                <w:color w:val="auto"/>
              </w:rPr>
              <w:t>冷却水循环使用，不外排</w:t>
            </w:r>
            <w:bookmarkEnd w:id="57"/>
            <w:r>
              <w:rPr>
                <w:rFonts w:hint="eastAsia"/>
                <w:color w:val="auto"/>
              </w:rPr>
              <w:t>；</w:t>
            </w:r>
            <w:bookmarkEnd w:id="58"/>
            <w:r>
              <w:rPr>
                <w:rFonts w:hint="eastAsia"/>
                <w:color w:val="auto"/>
              </w:rPr>
              <w:t>生活污水</w:t>
            </w:r>
            <w:bookmarkStart w:id="59" w:name="OLE_LINK48"/>
            <w:r>
              <w:rPr>
                <w:rFonts w:hint="eastAsia"/>
                <w:color w:val="auto"/>
              </w:rPr>
              <w:t>经化粪池处理后</w:t>
            </w:r>
            <w:bookmarkStart w:id="60" w:name="OLE_LINK33"/>
            <w:r>
              <w:rPr>
                <w:rFonts w:hint="eastAsia"/>
                <w:color w:val="auto"/>
              </w:rPr>
              <w:t>排入园区污水管网，最后输送至大榄坪污水处理厂进一步处理</w:t>
            </w:r>
            <w:bookmarkEnd w:id="56"/>
            <w:bookmarkEnd w:id="59"/>
            <w:bookmarkEnd w:id="60"/>
            <w:r>
              <w:rPr>
                <w:rFonts w:hint="eastAsia"/>
                <w:color w:val="auto"/>
              </w:rPr>
              <w:t>。</w:t>
            </w:r>
          </w:p>
          <w:p w14:paraId="793EAC30">
            <w:pPr>
              <w:pStyle w:val="32"/>
              <w:spacing w:line="360" w:lineRule="auto"/>
              <w:ind w:firstLine="480"/>
              <w:rPr>
                <w:color w:val="auto"/>
              </w:rPr>
            </w:pPr>
            <w:r>
              <w:rPr>
                <w:rFonts w:hint="eastAsia"/>
                <w:color w:val="auto"/>
              </w:rPr>
              <w:t>（3）供电工程</w:t>
            </w:r>
          </w:p>
          <w:p w14:paraId="053D9B17">
            <w:pPr>
              <w:pStyle w:val="32"/>
              <w:spacing w:line="360" w:lineRule="auto"/>
              <w:ind w:firstLine="480"/>
              <w:rPr>
                <w:color w:val="auto"/>
              </w:rPr>
            </w:pPr>
            <w:r>
              <w:rPr>
                <w:rFonts w:hint="eastAsia"/>
                <w:color w:val="auto"/>
              </w:rPr>
              <w:t>项目用电由园区电路接入，可以满足用电需求。</w:t>
            </w:r>
          </w:p>
          <w:p w14:paraId="47E5AD4A">
            <w:pPr>
              <w:pStyle w:val="117"/>
              <w:ind w:firstLine="0" w:firstLineChars="0"/>
              <w:rPr>
                <w:b/>
                <w:bCs/>
                <w:color w:val="auto"/>
                <w:lang w:eastAsia="zh-CN"/>
              </w:rPr>
            </w:pPr>
            <w:r>
              <w:rPr>
                <w:color w:val="auto"/>
                <w:lang w:eastAsia="zh-CN"/>
              </w:rPr>
              <w:t xml:space="preserve"> </w:t>
            </w:r>
            <w:r>
              <w:rPr>
                <w:rFonts w:hint="eastAsia"/>
                <w:color w:val="auto"/>
                <w:lang w:eastAsia="zh-CN"/>
              </w:rPr>
              <w:t xml:space="preserve">    </w:t>
            </w:r>
            <w:r>
              <w:rPr>
                <w:b/>
                <w:bCs/>
                <w:color w:val="auto"/>
                <w:lang w:eastAsia="zh-CN"/>
              </w:rPr>
              <w:t>6、总平面布置</w:t>
            </w:r>
          </w:p>
          <w:p w14:paraId="4C08BE82">
            <w:pPr>
              <w:ind w:firstLine="480" w:firstLineChars="200"/>
              <w:rPr>
                <w:color w:val="auto"/>
              </w:rPr>
            </w:pPr>
            <w:r>
              <w:rPr>
                <w:rFonts w:hint="eastAsia"/>
                <w:color w:val="auto"/>
              </w:rPr>
              <w:t>项目设置1个进出大门，位于厂区南面，紧邻园区道路，交通便利。车间内东面地块布置生产区，中间地块布置成品区、原料区；西北面地块布置办公区；西南面设置一般固废暂存间和</w:t>
            </w:r>
            <w:r>
              <w:rPr>
                <w:rFonts w:hint="eastAsia"/>
                <w:color w:val="auto"/>
                <w:lang w:eastAsia="zh-CN"/>
              </w:rPr>
              <w:t>危废暂存间</w:t>
            </w:r>
            <w:r>
              <w:rPr>
                <w:color w:val="auto"/>
                <w:szCs w:val="22"/>
              </w:rPr>
              <w:t>。项目总平面布置图见附图2。</w:t>
            </w:r>
          </w:p>
          <w:p w14:paraId="124A830F">
            <w:pPr>
              <w:ind w:firstLine="482" w:firstLineChars="200"/>
              <w:rPr>
                <w:b/>
                <w:bCs/>
                <w:color w:val="auto"/>
              </w:rPr>
            </w:pPr>
            <w:r>
              <w:rPr>
                <w:b/>
                <w:bCs/>
                <w:color w:val="auto"/>
              </w:rPr>
              <w:t>7、劳动定员及工作制度</w:t>
            </w:r>
          </w:p>
          <w:p w14:paraId="4F59BBF7">
            <w:pPr>
              <w:ind w:firstLine="480" w:firstLineChars="200"/>
              <w:rPr>
                <w:color w:val="auto"/>
              </w:rPr>
            </w:pPr>
            <w:r>
              <w:rPr>
                <w:color w:val="auto"/>
              </w:rPr>
              <w:t>劳动定员：</w:t>
            </w:r>
            <w:r>
              <w:rPr>
                <w:rFonts w:hint="eastAsia"/>
                <w:color w:val="auto"/>
              </w:rPr>
              <w:t>项目定员5人，不在厂区住宿。</w:t>
            </w:r>
          </w:p>
          <w:p w14:paraId="3F0A20A2">
            <w:pPr>
              <w:ind w:firstLine="480" w:firstLineChars="200"/>
              <w:rPr>
                <w:color w:val="auto"/>
              </w:rPr>
            </w:pPr>
            <w:r>
              <w:rPr>
                <w:rFonts w:hint="eastAsia"/>
                <w:color w:val="auto"/>
              </w:rPr>
              <w:t>工作制度：一天3班，每班8小时，年工作300天。</w:t>
            </w:r>
          </w:p>
          <w:p w14:paraId="70845248">
            <w:pPr>
              <w:ind w:firstLine="482" w:firstLineChars="200"/>
              <w:rPr>
                <w:b/>
                <w:bCs/>
                <w:color w:val="auto"/>
              </w:rPr>
            </w:pPr>
            <w:r>
              <w:rPr>
                <w:b/>
                <w:bCs/>
                <w:color w:val="auto"/>
              </w:rPr>
              <w:t>8、环保投资估算</w:t>
            </w:r>
          </w:p>
          <w:p w14:paraId="6AB5E11B">
            <w:pPr>
              <w:ind w:firstLine="480" w:firstLineChars="200"/>
              <w:rPr>
                <w:b/>
                <w:bCs/>
                <w:color w:val="auto"/>
              </w:rPr>
            </w:pPr>
            <w:r>
              <w:rPr>
                <w:color w:val="auto"/>
              </w:rPr>
              <w:t>本项目总投资</w:t>
            </w:r>
            <w:r>
              <w:rPr>
                <w:rFonts w:hint="eastAsia"/>
                <w:color w:val="auto"/>
                <w:u w:val="single"/>
              </w:rPr>
              <w:t>2000.00</w:t>
            </w:r>
            <w:r>
              <w:rPr>
                <w:color w:val="auto"/>
                <w:u w:val="single"/>
              </w:rPr>
              <w:t>万元，环保投资</w:t>
            </w:r>
            <w:r>
              <w:rPr>
                <w:rFonts w:hint="eastAsia"/>
                <w:color w:val="auto"/>
                <w:u w:val="single"/>
                <w:lang w:val="en-US" w:eastAsia="zh-CN"/>
              </w:rPr>
              <w:t>54</w:t>
            </w:r>
            <w:r>
              <w:rPr>
                <w:color w:val="auto"/>
                <w:u w:val="single"/>
              </w:rPr>
              <w:t>万元，占总投资的</w:t>
            </w:r>
            <w:r>
              <w:rPr>
                <w:rFonts w:hint="eastAsia"/>
                <w:color w:val="auto"/>
                <w:u w:val="single"/>
                <w:lang w:val="en-US" w:eastAsia="zh-CN"/>
              </w:rPr>
              <w:t>2.7</w:t>
            </w:r>
            <w:r>
              <w:rPr>
                <w:color w:val="auto"/>
                <w:u w:val="single"/>
              </w:rPr>
              <w:t>%，</w:t>
            </w:r>
            <w:r>
              <w:rPr>
                <w:color w:val="auto"/>
              </w:rPr>
              <w:t>项目环保投资概况见表2-</w:t>
            </w:r>
            <w:r>
              <w:rPr>
                <w:rFonts w:hint="eastAsia"/>
                <w:color w:val="auto"/>
              </w:rPr>
              <w:t>6</w:t>
            </w:r>
            <w:r>
              <w:rPr>
                <w:color w:val="auto"/>
              </w:rPr>
              <w:t>。</w:t>
            </w:r>
          </w:p>
          <w:p w14:paraId="330AE483">
            <w:pPr>
              <w:spacing w:line="240" w:lineRule="auto"/>
              <w:jc w:val="center"/>
              <w:rPr>
                <w:b/>
                <w:color w:val="auto"/>
                <w:sz w:val="21"/>
                <w:szCs w:val="21"/>
              </w:rPr>
            </w:pPr>
          </w:p>
          <w:p w14:paraId="263733AB">
            <w:pPr>
              <w:spacing w:line="240" w:lineRule="auto"/>
              <w:jc w:val="center"/>
              <w:rPr>
                <w:b/>
                <w:color w:val="auto"/>
                <w:sz w:val="21"/>
                <w:szCs w:val="21"/>
              </w:rPr>
            </w:pPr>
          </w:p>
          <w:p w14:paraId="38CD63A9">
            <w:pPr>
              <w:spacing w:line="240" w:lineRule="auto"/>
              <w:jc w:val="center"/>
              <w:rPr>
                <w:b/>
                <w:color w:val="auto"/>
                <w:sz w:val="21"/>
                <w:szCs w:val="21"/>
              </w:rPr>
            </w:pPr>
          </w:p>
          <w:p w14:paraId="4628FCDA">
            <w:pPr>
              <w:spacing w:line="240" w:lineRule="auto"/>
              <w:jc w:val="center"/>
              <w:rPr>
                <w:b/>
                <w:bCs/>
                <w:color w:val="auto"/>
              </w:rPr>
            </w:pPr>
            <w:r>
              <w:rPr>
                <w:b/>
                <w:color w:val="auto"/>
                <w:sz w:val="21"/>
                <w:szCs w:val="21"/>
              </w:rPr>
              <w:t>表2-</w:t>
            </w:r>
            <w:r>
              <w:rPr>
                <w:rFonts w:hint="eastAsia"/>
                <w:b/>
                <w:color w:val="auto"/>
                <w:sz w:val="21"/>
                <w:szCs w:val="21"/>
              </w:rPr>
              <w:t>6</w:t>
            </w:r>
            <w:r>
              <w:rPr>
                <w:b/>
                <w:color w:val="auto"/>
                <w:sz w:val="21"/>
                <w:szCs w:val="21"/>
              </w:rPr>
              <w:t xml:space="preserve">  环保投资估算一览表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480"/>
              <w:gridCol w:w="4110"/>
              <w:gridCol w:w="1684"/>
            </w:tblGrid>
            <w:tr w14:paraId="6B92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8" w:type="pct"/>
                  <w:vAlign w:val="center"/>
                </w:tcPr>
                <w:p w14:paraId="7CA22E52">
                  <w:pPr>
                    <w:pStyle w:val="111"/>
                    <w:spacing w:line="240" w:lineRule="auto"/>
                    <w:rPr>
                      <w:b/>
                      <w:bCs/>
                      <w:color w:val="auto"/>
                      <w:szCs w:val="21"/>
                    </w:rPr>
                  </w:pPr>
                  <w:r>
                    <w:rPr>
                      <w:b/>
                      <w:bCs/>
                      <w:color w:val="auto"/>
                      <w:szCs w:val="21"/>
                    </w:rPr>
                    <w:t>类型</w:t>
                  </w:r>
                </w:p>
              </w:tc>
              <w:tc>
                <w:tcPr>
                  <w:tcW w:w="883" w:type="pct"/>
                  <w:vAlign w:val="center"/>
                </w:tcPr>
                <w:p w14:paraId="2430FF76">
                  <w:pPr>
                    <w:pStyle w:val="111"/>
                    <w:spacing w:line="240" w:lineRule="auto"/>
                    <w:rPr>
                      <w:b/>
                      <w:bCs/>
                      <w:color w:val="auto"/>
                      <w:szCs w:val="21"/>
                    </w:rPr>
                  </w:pPr>
                  <w:r>
                    <w:rPr>
                      <w:b/>
                      <w:bCs/>
                      <w:color w:val="auto"/>
                      <w:szCs w:val="21"/>
                    </w:rPr>
                    <w:t>污染源</w:t>
                  </w:r>
                </w:p>
              </w:tc>
              <w:tc>
                <w:tcPr>
                  <w:tcW w:w="2452" w:type="pct"/>
                  <w:vAlign w:val="center"/>
                </w:tcPr>
                <w:p w14:paraId="1D04FC06">
                  <w:pPr>
                    <w:pStyle w:val="111"/>
                    <w:spacing w:line="240" w:lineRule="auto"/>
                    <w:rPr>
                      <w:b/>
                      <w:bCs/>
                      <w:color w:val="auto"/>
                      <w:szCs w:val="21"/>
                    </w:rPr>
                  </w:pPr>
                  <w:r>
                    <w:rPr>
                      <w:b/>
                      <w:bCs/>
                      <w:color w:val="auto"/>
                      <w:szCs w:val="21"/>
                    </w:rPr>
                    <w:t>环保措施</w:t>
                  </w:r>
                </w:p>
              </w:tc>
              <w:tc>
                <w:tcPr>
                  <w:tcW w:w="1005" w:type="pct"/>
                  <w:vAlign w:val="center"/>
                </w:tcPr>
                <w:p w14:paraId="554BFF30">
                  <w:pPr>
                    <w:pStyle w:val="111"/>
                    <w:spacing w:line="240" w:lineRule="auto"/>
                    <w:rPr>
                      <w:b/>
                      <w:bCs/>
                      <w:color w:val="auto"/>
                      <w:szCs w:val="21"/>
                    </w:rPr>
                  </w:pPr>
                  <w:r>
                    <w:rPr>
                      <w:b/>
                      <w:bCs/>
                      <w:color w:val="auto"/>
                      <w:szCs w:val="21"/>
                    </w:rPr>
                    <w:t>环保投资</w:t>
                  </w:r>
                </w:p>
                <w:p w14:paraId="6F618964">
                  <w:pPr>
                    <w:pStyle w:val="111"/>
                    <w:spacing w:line="240" w:lineRule="auto"/>
                    <w:rPr>
                      <w:b/>
                      <w:bCs/>
                      <w:color w:val="auto"/>
                      <w:szCs w:val="21"/>
                    </w:rPr>
                  </w:pPr>
                  <w:r>
                    <w:rPr>
                      <w:b/>
                      <w:bCs/>
                      <w:color w:val="auto"/>
                      <w:szCs w:val="21"/>
                    </w:rPr>
                    <w:t>（万元）</w:t>
                  </w:r>
                </w:p>
              </w:tc>
            </w:tr>
            <w:tr w14:paraId="2A1F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8" w:type="pct"/>
                  <w:vAlign w:val="center"/>
                </w:tcPr>
                <w:p w14:paraId="55B6889A">
                  <w:pPr>
                    <w:pStyle w:val="111"/>
                    <w:spacing w:line="240" w:lineRule="auto"/>
                    <w:rPr>
                      <w:color w:val="auto"/>
                      <w:szCs w:val="21"/>
                    </w:rPr>
                  </w:pPr>
                  <w:r>
                    <w:rPr>
                      <w:color w:val="auto"/>
                      <w:szCs w:val="21"/>
                    </w:rPr>
                    <w:t>废气</w:t>
                  </w:r>
                </w:p>
              </w:tc>
              <w:tc>
                <w:tcPr>
                  <w:tcW w:w="883" w:type="pct"/>
                  <w:shd w:val="clear" w:color="auto" w:fill="auto"/>
                  <w:vAlign w:val="center"/>
                </w:tcPr>
                <w:p w14:paraId="3E08E514">
                  <w:pPr>
                    <w:pStyle w:val="111"/>
                    <w:spacing w:line="240" w:lineRule="auto"/>
                    <w:rPr>
                      <w:color w:val="auto"/>
                      <w:szCs w:val="21"/>
                    </w:rPr>
                  </w:pPr>
                  <w:r>
                    <w:rPr>
                      <w:rFonts w:hint="eastAsia"/>
                      <w:color w:val="auto"/>
                      <w:szCs w:val="21"/>
                    </w:rPr>
                    <w:t>生产区</w:t>
                  </w:r>
                </w:p>
              </w:tc>
              <w:tc>
                <w:tcPr>
                  <w:tcW w:w="2452" w:type="pct"/>
                  <w:shd w:val="clear" w:color="auto" w:fill="auto"/>
                  <w:vAlign w:val="center"/>
                </w:tcPr>
                <w:p w14:paraId="6A94270B">
                  <w:pPr>
                    <w:pStyle w:val="111"/>
                    <w:spacing w:line="240" w:lineRule="auto"/>
                    <w:rPr>
                      <w:color w:val="auto"/>
                      <w:szCs w:val="21"/>
                    </w:rPr>
                  </w:pPr>
                  <w:r>
                    <w:rPr>
                      <w:rFonts w:hint="eastAsia"/>
                      <w:color w:val="auto"/>
                      <w:szCs w:val="21"/>
                    </w:rPr>
                    <w:t>1套二级活性炭处理设备、1根排气筒</w:t>
                  </w:r>
                </w:p>
              </w:tc>
              <w:tc>
                <w:tcPr>
                  <w:tcW w:w="1005" w:type="pct"/>
                  <w:vAlign w:val="center"/>
                </w:tcPr>
                <w:p w14:paraId="6A693CF9">
                  <w:pPr>
                    <w:pStyle w:val="111"/>
                    <w:spacing w:line="240" w:lineRule="auto"/>
                    <w:rPr>
                      <w:rFonts w:hint="default" w:eastAsia="宋体"/>
                      <w:color w:val="auto"/>
                      <w:szCs w:val="21"/>
                      <w:lang w:val="en-US" w:eastAsia="zh-CN"/>
                    </w:rPr>
                  </w:pPr>
                  <w:r>
                    <w:rPr>
                      <w:rFonts w:hint="eastAsia"/>
                      <w:color w:val="auto"/>
                      <w:szCs w:val="21"/>
                      <w:lang w:val="en-US" w:eastAsia="zh-CN"/>
                    </w:rPr>
                    <w:t>30</w:t>
                  </w:r>
                </w:p>
              </w:tc>
            </w:tr>
            <w:tr w14:paraId="7FCE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8" w:type="pct"/>
                  <w:vAlign w:val="center"/>
                </w:tcPr>
                <w:p w14:paraId="56BDE0FC">
                  <w:pPr>
                    <w:pStyle w:val="111"/>
                    <w:spacing w:line="240" w:lineRule="auto"/>
                    <w:rPr>
                      <w:color w:val="auto"/>
                      <w:szCs w:val="21"/>
                    </w:rPr>
                  </w:pPr>
                  <w:r>
                    <w:rPr>
                      <w:color w:val="auto"/>
                      <w:szCs w:val="21"/>
                    </w:rPr>
                    <w:t>废水</w:t>
                  </w:r>
                </w:p>
              </w:tc>
              <w:tc>
                <w:tcPr>
                  <w:tcW w:w="883" w:type="pct"/>
                  <w:vAlign w:val="center"/>
                </w:tcPr>
                <w:p w14:paraId="288D1FE1">
                  <w:pPr>
                    <w:pStyle w:val="111"/>
                    <w:spacing w:line="240" w:lineRule="auto"/>
                    <w:rPr>
                      <w:color w:val="auto"/>
                      <w:szCs w:val="21"/>
                    </w:rPr>
                  </w:pPr>
                  <w:r>
                    <w:rPr>
                      <w:rFonts w:hint="eastAsia"/>
                      <w:color w:val="auto"/>
                      <w:szCs w:val="21"/>
                    </w:rPr>
                    <w:t>生活污水</w:t>
                  </w:r>
                </w:p>
              </w:tc>
              <w:tc>
                <w:tcPr>
                  <w:tcW w:w="2452" w:type="pct"/>
                  <w:vAlign w:val="center"/>
                </w:tcPr>
                <w:p w14:paraId="775C9767">
                  <w:pPr>
                    <w:pStyle w:val="111"/>
                    <w:spacing w:line="240" w:lineRule="auto"/>
                    <w:rPr>
                      <w:color w:val="auto"/>
                      <w:szCs w:val="21"/>
                    </w:rPr>
                  </w:pPr>
                  <w:r>
                    <w:rPr>
                      <w:rFonts w:hint="eastAsia"/>
                      <w:color w:val="auto"/>
                      <w:szCs w:val="21"/>
                    </w:rPr>
                    <w:t>化粪池（依托园区）</w:t>
                  </w:r>
                </w:p>
              </w:tc>
              <w:tc>
                <w:tcPr>
                  <w:tcW w:w="1005" w:type="pct"/>
                  <w:vAlign w:val="center"/>
                </w:tcPr>
                <w:p w14:paraId="3EEAD723">
                  <w:pPr>
                    <w:pStyle w:val="111"/>
                    <w:spacing w:line="240" w:lineRule="auto"/>
                    <w:rPr>
                      <w:color w:val="auto"/>
                      <w:szCs w:val="21"/>
                    </w:rPr>
                  </w:pPr>
                  <w:r>
                    <w:rPr>
                      <w:rFonts w:hint="eastAsia"/>
                      <w:color w:val="auto"/>
                      <w:szCs w:val="21"/>
                    </w:rPr>
                    <w:t>/</w:t>
                  </w:r>
                </w:p>
              </w:tc>
            </w:tr>
            <w:tr w14:paraId="43D3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8" w:type="pct"/>
                  <w:vAlign w:val="center"/>
                </w:tcPr>
                <w:p w14:paraId="46DC952F">
                  <w:pPr>
                    <w:pStyle w:val="111"/>
                    <w:spacing w:line="240" w:lineRule="auto"/>
                    <w:rPr>
                      <w:color w:val="auto"/>
                      <w:szCs w:val="21"/>
                    </w:rPr>
                  </w:pPr>
                  <w:r>
                    <w:rPr>
                      <w:color w:val="auto"/>
                      <w:szCs w:val="21"/>
                    </w:rPr>
                    <w:t>噪声</w:t>
                  </w:r>
                </w:p>
              </w:tc>
              <w:tc>
                <w:tcPr>
                  <w:tcW w:w="883" w:type="pct"/>
                  <w:vAlign w:val="center"/>
                </w:tcPr>
                <w:p w14:paraId="06D88799">
                  <w:pPr>
                    <w:pStyle w:val="111"/>
                    <w:spacing w:line="240" w:lineRule="auto"/>
                    <w:rPr>
                      <w:color w:val="auto"/>
                      <w:szCs w:val="21"/>
                    </w:rPr>
                  </w:pPr>
                  <w:r>
                    <w:rPr>
                      <w:color w:val="auto"/>
                      <w:szCs w:val="21"/>
                    </w:rPr>
                    <w:t>设备噪声</w:t>
                  </w:r>
                </w:p>
              </w:tc>
              <w:tc>
                <w:tcPr>
                  <w:tcW w:w="2452" w:type="pct"/>
                  <w:vAlign w:val="center"/>
                </w:tcPr>
                <w:p w14:paraId="0A4891A5">
                  <w:pPr>
                    <w:pStyle w:val="111"/>
                    <w:spacing w:line="240" w:lineRule="auto"/>
                    <w:rPr>
                      <w:color w:val="auto"/>
                      <w:szCs w:val="21"/>
                    </w:rPr>
                  </w:pPr>
                  <w:r>
                    <w:rPr>
                      <w:color w:val="auto"/>
                      <w:szCs w:val="21"/>
                    </w:rPr>
                    <w:t>选用低噪声设备、基础减震、建筑隔声</w:t>
                  </w:r>
                </w:p>
              </w:tc>
              <w:tc>
                <w:tcPr>
                  <w:tcW w:w="1005" w:type="pct"/>
                  <w:vAlign w:val="center"/>
                </w:tcPr>
                <w:p w14:paraId="704FAE49">
                  <w:pPr>
                    <w:pStyle w:val="111"/>
                    <w:spacing w:line="240" w:lineRule="auto"/>
                    <w:rPr>
                      <w:color w:val="auto"/>
                      <w:szCs w:val="21"/>
                    </w:rPr>
                  </w:pPr>
                  <w:r>
                    <w:rPr>
                      <w:rFonts w:hint="eastAsia"/>
                      <w:color w:val="auto"/>
                      <w:szCs w:val="21"/>
                    </w:rPr>
                    <w:t>12</w:t>
                  </w:r>
                </w:p>
              </w:tc>
            </w:tr>
            <w:tr w14:paraId="2E94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8" w:type="pct"/>
                  <w:vAlign w:val="center"/>
                </w:tcPr>
                <w:p w14:paraId="14611A43">
                  <w:pPr>
                    <w:pStyle w:val="111"/>
                    <w:spacing w:line="240" w:lineRule="auto"/>
                    <w:rPr>
                      <w:color w:val="auto"/>
                      <w:szCs w:val="21"/>
                    </w:rPr>
                  </w:pPr>
                  <w:r>
                    <w:rPr>
                      <w:color w:val="auto"/>
                      <w:szCs w:val="21"/>
                    </w:rPr>
                    <w:t>固体废物</w:t>
                  </w:r>
                </w:p>
              </w:tc>
              <w:tc>
                <w:tcPr>
                  <w:tcW w:w="883" w:type="pct"/>
                  <w:vAlign w:val="center"/>
                </w:tcPr>
                <w:p w14:paraId="13EA6C08">
                  <w:pPr>
                    <w:pStyle w:val="111"/>
                    <w:spacing w:line="240" w:lineRule="auto"/>
                    <w:rPr>
                      <w:color w:val="auto"/>
                      <w:szCs w:val="21"/>
                    </w:rPr>
                  </w:pPr>
                  <w:r>
                    <w:rPr>
                      <w:color w:val="auto"/>
                      <w:szCs w:val="21"/>
                    </w:rPr>
                    <w:t>一般固体废物</w:t>
                  </w:r>
                </w:p>
              </w:tc>
              <w:tc>
                <w:tcPr>
                  <w:tcW w:w="2452" w:type="pct"/>
                  <w:vAlign w:val="center"/>
                </w:tcPr>
                <w:p w14:paraId="1E2DA578">
                  <w:pPr>
                    <w:pStyle w:val="111"/>
                    <w:spacing w:line="240" w:lineRule="auto"/>
                    <w:rPr>
                      <w:rFonts w:hint="eastAsia" w:eastAsia="宋体"/>
                      <w:color w:val="auto"/>
                      <w:szCs w:val="21"/>
                      <w:lang w:eastAsia="zh-CN"/>
                    </w:rPr>
                  </w:pPr>
                  <w:r>
                    <w:rPr>
                      <w:color w:val="auto"/>
                      <w:szCs w:val="21"/>
                    </w:rPr>
                    <w:t>垃圾桶</w:t>
                  </w:r>
                  <w:r>
                    <w:rPr>
                      <w:rFonts w:hint="eastAsia"/>
                      <w:color w:val="auto"/>
                      <w:szCs w:val="21"/>
                    </w:rPr>
                    <w:t>、一般固废暂存间、</w:t>
                  </w:r>
                  <w:r>
                    <w:rPr>
                      <w:rFonts w:hint="eastAsia"/>
                      <w:color w:val="auto"/>
                      <w:szCs w:val="21"/>
                      <w:lang w:eastAsia="zh-CN"/>
                    </w:rPr>
                    <w:t>危废暂存间</w:t>
                  </w:r>
                </w:p>
              </w:tc>
              <w:tc>
                <w:tcPr>
                  <w:tcW w:w="1005" w:type="pct"/>
                  <w:vAlign w:val="center"/>
                </w:tcPr>
                <w:p w14:paraId="7471C6E2">
                  <w:pPr>
                    <w:pStyle w:val="111"/>
                    <w:spacing w:line="240" w:lineRule="auto"/>
                    <w:rPr>
                      <w:rFonts w:hint="default" w:eastAsia="宋体"/>
                      <w:color w:val="auto"/>
                      <w:szCs w:val="21"/>
                      <w:lang w:val="en-US" w:eastAsia="zh-CN"/>
                    </w:rPr>
                  </w:pPr>
                  <w:r>
                    <w:rPr>
                      <w:rFonts w:hint="eastAsia"/>
                      <w:color w:val="auto"/>
                      <w:szCs w:val="21"/>
                      <w:lang w:val="en-US" w:eastAsia="zh-CN"/>
                    </w:rPr>
                    <w:t>12</w:t>
                  </w:r>
                </w:p>
              </w:tc>
            </w:tr>
            <w:tr w14:paraId="6E25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4" w:type="pct"/>
                  <w:gridSpan w:val="3"/>
                  <w:vAlign w:val="center"/>
                </w:tcPr>
                <w:p w14:paraId="09DD80BD">
                  <w:pPr>
                    <w:pStyle w:val="111"/>
                    <w:spacing w:line="240" w:lineRule="auto"/>
                    <w:rPr>
                      <w:b/>
                      <w:bCs/>
                      <w:color w:val="auto"/>
                      <w:szCs w:val="21"/>
                    </w:rPr>
                  </w:pPr>
                  <w:r>
                    <w:rPr>
                      <w:b/>
                      <w:bCs/>
                      <w:color w:val="auto"/>
                      <w:szCs w:val="21"/>
                    </w:rPr>
                    <w:t>合计</w:t>
                  </w:r>
                </w:p>
              </w:tc>
              <w:tc>
                <w:tcPr>
                  <w:tcW w:w="1005" w:type="pct"/>
                  <w:vAlign w:val="center"/>
                </w:tcPr>
                <w:p w14:paraId="3D75A078">
                  <w:pPr>
                    <w:pStyle w:val="111"/>
                    <w:spacing w:line="240" w:lineRule="auto"/>
                    <w:rPr>
                      <w:rFonts w:hint="default" w:eastAsia="宋体"/>
                      <w:b/>
                      <w:bCs/>
                      <w:color w:val="auto"/>
                      <w:szCs w:val="21"/>
                      <w:lang w:val="en-US" w:eastAsia="zh-CN"/>
                    </w:rPr>
                  </w:pPr>
                  <w:r>
                    <w:rPr>
                      <w:rFonts w:hint="eastAsia"/>
                      <w:b/>
                      <w:bCs/>
                      <w:color w:val="auto"/>
                      <w:szCs w:val="21"/>
                      <w:lang w:val="en-US" w:eastAsia="zh-CN"/>
                    </w:rPr>
                    <w:t>54</w:t>
                  </w:r>
                </w:p>
              </w:tc>
            </w:tr>
          </w:tbl>
          <w:p w14:paraId="673B9990">
            <w:pPr>
              <w:ind w:firstLine="482" w:firstLineChars="200"/>
              <w:rPr>
                <w:b/>
                <w:bCs/>
                <w:color w:val="auto"/>
              </w:rPr>
            </w:pPr>
            <w:r>
              <w:rPr>
                <w:b/>
                <w:bCs/>
                <w:color w:val="auto"/>
              </w:rPr>
              <w:t>9、</w:t>
            </w:r>
            <w:r>
              <w:rPr>
                <w:rFonts w:hint="eastAsia"/>
                <w:b/>
                <w:bCs/>
                <w:color w:val="auto"/>
              </w:rPr>
              <w:t>施工安排</w:t>
            </w:r>
          </w:p>
          <w:p w14:paraId="10EAE296">
            <w:pPr>
              <w:ind w:firstLine="480" w:firstLineChars="200"/>
              <w:rPr>
                <w:color w:val="auto"/>
              </w:rPr>
            </w:pPr>
            <w:r>
              <w:rPr>
                <w:rFonts w:hint="eastAsia"/>
                <w:color w:val="auto"/>
              </w:rPr>
              <w:t>项目施工工期为1个月，计划于2</w:t>
            </w:r>
            <w:r>
              <w:rPr>
                <w:color w:val="auto"/>
              </w:rPr>
              <w:t>02</w:t>
            </w:r>
            <w:r>
              <w:rPr>
                <w:rFonts w:hint="eastAsia"/>
                <w:color w:val="auto"/>
              </w:rPr>
              <w:t>4年11月开工建设，至2</w:t>
            </w:r>
            <w:r>
              <w:rPr>
                <w:color w:val="auto"/>
              </w:rPr>
              <w:t>02</w:t>
            </w:r>
            <w:r>
              <w:rPr>
                <w:rFonts w:hint="eastAsia"/>
                <w:color w:val="auto"/>
              </w:rPr>
              <w:t>4年12月完成。</w:t>
            </w:r>
          </w:p>
          <w:p w14:paraId="05153053">
            <w:pPr>
              <w:ind w:firstLine="482" w:firstLineChars="200"/>
              <w:rPr>
                <w:b/>
                <w:bCs/>
                <w:color w:val="auto"/>
              </w:rPr>
            </w:pPr>
            <w:r>
              <w:rPr>
                <w:rFonts w:hint="eastAsia"/>
                <w:b/>
                <w:bCs/>
                <w:color w:val="auto"/>
              </w:rPr>
              <w:t>10</w:t>
            </w:r>
            <w:r>
              <w:rPr>
                <w:b/>
                <w:bCs/>
                <w:color w:val="auto"/>
              </w:rPr>
              <w:t>、</w:t>
            </w:r>
            <w:r>
              <w:rPr>
                <w:rFonts w:hint="eastAsia"/>
                <w:b/>
                <w:bCs/>
                <w:color w:val="auto"/>
              </w:rPr>
              <w:t>水平衡</w:t>
            </w:r>
          </w:p>
          <w:p w14:paraId="70F345DC">
            <w:pPr>
              <w:pStyle w:val="24"/>
              <w:spacing w:after="0"/>
              <w:ind w:left="0" w:leftChars="0" w:firstLine="480"/>
              <w:rPr>
                <w:color w:val="auto"/>
                <w:u w:val="single"/>
              </w:rPr>
            </w:pPr>
            <w:r>
              <w:rPr>
                <w:rFonts w:hint="eastAsia"/>
                <w:color w:val="auto"/>
              </w:rPr>
              <w:t>项目冷却水循环使用，不外排；生活污水经化粪池处理后排入园区污水管网，最后输送至大榄坪污水处理厂进一步处理。</w:t>
            </w:r>
          </w:p>
          <w:p w14:paraId="21DF9BAD">
            <w:pPr>
              <w:ind w:firstLine="480" w:firstLineChars="200"/>
              <w:rPr>
                <w:color w:val="auto"/>
              </w:rPr>
            </w:pPr>
            <w:r>
              <w:rPr>
                <w:rFonts w:hint="eastAsia"/>
                <w:color w:val="auto"/>
              </w:rPr>
              <w:t>（1）循环冷却水</w:t>
            </w:r>
          </w:p>
          <w:p w14:paraId="090FDED9">
            <w:pPr>
              <w:pStyle w:val="137"/>
              <w:ind w:firstLine="480"/>
              <w:rPr>
                <w:color w:val="auto"/>
              </w:rPr>
            </w:pPr>
            <w:r>
              <w:rPr>
                <w:rFonts w:hint="eastAsia"/>
                <w:color w:val="auto"/>
              </w:rPr>
              <w:t>项目生产用水主要为</w:t>
            </w:r>
            <w:r>
              <w:rPr>
                <w:color w:val="auto"/>
              </w:rPr>
              <w:t>冷却</w:t>
            </w:r>
            <w:r>
              <w:rPr>
                <w:rFonts w:hint="eastAsia"/>
                <w:color w:val="auto"/>
              </w:rPr>
              <w:t>用</w:t>
            </w:r>
            <w:r>
              <w:rPr>
                <w:color w:val="auto"/>
              </w:rPr>
              <w:t>水</w:t>
            </w:r>
            <w:r>
              <w:rPr>
                <w:rFonts w:hint="eastAsia"/>
                <w:color w:val="auto"/>
              </w:rPr>
              <w:t>，注塑过程的产品需冷却定型，其冷却工序采用水冷工艺。在冷却过程中循环冷却水与生产物料均无直接接触，经冷却系统冷却后冷却水回用，不外排。</w:t>
            </w:r>
          </w:p>
          <w:p w14:paraId="0BB58A72">
            <w:pPr>
              <w:pStyle w:val="137"/>
              <w:ind w:firstLine="480"/>
              <w:rPr>
                <w:color w:val="auto"/>
              </w:rPr>
            </w:pPr>
            <w:r>
              <w:rPr>
                <w:rFonts w:hint="eastAsia"/>
                <w:color w:val="auto"/>
              </w:rPr>
              <w:t>根据建设单位提供的资料，</w:t>
            </w:r>
            <w:bookmarkStart w:id="61" w:name="OLE_LINK34"/>
            <w:r>
              <w:rPr>
                <w:rFonts w:hint="eastAsia"/>
                <w:color w:val="auto"/>
              </w:rPr>
              <w:t>冷却水塔</w:t>
            </w:r>
            <w:bookmarkEnd w:id="61"/>
            <w:r>
              <w:rPr>
                <w:rFonts w:hint="eastAsia"/>
                <w:color w:val="auto"/>
              </w:rPr>
              <w:t>一次性注入水量6m</w:t>
            </w:r>
            <w:r>
              <w:rPr>
                <w:rFonts w:hint="eastAsia"/>
                <w:color w:val="auto"/>
                <w:vertAlign w:val="superscript"/>
              </w:rPr>
              <w:t>3</w:t>
            </w:r>
            <w:r>
              <w:rPr>
                <w:rFonts w:hint="eastAsia"/>
                <w:color w:val="auto"/>
              </w:rPr>
              <w:t>，循环水量5.5m</w:t>
            </w:r>
            <w:r>
              <w:rPr>
                <w:rFonts w:hint="eastAsia"/>
                <w:color w:val="auto"/>
                <w:vertAlign w:val="superscript"/>
              </w:rPr>
              <w:t>3</w:t>
            </w:r>
            <w:r>
              <w:rPr>
                <w:rFonts w:hint="eastAsia"/>
                <w:color w:val="auto"/>
              </w:rPr>
              <w:t>，冷却水塔定期补水，</w:t>
            </w:r>
            <w:bookmarkStart w:id="62" w:name="OLE_LINK47"/>
            <w:r>
              <w:rPr>
                <w:rFonts w:hint="eastAsia"/>
                <w:color w:val="auto"/>
              </w:rPr>
              <w:t>补水量约为0.5m</w:t>
            </w:r>
            <w:r>
              <w:rPr>
                <w:rFonts w:hint="eastAsia"/>
                <w:color w:val="auto"/>
                <w:vertAlign w:val="superscript"/>
              </w:rPr>
              <w:t>3</w:t>
            </w:r>
            <w:r>
              <w:rPr>
                <w:rFonts w:hint="eastAsia"/>
                <w:color w:val="auto"/>
              </w:rPr>
              <w:t>/d，150m</w:t>
            </w:r>
            <w:r>
              <w:rPr>
                <w:rFonts w:hint="eastAsia"/>
                <w:color w:val="auto"/>
                <w:vertAlign w:val="superscript"/>
              </w:rPr>
              <w:t>3</w:t>
            </w:r>
            <w:r>
              <w:rPr>
                <w:rFonts w:hint="eastAsia"/>
                <w:color w:val="auto"/>
              </w:rPr>
              <w:t>/a</w:t>
            </w:r>
            <w:bookmarkEnd w:id="62"/>
            <w:r>
              <w:rPr>
                <w:rFonts w:hint="eastAsia"/>
                <w:color w:val="auto"/>
              </w:rPr>
              <w:t>。</w:t>
            </w:r>
          </w:p>
          <w:p w14:paraId="0F0879EA">
            <w:pPr>
              <w:ind w:firstLine="480" w:firstLineChars="200"/>
              <w:rPr>
                <w:color w:val="auto"/>
              </w:rPr>
            </w:pPr>
            <w:r>
              <w:rPr>
                <w:rFonts w:hint="eastAsia"/>
                <w:color w:val="auto"/>
              </w:rPr>
              <w:t>（</w:t>
            </w:r>
            <w:r>
              <w:rPr>
                <w:rFonts w:hint="eastAsia"/>
                <w:color w:val="auto"/>
                <w:lang w:val="en-US" w:eastAsia="zh-CN"/>
              </w:rPr>
              <w:t>2</w:t>
            </w:r>
            <w:r>
              <w:rPr>
                <w:rFonts w:hint="eastAsia"/>
                <w:color w:val="auto"/>
              </w:rPr>
              <w:t>）生活污水</w:t>
            </w:r>
          </w:p>
          <w:p w14:paraId="09F9BC02">
            <w:pPr>
              <w:ind w:firstLine="480" w:firstLineChars="200"/>
              <w:rPr>
                <w:color w:val="auto"/>
              </w:rPr>
            </w:pPr>
            <w:r>
              <w:rPr>
                <w:color w:val="auto"/>
              </w:rPr>
              <w:t>项目全厂劳动定员</w:t>
            </w:r>
            <w:r>
              <w:rPr>
                <w:rFonts w:hint="eastAsia"/>
                <w:color w:val="auto"/>
              </w:rPr>
              <w:t>5</w:t>
            </w:r>
            <w:r>
              <w:rPr>
                <w:color w:val="auto"/>
              </w:rPr>
              <w:t>人，</w:t>
            </w:r>
            <w:r>
              <w:rPr>
                <w:rFonts w:hint="eastAsia"/>
                <w:color w:val="auto"/>
              </w:rPr>
              <w:t>均不</w:t>
            </w:r>
            <w:r>
              <w:rPr>
                <w:color w:val="auto"/>
              </w:rPr>
              <w:t>在厂内食宿。根据《建筑给水排水设计规范》（GB50015-2019）并结合实际情况，不住厂工人按50L/人·d计，则生活用水约为</w:t>
            </w:r>
            <w:r>
              <w:rPr>
                <w:rFonts w:hint="eastAsia"/>
                <w:color w:val="auto"/>
              </w:rPr>
              <w:t>0.25</w:t>
            </w:r>
            <w:r>
              <w:rPr>
                <w:color w:val="auto"/>
              </w:rPr>
              <w:t>m</w:t>
            </w:r>
            <w:r>
              <w:rPr>
                <w:color w:val="auto"/>
                <w:vertAlign w:val="superscript"/>
              </w:rPr>
              <w:t>3</w:t>
            </w:r>
            <w:r>
              <w:rPr>
                <w:color w:val="auto"/>
              </w:rPr>
              <w:t>/d、</w:t>
            </w:r>
            <w:r>
              <w:rPr>
                <w:rFonts w:hint="eastAsia"/>
                <w:color w:val="auto"/>
              </w:rPr>
              <w:t>75</w:t>
            </w:r>
            <w:r>
              <w:rPr>
                <w:color w:val="auto"/>
              </w:rPr>
              <w:t>m</w:t>
            </w:r>
            <w:r>
              <w:rPr>
                <w:color w:val="auto"/>
                <w:vertAlign w:val="superscript"/>
              </w:rPr>
              <w:t>3</w:t>
            </w:r>
            <w:r>
              <w:rPr>
                <w:color w:val="auto"/>
              </w:rPr>
              <w:t>/a，生活污水排放系数取0.8，则项目生活污水产生量为</w:t>
            </w:r>
            <w:r>
              <w:rPr>
                <w:rFonts w:hint="eastAsia"/>
                <w:color w:val="auto"/>
              </w:rPr>
              <w:t>0</w:t>
            </w:r>
            <w:r>
              <w:rPr>
                <w:color w:val="auto"/>
              </w:rPr>
              <w:t>.2m</w:t>
            </w:r>
            <w:r>
              <w:rPr>
                <w:color w:val="auto"/>
                <w:vertAlign w:val="superscript"/>
              </w:rPr>
              <w:t>3</w:t>
            </w:r>
            <w:r>
              <w:rPr>
                <w:color w:val="auto"/>
              </w:rPr>
              <w:t>/d、60m</w:t>
            </w:r>
            <w:r>
              <w:rPr>
                <w:color w:val="auto"/>
                <w:vertAlign w:val="superscript"/>
              </w:rPr>
              <w:t>3</w:t>
            </w:r>
            <w:r>
              <w:rPr>
                <w:color w:val="auto"/>
              </w:rPr>
              <w:t>/a。</w:t>
            </w:r>
          </w:p>
          <w:p w14:paraId="3A81FCAA">
            <w:pPr>
              <w:ind w:firstLine="480"/>
              <w:rPr>
                <w:color w:val="auto"/>
              </w:rPr>
            </w:pPr>
            <w:r>
              <w:rPr>
                <w:color w:val="auto"/>
              </w:rPr>
              <w:t>本项目总水平衡见图</w:t>
            </w:r>
            <w:r>
              <w:rPr>
                <w:rFonts w:hint="eastAsia"/>
                <w:color w:val="auto"/>
              </w:rPr>
              <w:t>2-1</w:t>
            </w:r>
            <w:r>
              <w:rPr>
                <w:color w:val="auto"/>
              </w:rPr>
              <w:t>，水平衡表见表</w:t>
            </w:r>
            <w:r>
              <w:rPr>
                <w:rFonts w:hint="eastAsia"/>
                <w:color w:val="auto"/>
              </w:rPr>
              <w:t>2-7</w:t>
            </w:r>
            <w:r>
              <w:rPr>
                <w:color w:val="auto"/>
              </w:rPr>
              <w:t>。</w:t>
            </w:r>
          </w:p>
          <w:p w14:paraId="6FD4B3C8">
            <w:pPr>
              <w:spacing w:line="460" w:lineRule="exact"/>
              <w:ind w:firstLine="482"/>
              <w:jc w:val="right"/>
              <w:rPr>
                <w:color w:val="auto"/>
              </w:rPr>
            </w:pPr>
            <w:r>
              <w:rPr>
                <w:b/>
                <w:bCs/>
                <w:color w:val="auto"/>
              </w:rPr>
              <w:t>表</w:t>
            </w:r>
            <w:r>
              <w:rPr>
                <w:rFonts w:hint="eastAsia"/>
                <w:b/>
                <w:bCs/>
                <w:color w:val="auto"/>
              </w:rPr>
              <w:t>2-7</w:t>
            </w:r>
            <w:r>
              <w:rPr>
                <w:b/>
                <w:bCs/>
                <w:color w:val="auto"/>
              </w:rPr>
              <w:t xml:space="preserve">  项目水平衡表     </w:t>
            </w:r>
            <w:r>
              <w:rPr>
                <w:rFonts w:hint="eastAsia"/>
                <w:b/>
                <w:bCs/>
                <w:color w:val="auto"/>
              </w:rPr>
              <w:t xml:space="preserve">           </w:t>
            </w:r>
            <w:r>
              <w:rPr>
                <w:b/>
                <w:bCs/>
                <w:color w:val="auto"/>
              </w:rPr>
              <w:t xml:space="preserve"> </w:t>
            </w:r>
            <w:r>
              <w:rPr>
                <w:color w:val="auto"/>
              </w:rPr>
              <w:t>单位 m</w:t>
            </w:r>
            <w:r>
              <w:rPr>
                <w:color w:val="auto"/>
                <w:vertAlign w:val="superscript"/>
              </w:rPr>
              <w:t>3</w:t>
            </w:r>
            <w:r>
              <w:rPr>
                <w:color w:val="auto"/>
              </w:rPr>
              <w:t>/d</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51"/>
              <w:gridCol w:w="1235"/>
              <w:gridCol w:w="1324"/>
              <w:gridCol w:w="1193"/>
              <w:gridCol w:w="1185"/>
              <w:gridCol w:w="1488"/>
            </w:tblGrid>
            <w:tr w14:paraId="0723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164" w:type="pct"/>
                  <w:vAlign w:val="center"/>
                </w:tcPr>
                <w:p w14:paraId="4B290E35">
                  <w:pPr>
                    <w:spacing w:line="240" w:lineRule="auto"/>
                    <w:jc w:val="center"/>
                    <w:rPr>
                      <w:color w:val="auto"/>
                      <w:sz w:val="21"/>
                      <w:szCs w:val="21"/>
                    </w:rPr>
                  </w:pPr>
                  <w:r>
                    <w:rPr>
                      <w:color w:val="auto"/>
                      <w:sz w:val="21"/>
                      <w:szCs w:val="21"/>
                    </w:rPr>
                    <w:t>用途</w:t>
                  </w:r>
                </w:p>
              </w:tc>
              <w:tc>
                <w:tcPr>
                  <w:tcW w:w="737" w:type="pct"/>
                  <w:vAlign w:val="center"/>
                </w:tcPr>
                <w:p w14:paraId="7450BA0A">
                  <w:pPr>
                    <w:spacing w:line="240" w:lineRule="auto"/>
                    <w:jc w:val="center"/>
                    <w:rPr>
                      <w:color w:val="auto"/>
                      <w:sz w:val="21"/>
                      <w:szCs w:val="21"/>
                    </w:rPr>
                  </w:pPr>
                  <w:r>
                    <w:rPr>
                      <w:color w:val="auto"/>
                      <w:sz w:val="21"/>
                      <w:szCs w:val="21"/>
                    </w:rPr>
                    <w:t>总用水量</w:t>
                  </w:r>
                </w:p>
              </w:tc>
              <w:tc>
                <w:tcPr>
                  <w:tcW w:w="790" w:type="pct"/>
                  <w:vAlign w:val="center"/>
                </w:tcPr>
                <w:p w14:paraId="0AB67861">
                  <w:pPr>
                    <w:spacing w:line="240" w:lineRule="auto"/>
                    <w:jc w:val="center"/>
                    <w:rPr>
                      <w:color w:val="auto"/>
                      <w:sz w:val="21"/>
                      <w:szCs w:val="21"/>
                    </w:rPr>
                  </w:pPr>
                  <w:r>
                    <w:rPr>
                      <w:color w:val="auto"/>
                      <w:sz w:val="21"/>
                      <w:szCs w:val="21"/>
                    </w:rPr>
                    <w:t>新鲜水</w:t>
                  </w:r>
                </w:p>
              </w:tc>
              <w:tc>
                <w:tcPr>
                  <w:tcW w:w="712" w:type="pct"/>
                  <w:tcBorders>
                    <w:right w:val="single" w:color="000000" w:sz="2" w:space="0"/>
                  </w:tcBorders>
                  <w:vAlign w:val="center"/>
                </w:tcPr>
                <w:p w14:paraId="2C8F2782">
                  <w:pPr>
                    <w:spacing w:line="240" w:lineRule="auto"/>
                    <w:jc w:val="center"/>
                    <w:rPr>
                      <w:color w:val="auto"/>
                      <w:sz w:val="21"/>
                      <w:szCs w:val="21"/>
                    </w:rPr>
                  </w:pPr>
                  <w:r>
                    <w:rPr>
                      <w:rFonts w:hint="eastAsia"/>
                      <w:color w:val="auto"/>
                      <w:sz w:val="21"/>
                      <w:szCs w:val="21"/>
                    </w:rPr>
                    <w:t>循环水</w:t>
                  </w:r>
                </w:p>
              </w:tc>
              <w:tc>
                <w:tcPr>
                  <w:tcW w:w="707" w:type="pct"/>
                  <w:tcBorders>
                    <w:left w:val="single" w:color="000000" w:sz="2" w:space="0"/>
                  </w:tcBorders>
                  <w:vAlign w:val="center"/>
                </w:tcPr>
                <w:p w14:paraId="5975C01F">
                  <w:pPr>
                    <w:spacing w:line="240" w:lineRule="auto"/>
                    <w:jc w:val="center"/>
                    <w:rPr>
                      <w:color w:val="auto"/>
                      <w:sz w:val="21"/>
                      <w:szCs w:val="21"/>
                    </w:rPr>
                  </w:pPr>
                  <w:r>
                    <w:rPr>
                      <w:color w:val="auto"/>
                      <w:sz w:val="21"/>
                      <w:szCs w:val="21"/>
                    </w:rPr>
                    <w:t>消耗水</w:t>
                  </w:r>
                </w:p>
              </w:tc>
              <w:tc>
                <w:tcPr>
                  <w:tcW w:w="887" w:type="pct"/>
                  <w:vAlign w:val="center"/>
                </w:tcPr>
                <w:p w14:paraId="335DF955">
                  <w:pPr>
                    <w:spacing w:line="240" w:lineRule="auto"/>
                    <w:jc w:val="center"/>
                    <w:rPr>
                      <w:color w:val="auto"/>
                      <w:sz w:val="21"/>
                      <w:szCs w:val="21"/>
                    </w:rPr>
                  </w:pPr>
                  <w:r>
                    <w:rPr>
                      <w:color w:val="auto"/>
                      <w:sz w:val="21"/>
                      <w:szCs w:val="21"/>
                    </w:rPr>
                    <w:t>排水量</w:t>
                  </w:r>
                </w:p>
              </w:tc>
            </w:tr>
            <w:tr w14:paraId="7828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164" w:type="pct"/>
                  <w:vAlign w:val="center"/>
                </w:tcPr>
                <w:p w14:paraId="03F18CC7">
                  <w:pPr>
                    <w:spacing w:line="240" w:lineRule="auto"/>
                    <w:jc w:val="center"/>
                    <w:rPr>
                      <w:color w:val="auto"/>
                      <w:sz w:val="21"/>
                      <w:szCs w:val="21"/>
                    </w:rPr>
                  </w:pPr>
                  <w:r>
                    <w:rPr>
                      <w:rFonts w:hint="eastAsia"/>
                      <w:color w:val="auto"/>
                      <w:sz w:val="21"/>
                      <w:szCs w:val="21"/>
                    </w:rPr>
                    <w:t>循环冷却水</w:t>
                  </w:r>
                </w:p>
              </w:tc>
              <w:tc>
                <w:tcPr>
                  <w:tcW w:w="737" w:type="pct"/>
                  <w:vAlign w:val="center"/>
                </w:tcPr>
                <w:p w14:paraId="79DD505F">
                  <w:pPr>
                    <w:spacing w:line="240" w:lineRule="auto"/>
                    <w:jc w:val="center"/>
                    <w:rPr>
                      <w:color w:val="auto"/>
                      <w:sz w:val="21"/>
                      <w:szCs w:val="21"/>
                    </w:rPr>
                  </w:pPr>
                  <w:r>
                    <w:rPr>
                      <w:rFonts w:hint="eastAsia"/>
                      <w:color w:val="auto"/>
                      <w:sz w:val="21"/>
                      <w:szCs w:val="21"/>
                    </w:rPr>
                    <w:t>6</w:t>
                  </w:r>
                </w:p>
              </w:tc>
              <w:tc>
                <w:tcPr>
                  <w:tcW w:w="790" w:type="pct"/>
                  <w:vAlign w:val="center"/>
                </w:tcPr>
                <w:p w14:paraId="103AD353">
                  <w:pPr>
                    <w:spacing w:line="240" w:lineRule="auto"/>
                    <w:jc w:val="center"/>
                    <w:rPr>
                      <w:color w:val="auto"/>
                      <w:sz w:val="21"/>
                      <w:szCs w:val="21"/>
                    </w:rPr>
                  </w:pPr>
                  <w:r>
                    <w:rPr>
                      <w:rFonts w:hint="eastAsia"/>
                      <w:color w:val="auto"/>
                      <w:sz w:val="21"/>
                      <w:szCs w:val="21"/>
                    </w:rPr>
                    <w:t>0.5</w:t>
                  </w:r>
                </w:p>
              </w:tc>
              <w:tc>
                <w:tcPr>
                  <w:tcW w:w="712" w:type="pct"/>
                  <w:tcBorders>
                    <w:right w:val="single" w:color="000000" w:sz="2" w:space="0"/>
                  </w:tcBorders>
                  <w:vAlign w:val="center"/>
                </w:tcPr>
                <w:p w14:paraId="0291B185">
                  <w:pPr>
                    <w:spacing w:line="240" w:lineRule="auto"/>
                    <w:jc w:val="center"/>
                    <w:rPr>
                      <w:color w:val="auto"/>
                      <w:sz w:val="21"/>
                      <w:szCs w:val="21"/>
                    </w:rPr>
                  </w:pPr>
                  <w:r>
                    <w:rPr>
                      <w:rFonts w:hint="eastAsia"/>
                      <w:color w:val="auto"/>
                      <w:sz w:val="21"/>
                      <w:szCs w:val="21"/>
                    </w:rPr>
                    <w:t>5.5</w:t>
                  </w:r>
                </w:p>
              </w:tc>
              <w:tc>
                <w:tcPr>
                  <w:tcW w:w="707" w:type="pct"/>
                  <w:tcBorders>
                    <w:left w:val="single" w:color="000000" w:sz="2" w:space="0"/>
                  </w:tcBorders>
                  <w:vAlign w:val="center"/>
                </w:tcPr>
                <w:p w14:paraId="544E2BB9">
                  <w:pPr>
                    <w:spacing w:line="240" w:lineRule="auto"/>
                    <w:jc w:val="center"/>
                    <w:rPr>
                      <w:color w:val="auto"/>
                      <w:sz w:val="21"/>
                      <w:szCs w:val="21"/>
                    </w:rPr>
                  </w:pPr>
                  <w:r>
                    <w:rPr>
                      <w:rFonts w:hint="eastAsia"/>
                      <w:color w:val="auto"/>
                      <w:sz w:val="21"/>
                      <w:szCs w:val="21"/>
                    </w:rPr>
                    <w:t>0.5</w:t>
                  </w:r>
                </w:p>
              </w:tc>
              <w:tc>
                <w:tcPr>
                  <w:tcW w:w="887" w:type="pct"/>
                  <w:vAlign w:val="center"/>
                </w:tcPr>
                <w:p w14:paraId="5987BC5B">
                  <w:pPr>
                    <w:spacing w:line="240" w:lineRule="auto"/>
                    <w:jc w:val="center"/>
                    <w:rPr>
                      <w:color w:val="auto"/>
                      <w:sz w:val="21"/>
                      <w:szCs w:val="21"/>
                    </w:rPr>
                  </w:pPr>
                  <w:r>
                    <w:rPr>
                      <w:rFonts w:hint="eastAsia"/>
                      <w:color w:val="auto"/>
                      <w:sz w:val="21"/>
                      <w:szCs w:val="21"/>
                    </w:rPr>
                    <w:t>0</w:t>
                  </w:r>
                </w:p>
              </w:tc>
            </w:tr>
            <w:tr w14:paraId="4A1A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164" w:type="pct"/>
                  <w:vAlign w:val="center"/>
                </w:tcPr>
                <w:p w14:paraId="374920FB">
                  <w:pPr>
                    <w:spacing w:line="240" w:lineRule="auto"/>
                    <w:jc w:val="center"/>
                    <w:rPr>
                      <w:color w:val="auto"/>
                      <w:sz w:val="21"/>
                      <w:szCs w:val="21"/>
                    </w:rPr>
                  </w:pPr>
                  <w:r>
                    <w:rPr>
                      <w:color w:val="auto"/>
                      <w:sz w:val="21"/>
                      <w:szCs w:val="21"/>
                    </w:rPr>
                    <w:t>生活用水</w:t>
                  </w:r>
                </w:p>
              </w:tc>
              <w:tc>
                <w:tcPr>
                  <w:tcW w:w="737" w:type="pct"/>
                  <w:vAlign w:val="center"/>
                </w:tcPr>
                <w:p w14:paraId="38CF9C6A">
                  <w:pPr>
                    <w:spacing w:line="240" w:lineRule="auto"/>
                    <w:jc w:val="center"/>
                    <w:rPr>
                      <w:color w:val="auto"/>
                      <w:sz w:val="21"/>
                      <w:szCs w:val="21"/>
                    </w:rPr>
                  </w:pPr>
                  <w:r>
                    <w:rPr>
                      <w:rFonts w:hint="eastAsia"/>
                      <w:color w:val="auto"/>
                      <w:sz w:val="21"/>
                      <w:szCs w:val="21"/>
                    </w:rPr>
                    <w:t>0.25</w:t>
                  </w:r>
                </w:p>
              </w:tc>
              <w:tc>
                <w:tcPr>
                  <w:tcW w:w="790" w:type="pct"/>
                  <w:vAlign w:val="center"/>
                </w:tcPr>
                <w:p w14:paraId="0D335190">
                  <w:pPr>
                    <w:spacing w:line="240" w:lineRule="auto"/>
                    <w:jc w:val="center"/>
                    <w:rPr>
                      <w:color w:val="auto"/>
                      <w:sz w:val="21"/>
                      <w:szCs w:val="21"/>
                    </w:rPr>
                  </w:pPr>
                  <w:r>
                    <w:rPr>
                      <w:rFonts w:hint="eastAsia"/>
                      <w:color w:val="auto"/>
                      <w:sz w:val="21"/>
                      <w:szCs w:val="21"/>
                    </w:rPr>
                    <w:t>0.25</w:t>
                  </w:r>
                </w:p>
              </w:tc>
              <w:tc>
                <w:tcPr>
                  <w:tcW w:w="712" w:type="pct"/>
                  <w:tcBorders>
                    <w:right w:val="single" w:color="000000" w:sz="2" w:space="0"/>
                  </w:tcBorders>
                  <w:vAlign w:val="center"/>
                </w:tcPr>
                <w:p w14:paraId="5FF2BC5E">
                  <w:pPr>
                    <w:spacing w:line="240" w:lineRule="auto"/>
                    <w:jc w:val="center"/>
                    <w:rPr>
                      <w:color w:val="auto"/>
                      <w:sz w:val="21"/>
                      <w:szCs w:val="21"/>
                    </w:rPr>
                  </w:pPr>
                  <w:r>
                    <w:rPr>
                      <w:rFonts w:hint="eastAsia"/>
                      <w:color w:val="auto"/>
                      <w:sz w:val="21"/>
                      <w:szCs w:val="21"/>
                    </w:rPr>
                    <w:t>0</w:t>
                  </w:r>
                </w:p>
              </w:tc>
              <w:tc>
                <w:tcPr>
                  <w:tcW w:w="707" w:type="pct"/>
                  <w:tcBorders>
                    <w:left w:val="single" w:color="000000" w:sz="2" w:space="0"/>
                  </w:tcBorders>
                  <w:vAlign w:val="center"/>
                </w:tcPr>
                <w:p w14:paraId="471B12F6">
                  <w:pPr>
                    <w:spacing w:line="240" w:lineRule="auto"/>
                    <w:jc w:val="center"/>
                    <w:rPr>
                      <w:color w:val="auto"/>
                      <w:sz w:val="21"/>
                      <w:szCs w:val="21"/>
                    </w:rPr>
                  </w:pPr>
                  <w:r>
                    <w:rPr>
                      <w:rFonts w:hint="eastAsia"/>
                      <w:color w:val="auto"/>
                      <w:sz w:val="21"/>
                      <w:szCs w:val="21"/>
                    </w:rPr>
                    <w:t>0.05</w:t>
                  </w:r>
                </w:p>
              </w:tc>
              <w:tc>
                <w:tcPr>
                  <w:tcW w:w="887" w:type="pct"/>
                  <w:vAlign w:val="center"/>
                </w:tcPr>
                <w:p w14:paraId="39DC834D">
                  <w:pPr>
                    <w:spacing w:line="240" w:lineRule="auto"/>
                    <w:jc w:val="center"/>
                    <w:rPr>
                      <w:color w:val="auto"/>
                      <w:sz w:val="21"/>
                      <w:szCs w:val="21"/>
                    </w:rPr>
                  </w:pPr>
                  <w:r>
                    <w:rPr>
                      <w:rFonts w:hint="eastAsia"/>
                      <w:color w:val="auto"/>
                      <w:sz w:val="21"/>
                      <w:szCs w:val="21"/>
                    </w:rPr>
                    <w:t>0.2</w:t>
                  </w:r>
                </w:p>
              </w:tc>
            </w:tr>
            <w:tr w14:paraId="0130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164" w:type="pct"/>
                  <w:vAlign w:val="center"/>
                </w:tcPr>
                <w:p w14:paraId="31BFE1D3">
                  <w:pPr>
                    <w:spacing w:line="240" w:lineRule="auto"/>
                    <w:jc w:val="center"/>
                    <w:rPr>
                      <w:color w:val="auto"/>
                      <w:sz w:val="21"/>
                      <w:szCs w:val="21"/>
                    </w:rPr>
                  </w:pPr>
                  <w:r>
                    <w:rPr>
                      <w:color w:val="auto"/>
                      <w:sz w:val="21"/>
                      <w:szCs w:val="21"/>
                    </w:rPr>
                    <w:t>合计</w:t>
                  </w:r>
                </w:p>
              </w:tc>
              <w:tc>
                <w:tcPr>
                  <w:tcW w:w="737" w:type="pct"/>
                  <w:vAlign w:val="center"/>
                </w:tcPr>
                <w:p w14:paraId="656881FD">
                  <w:pPr>
                    <w:spacing w:line="240" w:lineRule="auto"/>
                    <w:jc w:val="center"/>
                    <w:rPr>
                      <w:color w:val="auto"/>
                      <w:sz w:val="21"/>
                      <w:szCs w:val="21"/>
                    </w:rPr>
                  </w:pPr>
                  <w:r>
                    <w:rPr>
                      <w:rFonts w:hint="eastAsia"/>
                      <w:color w:val="auto"/>
                      <w:sz w:val="21"/>
                      <w:szCs w:val="21"/>
                    </w:rPr>
                    <w:t>6.25</w:t>
                  </w:r>
                </w:p>
              </w:tc>
              <w:tc>
                <w:tcPr>
                  <w:tcW w:w="790" w:type="pct"/>
                  <w:vAlign w:val="center"/>
                </w:tcPr>
                <w:p w14:paraId="338D1360">
                  <w:pPr>
                    <w:spacing w:line="240" w:lineRule="auto"/>
                    <w:jc w:val="center"/>
                    <w:rPr>
                      <w:color w:val="auto"/>
                      <w:sz w:val="21"/>
                      <w:szCs w:val="21"/>
                    </w:rPr>
                  </w:pPr>
                  <w:r>
                    <w:rPr>
                      <w:rFonts w:hint="eastAsia"/>
                      <w:color w:val="auto"/>
                      <w:sz w:val="21"/>
                      <w:szCs w:val="21"/>
                    </w:rPr>
                    <w:t>0.75</w:t>
                  </w:r>
                </w:p>
              </w:tc>
              <w:tc>
                <w:tcPr>
                  <w:tcW w:w="712" w:type="pct"/>
                  <w:tcBorders>
                    <w:right w:val="single" w:color="000000" w:sz="2" w:space="0"/>
                  </w:tcBorders>
                  <w:vAlign w:val="center"/>
                </w:tcPr>
                <w:p w14:paraId="5BD259D3">
                  <w:pPr>
                    <w:spacing w:line="240" w:lineRule="auto"/>
                    <w:jc w:val="center"/>
                    <w:rPr>
                      <w:color w:val="auto"/>
                      <w:sz w:val="21"/>
                      <w:szCs w:val="21"/>
                    </w:rPr>
                  </w:pPr>
                  <w:r>
                    <w:rPr>
                      <w:rFonts w:hint="eastAsia"/>
                      <w:color w:val="auto"/>
                      <w:sz w:val="21"/>
                      <w:szCs w:val="21"/>
                    </w:rPr>
                    <w:t>5.5</w:t>
                  </w:r>
                </w:p>
              </w:tc>
              <w:tc>
                <w:tcPr>
                  <w:tcW w:w="707" w:type="pct"/>
                  <w:tcBorders>
                    <w:left w:val="single" w:color="000000" w:sz="2" w:space="0"/>
                  </w:tcBorders>
                  <w:vAlign w:val="center"/>
                </w:tcPr>
                <w:p w14:paraId="5D18D61A">
                  <w:pPr>
                    <w:spacing w:line="240" w:lineRule="auto"/>
                    <w:jc w:val="center"/>
                    <w:rPr>
                      <w:color w:val="auto"/>
                      <w:sz w:val="21"/>
                      <w:szCs w:val="21"/>
                    </w:rPr>
                  </w:pPr>
                  <w:r>
                    <w:rPr>
                      <w:rFonts w:hint="eastAsia"/>
                      <w:color w:val="auto"/>
                      <w:sz w:val="21"/>
                      <w:szCs w:val="21"/>
                    </w:rPr>
                    <w:t>0.55</w:t>
                  </w:r>
                </w:p>
              </w:tc>
              <w:tc>
                <w:tcPr>
                  <w:tcW w:w="887" w:type="pct"/>
                  <w:vAlign w:val="center"/>
                </w:tcPr>
                <w:p w14:paraId="0A89D761">
                  <w:pPr>
                    <w:spacing w:line="240" w:lineRule="auto"/>
                    <w:jc w:val="center"/>
                    <w:rPr>
                      <w:color w:val="auto"/>
                      <w:sz w:val="21"/>
                      <w:szCs w:val="21"/>
                    </w:rPr>
                  </w:pPr>
                  <w:r>
                    <w:rPr>
                      <w:rFonts w:hint="eastAsia"/>
                      <w:color w:val="auto"/>
                      <w:sz w:val="21"/>
                      <w:szCs w:val="21"/>
                    </w:rPr>
                    <w:t>0.2</w:t>
                  </w:r>
                </w:p>
              </w:tc>
            </w:tr>
          </w:tbl>
          <w:p w14:paraId="66891E44">
            <w:pPr>
              <w:jc w:val="center"/>
              <w:rPr>
                <w:b/>
                <w:bCs/>
                <w:color w:val="auto"/>
              </w:rPr>
            </w:pPr>
            <w:r>
              <w:rPr>
                <w:rFonts w:hint="eastAsia"/>
                <w:color w:val="auto"/>
                <w:spacing w:val="-2"/>
                <w:kern w:val="0"/>
              </w:rPr>
              <w:object>
                <v:shape id="_x0000_i1025" o:spt="75" type="#_x0000_t75" style="height:143.4pt;width:335.4pt;" o:ole="t" filled="f" o:preferrelative="t" stroked="f" coordsize="21600,21600">
                  <v:path/>
                  <v:fill on="f" focussize="0,0"/>
                  <v:stroke on="f" joinstyle="miter"/>
                  <v:imagedata r:id="rId17" o:title=""/>
                  <o:lock v:ext="edit" aspectratio="f"/>
                  <w10:wrap type="none"/>
                  <w10:anchorlock/>
                </v:shape>
                <o:OLEObject Type="Embed" ProgID="Visio.Drawing.11" ShapeID="_x0000_i1025" DrawAspect="Content" ObjectID="_1468075725" r:id="rId16">
                  <o:LockedField>false</o:LockedField>
                </o:OLEObject>
              </w:object>
            </w:r>
          </w:p>
          <w:p w14:paraId="51758D54">
            <w:pPr>
              <w:jc w:val="center"/>
              <w:rPr>
                <w:color w:val="auto"/>
              </w:rPr>
            </w:pPr>
            <w:r>
              <w:rPr>
                <w:b/>
                <w:bCs/>
                <w:color w:val="auto"/>
              </w:rPr>
              <w:t>图</w:t>
            </w:r>
            <w:r>
              <w:rPr>
                <w:rFonts w:hint="eastAsia"/>
                <w:b/>
                <w:bCs/>
                <w:color w:val="auto"/>
              </w:rPr>
              <w:t>2-1</w:t>
            </w:r>
            <w:r>
              <w:rPr>
                <w:b/>
                <w:bCs/>
                <w:color w:val="auto"/>
              </w:rPr>
              <w:t xml:space="preserve">  项目总水平衡图</w:t>
            </w:r>
            <w:r>
              <w:rPr>
                <w:rFonts w:hint="eastAsia"/>
                <w:b/>
                <w:color w:val="auto"/>
              </w:rPr>
              <w:t xml:space="preserve">  </w:t>
            </w:r>
            <w:r>
              <w:rPr>
                <w:color w:val="auto"/>
              </w:rPr>
              <w:t>单位：m</w:t>
            </w:r>
            <w:r>
              <w:rPr>
                <w:color w:val="auto"/>
                <w:vertAlign w:val="superscript"/>
              </w:rPr>
              <w:t>3</w:t>
            </w:r>
            <w:r>
              <w:rPr>
                <w:color w:val="auto"/>
              </w:rPr>
              <w:t>/d</w:t>
            </w:r>
          </w:p>
          <w:p w14:paraId="40DCD386">
            <w:pPr>
              <w:jc w:val="center"/>
              <w:rPr>
                <w:color w:val="auto"/>
              </w:rPr>
            </w:pPr>
          </w:p>
          <w:p w14:paraId="7BB513A2">
            <w:pPr>
              <w:jc w:val="center"/>
              <w:rPr>
                <w:color w:val="auto"/>
              </w:rPr>
            </w:pPr>
          </w:p>
          <w:p w14:paraId="2F907672">
            <w:pPr>
              <w:jc w:val="center"/>
              <w:rPr>
                <w:color w:val="auto"/>
              </w:rPr>
            </w:pPr>
          </w:p>
          <w:p w14:paraId="2BAC938D">
            <w:pPr>
              <w:jc w:val="center"/>
              <w:rPr>
                <w:color w:val="auto"/>
              </w:rPr>
            </w:pPr>
          </w:p>
          <w:p w14:paraId="4D48B90F">
            <w:pPr>
              <w:jc w:val="center"/>
              <w:rPr>
                <w:color w:val="auto"/>
              </w:rPr>
            </w:pPr>
          </w:p>
          <w:p w14:paraId="2D2A9CD2">
            <w:pPr>
              <w:jc w:val="center"/>
              <w:rPr>
                <w:color w:val="auto"/>
              </w:rPr>
            </w:pPr>
          </w:p>
          <w:p w14:paraId="43DD11E8">
            <w:pPr>
              <w:jc w:val="center"/>
              <w:rPr>
                <w:color w:val="auto"/>
              </w:rPr>
            </w:pPr>
          </w:p>
          <w:p w14:paraId="71C1EA5E">
            <w:pPr>
              <w:jc w:val="center"/>
              <w:rPr>
                <w:color w:val="auto"/>
              </w:rPr>
            </w:pPr>
          </w:p>
          <w:p w14:paraId="1244715E">
            <w:pPr>
              <w:jc w:val="center"/>
              <w:rPr>
                <w:color w:val="auto"/>
              </w:rPr>
            </w:pPr>
          </w:p>
          <w:p w14:paraId="495A6C07">
            <w:pPr>
              <w:jc w:val="center"/>
              <w:rPr>
                <w:color w:val="auto"/>
              </w:rPr>
            </w:pPr>
          </w:p>
          <w:p w14:paraId="1437C7F3">
            <w:pPr>
              <w:jc w:val="center"/>
              <w:rPr>
                <w:color w:val="auto"/>
              </w:rPr>
            </w:pPr>
          </w:p>
          <w:p w14:paraId="331F07FE">
            <w:pPr>
              <w:jc w:val="center"/>
              <w:rPr>
                <w:color w:val="auto"/>
              </w:rPr>
            </w:pPr>
          </w:p>
          <w:p w14:paraId="55C047CC">
            <w:pPr>
              <w:jc w:val="center"/>
              <w:rPr>
                <w:color w:val="auto"/>
              </w:rPr>
            </w:pPr>
          </w:p>
          <w:p w14:paraId="6166804A">
            <w:pPr>
              <w:jc w:val="center"/>
              <w:rPr>
                <w:color w:val="auto"/>
              </w:rPr>
            </w:pPr>
          </w:p>
          <w:p w14:paraId="5E3BB027">
            <w:pPr>
              <w:jc w:val="center"/>
              <w:rPr>
                <w:color w:val="auto"/>
              </w:rPr>
            </w:pPr>
          </w:p>
          <w:p w14:paraId="3A1750A1">
            <w:pPr>
              <w:jc w:val="center"/>
              <w:rPr>
                <w:color w:val="auto"/>
              </w:rPr>
            </w:pPr>
          </w:p>
          <w:p w14:paraId="0363D74E">
            <w:pPr>
              <w:jc w:val="center"/>
              <w:rPr>
                <w:color w:val="auto"/>
              </w:rPr>
            </w:pPr>
          </w:p>
          <w:p w14:paraId="3A10B679">
            <w:pPr>
              <w:jc w:val="center"/>
              <w:rPr>
                <w:color w:val="auto"/>
              </w:rPr>
            </w:pPr>
          </w:p>
          <w:p w14:paraId="56AA9C40">
            <w:pPr>
              <w:jc w:val="center"/>
              <w:rPr>
                <w:color w:val="auto"/>
              </w:rPr>
            </w:pPr>
          </w:p>
          <w:p w14:paraId="7FAE247C">
            <w:pPr>
              <w:jc w:val="center"/>
              <w:rPr>
                <w:color w:val="auto"/>
              </w:rPr>
            </w:pPr>
          </w:p>
          <w:p w14:paraId="0FD352D1">
            <w:pPr>
              <w:jc w:val="center"/>
              <w:rPr>
                <w:color w:val="auto"/>
              </w:rPr>
            </w:pPr>
          </w:p>
          <w:p w14:paraId="318BF63D">
            <w:pPr>
              <w:jc w:val="center"/>
              <w:rPr>
                <w:color w:val="auto"/>
              </w:rPr>
            </w:pPr>
          </w:p>
        </w:tc>
      </w:tr>
      <w:tr w14:paraId="7083A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8" w:hRule="atLeast"/>
          <w:jc w:val="center"/>
        </w:trPr>
        <w:tc>
          <w:tcPr>
            <w:tcW w:w="455" w:type="dxa"/>
            <w:vAlign w:val="center"/>
          </w:tcPr>
          <w:p w14:paraId="42C0D563">
            <w:pPr>
              <w:adjustRightInd w:val="0"/>
              <w:snapToGrid w:val="0"/>
              <w:jc w:val="center"/>
              <w:rPr>
                <w:b/>
                <w:bCs/>
                <w:color w:val="auto"/>
                <w:sz w:val="21"/>
                <w:szCs w:val="21"/>
              </w:rPr>
            </w:pPr>
            <w:r>
              <w:rPr>
                <w:b/>
                <w:bCs/>
                <w:color w:val="auto"/>
              </w:rPr>
              <w:t>工艺流程和产排污环节</w:t>
            </w:r>
          </w:p>
        </w:tc>
        <w:tc>
          <w:tcPr>
            <w:tcW w:w="8605" w:type="dxa"/>
            <w:gridSpan w:val="2"/>
          </w:tcPr>
          <w:p w14:paraId="6080F45A">
            <w:pPr>
              <w:ind w:firstLine="482" w:firstLineChars="200"/>
              <w:rPr>
                <w:b/>
                <w:bCs/>
                <w:color w:val="auto"/>
              </w:rPr>
            </w:pPr>
            <w:r>
              <w:rPr>
                <w:b/>
                <w:bCs/>
                <w:color w:val="auto"/>
              </w:rPr>
              <w:t>1、施工期</w:t>
            </w:r>
          </w:p>
          <w:p w14:paraId="52EC6923">
            <w:pPr>
              <w:ind w:firstLine="480" w:firstLineChars="200"/>
              <w:rPr>
                <w:b/>
                <w:bCs/>
                <w:color w:val="auto"/>
              </w:rPr>
            </w:pPr>
            <w:r>
              <w:rPr>
                <w:rFonts w:hint="eastAsia"/>
                <w:color w:val="auto"/>
              </w:rPr>
              <w:t>本项目</w:t>
            </w:r>
            <w:bookmarkStart w:id="63" w:name="OLE_LINK44"/>
            <w:bookmarkStart w:id="64" w:name="OLE_LINK45"/>
            <w:r>
              <w:rPr>
                <w:rFonts w:hint="eastAsia"/>
                <w:color w:val="auto"/>
              </w:rPr>
              <w:t>租用钦州港片区中马钦州产业园区台湾中小企业园区2＃厂房第一层进行运营生产，不进行厂房建设</w:t>
            </w:r>
            <w:bookmarkEnd w:id="63"/>
            <w:r>
              <w:rPr>
                <w:rFonts w:hint="eastAsia"/>
                <w:color w:val="auto"/>
              </w:rPr>
              <w:t>。施工期主要建设内容是进行设备安装和调试。</w:t>
            </w:r>
            <w:bookmarkEnd w:id="64"/>
            <w:r>
              <w:rPr>
                <w:rFonts w:hint="eastAsia"/>
                <w:color w:val="auto"/>
              </w:rPr>
              <w:t>施工期产生的污染物主要包括设备安装过程产生的施工人员生活污水、生活固废、设备安装噪声、设备安装扬尘、包装固废等。建设施工期为1个月</w:t>
            </w:r>
            <w:r>
              <w:rPr>
                <w:color w:val="auto"/>
              </w:rPr>
              <w:t>。</w:t>
            </w:r>
          </w:p>
          <w:p w14:paraId="6D99F10D">
            <w:pPr>
              <w:spacing w:line="400" w:lineRule="exact"/>
              <w:ind w:firstLine="482" w:firstLineChars="200"/>
              <w:rPr>
                <w:b/>
                <w:bCs/>
                <w:color w:val="auto"/>
              </w:rPr>
            </w:pPr>
            <w:r>
              <w:rPr>
                <w:b/>
                <w:bCs/>
                <w:color w:val="auto"/>
              </w:rPr>
              <w:t>2、运营期</w:t>
            </w:r>
          </w:p>
          <w:p w14:paraId="1F4F6808">
            <w:pPr>
              <w:pStyle w:val="5"/>
              <w:spacing w:line="240" w:lineRule="auto"/>
              <w:ind w:firstLine="0" w:firstLineChars="0"/>
              <w:jc w:val="center"/>
              <w:rPr>
                <w:rFonts w:ascii="Times New Roman" w:hAnsi="Times New Roman"/>
                <w:color w:val="auto"/>
                <w:sz w:val="24"/>
              </w:rPr>
            </w:pPr>
          </w:p>
          <w:p w14:paraId="6D29F0C0">
            <w:pPr>
              <w:jc w:val="center"/>
              <w:rPr>
                <w:b/>
                <w:bCs/>
                <w:color w:val="auto"/>
                <w:sz w:val="21"/>
                <w:szCs w:val="18"/>
              </w:rPr>
            </w:pPr>
            <w:r>
              <w:rPr>
                <w:rFonts w:hint="eastAsia"/>
                <w:b/>
                <w:bCs/>
                <w:color w:val="auto"/>
                <w:sz w:val="21"/>
                <w:szCs w:val="18"/>
              </w:rPr>
              <w:object>
                <v:shape id="_x0000_i1026" o:spt="75" type="#_x0000_t75" style="height:126.8pt;width:419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r>
              <w:rPr>
                <w:rFonts w:hint="eastAsia"/>
                <w:b/>
                <w:bCs/>
                <w:color w:val="auto"/>
                <w:sz w:val="21"/>
                <w:szCs w:val="18"/>
                <w:u w:val="single"/>
              </w:rPr>
              <w:t xml:space="preserve">图2-2 </w:t>
            </w:r>
            <w:r>
              <w:rPr>
                <w:b/>
                <w:bCs/>
                <w:color w:val="auto"/>
                <w:sz w:val="21"/>
                <w:szCs w:val="18"/>
                <w:u w:val="single"/>
              </w:rPr>
              <w:t>本项目</w:t>
            </w:r>
            <w:r>
              <w:rPr>
                <w:rFonts w:hint="eastAsia"/>
                <w:b/>
                <w:bCs/>
                <w:color w:val="auto"/>
                <w:sz w:val="21"/>
                <w:szCs w:val="18"/>
                <w:u w:val="single"/>
              </w:rPr>
              <w:t>PET瓶坯</w:t>
            </w:r>
            <w:r>
              <w:rPr>
                <w:b/>
                <w:bCs/>
                <w:color w:val="auto"/>
                <w:sz w:val="21"/>
                <w:szCs w:val="18"/>
                <w:u w:val="single"/>
              </w:rPr>
              <w:t>生产工艺流程</w:t>
            </w:r>
            <w:r>
              <w:rPr>
                <w:rFonts w:hint="eastAsia"/>
                <w:b/>
                <w:bCs/>
                <w:color w:val="auto"/>
                <w:sz w:val="21"/>
                <w:szCs w:val="18"/>
                <w:u w:val="single"/>
              </w:rPr>
              <w:t>及产污节点</w:t>
            </w:r>
            <w:r>
              <w:rPr>
                <w:b/>
                <w:bCs/>
                <w:color w:val="auto"/>
                <w:sz w:val="21"/>
                <w:szCs w:val="18"/>
                <w:u w:val="single"/>
              </w:rPr>
              <w:t>图</w:t>
            </w:r>
          </w:p>
          <w:p w14:paraId="12EC0F68">
            <w:pPr>
              <w:pStyle w:val="137"/>
              <w:ind w:left="0" w:leftChars="0" w:firstLine="0" w:firstLineChars="0"/>
              <w:rPr>
                <w:rFonts w:hint="eastAsia"/>
                <w:b w:val="0"/>
                <w:bCs w:val="0"/>
                <w:color w:val="auto"/>
                <w:lang w:eastAsia="zh-CN"/>
              </w:rPr>
            </w:pPr>
            <w:r>
              <w:rPr>
                <w:rFonts w:hint="eastAsia"/>
                <w:b w:val="0"/>
                <w:bCs w:val="0"/>
                <w:color w:val="auto"/>
                <w:lang w:eastAsia="zh-CN"/>
              </w:rPr>
              <w:object>
                <v:shape id="_x0000_i1027" o:spt="75" type="#_x0000_t75" style="height:174.4pt;width:419.15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p>
          <w:p w14:paraId="5752619A">
            <w:pPr>
              <w:pStyle w:val="137"/>
              <w:ind w:left="0" w:leftChars="0" w:firstLine="0" w:firstLineChars="0"/>
              <w:jc w:val="center"/>
              <w:rPr>
                <w:rFonts w:hint="eastAsia"/>
                <w:b w:val="0"/>
                <w:bCs w:val="0"/>
                <w:color w:val="auto"/>
                <w:u w:val="single"/>
                <w:lang w:eastAsia="zh-CN"/>
              </w:rPr>
            </w:pPr>
            <w:r>
              <w:rPr>
                <w:rFonts w:hint="eastAsia"/>
                <w:b/>
                <w:bCs/>
                <w:color w:val="auto"/>
                <w:sz w:val="21"/>
                <w:szCs w:val="18"/>
                <w:u w:val="single"/>
              </w:rPr>
              <w:t>图2-</w:t>
            </w:r>
            <w:r>
              <w:rPr>
                <w:rFonts w:hint="eastAsia"/>
                <w:b/>
                <w:bCs/>
                <w:color w:val="auto"/>
                <w:sz w:val="21"/>
                <w:szCs w:val="18"/>
                <w:u w:val="single"/>
                <w:lang w:val="en-US" w:eastAsia="zh-CN"/>
              </w:rPr>
              <w:t>3</w:t>
            </w:r>
            <w:r>
              <w:rPr>
                <w:rFonts w:hint="eastAsia"/>
                <w:b/>
                <w:bCs/>
                <w:color w:val="auto"/>
                <w:sz w:val="21"/>
                <w:szCs w:val="18"/>
                <w:u w:val="single"/>
              </w:rPr>
              <w:t xml:space="preserve"> </w:t>
            </w:r>
            <w:r>
              <w:rPr>
                <w:b/>
                <w:bCs/>
                <w:color w:val="auto"/>
                <w:sz w:val="21"/>
                <w:szCs w:val="18"/>
                <w:u w:val="single"/>
              </w:rPr>
              <w:t>本项目</w:t>
            </w:r>
            <w:r>
              <w:rPr>
                <w:rFonts w:hint="eastAsia"/>
                <w:b/>
                <w:bCs/>
                <w:color w:val="auto"/>
                <w:sz w:val="21"/>
                <w:szCs w:val="18"/>
                <w:u w:val="single"/>
              </w:rPr>
              <w:t>PE</w:t>
            </w:r>
            <w:r>
              <w:rPr>
                <w:rFonts w:hint="eastAsia"/>
                <w:b/>
                <w:bCs/>
                <w:color w:val="auto"/>
                <w:sz w:val="21"/>
                <w:szCs w:val="18"/>
                <w:u w:val="single"/>
                <w:lang w:eastAsia="zh-CN"/>
              </w:rPr>
              <w:t>盖提</w:t>
            </w:r>
            <w:r>
              <w:rPr>
                <w:b/>
                <w:bCs/>
                <w:color w:val="auto"/>
                <w:sz w:val="21"/>
                <w:szCs w:val="18"/>
                <w:u w:val="single"/>
              </w:rPr>
              <w:t>生产工艺流程</w:t>
            </w:r>
            <w:r>
              <w:rPr>
                <w:rFonts w:hint="eastAsia"/>
                <w:b/>
                <w:bCs/>
                <w:color w:val="auto"/>
                <w:sz w:val="21"/>
                <w:szCs w:val="18"/>
                <w:u w:val="single"/>
              </w:rPr>
              <w:t>及产污节点</w:t>
            </w:r>
            <w:r>
              <w:rPr>
                <w:b/>
                <w:bCs/>
                <w:color w:val="auto"/>
                <w:sz w:val="21"/>
                <w:szCs w:val="18"/>
                <w:u w:val="single"/>
              </w:rPr>
              <w:t>图</w:t>
            </w:r>
          </w:p>
          <w:p w14:paraId="79B3361B">
            <w:pPr>
              <w:pStyle w:val="137"/>
              <w:ind w:firstLine="480"/>
              <w:rPr>
                <w:rFonts w:hint="eastAsia" w:eastAsia="宋体"/>
                <w:b/>
                <w:bCs/>
                <w:color w:val="auto"/>
                <w:lang w:eastAsia="zh-CN"/>
              </w:rPr>
            </w:pPr>
            <w:r>
              <w:rPr>
                <w:rFonts w:hint="eastAsia"/>
                <w:b/>
                <w:bCs/>
                <w:color w:val="auto"/>
                <w:lang w:eastAsia="zh-CN"/>
              </w:rPr>
              <w:t>工艺流程简述：</w:t>
            </w:r>
          </w:p>
          <w:p w14:paraId="2B773FF1">
            <w:pPr>
              <w:pStyle w:val="137"/>
              <w:ind w:firstLine="480"/>
              <w:rPr>
                <w:rFonts w:hint="default" w:eastAsia="宋体"/>
                <w:color w:val="auto"/>
                <w:lang w:val="en-US" w:eastAsia="zh-CN"/>
              </w:rPr>
            </w:pPr>
            <w:r>
              <w:rPr>
                <w:rFonts w:hint="eastAsia"/>
                <w:color w:val="auto"/>
              </w:rPr>
              <w:t>PET</w:t>
            </w:r>
            <w:r>
              <w:rPr>
                <w:rFonts w:hint="eastAsia"/>
                <w:color w:val="auto"/>
                <w:lang w:eastAsia="zh-CN"/>
              </w:rPr>
              <w:t>瓶坯</w:t>
            </w:r>
            <w:r>
              <w:rPr>
                <w:rFonts w:hint="eastAsia"/>
                <w:color w:val="auto"/>
              </w:rPr>
              <w:t>、PE盖提生产工艺</w:t>
            </w:r>
            <w:r>
              <w:rPr>
                <w:rFonts w:hint="eastAsia"/>
                <w:color w:val="auto"/>
                <w:lang w:eastAsia="zh-CN"/>
              </w:rPr>
              <w:t>基本</w:t>
            </w:r>
            <w:r>
              <w:rPr>
                <w:rFonts w:hint="eastAsia"/>
                <w:color w:val="auto"/>
              </w:rPr>
              <w:t>一致，</w:t>
            </w:r>
            <w:r>
              <w:rPr>
                <w:rFonts w:hint="eastAsia"/>
                <w:color w:val="auto"/>
                <w:lang w:eastAsia="zh-CN"/>
              </w:rPr>
              <w:t>区别主要是</w:t>
            </w:r>
            <w:r>
              <w:rPr>
                <w:rFonts w:hint="eastAsia"/>
                <w:color w:val="auto"/>
                <w:lang w:val="en-US" w:eastAsia="zh-CN"/>
              </w:rPr>
              <w:t>PE盖提原料不需进行干燥，生产出的PE盖和PE提进行组装，其他工序如热熔工序、冷却、质检是一致的。</w:t>
            </w:r>
          </w:p>
          <w:p w14:paraId="4AA2F78F">
            <w:pPr>
              <w:pStyle w:val="137"/>
              <w:ind w:firstLine="480"/>
              <w:rPr>
                <w:rFonts w:hint="eastAsia" w:eastAsia="宋体"/>
                <w:color w:val="auto"/>
                <w:u w:val="single"/>
                <w:lang w:eastAsia="zh-CN"/>
              </w:rPr>
            </w:pPr>
            <w:r>
              <w:rPr>
                <w:rFonts w:hint="eastAsia"/>
                <w:color w:val="auto"/>
              </w:rPr>
              <w:t>干燥：</w:t>
            </w:r>
            <w:r>
              <w:rPr>
                <w:rFonts w:hint="eastAsia"/>
                <w:color w:val="auto"/>
                <w:u w:val="single"/>
              </w:rPr>
              <w:t>使用负压管将</w:t>
            </w:r>
            <w:r>
              <w:rPr>
                <w:rFonts w:hint="eastAsia"/>
                <w:color w:val="auto"/>
                <w:u w:val="single"/>
                <w:lang w:eastAsia="zh-CN"/>
              </w:rPr>
              <w:t>原料袋中的</w:t>
            </w:r>
            <w:r>
              <w:rPr>
                <w:rFonts w:hint="eastAsia"/>
                <w:color w:val="auto"/>
                <w:u w:val="single"/>
              </w:rPr>
              <w:t>P</w:t>
            </w:r>
            <w:r>
              <w:rPr>
                <w:rFonts w:hint="eastAsia"/>
                <w:color w:val="auto"/>
                <w:u w:val="single"/>
                <w:lang w:val="en-US" w:eastAsia="zh-CN"/>
              </w:rPr>
              <w:t>E</w:t>
            </w:r>
            <w:r>
              <w:rPr>
                <w:rFonts w:hint="eastAsia"/>
                <w:color w:val="auto"/>
                <w:u w:val="single"/>
              </w:rPr>
              <w:t>T原料（瓶坯）吸入</w:t>
            </w:r>
            <w:r>
              <w:rPr>
                <w:rFonts w:hint="eastAsia"/>
                <w:color w:val="auto"/>
                <w:u w:val="single"/>
                <w:lang w:eastAsia="zh-CN"/>
              </w:rPr>
              <w:t>干燥筒中，</w:t>
            </w:r>
            <w:r>
              <w:rPr>
                <w:rFonts w:hint="eastAsia"/>
                <w:color w:val="auto"/>
                <w:lang w:eastAsia="zh-CN"/>
              </w:rPr>
              <w:t>开启干燥机</w:t>
            </w:r>
            <w:r>
              <w:rPr>
                <w:rFonts w:hint="eastAsia"/>
                <w:color w:val="auto"/>
              </w:rPr>
              <w:t>进行干燥，设定干燥温度为90℃，干燥时间为3h。此工序仅为烘干</w:t>
            </w:r>
            <w:r>
              <w:rPr>
                <w:rFonts w:hint="eastAsia"/>
                <w:color w:val="auto"/>
                <w:lang w:val="en-US" w:eastAsia="zh-CN"/>
              </w:rPr>
              <w:t>PET</w:t>
            </w:r>
            <w:r>
              <w:rPr>
                <w:rFonts w:hint="eastAsia"/>
                <w:color w:val="auto"/>
              </w:rPr>
              <w:t>原料中的水分，干燥温度未达到P</w:t>
            </w:r>
            <w:r>
              <w:rPr>
                <w:rFonts w:hint="eastAsia"/>
                <w:color w:val="auto"/>
                <w:lang w:val="en-US" w:eastAsia="zh-CN"/>
              </w:rPr>
              <w:t>E</w:t>
            </w:r>
            <w:r>
              <w:rPr>
                <w:rFonts w:hint="eastAsia"/>
                <w:color w:val="auto"/>
              </w:rPr>
              <w:t>T塑料有机废气挥发温度</w:t>
            </w:r>
            <w:r>
              <w:rPr>
                <w:rFonts w:hint="eastAsia"/>
                <w:color w:val="auto"/>
                <w:lang w:eastAsia="zh-CN"/>
              </w:rPr>
              <w:t>。</w:t>
            </w:r>
            <w:r>
              <w:rPr>
                <w:rFonts w:hint="eastAsia"/>
                <w:color w:val="auto"/>
                <w:u w:val="single"/>
              </w:rPr>
              <w:t>干燥P</w:t>
            </w:r>
            <w:r>
              <w:rPr>
                <w:rFonts w:hint="eastAsia"/>
                <w:color w:val="auto"/>
                <w:u w:val="single"/>
                <w:lang w:val="en-US" w:eastAsia="zh-CN"/>
              </w:rPr>
              <w:t>E</w:t>
            </w:r>
            <w:r>
              <w:rPr>
                <w:rFonts w:hint="eastAsia"/>
                <w:color w:val="auto"/>
                <w:u w:val="single"/>
              </w:rPr>
              <w:t>T原料为片状，</w:t>
            </w:r>
            <w:r>
              <w:rPr>
                <w:rFonts w:hint="eastAsia"/>
                <w:color w:val="auto"/>
                <w:u w:val="single"/>
                <w:lang w:eastAsia="zh-CN"/>
              </w:rPr>
              <w:t>且采用负压管吸入，</w:t>
            </w:r>
            <w:r>
              <w:rPr>
                <w:rFonts w:hint="eastAsia"/>
                <w:color w:val="auto"/>
                <w:u w:val="single"/>
              </w:rPr>
              <w:t>原料在</w:t>
            </w:r>
            <w:r>
              <w:rPr>
                <w:rFonts w:hint="eastAsia"/>
                <w:color w:val="auto"/>
                <w:u w:val="single"/>
                <w:lang w:eastAsia="zh-CN"/>
              </w:rPr>
              <w:t>吸入干燥筒过程无</w:t>
            </w:r>
            <w:r>
              <w:rPr>
                <w:rFonts w:hint="eastAsia"/>
                <w:color w:val="auto"/>
                <w:u w:val="single"/>
              </w:rPr>
              <w:t>颗粒物废气产生</w:t>
            </w:r>
            <w:r>
              <w:rPr>
                <w:rFonts w:hint="eastAsia"/>
                <w:color w:val="auto"/>
                <w:u w:val="single"/>
                <w:lang w:eastAsia="zh-CN"/>
              </w:rPr>
              <w:t>；干燥桶为封闭式，且干燥过程无扰动现象，干燥过程无</w:t>
            </w:r>
            <w:r>
              <w:rPr>
                <w:rFonts w:hint="eastAsia"/>
                <w:color w:val="auto"/>
                <w:u w:val="single"/>
              </w:rPr>
              <w:t>颗粒物废气产生</w:t>
            </w:r>
            <w:r>
              <w:rPr>
                <w:rFonts w:hint="eastAsia"/>
                <w:color w:val="auto"/>
                <w:u w:val="single"/>
                <w:lang w:eastAsia="zh-CN"/>
              </w:rPr>
              <w:t>。</w:t>
            </w:r>
          </w:p>
          <w:p w14:paraId="20B3C30D">
            <w:pPr>
              <w:pStyle w:val="137"/>
              <w:ind w:firstLine="480"/>
              <w:rPr>
                <w:rFonts w:hint="eastAsia"/>
                <w:color w:val="auto"/>
              </w:rPr>
            </w:pPr>
            <w:r>
              <w:rPr>
                <w:rFonts w:hint="eastAsia"/>
                <w:color w:val="auto"/>
                <w:u w:val="single"/>
              </w:rPr>
              <w:t>注塑：干燥后的P</w:t>
            </w:r>
            <w:r>
              <w:rPr>
                <w:rFonts w:hint="eastAsia"/>
                <w:color w:val="auto"/>
                <w:u w:val="single"/>
                <w:lang w:val="en-US" w:eastAsia="zh-CN"/>
              </w:rPr>
              <w:t>E</w:t>
            </w:r>
            <w:r>
              <w:rPr>
                <w:rFonts w:hint="eastAsia"/>
                <w:color w:val="auto"/>
                <w:u w:val="single"/>
              </w:rPr>
              <w:t>T原料</w:t>
            </w:r>
            <w:r>
              <w:rPr>
                <w:rFonts w:hint="eastAsia"/>
                <w:color w:val="auto"/>
                <w:u w:val="single"/>
                <w:lang w:eastAsia="zh-CN"/>
              </w:rPr>
              <w:t>从干燥筒中通过软管吸入注塑机</w:t>
            </w:r>
            <w:r>
              <w:rPr>
                <w:rFonts w:hint="eastAsia"/>
                <w:color w:val="auto"/>
                <w:u w:val="single"/>
              </w:rPr>
              <w:t>进行熔融，</w:t>
            </w:r>
            <w:r>
              <w:rPr>
                <w:rFonts w:hint="eastAsia"/>
                <w:color w:val="auto"/>
                <w:u w:val="single"/>
                <w:lang w:eastAsia="zh-CN"/>
              </w:rPr>
              <w:t>原料运输过程无颗粒物产生。</w:t>
            </w:r>
            <w:r>
              <w:rPr>
                <w:rFonts w:hint="eastAsia"/>
                <w:color w:val="auto"/>
                <w:lang w:eastAsia="zh-CN"/>
              </w:rPr>
              <w:t>项目瓶坯注塑</w:t>
            </w:r>
            <w:r>
              <w:rPr>
                <w:rFonts w:hint="eastAsia"/>
                <w:color w:val="auto"/>
              </w:rPr>
              <w:t>工艺温度约为200-235℃，</w:t>
            </w:r>
            <w:r>
              <w:rPr>
                <w:rFonts w:hint="eastAsia"/>
                <w:color w:val="auto"/>
                <w:lang w:eastAsia="zh-CN"/>
              </w:rPr>
              <w:t>盖体注塑</w:t>
            </w:r>
            <w:r>
              <w:rPr>
                <w:rFonts w:hint="eastAsia"/>
                <w:color w:val="auto"/>
              </w:rPr>
              <w:t>工艺温度约为100-130℃，熔融物料经注射系统注射到模具中，熔融物料充满模具定型；融熔的原料在模具理冷却后会收缩（比容积变化），在充填完成后，继续保持一定的注射压力，一直到进胶口固化，以防止产品缩水。此过程将产生注塑有机废气、设备运行噪声；</w:t>
            </w:r>
            <w:r>
              <w:rPr>
                <w:rFonts w:hint="eastAsia"/>
                <w:color w:val="auto"/>
                <w:u w:val="single"/>
              </w:rPr>
              <w:t>注塑机</w:t>
            </w:r>
            <w:r>
              <w:rPr>
                <w:rFonts w:hint="eastAsia"/>
                <w:color w:val="auto"/>
                <w:u w:val="single"/>
                <w:lang w:eastAsia="zh-CN"/>
              </w:rPr>
              <w:t>产生废气口</w:t>
            </w:r>
            <w:r>
              <w:rPr>
                <w:rFonts w:hint="eastAsia"/>
                <w:color w:val="auto"/>
                <w:u w:val="single"/>
              </w:rPr>
              <w:t>上方</w:t>
            </w:r>
            <w:r>
              <w:rPr>
                <w:rFonts w:hint="eastAsia"/>
                <w:color w:val="auto"/>
              </w:rPr>
              <w:t>均安装集气罩收集有机废气，并通过集气管道输送至二级活性炭吸附装置进行处理，处理后的废气由1根</w:t>
            </w:r>
            <w:r>
              <w:rPr>
                <w:rFonts w:hint="eastAsia"/>
                <w:color w:val="auto"/>
                <w:lang w:eastAsia="zh-CN"/>
              </w:rPr>
              <w:t>20m</w:t>
            </w:r>
            <w:r>
              <w:rPr>
                <w:rFonts w:hint="eastAsia"/>
                <w:color w:val="auto"/>
              </w:rPr>
              <w:t>排气筒进行排放。</w:t>
            </w:r>
          </w:p>
          <w:p w14:paraId="3D27C044">
            <w:pPr>
              <w:pStyle w:val="137"/>
              <w:ind w:firstLine="480"/>
              <w:rPr>
                <w:rFonts w:hint="default" w:eastAsia="宋体"/>
                <w:color w:val="auto"/>
                <w:u w:val="single"/>
                <w:lang w:val="en-US" w:eastAsia="zh-CN"/>
              </w:rPr>
            </w:pPr>
            <w:r>
              <w:rPr>
                <w:rFonts w:hint="eastAsia"/>
                <w:color w:val="auto"/>
                <w:u w:val="single"/>
              </w:rPr>
              <w:t>PE盖</w:t>
            </w:r>
            <w:r>
              <w:rPr>
                <w:rFonts w:hint="eastAsia"/>
                <w:color w:val="auto"/>
                <w:u w:val="single"/>
                <w:lang w:eastAsia="zh-CN"/>
              </w:rPr>
              <w:t>剔除原料为</w:t>
            </w:r>
            <w:r>
              <w:rPr>
                <w:rFonts w:hint="eastAsia"/>
                <w:color w:val="auto"/>
                <w:u w:val="single"/>
                <w:lang w:val="en-US" w:eastAsia="zh-CN"/>
              </w:rPr>
              <w:t>PE、母粒，其注塑工艺原理一致。</w:t>
            </w:r>
          </w:p>
          <w:p w14:paraId="3563DCBD">
            <w:pPr>
              <w:pStyle w:val="137"/>
              <w:ind w:firstLine="480"/>
              <w:rPr>
                <w:rFonts w:hint="eastAsia" w:eastAsia="宋体"/>
                <w:color w:val="auto"/>
                <w:lang w:eastAsia="zh-CN"/>
              </w:rPr>
            </w:pPr>
            <w:r>
              <w:rPr>
                <w:rFonts w:hint="eastAsia"/>
                <w:color w:val="auto"/>
              </w:rPr>
              <w:t>冷却：</w:t>
            </w:r>
            <w:r>
              <w:rPr>
                <w:rFonts w:hint="eastAsia"/>
                <w:color w:val="auto"/>
                <w:lang w:val="en-US" w:eastAsia="zh-CN"/>
              </w:rPr>
              <w:t>PET瓶坯</w:t>
            </w:r>
            <w:r>
              <w:rPr>
                <w:rFonts w:hint="eastAsia"/>
                <w:color w:val="auto"/>
              </w:rPr>
              <w:t>产品在模具型腔成型后，需进行冷却，直到固化定型；产品冷却完成后，合模的压力被释放打开，当模具打开到定位后，顶出机构将产品顶出，离开模具型腔。注塑机</w:t>
            </w:r>
            <w:r>
              <w:rPr>
                <w:rFonts w:hint="eastAsia"/>
                <w:color w:val="auto"/>
                <w:lang w:eastAsia="zh-CN"/>
              </w:rPr>
              <w:t>冷却水槽中</w:t>
            </w:r>
            <w:r>
              <w:rPr>
                <w:rFonts w:hint="eastAsia"/>
                <w:color w:val="auto"/>
              </w:rPr>
              <w:t>的冷却水循环使用，定期补充新鲜水，不外排。冷却</w:t>
            </w:r>
            <w:r>
              <w:rPr>
                <w:rFonts w:hint="eastAsia"/>
                <w:color w:val="auto"/>
                <w:lang w:eastAsia="zh-CN"/>
              </w:rPr>
              <w:t>新鲜</w:t>
            </w:r>
            <w:r>
              <w:rPr>
                <w:rFonts w:hint="eastAsia"/>
                <w:color w:val="auto"/>
              </w:rPr>
              <w:t>水</w:t>
            </w:r>
            <w:r>
              <w:rPr>
                <w:rFonts w:hint="eastAsia"/>
                <w:color w:val="auto"/>
                <w:lang w:eastAsia="zh-CN"/>
              </w:rPr>
              <w:t>为自来水通过家庭式净水器碳虑</w:t>
            </w:r>
            <w:r>
              <w:rPr>
                <w:rFonts w:hint="eastAsia"/>
                <w:color w:val="auto"/>
                <w:lang w:val="en-US" w:eastAsia="zh-CN"/>
              </w:rPr>
              <w:t>得到</w:t>
            </w:r>
            <w:r>
              <w:rPr>
                <w:rFonts w:hint="eastAsia"/>
                <w:color w:val="auto"/>
                <w:lang w:eastAsia="zh-CN"/>
              </w:rPr>
              <w:t>。</w:t>
            </w:r>
          </w:p>
          <w:p w14:paraId="570CE0B5">
            <w:pPr>
              <w:pStyle w:val="137"/>
              <w:ind w:firstLine="480"/>
              <w:rPr>
                <w:rFonts w:hint="eastAsia" w:eastAsia="宋体"/>
                <w:color w:val="auto"/>
                <w:u w:val="single"/>
                <w:lang w:eastAsia="zh-CN"/>
              </w:rPr>
            </w:pPr>
            <w:r>
              <w:rPr>
                <w:rFonts w:hint="eastAsia"/>
                <w:color w:val="auto"/>
                <w:u w:val="single"/>
              </w:rPr>
              <w:t>PE</w:t>
            </w:r>
            <w:r>
              <w:rPr>
                <w:rFonts w:hint="eastAsia"/>
                <w:color w:val="auto"/>
                <w:u w:val="single"/>
                <w:lang w:eastAsia="zh-CN"/>
              </w:rPr>
              <w:t>盖体产品与</w:t>
            </w:r>
            <w:r>
              <w:rPr>
                <w:rFonts w:hint="eastAsia"/>
                <w:color w:val="auto"/>
                <w:u w:val="single"/>
                <w:lang w:val="en-US" w:eastAsia="zh-CN"/>
              </w:rPr>
              <w:t>PET瓶坯冷却工艺一致。</w:t>
            </w:r>
          </w:p>
          <w:p w14:paraId="3C07AC32">
            <w:pPr>
              <w:pStyle w:val="137"/>
              <w:ind w:firstLine="480"/>
              <w:rPr>
                <w:color w:val="auto"/>
              </w:rPr>
            </w:pPr>
            <w:r>
              <w:rPr>
                <w:rFonts w:hint="eastAsia"/>
                <w:color w:val="auto"/>
              </w:rPr>
              <w:t>质检</w:t>
            </w:r>
            <w:r>
              <w:rPr>
                <w:rFonts w:hint="eastAsia"/>
                <w:color w:val="auto"/>
                <w:lang w:eastAsia="zh-CN"/>
              </w:rPr>
              <w:t>、组装</w:t>
            </w:r>
            <w:r>
              <w:rPr>
                <w:rFonts w:hint="eastAsia"/>
                <w:color w:val="auto"/>
              </w:rPr>
              <w:t>：对</w:t>
            </w:r>
            <w:bookmarkStart w:id="65" w:name="OLE_LINK37"/>
            <w:r>
              <w:rPr>
                <w:rFonts w:hint="eastAsia"/>
                <w:color w:val="auto"/>
                <w:lang w:val="en-US" w:eastAsia="zh-CN"/>
              </w:rPr>
              <w:t>PET</w:t>
            </w:r>
            <w:r>
              <w:rPr>
                <w:rFonts w:hint="eastAsia"/>
                <w:color w:val="auto"/>
              </w:rPr>
              <w:t>瓶坯</w:t>
            </w:r>
            <w:r>
              <w:rPr>
                <w:rFonts w:hint="eastAsia"/>
                <w:color w:val="auto"/>
                <w:lang w:eastAsia="zh-CN"/>
              </w:rPr>
              <w:t>、</w:t>
            </w:r>
            <w:r>
              <w:rPr>
                <w:rFonts w:hint="eastAsia"/>
                <w:color w:val="auto"/>
                <w:lang w:val="en-US" w:eastAsia="zh-CN"/>
              </w:rPr>
              <w:t>PE</w:t>
            </w:r>
            <w:r>
              <w:rPr>
                <w:rFonts w:hint="eastAsia"/>
                <w:color w:val="auto"/>
              </w:rPr>
              <w:t>盖</w:t>
            </w:r>
            <w:r>
              <w:rPr>
                <w:rFonts w:hint="eastAsia"/>
                <w:color w:val="auto"/>
                <w:lang w:eastAsia="zh-CN"/>
              </w:rPr>
              <w:t>、</w:t>
            </w:r>
            <w:r>
              <w:rPr>
                <w:rFonts w:hint="eastAsia"/>
                <w:color w:val="auto"/>
                <w:lang w:val="en-US" w:eastAsia="zh-CN"/>
              </w:rPr>
              <w:t>PE</w:t>
            </w:r>
            <w:r>
              <w:rPr>
                <w:rFonts w:hint="eastAsia"/>
                <w:color w:val="auto"/>
              </w:rPr>
              <w:t>提</w:t>
            </w:r>
            <w:bookmarkEnd w:id="65"/>
            <w:r>
              <w:rPr>
                <w:rFonts w:hint="eastAsia"/>
                <w:color w:val="auto"/>
              </w:rPr>
              <w:t>进行质检，合格后</w:t>
            </w:r>
            <w:r>
              <w:rPr>
                <w:rFonts w:hint="eastAsia"/>
                <w:color w:val="auto"/>
                <w:lang w:eastAsia="zh-CN"/>
              </w:rPr>
              <w:t>对</w:t>
            </w:r>
            <w:r>
              <w:rPr>
                <w:rFonts w:hint="eastAsia"/>
                <w:color w:val="auto"/>
                <w:lang w:val="en-US" w:eastAsia="zh-CN"/>
              </w:rPr>
              <w:t>PE</w:t>
            </w:r>
            <w:r>
              <w:rPr>
                <w:rFonts w:hint="eastAsia"/>
                <w:color w:val="auto"/>
              </w:rPr>
              <w:t>盖</w:t>
            </w:r>
            <w:r>
              <w:rPr>
                <w:rFonts w:hint="eastAsia"/>
                <w:color w:val="auto"/>
                <w:lang w:eastAsia="zh-CN"/>
              </w:rPr>
              <w:t>、</w:t>
            </w:r>
            <w:r>
              <w:rPr>
                <w:rFonts w:hint="eastAsia"/>
                <w:color w:val="auto"/>
                <w:lang w:val="en-US" w:eastAsia="zh-CN"/>
              </w:rPr>
              <w:t>PE</w:t>
            </w:r>
            <w:r>
              <w:rPr>
                <w:rFonts w:hint="eastAsia"/>
                <w:color w:val="auto"/>
              </w:rPr>
              <w:t>提进行组盖成产品进行打包入库，</w:t>
            </w:r>
            <w:r>
              <w:rPr>
                <w:rFonts w:hint="eastAsia"/>
                <w:color w:val="auto"/>
                <w:u w:val="single"/>
              </w:rPr>
              <w:t>不合格</w:t>
            </w:r>
            <w:r>
              <w:rPr>
                <w:rFonts w:hint="eastAsia"/>
                <w:color w:val="auto"/>
                <w:u w:val="single"/>
                <w:lang w:val="en-US" w:eastAsia="zh-CN"/>
              </w:rPr>
              <w:t>PET</w:t>
            </w:r>
            <w:r>
              <w:rPr>
                <w:rFonts w:hint="eastAsia"/>
                <w:color w:val="auto"/>
                <w:u w:val="single"/>
              </w:rPr>
              <w:t>瓶坯</w:t>
            </w:r>
            <w:r>
              <w:rPr>
                <w:rFonts w:hint="eastAsia"/>
                <w:color w:val="auto"/>
                <w:u w:val="single"/>
                <w:lang w:eastAsia="zh-CN"/>
              </w:rPr>
              <w:t>、</w:t>
            </w:r>
            <w:r>
              <w:rPr>
                <w:rFonts w:hint="eastAsia"/>
                <w:color w:val="auto"/>
                <w:u w:val="single"/>
                <w:lang w:val="en-US" w:eastAsia="zh-CN"/>
              </w:rPr>
              <w:t>PE</w:t>
            </w:r>
            <w:r>
              <w:rPr>
                <w:rFonts w:hint="eastAsia"/>
                <w:color w:val="auto"/>
                <w:u w:val="single"/>
              </w:rPr>
              <w:t>盖</w:t>
            </w:r>
            <w:r>
              <w:rPr>
                <w:rFonts w:hint="eastAsia"/>
                <w:color w:val="auto"/>
                <w:u w:val="single"/>
                <w:lang w:eastAsia="zh-CN"/>
              </w:rPr>
              <w:t>、</w:t>
            </w:r>
            <w:r>
              <w:rPr>
                <w:rFonts w:hint="eastAsia"/>
                <w:color w:val="auto"/>
                <w:u w:val="single"/>
                <w:lang w:val="en-US" w:eastAsia="zh-CN"/>
              </w:rPr>
              <w:t>PE</w:t>
            </w:r>
            <w:r>
              <w:rPr>
                <w:rFonts w:hint="eastAsia"/>
                <w:color w:val="auto"/>
                <w:u w:val="single"/>
              </w:rPr>
              <w:t>提</w:t>
            </w:r>
            <w:r>
              <w:rPr>
                <w:rFonts w:hint="eastAsia"/>
                <w:color w:val="auto"/>
                <w:u w:val="single"/>
                <w:lang w:eastAsia="zh-CN"/>
              </w:rPr>
              <w:t>不进行破碎回用，主要</w:t>
            </w:r>
            <w:r>
              <w:rPr>
                <w:rFonts w:hint="eastAsia"/>
                <w:color w:val="auto"/>
                <w:u w:val="single"/>
              </w:rPr>
              <w:t>外售给废品回收公司进行回收利用</w:t>
            </w:r>
            <w:r>
              <w:rPr>
                <w:rFonts w:hint="eastAsia"/>
                <w:color w:val="auto"/>
              </w:rPr>
              <w:t>。此过程将产生设备噪声。</w:t>
            </w:r>
          </w:p>
          <w:p w14:paraId="3EF8CC13">
            <w:pPr>
              <w:pStyle w:val="5"/>
              <w:spacing w:line="400" w:lineRule="exact"/>
              <w:ind w:firstLine="482"/>
              <w:rPr>
                <w:rFonts w:ascii="Times New Roman" w:hAnsi="Times New Roman"/>
                <w:b/>
                <w:bCs/>
                <w:snapToGrid w:val="0"/>
                <w:color w:val="auto"/>
              </w:rPr>
            </w:pPr>
            <w:r>
              <w:rPr>
                <w:rFonts w:ascii="Times New Roman" w:hAnsi="Times New Roman"/>
                <w:b/>
                <w:bCs/>
                <w:color w:val="auto"/>
                <w:sz w:val="24"/>
              </w:rPr>
              <w:t>（2）产污环节</w:t>
            </w:r>
          </w:p>
          <w:p w14:paraId="02CD6BBF">
            <w:pPr>
              <w:pStyle w:val="136"/>
              <w:spacing w:line="240" w:lineRule="auto"/>
              <w:rPr>
                <w:color w:val="auto"/>
              </w:rPr>
            </w:pPr>
            <w:r>
              <w:rPr>
                <w:color w:val="auto"/>
              </w:rPr>
              <w:t>表2-</w:t>
            </w:r>
            <w:r>
              <w:rPr>
                <w:rFonts w:hint="eastAsia"/>
                <w:color w:val="auto"/>
              </w:rPr>
              <w:t>8</w:t>
            </w:r>
            <w:r>
              <w:rPr>
                <w:color w:val="auto"/>
              </w:rPr>
              <w:t xml:space="preserve"> 项目主要污染工序</w:t>
            </w:r>
            <w:r>
              <w:rPr>
                <w:rFonts w:hint="eastAsia"/>
                <w:color w:val="auto"/>
              </w:rPr>
              <w:t>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630"/>
              <w:gridCol w:w="1623"/>
              <w:gridCol w:w="2168"/>
              <w:gridCol w:w="3458"/>
            </w:tblGrid>
            <w:tr w14:paraId="66F9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gridSpan w:val="2"/>
                  <w:vAlign w:val="center"/>
                </w:tcPr>
                <w:p w14:paraId="0AC86C70">
                  <w:pPr>
                    <w:pStyle w:val="71"/>
                    <w:rPr>
                      <w:b/>
                      <w:bCs/>
                      <w:color w:val="auto"/>
                    </w:rPr>
                  </w:pPr>
                  <w:r>
                    <w:rPr>
                      <w:rFonts w:hint="eastAsia"/>
                      <w:b/>
                      <w:bCs/>
                      <w:color w:val="auto"/>
                    </w:rPr>
                    <w:t>类别</w:t>
                  </w:r>
                </w:p>
              </w:tc>
              <w:tc>
                <w:tcPr>
                  <w:tcW w:w="968" w:type="pct"/>
                  <w:vAlign w:val="center"/>
                </w:tcPr>
                <w:p w14:paraId="33A94ABE">
                  <w:pPr>
                    <w:pStyle w:val="71"/>
                    <w:rPr>
                      <w:b/>
                      <w:bCs/>
                      <w:color w:val="auto"/>
                    </w:rPr>
                  </w:pPr>
                  <w:r>
                    <w:rPr>
                      <w:b/>
                      <w:bCs/>
                      <w:color w:val="auto"/>
                    </w:rPr>
                    <w:t>来源</w:t>
                  </w:r>
                </w:p>
              </w:tc>
              <w:tc>
                <w:tcPr>
                  <w:tcW w:w="1293" w:type="pct"/>
                  <w:vAlign w:val="center"/>
                </w:tcPr>
                <w:p w14:paraId="795AE300">
                  <w:pPr>
                    <w:pStyle w:val="71"/>
                    <w:rPr>
                      <w:b/>
                      <w:bCs/>
                      <w:color w:val="auto"/>
                    </w:rPr>
                  </w:pPr>
                  <w:r>
                    <w:rPr>
                      <w:rFonts w:hint="eastAsia"/>
                      <w:b/>
                      <w:bCs/>
                      <w:color w:val="auto"/>
                    </w:rPr>
                    <w:t>主要污染物</w:t>
                  </w:r>
                </w:p>
              </w:tc>
              <w:tc>
                <w:tcPr>
                  <w:tcW w:w="2063" w:type="pct"/>
                  <w:vAlign w:val="center"/>
                </w:tcPr>
                <w:p w14:paraId="152CEE94">
                  <w:pPr>
                    <w:pStyle w:val="71"/>
                    <w:rPr>
                      <w:b/>
                      <w:bCs/>
                      <w:color w:val="auto"/>
                    </w:rPr>
                  </w:pPr>
                  <w:r>
                    <w:rPr>
                      <w:rFonts w:hint="eastAsia"/>
                      <w:b/>
                      <w:bCs/>
                      <w:color w:val="auto"/>
                    </w:rPr>
                    <w:t>主要污染防治措施</w:t>
                  </w:r>
                </w:p>
              </w:tc>
            </w:tr>
            <w:tr w14:paraId="016B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restart"/>
                  <w:vAlign w:val="center"/>
                </w:tcPr>
                <w:p w14:paraId="67447195">
                  <w:pPr>
                    <w:pStyle w:val="71"/>
                    <w:rPr>
                      <w:color w:val="auto"/>
                    </w:rPr>
                  </w:pPr>
                  <w:r>
                    <w:rPr>
                      <w:color w:val="auto"/>
                    </w:rPr>
                    <w:t>运营期</w:t>
                  </w:r>
                </w:p>
              </w:tc>
              <w:tc>
                <w:tcPr>
                  <w:tcW w:w="375" w:type="pct"/>
                  <w:vAlign w:val="center"/>
                </w:tcPr>
                <w:p w14:paraId="5CC2973C">
                  <w:pPr>
                    <w:pStyle w:val="71"/>
                    <w:rPr>
                      <w:color w:val="auto"/>
                    </w:rPr>
                  </w:pPr>
                  <w:r>
                    <w:rPr>
                      <w:color w:val="auto"/>
                    </w:rPr>
                    <w:t>废气</w:t>
                  </w:r>
                </w:p>
              </w:tc>
              <w:tc>
                <w:tcPr>
                  <w:tcW w:w="968" w:type="pct"/>
                  <w:vAlign w:val="center"/>
                </w:tcPr>
                <w:p w14:paraId="15BF3E5A">
                  <w:pPr>
                    <w:pStyle w:val="71"/>
                    <w:rPr>
                      <w:color w:val="auto"/>
                    </w:rPr>
                  </w:pPr>
                  <w:r>
                    <w:rPr>
                      <w:rFonts w:hint="eastAsia"/>
                      <w:color w:val="auto"/>
                    </w:rPr>
                    <w:t>熔融注塑过程</w:t>
                  </w:r>
                </w:p>
              </w:tc>
              <w:tc>
                <w:tcPr>
                  <w:tcW w:w="1293" w:type="pct"/>
                  <w:vAlign w:val="center"/>
                </w:tcPr>
                <w:p w14:paraId="78471D69">
                  <w:pPr>
                    <w:pStyle w:val="71"/>
                    <w:rPr>
                      <w:rFonts w:hint="eastAsia" w:eastAsia="宋体"/>
                      <w:color w:val="auto"/>
                      <w:lang w:eastAsia="zh-CN"/>
                    </w:rPr>
                  </w:pPr>
                  <w:r>
                    <w:rPr>
                      <w:rFonts w:hint="eastAsia"/>
                      <w:color w:val="auto"/>
                    </w:rPr>
                    <w:t>非甲烷总烃</w:t>
                  </w:r>
                  <w:r>
                    <w:rPr>
                      <w:rFonts w:hint="eastAsia"/>
                      <w:color w:val="auto"/>
                      <w:lang w:eastAsia="zh-CN"/>
                    </w:rPr>
                    <w:t>、臭气浓度</w:t>
                  </w:r>
                </w:p>
              </w:tc>
              <w:tc>
                <w:tcPr>
                  <w:tcW w:w="2063" w:type="pct"/>
                  <w:vAlign w:val="center"/>
                </w:tcPr>
                <w:p w14:paraId="048AD090">
                  <w:pPr>
                    <w:pStyle w:val="71"/>
                    <w:rPr>
                      <w:color w:val="auto"/>
                    </w:rPr>
                  </w:pPr>
                  <w:r>
                    <w:rPr>
                      <w:rFonts w:hint="eastAsia"/>
                      <w:color w:val="auto"/>
                    </w:rPr>
                    <w:t>二级活性炭吸附装置+</w:t>
                  </w:r>
                  <w:r>
                    <w:rPr>
                      <w:rFonts w:hint="eastAsia"/>
                      <w:color w:val="auto"/>
                      <w:lang w:eastAsia="zh-CN"/>
                    </w:rPr>
                    <w:t>20m</w:t>
                  </w:r>
                  <w:r>
                    <w:rPr>
                      <w:rFonts w:hint="eastAsia"/>
                      <w:color w:val="auto"/>
                    </w:rPr>
                    <w:t>排气筒</w:t>
                  </w:r>
                </w:p>
              </w:tc>
            </w:tr>
            <w:tr w14:paraId="21EE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vAlign w:val="center"/>
                </w:tcPr>
                <w:p w14:paraId="727DF452">
                  <w:pPr>
                    <w:pStyle w:val="71"/>
                    <w:rPr>
                      <w:color w:val="auto"/>
                    </w:rPr>
                  </w:pPr>
                </w:p>
              </w:tc>
              <w:tc>
                <w:tcPr>
                  <w:tcW w:w="375" w:type="pct"/>
                  <w:vMerge w:val="restart"/>
                  <w:vAlign w:val="center"/>
                </w:tcPr>
                <w:p w14:paraId="092F838E">
                  <w:pPr>
                    <w:pStyle w:val="71"/>
                    <w:rPr>
                      <w:color w:val="auto"/>
                    </w:rPr>
                  </w:pPr>
                  <w:r>
                    <w:rPr>
                      <w:rFonts w:hint="eastAsia"/>
                      <w:color w:val="auto"/>
                    </w:rPr>
                    <w:t>废水</w:t>
                  </w:r>
                </w:p>
              </w:tc>
              <w:tc>
                <w:tcPr>
                  <w:tcW w:w="968" w:type="pct"/>
                  <w:vAlign w:val="center"/>
                </w:tcPr>
                <w:p w14:paraId="2CE81F68">
                  <w:pPr>
                    <w:pStyle w:val="71"/>
                    <w:rPr>
                      <w:color w:val="auto"/>
                    </w:rPr>
                  </w:pPr>
                  <w:r>
                    <w:rPr>
                      <w:rFonts w:hint="eastAsia"/>
                      <w:color w:val="auto"/>
                    </w:rPr>
                    <w:t>冷却循环水</w:t>
                  </w:r>
                </w:p>
              </w:tc>
              <w:tc>
                <w:tcPr>
                  <w:tcW w:w="1293" w:type="pct"/>
                  <w:vAlign w:val="center"/>
                </w:tcPr>
                <w:p w14:paraId="44D8BCC0">
                  <w:pPr>
                    <w:pStyle w:val="139"/>
                    <w:rPr>
                      <w:color w:val="auto"/>
                    </w:rPr>
                  </w:pPr>
                  <w:r>
                    <w:rPr>
                      <w:rFonts w:hint="eastAsia"/>
                      <w:color w:val="auto"/>
                    </w:rPr>
                    <w:t>SS、COD</w:t>
                  </w:r>
                </w:p>
              </w:tc>
              <w:tc>
                <w:tcPr>
                  <w:tcW w:w="2063" w:type="pct"/>
                  <w:vAlign w:val="center"/>
                </w:tcPr>
                <w:p w14:paraId="09CB718F">
                  <w:pPr>
                    <w:pStyle w:val="139"/>
                    <w:rPr>
                      <w:color w:val="auto"/>
                    </w:rPr>
                  </w:pPr>
                  <w:r>
                    <w:rPr>
                      <w:rFonts w:hint="eastAsia"/>
                      <w:color w:val="auto"/>
                    </w:rPr>
                    <w:t>循环使用，定期补充</w:t>
                  </w:r>
                </w:p>
              </w:tc>
            </w:tr>
            <w:tr w14:paraId="106C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vAlign w:val="center"/>
                </w:tcPr>
                <w:p w14:paraId="103A4300">
                  <w:pPr>
                    <w:pStyle w:val="71"/>
                    <w:rPr>
                      <w:color w:val="auto"/>
                    </w:rPr>
                  </w:pPr>
                </w:p>
              </w:tc>
              <w:tc>
                <w:tcPr>
                  <w:tcW w:w="375" w:type="pct"/>
                  <w:vMerge w:val="continue"/>
                  <w:vAlign w:val="center"/>
                </w:tcPr>
                <w:p w14:paraId="6994C8FD">
                  <w:pPr>
                    <w:pStyle w:val="71"/>
                    <w:rPr>
                      <w:color w:val="auto"/>
                    </w:rPr>
                  </w:pPr>
                </w:p>
              </w:tc>
              <w:tc>
                <w:tcPr>
                  <w:tcW w:w="968" w:type="pct"/>
                  <w:vAlign w:val="center"/>
                </w:tcPr>
                <w:p w14:paraId="4071FF43">
                  <w:pPr>
                    <w:pStyle w:val="71"/>
                    <w:rPr>
                      <w:color w:val="auto"/>
                    </w:rPr>
                  </w:pPr>
                  <w:r>
                    <w:rPr>
                      <w:rFonts w:hint="eastAsia"/>
                      <w:color w:val="auto"/>
                    </w:rPr>
                    <w:t>生活用水</w:t>
                  </w:r>
                </w:p>
              </w:tc>
              <w:tc>
                <w:tcPr>
                  <w:tcW w:w="1293" w:type="pct"/>
                  <w:vAlign w:val="center"/>
                </w:tcPr>
                <w:p w14:paraId="14B208EE">
                  <w:pPr>
                    <w:pStyle w:val="139"/>
                    <w:rPr>
                      <w:color w:val="auto"/>
                    </w:rPr>
                  </w:pPr>
                  <w:r>
                    <w:rPr>
                      <w:rFonts w:hint="eastAsia"/>
                      <w:color w:val="auto"/>
                    </w:rPr>
                    <w:t>pH、COD、BOD</w:t>
                  </w:r>
                  <w:r>
                    <w:rPr>
                      <w:rFonts w:hint="eastAsia"/>
                      <w:color w:val="auto"/>
                      <w:vertAlign w:val="subscript"/>
                    </w:rPr>
                    <w:t>5</w:t>
                  </w:r>
                  <w:r>
                    <w:rPr>
                      <w:rFonts w:hint="eastAsia"/>
                      <w:color w:val="auto"/>
                    </w:rPr>
                    <w:t>、SS、</w:t>
                  </w:r>
                  <w:r>
                    <w:rPr>
                      <w:color w:val="auto"/>
                    </w:rPr>
                    <w:t>NH</w:t>
                  </w:r>
                  <w:r>
                    <w:rPr>
                      <w:color w:val="auto"/>
                      <w:vertAlign w:val="subscript"/>
                    </w:rPr>
                    <w:t>3</w:t>
                  </w:r>
                  <w:r>
                    <w:rPr>
                      <w:color w:val="auto"/>
                    </w:rPr>
                    <w:t>-N</w:t>
                  </w:r>
                  <w:r>
                    <w:rPr>
                      <w:rFonts w:hint="eastAsia"/>
                      <w:color w:val="auto"/>
                    </w:rPr>
                    <w:t>、TP</w:t>
                  </w:r>
                </w:p>
              </w:tc>
              <w:tc>
                <w:tcPr>
                  <w:tcW w:w="2063" w:type="pct"/>
                  <w:vAlign w:val="center"/>
                </w:tcPr>
                <w:p w14:paraId="517D22A7">
                  <w:pPr>
                    <w:pStyle w:val="139"/>
                    <w:rPr>
                      <w:color w:val="auto"/>
                    </w:rPr>
                  </w:pPr>
                  <w:r>
                    <w:rPr>
                      <w:rFonts w:hint="eastAsia"/>
                      <w:color w:val="auto"/>
                    </w:rPr>
                    <w:t>经化粪池处理后排入园区污水管网</w:t>
                  </w:r>
                </w:p>
              </w:tc>
            </w:tr>
            <w:tr w14:paraId="17D1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vAlign w:val="center"/>
                </w:tcPr>
                <w:p w14:paraId="2A09D473">
                  <w:pPr>
                    <w:pStyle w:val="71"/>
                    <w:rPr>
                      <w:color w:val="auto"/>
                    </w:rPr>
                  </w:pPr>
                </w:p>
              </w:tc>
              <w:tc>
                <w:tcPr>
                  <w:tcW w:w="375" w:type="pct"/>
                  <w:vAlign w:val="center"/>
                </w:tcPr>
                <w:p w14:paraId="0CE07D97">
                  <w:pPr>
                    <w:pStyle w:val="71"/>
                    <w:rPr>
                      <w:color w:val="auto"/>
                    </w:rPr>
                  </w:pPr>
                  <w:r>
                    <w:rPr>
                      <w:color w:val="auto"/>
                    </w:rPr>
                    <w:t>噪声</w:t>
                  </w:r>
                </w:p>
              </w:tc>
              <w:tc>
                <w:tcPr>
                  <w:tcW w:w="968" w:type="pct"/>
                  <w:vAlign w:val="center"/>
                </w:tcPr>
                <w:p w14:paraId="49764431">
                  <w:pPr>
                    <w:pStyle w:val="71"/>
                    <w:rPr>
                      <w:color w:val="auto"/>
                    </w:rPr>
                  </w:pPr>
                  <w:r>
                    <w:rPr>
                      <w:color w:val="auto"/>
                    </w:rPr>
                    <w:t>生产设备噪声</w:t>
                  </w:r>
                </w:p>
              </w:tc>
              <w:tc>
                <w:tcPr>
                  <w:tcW w:w="1293" w:type="pct"/>
                  <w:vAlign w:val="center"/>
                </w:tcPr>
                <w:p w14:paraId="127D56B3">
                  <w:pPr>
                    <w:pStyle w:val="71"/>
                    <w:rPr>
                      <w:color w:val="auto"/>
                    </w:rPr>
                  </w:pPr>
                  <w:r>
                    <w:rPr>
                      <w:color w:val="auto"/>
                    </w:rPr>
                    <w:t>等效连续A声级</w:t>
                  </w:r>
                </w:p>
              </w:tc>
              <w:tc>
                <w:tcPr>
                  <w:tcW w:w="2063" w:type="pct"/>
                  <w:vAlign w:val="center"/>
                </w:tcPr>
                <w:p w14:paraId="5CE46CA3">
                  <w:pPr>
                    <w:pStyle w:val="71"/>
                    <w:rPr>
                      <w:color w:val="auto"/>
                    </w:rPr>
                  </w:pPr>
                  <w:r>
                    <w:rPr>
                      <w:rFonts w:hint="eastAsia"/>
                      <w:color w:val="auto"/>
                    </w:rPr>
                    <w:t>厂房</w:t>
                  </w:r>
                  <w:r>
                    <w:rPr>
                      <w:color w:val="auto"/>
                    </w:rPr>
                    <w:t>隔音</w:t>
                  </w:r>
                </w:p>
              </w:tc>
            </w:tr>
            <w:tr w14:paraId="03F2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vAlign w:val="center"/>
                </w:tcPr>
                <w:p w14:paraId="63996D66">
                  <w:pPr>
                    <w:pStyle w:val="71"/>
                    <w:rPr>
                      <w:color w:val="auto"/>
                    </w:rPr>
                  </w:pPr>
                </w:p>
              </w:tc>
              <w:tc>
                <w:tcPr>
                  <w:tcW w:w="375" w:type="pct"/>
                  <w:vMerge w:val="restart"/>
                  <w:vAlign w:val="center"/>
                </w:tcPr>
                <w:p w14:paraId="6A3838EF">
                  <w:pPr>
                    <w:pStyle w:val="71"/>
                    <w:rPr>
                      <w:color w:val="auto"/>
                    </w:rPr>
                  </w:pPr>
                  <w:r>
                    <w:rPr>
                      <w:color w:val="auto"/>
                    </w:rPr>
                    <w:t>固废</w:t>
                  </w:r>
                </w:p>
              </w:tc>
              <w:tc>
                <w:tcPr>
                  <w:tcW w:w="968" w:type="pct"/>
                  <w:vAlign w:val="center"/>
                </w:tcPr>
                <w:p w14:paraId="3FD899A7">
                  <w:pPr>
                    <w:pStyle w:val="71"/>
                    <w:rPr>
                      <w:color w:val="auto"/>
                    </w:rPr>
                  </w:pPr>
                  <w:r>
                    <w:rPr>
                      <w:rFonts w:hint="eastAsia"/>
                      <w:color w:val="auto"/>
                    </w:rPr>
                    <w:t>生活垃圾</w:t>
                  </w:r>
                </w:p>
              </w:tc>
              <w:tc>
                <w:tcPr>
                  <w:tcW w:w="1293" w:type="pct"/>
                  <w:vAlign w:val="center"/>
                </w:tcPr>
                <w:p w14:paraId="4DB306C7">
                  <w:pPr>
                    <w:pStyle w:val="139"/>
                    <w:rPr>
                      <w:color w:val="auto"/>
                    </w:rPr>
                  </w:pPr>
                  <w:r>
                    <w:rPr>
                      <w:rFonts w:hint="eastAsia"/>
                      <w:color w:val="auto"/>
                    </w:rPr>
                    <w:t>办公、生活垃圾</w:t>
                  </w:r>
                </w:p>
              </w:tc>
              <w:tc>
                <w:tcPr>
                  <w:tcW w:w="2063" w:type="pct"/>
                  <w:vAlign w:val="center"/>
                </w:tcPr>
                <w:p w14:paraId="2B70CE48">
                  <w:pPr>
                    <w:pStyle w:val="139"/>
                    <w:rPr>
                      <w:color w:val="auto"/>
                    </w:rPr>
                  </w:pPr>
                  <w:r>
                    <w:rPr>
                      <w:color w:val="auto"/>
                    </w:rPr>
                    <w:t>环卫部门定期清运</w:t>
                  </w:r>
                </w:p>
              </w:tc>
            </w:tr>
            <w:tr w14:paraId="578F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vAlign w:val="center"/>
                </w:tcPr>
                <w:p w14:paraId="45DE77B3">
                  <w:pPr>
                    <w:pStyle w:val="71"/>
                    <w:rPr>
                      <w:color w:val="auto"/>
                    </w:rPr>
                  </w:pPr>
                </w:p>
              </w:tc>
              <w:tc>
                <w:tcPr>
                  <w:tcW w:w="375" w:type="pct"/>
                  <w:vMerge w:val="continue"/>
                  <w:vAlign w:val="center"/>
                </w:tcPr>
                <w:p w14:paraId="016A512C">
                  <w:pPr>
                    <w:pStyle w:val="71"/>
                    <w:rPr>
                      <w:color w:val="auto"/>
                    </w:rPr>
                  </w:pPr>
                </w:p>
              </w:tc>
              <w:tc>
                <w:tcPr>
                  <w:tcW w:w="968" w:type="pct"/>
                  <w:vAlign w:val="center"/>
                </w:tcPr>
                <w:p w14:paraId="6D0BACD7">
                  <w:pPr>
                    <w:pStyle w:val="71"/>
                    <w:rPr>
                      <w:rFonts w:hint="eastAsia" w:eastAsia="宋体"/>
                      <w:color w:val="auto"/>
                      <w:lang w:eastAsia="zh-CN"/>
                    </w:rPr>
                  </w:pPr>
                  <w:r>
                    <w:rPr>
                      <w:rFonts w:hint="eastAsia"/>
                      <w:color w:val="auto"/>
                      <w:lang w:eastAsia="zh-CN"/>
                    </w:rPr>
                    <w:t>家庭式净水器</w:t>
                  </w:r>
                </w:p>
              </w:tc>
              <w:tc>
                <w:tcPr>
                  <w:tcW w:w="1293" w:type="pct"/>
                  <w:vAlign w:val="center"/>
                </w:tcPr>
                <w:p w14:paraId="2513B464">
                  <w:pPr>
                    <w:pStyle w:val="139"/>
                    <w:rPr>
                      <w:rFonts w:hint="eastAsia"/>
                      <w:color w:val="auto"/>
                    </w:rPr>
                  </w:pPr>
                  <w:r>
                    <w:rPr>
                      <w:rFonts w:hint="eastAsia"/>
                      <w:color w:val="auto"/>
                      <w:lang w:val="en-US" w:eastAsia="zh-CN"/>
                    </w:rPr>
                    <w:t>废活性炭过滤器</w:t>
                  </w:r>
                </w:p>
              </w:tc>
              <w:tc>
                <w:tcPr>
                  <w:tcW w:w="2063" w:type="pct"/>
                  <w:vAlign w:val="center"/>
                </w:tcPr>
                <w:p w14:paraId="0BA53ED9">
                  <w:pPr>
                    <w:pStyle w:val="139"/>
                    <w:rPr>
                      <w:color w:val="auto"/>
                    </w:rPr>
                  </w:pPr>
                  <w:r>
                    <w:rPr>
                      <w:rFonts w:hint="eastAsia"/>
                      <w:color w:val="auto"/>
                      <w:lang w:val="en-US" w:eastAsia="zh-CN"/>
                    </w:rPr>
                    <w:t>由厂家回收处理</w:t>
                  </w:r>
                </w:p>
              </w:tc>
            </w:tr>
            <w:tr w14:paraId="5872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vAlign w:val="center"/>
                </w:tcPr>
                <w:p w14:paraId="1DA132F9">
                  <w:pPr>
                    <w:pStyle w:val="71"/>
                    <w:rPr>
                      <w:color w:val="auto"/>
                    </w:rPr>
                  </w:pPr>
                </w:p>
              </w:tc>
              <w:tc>
                <w:tcPr>
                  <w:tcW w:w="375" w:type="pct"/>
                  <w:vMerge w:val="continue"/>
                  <w:vAlign w:val="center"/>
                </w:tcPr>
                <w:p w14:paraId="1708219F">
                  <w:pPr>
                    <w:pStyle w:val="71"/>
                    <w:rPr>
                      <w:color w:val="auto"/>
                    </w:rPr>
                  </w:pPr>
                </w:p>
              </w:tc>
              <w:tc>
                <w:tcPr>
                  <w:tcW w:w="968" w:type="pct"/>
                  <w:vAlign w:val="center"/>
                </w:tcPr>
                <w:p w14:paraId="7BD1D535">
                  <w:pPr>
                    <w:pStyle w:val="71"/>
                    <w:rPr>
                      <w:color w:val="auto"/>
                    </w:rPr>
                  </w:pPr>
                  <w:r>
                    <w:rPr>
                      <w:rFonts w:hint="eastAsia"/>
                      <w:color w:val="auto"/>
                    </w:rPr>
                    <w:t>产品检验过程</w:t>
                  </w:r>
                </w:p>
              </w:tc>
              <w:tc>
                <w:tcPr>
                  <w:tcW w:w="1293" w:type="pct"/>
                  <w:vAlign w:val="center"/>
                </w:tcPr>
                <w:p w14:paraId="00652B86">
                  <w:pPr>
                    <w:pStyle w:val="71"/>
                    <w:rPr>
                      <w:color w:val="auto"/>
                    </w:rPr>
                  </w:pPr>
                  <w:r>
                    <w:rPr>
                      <w:rFonts w:hint="eastAsia"/>
                      <w:color w:val="auto"/>
                    </w:rPr>
                    <w:t>不合格产品</w:t>
                  </w:r>
                </w:p>
              </w:tc>
              <w:tc>
                <w:tcPr>
                  <w:tcW w:w="2063" w:type="pct"/>
                  <w:vMerge w:val="restart"/>
                  <w:vAlign w:val="center"/>
                </w:tcPr>
                <w:p w14:paraId="2E6780B6">
                  <w:pPr>
                    <w:pStyle w:val="71"/>
                    <w:rPr>
                      <w:color w:val="auto"/>
                    </w:rPr>
                  </w:pPr>
                  <w:bookmarkStart w:id="66" w:name="OLE_LINK49"/>
                  <w:r>
                    <w:rPr>
                      <w:rFonts w:hint="eastAsia"/>
                      <w:color w:val="auto"/>
                    </w:rPr>
                    <w:t>外售给废品回收公司进行回收利用</w:t>
                  </w:r>
                  <w:bookmarkEnd w:id="66"/>
                </w:p>
              </w:tc>
            </w:tr>
            <w:tr w14:paraId="4B4B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vAlign w:val="center"/>
                </w:tcPr>
                <w:p w14:paraId="0582856B">
                  <w:pPr>
                    <w:pStyle w:val="71"/>
                    <w:rPr>
                      <w:color w:val="auto"/>
                    </w:rPr>
                  </w:pPr>
                </w:p>
              </w:tc>
              <w:tc>
                <w:tcPr>
                  <w:tcW w:w="375" w:type="pct"/>
                  <w:vMerge w:val="continue"/>
                  <w:vAlign w:val="center"/>
                </w:tcPr>
                <w:p w14:paraId="5BC9BBBE">
                  <w:pPr>
                    <w:pStyle w:val="71"/>
                    <w:rPr>
                      <w:color w:val="auto"/>
                    </w:rPr>
                  </w:pPr>
                </w:p>
              </w:tc>
              <w:tc>
                <w:tcPr>
                  <w:tcW w:w="968" w:type="pct"/>
                  <w:vAlign w:val="center"/>
                </w:tcPr>
                <w:p w14:paraId="31CE8EDE">
                  <w:pPr>
                    <w:pStyle w:val="71"/>
                    <w:rPr>
                      <w:color w:val="auto"/>
                    </w:rPr>
                  </w:pPr>
                  <w:r>
                    <w:rPr>
                      <w:rFonts w:hint="eastAsia"/>
                      <w:color w:val="auto"/>
                    </w:rPr>
                    <w:t>原料包装</w:t>
                  </w:r>
                </w:p>
              </w:tc>
              <w:tc>
                <w:tcPr>
                  <w:tcW w:w="1293" w:type="pct"/>
                  <w:vAlign w:val="center"/>
                </w:tcPr>
                <w:p w14:paraId="24A788B1">
                  <w:pPr>
                    <w:pStyle w:val="71"/>
                    <w:rPr>
                      <w:color w:val="auto"/>
                    </w:rPr>
                  </w:pPr>
                  <w:r>
                    <w:rPr>
                      <w:rFonts w:hint="eastAsia"/>
                      <w:color w:val="auto"/>
                    </w:rPr>
                    <w:t>废包装袋</w:t>
                  </w:r>
                </w:p>
              </w:tc>
              <w:tc>
                <w:tcPr>
                  <w:tcW w:w="2063" w:type="pct"/>
                  <w:vMerge w:val="continue"/>
                  <w:vAlign w:val="center"/>
                </w:tcPr>
                <w:p w14:paraId="06E3337B">
                  <w:pPr>
                    <w:pStyle w:val="71"/>
                    <w:rPr>
                      <w:color w:val="auto"/>
                    </w:rPr>
                  </w:pPr>
                </w:p>
              </w:tc>
            </w:tr>
            <w:tr w14:paraId="0321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vAlign w:val="center"/>
                </w:tcPr>
                <w:p w14:paraId="3CD5B231">
                  <w:pPr>
                    <w:pStyle w:val="71"/>
                    <w:rPr>
                      <w:color w:val="auto"/>
                    </w:rPr>
                  </w:pPr>
                </w:p>
              </w:tc>
              <w:tc>
                <w:tcPr>
                  <w:tcW w:w="375" w:type="pct"/>
                  <w:vMerge w:val="continue"/>
                  <w:vAlign w:val="center"/>
                </w:tcPr>
                <w:p w14:paraId="4EE7FE9E">
                  <w:pPr>
                    <w:pStyle w:val="71"/>
                    <w:rPr>
                      <w:color w:val="auto"/>
                    </w:rPr>
                  </w:pPr>
                </w:p>
              </w:tc>
              <w:tc>
                <w:tcPr>
                  <w:tcW w:w="968" w:type="pct"/>
                  <w:vAlign w:val="center"/>
                </w:tcPr>
                <w:p w14:paraId="06F88F32">
                  <w:pPr>
                    <w:pStyle w:val="139"/>
                    <w:rPr>
                      <w:color w:val="auto"/>
                    </w:rPr>
                  </w:pPr>
                  <w:r>
                    <w:rPr>
                      <w:rFonts w:hint="eastAsia"/>
                      <w:color w:val="auto"/>
                    </w:rPr>
                    <w:t>机械维修</w:t>
                  </w:r>
                </w:p>
              </w:tc>
              <w:tc>
                <w:tcPr>
                  <w:tcW w:w="1293" w:type="pct"/>
                  <w:vAlign w:val="center"/>
                </w:tcPr>
                <w:p w14:paraId="412E9562">
                  <w:pPr>
                    <w:pStyle w:val="139"/>
                    <w:rPr>
                      <w:color w:val="auto"/>
                    </w:rPr>
                  </w:pPr>
                  <w:r>
                    <w:rPr>
                      <w:rFonts w:hint="eastAsia"/>
                      <w:color w:val="auto"/>
                    </w:rPr>
                    <w:t>废机油、废油桶、含油抹布</w:t>
                  </w:r>
                </w:p>
              </w:tc>
              <w:tc>
                <w:tcPr>
                  <w:tcW w:w="2063" w:type="pct"/>
                  <w:vMerge w:val="restart"/>
                  <w:vAlign w:val="center"/>
                </w:tcPr>
                <w:p w14:paraId="1DB826BA">
                  <w:pPr>
                    <w:pStyle w:val="71"/>
                    <w:rPr>
                      <w:color w:val="auto"/>
                    </w:rPr>
                  </w:pPr>
                  <w:r>
                    <w:rPr>
                      <w:rFonts w:hint="eastAsia"/>
                      <w:color w:val="auto"/>
                    </w:rPr>
                    <w:t>暂存于</w:t>
                  </w:r>
                  <w:r>
                    <w:rPr>
                      <w:rFonts w:hint="eastAsia"/>
                      <w:color w:val="auto"/>
                      <w:lang w:eastAsia="zh-CN"/>
                    </w:rPr>
                    <w:t>危废暂存间</w:t>
                  </w:r>
                  <w:r>
                    <w:rPr>
                      <w:rFonts w:hint="eastAsia"/>
                      <w:color w:val="auto"/>
                    </w:rPr>
                    <w:t>，定期交由有资质单位处置</w:t>
                  </w:r>
                </w:p>
              </w:tc>
            </w:tr>
            <w:tr w14:paraId="277F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vMerge w:val="continue"/>
                </w:tcPr>
                <w:p w14:paraId="432361C5">
                  <w:pPr>
                    <w:pStyle w:val="71"/>
                    <w:rPr>
                      <w:color w:val="auto"/>
                    </w:rPr>
                  </w:pPr>
                </w:p>
              </w:tc>
              <w:tc>
                <w:tcPr>
                  <w:tcW w:w="375" w:type="pct"/>
                  <w:vMerge w:val="continue"/>
                </w:tcPr>
                <w:p w14:paraId="15B87DD7">
                  <w:pPr>
                    <w:pStyle w:val="71"/>
                    <w:rPr>
                      <w:color w:val="auto"/>
                    </w:rPr>
                  </w:pPr>
                </w:p>
              </w:tc>
              <w:tc>
                <w:tcPr>
                  <w:tcW w:w="968" w:type="pct"/>
                  <w:vAlign w:val="center"/>
                </w:tcPr>
                <w:p w14:paraId="5FF00EA3">
                  <w:pPr>
                    <w:pStyle w:val="71"/>
                    <w:rPr>
                      <w:color w:val="auto"/>
                    </w:rPr>
                  </w:pPr>
                  <w:r>
                    <w:rPr>
                      <w:rFonts w:hint="eastAsia"/>
                      <w:color w:val="auto"/>
                    </w:rPr>
                    <w:t>注塑有机废气处理过程</w:t>
                  </w:r>
                </w:p>
              </w:tc>
              <w:tc>
                <w:tcPr>
                  <w:tcW w:w="1293" w:type="pct"/>
                  <w:vAlign w:val="center"/>
                </w:tcPr>
                <w:p w14:paraId="13B295F9">
                  <w:pPr>
                    <w:pStyle w:val="71"/>
                    <w:rPr>
                      <w:color w:val="auto"/>
                    </w:rPr>
                  </w:pPr>
                  <w:r>
                    <w:rPr>
                      <w:rFonts w:hint="eastAsia"/>
                      <w:color w:val="auto"/>
                    </w:rPr>
                    <w:t>废活性炭</w:t>
                  </w:r>
                </w:p>
              </w:tc>
              <w:tc>
                <w:tcPr>
                  <w:tcW w:w="2063" w:type="pct"/>
                  <w:vMerge w:val="continue"/>
                  <w:vAlign w:val="center"/>
                </w:tcPr>
                <w:p w14:paraId="36959EC1">
                  <w:pPr>
                    <w:pStyle w:val="71"/>
                    <w:rPr>
                      <w:color w:val="auto"/>
                    </w:rPr>
                  </w:pPr>
                </w:p>
              </w:tc>
            </w:tr>
          </w:tbl>
          <w:p w14:paraId="762ABD60">
            <w:pPr>
              <w:ind w:firstLine="480" w:firstLineChars="200"/>
              <w:jc w:val="left"/>
              <w:rPr>
                <w:color w:val="auto"/>
              </w:rPr>
            </w:pPr>
          </w:p>
        </w:tc>
      </w:tr>
      <w:tr w14:paraId="2793F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768" w:type="dxa"/>
            <w:gridSpan w:val="2"/>
            <w:vAlign w:val="center"/>
          </w:tcPr>
          <w:p w14:paraId="71E78071">
            <w:pPr>
              <w:adjustRightInd w:val="0"/>
              <w:snapToGrid w:val="0"/>
              <w:spacing w:line="240" w:lineRule="auto"/>
              <w:jc w:val="center"/>
              <w:rPr>
                <w:b/>
                <w:bCs/>
                <w:color w:val="auto"/>
                <w:sz w:val="21"/>
                <w:szCs w:val="21"/>
              </w:rPr>
            </w:pPr>
            <w:r>
              <w:rPr>
                <w:b/>
                <w:bCs/>
                <w:color w:val="auto"/>
              </w:rPr>
              <w:t>与项目有关的原有环境污染问题</w:t>
            </w:r>
          </w:p>
        </w:tc>
        <w:tc>
          <w:tcPr>
            <w:tcW w:w="8292" w:type="dxa"/>
            <w:vAlign w:val="center"/>
          </w:tcPr>
          <w:p w14:paraId="5B4A223F">
            <w:pPr>
              <w:jc w:val="center"/>
              <w:rPr>
                <w:color w:val="auto"/>
              </w:rPr>
            </w:pPr>
          </w:p>
          <w:p w14:paraId="580F9241">
            <w:pPr>
              <w:jc w:val="center"/>
              <w:rPr>
                <w:color w:val="auto"/>
              </w:rPr>
            </w:pPr>
          </w:p>
          <w:p w14:paraId="69FE8854">
            <w:pPr>
              <w:pStyle w:val="23"/>
              <w:ind w:firstLine="280"/>
              <w:rPr>
                <w:color w:val="auto"/>
              </w:rPr>
            </w:pPr>
          </w:p>
          <w:p w14:paraId="1893C830">
            <w:pPr>
              <w:pStyle w:val="24"/>
              <w:ind w:left="480" w:firstLine="480"/>
              <w:rPr>
                <w:color w:val="auto"/>
              </w:rPr>
            </w:pPr>
          </w:p>
          <w:p w14:paraId="09EC39C3">
            <w:pPr>
              <w:pStyle w:val="23"/>
              <w:ind w:firstLine="280"/>
              <w:rPr>
                <w:color w:val="auto"/>
              </w:rPr>
            </w:pPr>
          </w:p>
          <w:p w14:paraId="7BB77A8B">
            <w:pPr>
              <w:rPr>
                <w:color w:val="auto"/>
              </w:rPr>
            </w:pPr>
          </w:p>
          <w:p w14:paraId="5BAFA611">
            <w:pPr>
              <w:jc w:val="center"/>
              <w:rPr>
                <w:color w:val="auto"/>
              </w:rPr>
            </w:pPr>
          </w:p>
          <w:p w14:paraId="0AF16125">
            <w:pPr>
              <w:jc w:val="center"/>
              <w:rPr>
                <w:color w:val="auto"/>
              </w:rPr>
            </w:pPr>
            <w:r>
              <w:rPr>
                <w:color w:val="auto"/>
              </w:rPr>
              <w:t>本项目为新建项目，无与本项目相关的原有污染情况。</w:t>
            </w:r>
          </w:p>
          <w:p w14:paraId="5D900D0A">
            <w:pPr>
              <w:pStyle w:val="5"/>
              <w:rPr>
                <w:color w:val="auto"/>
              </w:rPr>
            </w:pPr>
          </w:p>
          <w:p w14:paraId="486AC129">
            <w:pPr>
              <w:pStyle w:val="17"/>
              <w:rPr>
                <w:color w:val="auto"/>
              </w:rPr>
            </w:pPr>
          </w:p>
          <w:p w14:paraId="342AC9C8">
            <w:pPr>
              <w:rPr>
                <w:color w:val="auto"/>
              </w:rPr>
            </w:pPr>
          </w:p>
          <w:p w14:paraId="6456A2A0">
            <w:pPr>
              <w:pStyle w:val="23"/>
              <w:rPr>
                <w:color w:val="auto"/>
              </w:rPr>
            </w:pPr>
          </w:p>
          <w:p w14:paraId="0C16E61E">
            <w:pPr>
              <w:pStyle w:val="24"/>
              <w:rPr>
                <w:color w:val="auto"/>
              </w:rPr>
            </w:pPr>
          </w:p>
          <w:p w14:paraId="4E9E23DC">
            <w:pPr>
              <w:pStyle w:val="23"/>
              <w:rPr>
                <w:color w:val="auto"/>
              </w:rPr>
            </w:pPr>
          </w:p>
          <w:p w14:paraId="5374857F">
            <w:pPr>
              <w:pStyle w:val="24"/>
              <w:rPr>
                <w:color w:val="auto"/>
              </w:rPr>
            </w:pPr>
          </w:p>
          <w:p w14:paraId="788EA832">
            <w:pPr>
              <w:rPr>
                <w:color w:val="auto"/>
              </w:rPr>
            </w:pPr>
          </w:p>
          <w:p w14:paraId="182BB45B">
            <w:pPr>
              <w:pStyle w:val="5"/>
              <w:ind w:firstLine="0" w:firstLineChars="0"/>
              <w:rPr>
                <w:color w:val="auto"/>
              </w:rPr>
            </w:pPr>
          </w:p>
        </w:tc>
      </w:tr>
    </w:tbl>
    <w:p w14:paraId="726143D7">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4D9DBA4E">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0893AF74">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0E43F09E">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56C47183">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0237A8AC">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6D5E98B8">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3B86846D">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1821DB13">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4478437F">
      <w:pPr>
        <w:pStyle w:val="20"/>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3E7AE5D2">
      <w:pPr>
        <w:pStyle w:val="21"/>
        <w:numPr>
          <w:ilvl w:val="0"/>
          <w:numId w:val="1"/>
        </w:numPr>
        <w:rPr>
          <w:snapToGrid w:val="0"/>
          <w:color w:val="auto"/>
        </w:rPr>
      </w:pPr>
      <w:bookmarkStart w:id="67" w:name="_Toc80604820"/>
      <w:r>
        <w:rPr>
          <w:snapToGrid w:val="0"/>
          <w:color w:val="auto"/>
        </w:rPr>
        <w:t>区域环境质量现状、环境保护目标及评价标准</w:t>
      </w:r>
      <w:bookmarkEnd w:id="67"/>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91"/>
      </w:tblGrid>
      <w:tr w14:paraId="1E27B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82" w:hRule="atLeast"/>
          <w:jc w:val="center"/>
        </w:trPr>
        <w:tc>
          <w:tcPr>
            <w:tcW w:w="456" w:type="dxa"/>
            <w:vAlign w:val="center"/>
          </w:tcPr>
          <w:p w14:paraId="2B28CF3F">
            <w:pPr>
              <w:jc w:val="center"/>
              <w:rPr>
                <w:b/>
                <w:color w:val="auto"/>
              </w:rPr>
            </w:pPr>
            <w:r>
              <w:rPr>
                <w:b/>
                <w:color w:val="auto"/>
              </w:rPr>
              <w:t>区</w:t>
            </w:r>
          </w:p>
          <w:p w14:paraId="157BAD3B">
            <w:pPr>
              <w:jc w:val="center"/>
              <w:rPr>
                <w:b/>
                <w:color w:val="auto"/>
              </w:rPr>
            </w:pPr>
            <w:r>
              <w:rPr>
                <w:b/>
                <w:color w:val="auto"/>
              </w:rPr>
              <w:t>域</w:t>
            </w:r>
          </w:p>
          <w:p w14:paraId="0D7E7461">
            <w:pPr>
              <w:jc w:val="center"/>
              <w:rPr>
                <w:b/>
                <w:color w:val="auto"/>
              </w:rPr>
            </w:pPr>
            <w:r>
              <w:rPr>
                <w:b/>
                <w:color w:val="auto"/>
              </w:rPr>
              <w:t>环</w:t>
            </w:r>
          </w:p>
          <w:p w14:paraId="233F5435">
            <w:pPr>
              <w:jc w:val="center"/>
              <w:rPr>
                <w:b/>
                <w:color w:val="auto"/>
              </w:rPr>
            </w:pPr>
            <w:r>
              <w:rPr>
                <w:b/>
                <w:color w:val="auto"/>
              </w:rPr>
              <w:t>境</w:t>
            </w:r>
          </w:p>
          <w:p w14:paraId="0D7DDEA8">
            <w:pPr>
              <w:jc w:val="center"/>
              <w:rPr>
                <w:b/>
                <w:color w:val="auto"/>
              </w:rPr>
            </w:pPr>
            <w:r>
              <w:rPr>
                <w:b/>
                <w:color w:val="auto"/>
              </w:rPr>
              <w:t>质</w:t>
            </w:r>
          </w:p>
          <w:p w14:paraId="57E3041C">
            <w:pPr>
              <w:jc w:val="center"/>
              <w:rPr>
                <w:b/>
                <w:color w:val="auto"/>
              </w:rPr>
            </w:pPr>
            <w:r>
              <w:rPr>
                <w:b/>
                <w:color w:val="auto"/>
              </w:rPr>
              <w:t>量</w:t>
            </w:r>
          </w:p>
          <w:p w14:paraId="24F715F7">
            <w:pPr>
              <w:jc w:val="center"/>
              <w:rPr>
                <w:b/>
                <w:color w:val="auto"/>
              </w:rPr>
            </w:pPr>
            <w:r>
              <w:rPr>
                <w:b/>
                <w:color w:val="auto"/>
              </w:rPr>
              <w:t>现</w:t>
            </w:r>
          </w:p>
          <w:p w14:paraId="209DCE94">
            <w:pPr>
              <w:jc w:val="center"/>
              <w:rPr>
                <w:b/>
                <w:color w:val="auto"/>
                <w:szCs w:val="21"/>
              </w:rPr>
            </w:pPr>
            <w:r>
              <w:rPr>
                <w:b/>
                <w:color w:val="auto"/>
              </w:rPr>
              <w:t>状</w:t>
            </w:r>
          </w:p>
        </w:tc>
        <w:tc>
          <w:tcPr>
            <w:tcW w:w="8591" w:type="dxa"/>
            <w:vAlign w:val="center"/>
          </w:tcPr>
          <w:p w14:paraId="1AA5179A">
            <w:pPr>
              <w:adjustRightInd w:val="0"/>
              <w:snapToGrid w:val="0"/>
              <w:ind w:firstLine="482" w:firstLineChars="200"/>
              <w:rPr>
                <w:b/>
                <w:color w:val="auto"/>
              </w:rPr>
            </w:pPr>
            <w:r>
              <w:rPr>
                <w:b/>
                <w:color w:val="auto"/>
              </w:rPr>
              <w:t>1、环境空气质量状况</w:t>
            </w:r>
          </w:p>
          <w:p w14:paraId="43D97720">
            <w:pPr>
              <w:adjustRightInd w:val="0"/>
              <w:snapToGrid w:val="0"/>
              <w:ind w:firstLine="480" w:firstLineChars="200"/>
              <w:rPr>
                <w:color w:val="auto"/>
              </w:rPr>
            </w:pPr>
            <w:r>
              <w:rPr>
                <w:rFonts w:hint="eastAsia"/>
                <w:color w:val="auto"/>
              </w:rPr>
              <w:t xml:space="preserve">根据《环境空气质量标准》（GB3095-2012），项目位于钦州港片区中马钦州产业园区台湾中小企业园区2＃厂房第一层 </w:t>
            </w:r>
            <w:r>
              <w:rPr>
                <w:rFonts w:hint="eastAsia"/>
                <w:color w:val="auto"/>
                <w:kern w:val="0"/>
              </w:rPr>
              <w:t>，属于</w:t>
            </w:r>
            <w:r>
              <w:rPr>
                <w:color w:val="auto"/>
                <w:kern w:val="0"/>
              </w:rPr>
              <w:t>中国-马来西亚钦州产业园区</w:t>
            </w:r>
            <w:r>
              <w:rPr>
                <w:rFonts w:hint="eastAsia"/>
                <w:color w:val="auto"/>
                <w:kern w:val="0"/>
              </w:rPr>
              <w:t>规划范围内</w:t>
            </w:r>
            <w:r>
              <w:rPr>
                <w:rFonts w:hint="eastAsia"/>
                <w:color w:val="auto"/>
              </w:rPr>
              <w:t>，属于二类环境空气功能区。</w:t>
            </w:r>
          </w:p>
          <w:p w14:paraId="62A4B637">
            <w:pPr>
              <w:adjustRightInd w:val="0"/>
              <w:snapToGrid w:val="0"/>
              <w:ind w:firstLine="480" w:firstLineChars="200"/>
              <w:rPr>
                <w:color w:val="auto"/>
              </w:rPr>
            </w:pPr>
            <w:r>
              <w:rPr>
                <w:rFonts w:hint="eastAsia"/>
                <w:color w:val="auto"/>
              </w:rPr>
              <w:t>（1）常规因子</w:t>
            </w:r>
          </w:p>
          <w:p w14:paraId="61B7AE52">
            <w:pPr>
              <w:adjustRightInd w:val="0"/>
              <w:snapToGrid w:val="0"/>
              <w:ind w:firstLine="480" w:firstLineChars="200"/>
              <w:rPr>
                <w:color w:val="auto"/>
              </w:rPr>
            </w:pPr>
            <w:r>
              <w:rPr>
                <w:color w:val="auto"/>
              </w:rPr>
              <w:t>根据《环境影响评价技术导则大气环境》（HJ2.2-2018）的要求，城市环境空气达标情况评价指标为SO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、CO和O</w:t>
            </w:r>
            <w:r>
              <w:rPr>
                <w:color w:val="auto"/>
                <w:vertAlign w:val="subscript"/>
              </w:rPr>
              <w:t>3</w:t>
            </w:r>
            <w:r>
              <w:rPr>
                <w:color w:val="auto"/>
              </w:rPr>
              <w:t>，六项污染物全部达标即为城市环境空气质量达标。国家和地方生态环境主管部门未发布城市环境空气达标情况的，可按照《环境空气质量评价技术规范（试行）》（HJ663-2013）各评价项目的年评价指标进行判定。年评价指标中的年均浓度和相应百分位数24h或8h平均质量浓度满足《环境空气质量标准》（GB3095-2012）及其修改单中浓度限值要求的即为达标。</w:t>
            </w:r>
          </w:p>
          <w:p w14:paraId="65ABFEA8">
            <w:pPr>
              <w:adjustRightInd w:val="0"/>
              <w:snapToGrid w:val="0"/>
              <w:ind w:firstLine="480" w:firstLineChars="200"/>
              <w:rPr>
                <w:color w:val="auto"/>
              </w:rPr>
            </w:pPr>
            <w:r>
              <w:rPr>
                <w:color w:val="auto"/>
              </w:rPr>
              <w:t>项目所在区域环境质量达标判定采用</w:t>
            </w:r>
            <w:bookmarkStart w:id="68" w:name="OLE_LINK57"/>
            <w:r>
              <w:rPr>
                <w:rFonts w:hint="eastAsia"/>
                <w:color w:val="auto"/>
              </w:rPr>
              <w:t>钦州市生态环境局网站公布的《钦州市生态环境局关于2023年环境空气质量的通报》</w:t>
            </w:r>
            <w:bookmarkEnd w:id="68"/>
            <w:r>
              <w:rPr>
                <w:color w:val="auto"/>
              </w:rPr>
              <w:t>中数据</w:t>
            </w:r>
            <w:r>
              <w:rPr>
                <w:rFonts w:hint="eastAsia"/>
                <w:color w:val="auto"/>
              </w:rPr>
              <w:t>，</w:t>
            </w:r>
            <w:r>
              <w:rPr>
                <w:color w:val="auto"/>
              </w:rPr>
              <w:t>评价结果详见下表3-1。</w:t>
            </w:r>
          </w:p>
          <w:p w14:paraId="393DD6F7">
            <w:pPr>
              <w:spacing w:line="240" w:lineRule="auto"/>
              <w:jc w:val="center"/>
              <w:rPr>
                <w:b/>
                <w:color w:val="auto"/>
                <w:sz w:val="21"/>
                <w:szCs w:val="21"/>
              </w:rPr>
            </w:pPr>
            <w:r>
              <w:rPr>
                <w:b/>
                <w:color w:val="auto"/>
                <w:sz w:val="21"/>
                <w:szCs w:val="21"/>
              </w:rPr>
              <w:t xml:space="preserve">表3-1  </w:t>
            </w:r>
            <w:r>
              <w:rPr>
                <w:b/>
                <w:bCs/>
                <w:color w:val="auto"/>
                <w:sz w:val="21"/>
                <w:szCs w:val="21"/>
              </w:rPr>
              <w:t>202</w:t>
            </w:r>
            <w:r>
              <w:rPr>
                <w:rFonts w:hint="eastAsia"/>
                <w:b/>
                <w:bCs/>
                <w:color w:val="auto"/>
                <w:sz w:val="21"/>
                <w:szCs w:val="21"/>
              </w:rPr>
              <w:t>3</w:t>
            </w:r>
            <w:r>
              <w:rPr>
                <w:b/>
                <w:bCs/>
                <w:color w:val="auto"/>
                <w:sz w:val="21"/>
                <w:szCs w:val="21"/>
              </w:rPr>
              <w:t>年钦州市环境空气质量    单位：</w:t>
            </w:r>
            <w:r>
              <w:rPr>
                <w:color w:val="auto"/>
                <w:sz w:val="21"/>
                <w:szCs w:val="21"/>
              </w:rPr>
              <w:t>µg/m</w:t>
            </w:r>
            <w:r>
              <w:rPr>
                <w:color w:val="auto"/>
                <w:sz w:val="21"/>
                <w:szCs w:val="21"/>
                <w:vertAlign w:val="superscript"/>
              </w:rPr>
              <w:t>3</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55"/>
              <w:gridCol w:w="1134"/>
              <w:gridCol w:w="1135"/>
              <w:gridCol w:w="923"/>
              <w:gridCol w:w="1114"/>
            </w:tblGrid>
            <w:tr w14:paraId="36E8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dxa"/>
                  <w:vAlign w:val="center"/>
                </w:tcPr>
                <w:p w14:paraId="5090CFFB">
                  <w:pPr>
                    <w:pStyle w:val="111"/>
                    <w:spacing w:line="240" w:lineRule="auto"/>
                    <w:rPr>
                      <w:b/>
                      <w:bCs/>
                      <w:color w:val="auto"/>
                      <w:szCs w:val="21"/>
                    </w:rPr>
                  </w:pPr>
                  <w:r>
                    <w:rPr>
                      <w:b/>
                      <w:bCs/>
                      <w:color w:val="auto"/>
                      <w:szCs w:val="21"/>
                    </w:rPr>
                    <w:t>污染物</w:t>
                  </w:r>
                </w:p>
              </w:tc>
              <w:tc>
                <w:tcPr>
                  <w:tcW w:w="3055" w:type="dxa"/>
                  <w:vAlign w:val="center"/>
                </w:tcPr>
                <w:p w14:paraId="6A5A1AA2">
                  <w:pPr>
                    <w:pStyle w:val="111"/>
                    <w:spacing w:line="240" w:lineRule="auto"/>
                    <w:rPr>
                      <w:b/>
                      <w:bCs/>
                      <w:color w:val="auto"/>
                      <w:szCs w:val="21"/>
                    </w:rPr>
                  </w:pPr>
                  <w:r>
                    <w:rPr>
                      <w:b/>
                      <w:bCs/>
                      <w:color w:val="auto"/>
                      <w:szCs w:val="21"/>
                    </w:rPr>
                    <w:t>年评价指标</w:t>
                  </w:r>
                </w:p>
              </w:tc>
              <w:tc>
                <w:tcPr>
                  <w:tcW w:w="1134" w:type="dxa"/>
                  <w:vAlign w:val="center"/>
                </w:tcPr>
                <w:p w14:paraId="64CB4107">
                  <w:pPr>
                    <w:pStyle w:val="111"/>
                    <w:spacing w:line="240" w:lineRule="auto"/>
                    <w:rPr>
                      <w:b/>
                      <w:bCs/>
                      <w:color w:val="auto"/>
                      <w:szCs w:val="21"/>
                    </w:rPr>
                  </w:pPr>
                  <w:r>
                    <w:rPr>
                      <w:b/>
                      <w:bCs/>
                      <w:color w:val="auto"/>
                      <w:szCs w:val="21"/>
                    </w:rPr>
                    <w:t>现状浓度</w:t>
                  </w:r>
                </w:p>
              </w:tc>
              <w:tc>
                <w:tcPr>
                  <w:tcW w:w="1135" w:type="dxa"/>
                  <w:vAlign w:val="center"/>
                </w:tcPr>
                <w:p w14:paraId="335058D7">
                  <w:pPr>
                    <w:pStyle w:val="111"/>
                    <w:spacing w:line="240" w:lineRule="auto"/>
                    <w:rPr>
                      <w:b/>
                      <w:bCs/>
                      <w:color w:val="auto"/>
                      <w:szCs w:val="21"/>
                    </w:rPr>
                  </w:pPr>
                  <w:r>
                    <w:rPr>
                      <w:b/>
                      <w:bCs/>
                      <w:color w:val="auto"/>
                      <w:szCs w:val="21"/>
                    </w:rPr>
                    <w:t>标准浓度</w:t>
                  </w:r>
                </w:p>
              </w:tc>
              <w:tc>
                <w:tcPr>
                  <w:tcW w:w="923" w:type="dxa"/>
                  <w:vAlign w:val="center"/>
                </w:tcPr>
                <w:p w14:paraId="2C19E2BC">
                  <w:pPr>
                    <w:pStyle w:val="111"/>
                    <w:spacing w:line="240" w:lineRule="auto"/>
                    <w:rPr>
                      <w:b/>
                      <w:bCs/>
                      <w:color w:val="auto"/>
                      <w:szCs w:val="21"/>
                    </w:rPr>
                  </w:pPr>
                  <w:r>
                    <w:rPr>
                      <w:b/>
                      <w:bCs/>
                      <w:color w:val="auto"/>
                      <w:szCs w:val="21"/>
                    </w:rPr>
                    <w:t>占标率</w:t>
                  </w:r>
                </w:p>
              </w:tc>
              <w:tc>
                <w:tcPr>
                  <w:tcW w:w="1114" w:type="dxa"/>
                  <w:vAlign w:val="center"/>
                </w:tcPr>
                <w:p w14:paraId="63279B20">
                  <w:pPr>
                    <w:pStyle w:val="111"/>
                    <w:spacing w:line="240" w:lineRule="auto"/>
                    <w:rPr>
                      <w:b/>
                      <w:bCs/>
                      <w:color w:val="auto"/>
                      <w:szCs w:val="21"/>
                    </w:rPr>
                  </w:pPr>
                  <w:r>
                    <w:rPr>
                      <w:b/>
                      <w:bCs/>
                      <w:color w:val="auto"/>
                      <w:szCs w:val="21"/>
                    </w:rPr>
                    <w:t>达标情况</w:t>
                  </w:r>
                </w:p>
              </w:tc>
            </w:tr>
            <w:tr w14:paraId="6577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0" w:type="dxa"/>
                  <w:vAlign w:val="center"/>
                </w:tcPr>
                <w:p w14:paraId="1F3E314D">
                  <w:pPr>
                    <w:pStyle w:val="111"/>
                    <w:spacing w:line="240" w:lineRule="auto"/>
                    <w:rPr>
                      <w:color w:val="auto"/>
                      <w:szCs w:val="21"/>
                    </w:rPr>
                  </w:pPr>
                  <w:r>
                    <w:rPr>
                      <w:color w:val="auto"/>
                      <w:szCs w:val="21"/>
                    </w:rPr>
                    <w:t>SO</w:t>
                  </w:r>
                  <w:r>
                    <w:rPr>
                      <w:color w:val="auto"/>
                      <w:szCs w:val="21"/>
                      <w:vertAlign w:val="subscript"/>
                    </w:rPr>
                    <w:t>2</w:t>
                  </w:r>
                </w:p>
              </w:tc>
              <w:tc>
                <w:tcPr>
                  <w:tcW w:w="3055" w:type="dxa"/>
                  <w:vAlign w:val="center"/>
                </w:tcPr>
                <w:p w14:paraId="0C526575">
                  <w:pPr>
                    <w:pStyle w:val="111"/>
                    <w:spacing w:line="240" w:lineRule="auto"/>
                    <w:rPr>
                      <w:color w:val="auto"/>
                      <w:szCs w:val="21"/>
                    </w:rPr>
                  </w:pPr>
                  <w:r>
                    <w:rPr>
                      <w:color w:val="auto"/>
                      <w:szCs w:val="21"/>
                    </w:rPr>
                    <w:t>年平均质量浓度</w:t>
                  </w:r>
                </w:p>
              </w:tc>
              <w:tc>
                <w:tcPr>
                  <w:tcW w:w="1134" w:type="dxa"/>
                  <w:vAlign w:val="center"/>
                </w:tcPr>
                <w:p w14:paraId="17A859C8">
                  <w:pPr>
                    <w:pStyle w:val="111"/>
                    <w:spacing w:line="240" w:lineRule="auto"/>
                    <w:rPr>
                      <w:color w:val="auto"/>
                      <w:szCs w:val="21"/>
                    </w:rPr>
                  </w:pPr>
                </w:p>
              </w:tc>
              <w:tc>
                <w:tcPr>
                  <w:tcW w:w="1135" w:type="dxa"/>
                  <w:vAlign w:val="center"/>
                </w:tcPr>
                <w:p w14:paraId="727E9814">
                  <w:pPr>
                    <w:pStyle w:val="111"/>
                    <w:spacing w:line="240" w:lineRule="auto"/>
                    <w:rPr>
                      <w:color w:val="auto"/>
                      <w:szCs w:val="21"/>
                    </w:rPr>
                  </w:pPr>
                </w:p>
              </w:tc>
              <w:tc>
                <w:tcPr>
                  <w:tcW w:w="923" w:type="dxa"/>
                  <w:vAlign w:val="center"/>
                </w:tcPr>
                <w:p w14:paraId="7090932D">
                  <w:pPr>
                    <w:pStyle w:val="111"/>
                    <w:spacing w:line="240" w:lineRule="auto"/>
                    <w:rPr>
                      <w:color w:val="auto"/>
                      <w:szCs w:val="21"/>
                    </w:rPr>
                  </w:pPr>
                </w:p>
              </w:tc>
              <w:tc>
                <w:tcPr>
                  <w:tcW w:w="1114" w:type="dxa"/>
                  <w:vAlign w:val="center"/>
                </w:tcPr>
                <w:p w14:paraId="356A6138">
                  <w:pPr>
                    <w:pStyle w:val="111"/>
                    <w:spacing w:line="240" w:lineRule="auto"/>
                    <w:rPr>
                      <w:color w:val="auto"/>
                      <w:szCs w:val="21"/>
                    </w:rPr>
                  </w:pPr>
                  <w:r>
                    <w:rPr>
                      <w:color w:val="auto"/>
                      <w:szCs w:val="21"/>
                    </w:rPr>
                    <w:t>达标</w:t>
                  </w:r>
                </w:p>
              </w:tc>
            </w:tr>
            <w:tr w14:paraId="0237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dxa"/>
                  <w:vAlign w:val="center"/>
                </w:tcPr>
                <w:p w14:paraId="5070344B">
                  <w:pPr>
                    <w:pStyle w:val="111"/>
                    <w:spacing w:line="240" w:lineRule="auto"/>
                    <w:rPr>
                      <w:color w:val="auto"/>
                      <w:szCs w:val="21"/>
                    </w:rPr>
                  </w:pPr>
                  <w:r>
                    <w:rPr>
                      <w:color w:val="auto"/>
                      <w:szCs w:val="21"/>
                    </w:rPr>
                    <w:t>NO</w:t>
                  </w:r>
                  <w:r>
                    <w:rPr>
                      <w:color w:val="auto"/>
                      <w:szCs w:val="21"/>
                      <w:vertAlign w:val="subscript"/>
                    </w:rPr>
                    <w:t>2</w:t>
                  </w:r>
                </w:p>
              </w:tc>
              <w:tc>
                <w:tcPr>
                  <w:tcW w:w="3055" w:type="dxa"/>
                  <w:vAlign w:val="center"/>
                </w:tcPr>
                <w:p w14:paraId="506444A0">
                  <w:pPr>
                    <w:pStyle w:val="111"/>
                    <w:spacing w:line="240" w:lineRule="auto"/>
                    <w:rPr>
                      <w:color w:val="auto"/>
                      <w:szCs w:val="21"/>
                    </w:rPr>
                  </w:pPr>
                  <w:r>
                    <w:rPr>
                      <w:color w:val="auto"/>
                      <w:szCs w:val="21"/>
                    </w:rPr>
                    <w:t>年平均质量浓度</w:t>
                  </w:r>
                </w:p>
              </w:tc>
              <w:tc>
                <w:tcPr>
                  <w:tcW w:w="1134" w:type="dxa"/>
                  <w:vAlign w:val="center"/>
                </w:tcPr>
                <w:p w14:paraId="3A0CDB21">
                  <w:pPr>
                    <w:pStyle w:val="111"/>
                    <w:spacing w:line="240" w:lineRule="auto"/>
                    <w:rPr>
                      <w:color w:val="auto"/>
                      <w:szCs w:val="21"/>
                    </w:rPr>
                  </w:pPr>
                </w:p>
              </w:tc>
              <w:tc>
                <w:tcPr>
                  <w:tcW w:w="1135" w:type="dxa"/>
                  <w:vAlign w:val="center"/>
                </w:tcPr>
                <w:p w14:paraId="0A1FCA52">
                  <w:pPr>
                    <w:pStyle w:val="111"/>
                    <w:spacing w:line="240" w:lineRule="auto"/>
                    <w:rPr>
                      <w:color w:val="auto"/>
                      <w:szCs w:val="21"/>
                    </w:rPr>
                  </w:pPr>
                </w:p>
              </w:tc>
              <w:tc>
                <w:tcPr>
                  <w:tcW w:w="923" w:type="dxa"/>
                  <w:vAlign w:val="center"/>
                </w:tcPr>
                <w:p w14:paraId="288A1E0E">
                  <w:pPr>
                    <w:pStyle w:val="111"/>
                    <w:spacing w:line="240" w:lineRule="auto"/>
                    <w:rPr>
                      <w:color w:val="auto"/>
                      <w:szCs w:val="21"/>
                    </w:rPr>
                  </w:pPr>
                </w:p>
              </w:tc>
              <w:tc>
                <w:tcPr>
                  <w:tcW w:w="1114" w:type="dxa"/>
                  <w:vAlign w:val="center"/>
                </w:tcPr>
                <w:p w14:paraId="2B8226C7">
                  <w:pPr>
                    <w:pStyle w:val="111"/>
                    <w:spacing w:line="240" w:lineRule="auto"/>
                    <w:rPr>
                      <w:color w:val="auto"/>
                      <w:szCs w:val="21"/>
                    </w:rPr>
                  </w:pPr>
                  <w:r>
                    <w:rPr>
                      <w:color w:val="auto"/>
                      <w:szCs w:val="21"/>
                    </w:rPr>
                    <w:t>达标</w:t>
                  </w:r>
                </w:p>
              </w:tc>
            </w:tr>
            <w:tr w14:paraId="66A0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dxa"/>
                  <w:vAlign w:val="center"/>
                </w:tcPr>
                <w:p w14:paraId="6A92C282">
                  <w:pPr>
                    <w:pStyle w:val="111"/>
                    <w:spacing w:line="240" w:lineRule="auto"/>
                    <w:rPr>
                      <w:color w:val="auto"/>
                      <w:szCs w:val="21"/>
                    </w:rPr>
                  </w:pPr>
                  <w:r>
                    <w:rPr>
                      <w:color w:val="auto"/>
                      <w:szCs w:val="21"/>
                    </w:rPr>
                    <w:t>PM</w:t>
                  </w:r>
                  <w:r>
                    <w:rPr>
                      <w:color w:val="auto"/>
                      <w:szCs w:val="21"/>
                      <w:vertAlign w:val="subscript"/>
                    </w:rPr>
                    <w:t>10</w:t>
                  </w:r>
                </w:p>
              </w:tc>
              <w:tc>
                <w:tcPr>
                  <w:tcW w:w="3055" w:type="dxa"/>
                  <w:vAlign w:val="center"/>
                </w:tcPr>
                <w:p w14:paraId="384DA771">
                  <w:pPr>
                    <w:pStyle w:val="111"/>
                    <w:spacing w:line="240" w:lineRule="auto"/>
                    <w:rPr>
                      <w:color w:val="auto"/>
                      <w:szCs w:val="21"/>
                    </w:rPr>
                  </w:pPr>
                  <w:r>
                    <w:rPr>
                      <w:color w:val="auto"/>
                      <w:szCs w:val="21"/>
                    </w:rPr>
                    <w:t>年平均质量浓度</w:t>
                  </w:r>
                </w:p>
              </w:tc>
              <w:tc>
                <w:tcPr>
                  <w:tcW w:w="1134" w:type="dxa"/>
                  <w:vAlign w:val="center"/>
                </w:tcPr>
                <w:p w14:paraId="789773BD">
                  <w:pPr>
                    <w:pStyle w:val="111"/>
                    <w:spacing w:line="240" w:lineRule="auto"/>
                    <w:rPr>
                      <w:color w:val="auto"/>
                      <w:szCs w:val="21"/>
                    </w:rPr>
                  </w:pPr>
                </w:p>
              </w:tc>
              <w:tc>
                <w:tcPr>
                  <w:tcW w:w="1135" w:type="dxa"/>
                  <w:vAlign w:val="center"/>
                </w:tcPr>
                <w:p w14:paraId="33085F5D">
                  <w:pPr>
                    <w:pStyle w:val="111"/>
                    <w:spacing w:line="240" w:lineRule="auto"/>
                    <w:rPr>
                      <w:color w:val="auto"/>
                      <w:szCs w:val="21"/>
                    </w:rPr>
                  </w:pPr>
                </w:p>
              </w:tc>
              <w:tc>
                <w:tcPr>
                  <w:tcW w:w="923" w:type="dxa"/>
                  <w:vAlign w:val="center"/>
                </w:tcPr>
                <w:p w14:paraId="1D399471">
                  <w:pPr>
                    <w:pStyle w:val="111"/>
                    <w:spacing w:line="240" w:lineRule="auto"/>
                    <w:rPr>
                      <w:color w:val="auto"/>
                      <w:szCs w:val="21"/>
                    </w:rPr>
                  </w:pPr>
                </w:p>
              </w:tc>
              <w:tc>
                <w:tcPr>
                  <w:tcW w:w="1114" w:type="dxa"/>
                  <w:vAlign w:val="center"/>
                </w:tcPr>
                <w:p w14:paraId="40314690">
                  <w:pPr>
                    <w:pStyle w:val="111"/>
                    <w:spacing w:line="240" w:lineRule="auto"/>
                    <w:rPr>
                      <w:color w:val="auto"/>
                      <w:szCs w:val="21"/>
                    </w:rPr>
                  </w:pPr>
                  <w:r>
                    <w:rPr>
                      <w:color w:val="auto"/>
                      <w:szCs w:val="21"/>
                    </w:rPr>
                    <w:t>达标</w:t>
                  </w:r>
                </w:p>
              </w:tc>
            </w:tr>
            <w:tr w14:paraId="5C42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dxa"/>
                  <w:vAlign w:val="center"/>
                </w:tcPr>
                <w:p w14:paraId="69BB8A14">
                  <w:pPr>
                    <w:pStyle w:val="111"/>
                    <w:spacing w:line="240" w:lineRule="auto"/>
                    <w:rPr>
                      <w:color w:val="auto"/>
                      <w:szCs w:val="21"/>
                    </w:rPr>
                  </w:pPr>
                  <w:r>
                    <w:rPr>
                      <w:color w:val="auto"/>
                      <w:szCs w:val="21"/>
                    </w:rPr>
                    <w:t>PM</w:t>
                  </w:r>
                  <w:r>
                    <w:rPr>
                      <w:color w:val="auto"/>
                      <w:szCs w:val="21"/>
                      <w:vertAlign w:val="subscript"/>
                    </w:rPr>
                    <w:t>2.5</w:t>
                  </w:r>
                </w:p>
              </w:tc>
              <w:tc>
                <w:tcPr>
                  <w:tcW w:w="3055" w:type="dxa"/>
                  <w:vAlign w:val="center"/>
                </w:tcPr>
                <w:p w14:paraId="54D7FEB4">
                  <w:pPr>
                    <w:pStyle w:val="111"/>
                    <w:spacing w:line="240" w:lineRule="auto"/>
                    <w:rPr>
                      <w:color w:val="auto"/>
                      <w:szCs w:val="21"/>
                    </w:rPr>
                  </w:pPr>
                  <w:r>
                    <w:rPr>
                      <w:color w:val="auto"/>
                      <w:szCs w:val="21"/>
                    </w:rPr>
                    <w:t>年平均质量浓度</w:t>
                  </w:r>
                </w:p>
              </w:tc>
              <w:tc>
                <w:tcPr>
                  <w:tcW w:w="1134" w:type="dxa"/>
                  <w:vAlign w:val="center"/>
                </w:tcPr>
                <w:p w14:paraId="386DB5A0">
                  <w:pPr>
                    <w:pStyle w:val="111"/>
                    <w:spacing w:line="240" w:lineRule="auto"/>
                    <w:rPr>
                      <w:color w:val="auto"/>
                      <w:szCs w:val="21"/>
                    </w:rPr>
                  </w:pPr>
                </w:p>
              </w:tc>
              <w:tc>
                <w:tcPr>
                  <w:tcW w:w="1135" w:type="dxa"/>
                  <w:vAlign w:val="center"/>
                </w:tcPr>
                <w:p w14:paraId="5348B92C">
                  <w:pPr>
                    <w:pStyle w:val="111"/>
                    <w:spacing w:line="240" w:lineRule="auto"/>
                    <w:rPr>
                      <w:color w:val="auto"/>
                      <w:szCs w:val="21"/>
                    </w:rPr>
                  </w:pPr>
                </w:p>
              </w:tc>
              <w:tc>
                <w:tcPr>
                  <w:tcW w:w="923" w:type="dxa"/>
                  <w:vAlign w:val="center"/>
                </w:tcPr>
                <w:p w14:paraId="7A27E8DF">
                  <w:pPr>
                    <w:pStyle w:val="111"/>
                    <w:spacing w:line="240" w:lineRule="auto"/>
                    <w:rPr>
                      <w:color w:val="auto"/>
                      <w:szCs w:val="21"/>
                    </w:rPr>
                  </w:pPr>
                </w:p>
              </w:tc>
              <w:tc>
                <w:tcPr>
                  <w:tcW w:w="1114" w:type="dxa"/>
                  <w:vAlign w:val="center"/>
                </w:tcPr>
                <w:p w14:paraId="55F01837">
                  <w:pPr>
                    <w:pStyle w:val="111"/>
                    <w:spacing w:line="240" w:lineRule="auto"/>
                    <w:rPr>
                      <w:color w:val="auto"/>
                      <w:szCs w:val="21"/>
                    </w:rPr>
                  </w:pPr>
                  <w:r>
                    <w:rPr>
                      <w:color w:val="auto"/>
                      <w:szCs w:val="21"/>
                    </w:rPr>
                    <w:t>达标</w:t>
                  </w:r>
                </w:p>
              </w:tc>
            </w:tr>
            <w:tr w14:paraId="2A1A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dxa"/>
                  <w:vAlign w:val="center"/>
                </w:tcPr>
                <w:p w14:paraId="25ABB704">
                  <w:pPr>
                    <w:pStyle w:val="111"/>
                    <w:spacing w:line="240" w:lineRule="auto"/>
                    <w:rPr>
                      <w:color w:val="auto"/>
                      <w:szCs w:val="21"/>
                    </w:rPr>
                  </w:pPr>
                  <w:r>
                    <w:rPr>
                      <w:color w:val="auto"/>
                      <w:szCs w:val="21"/>
                    </w:rPr>
                    <w:t>CO</w:t>
                  </w:r>
                </w:p>
              </w:tc>
              <w:tc>
                <w:tcPr>
                  <w:tcW w:w="3055" w:type="dxa"/>
                  <w:vAlign w:val="center"/>
                </w:tcPr>
                <w:p w14:paraId="1B17E22A">
                  <w:pPr>
                    <w:pStyle w:val="111"/>
                    <w:spacing w:line="240" w:lineRule="auto"/>
                    <w:rPr>
                      <w:color w:val="auto"/>
                      <w:szCs w:val="21"/>
                    </w:rPr>
                  </w:pPr>
                  <w:r>
                    <w:rPr>
                      <w:color w:val="auto"/>
                      <w:szCs w:val="21"/>
                    </w:rPr>
                    <w:t>24小时平均浓度第95百分</w:t>
                  </w:r>
                  <w:r>
                    <w:rPr>
                      <w:rFonts w:hint="eastAsia"/>
                      <w:color w:val="auto"/>
                      <w:szCs w:val="21"/>
                    </w:rPr>
                    <w:t>位</w:t>
                  </w:r>
                  <w:r>
                    <w:rPr>
                      <w:color w:val="auto"/>
                      <w:szCs w:val="21"/>
                    </w:rPr>
                    <w:t>数</w:t>
                  </w:r>
                </w:p>
              </w:tc>
              <w:tc>
                <w:tcPr>
                  <w:tcW w:w="1134" w:type="dxa"/>
                  <w:vAlign w:val="center"/>
                </w:tcPr>
                <w:p w14:paraId="3EDBE9C8">
                  <w:pPr>
                    <w:pStyle w:val="111"/>
                    <w:spacing w:line="240" w:lineRule="auto"/>
                    <w:rPr>
                      <w:color w:val="auto"/>
                      <w:szCs w:val="21"/>
                    </w:rPr>
                  </w:pPr>
                </w:p>
              </w:tc>
              <w:tc>
                <w:tcPr>
                  <w:tcW w:w="1135" w:type="dxa"/>
                  <w:vAlign w:val="center"/>
                </w:tcPr>
                <w:p w14:paraId="10FA8D97">
                  <w:pPr>
                    <w:pStyle w:val="111"/>
                    <w:spacing w:line="240" w:lineRule="auto"/>
                    <w:rPr>
                      <w:color w:val="auto"/>
                      <w:szCs w:val="21"/>
                    </w:rPr>
                  </w:pPr>
                </w:p>
              </w:tc>
              <w:tc>
                <w:tcPr>
                  <w:tcW w:w="923" w:type="dxa"/>
                  <w:vAlign w:val="center"/>
                </w:tcPr>
                <w:p w14:paraId="6719B1CB">
                  <w:pPr>
                    <w:pStyle w:val="111"/>
                    <w:spacing w:line="240" w:lineRule="auto"/>
                    <w:rPr>
                      <w:color w:val="auto"/>
                      <w:szCs w:val="21"/>
                    </w:rPr>
                  </w:pPr>
                </w:p>
              </w:tc>
              <w:tc>
                <w:tcPr>
                  <w:tcW w:w="1114" w:type="dxa"/>
                  <w:vAlign w:val="center"/>
                </w:tcPr>
                <w:p w14:paraId="1156207A">
                  <w:pPr>
                    <w:pStyle w:val="111"/>
                    <w:spacing w:line="240" w:lineRule="auto"/>
                    <w:rPr>
                      <w:color w:val="auto"/>
                      <w:szCs w:val="21"/>
                    </w:rPr>
                  </w:pPr>
                  <w:r>
                    <w:rPr>
                      <w:color w:val="auto"/>
                      <w:szCs w:val="21"/>
                    </w:rPr>
                    <w:t>达标</w:t>
                  </w:r>
                </w:p>
              </w:tc>
            </w:tr>
            <w:tr w14:paraId="46D9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dxa"/>
                  <w:vAlign w:val="center"/>
                </w:tcPr>
                <w:p w14:paraId="68323331">
                  <w:pPr>
                    <w:pStyle w:val="111"/>
                    <w:spacing w:line="240" w:lineRule="auto"/>
                    <w:rPr>
                      <w:color w:val="auto"/>
                      <w:szCs w:val="21"/>
                    </w:rPr>
                  </w:pPr>
                  <w:r>
                    <w:rPr>
                      <w:color w:val="auto"/>
                      <w:szCs w:val="21"/>
                    </w:rPr>
                    <w:t>O</w:t>
                  </w:r>
                  <w:r>
                    <w:rPr>
                      <w:color w:val="auto"/>
                      <w:szCs w:val="21"/>
                      <w:vertAlign w:val="subscript"/>
                    </w:rPr>
                    <w:t>3</w:t>
                  </w:r>
                </w:p>
              </w:tc>
              <w:tc>
                <w:tcPr>
                  <w:tcW w:w="3055" w:type="dxa"/>
                  <w:vAlign w:val="center"/>
                </w:tcPr>
                <w:p w14:paraId="7FA64677">
                  <w:pPr>
                    <w:pStyle w:val="111"/>
                    <w:spacing w:line="240" w:lineRule="auto"/>
                    <w:rPr>
                      <w:color w:val="auto"/>
                      <w:szCs w:val="21"/>
                    </w:rPr>
                  </w:pPr>
                  <w:r>
                    <w:rPr>
                      <w:color w:val="auto"/>
                      <w:szCs w:val="21"/>
                    </w:rPr>
                    <w:t>日最大8小时平均浓度第90百分位数</w:t>
                  </w:r>
                </w:p>
              </w:tc>
              <w:tc>
                <w:tcPr>
                  <w:tcW w:w="1134" w:type="dxa"/>
                  <w:vAlign w:val="center"/>
                </w:tcPr>
                <w:p w14:paraId="22C2796E">
                  <w:pPr>
                    <w:pStyle w:val="111"/>
                    <w:spacing w:line="240" w:lineRule="auto"/>
                    <w:rPr>
                      <w:color w:val="auto"/>
                      <w:szCs w:val="21"/>
                    </w:rPr>
                  </w:pPr>
                </w:p>
              </w:tc>
              <w:tc>
                <w:tcPr>
                  <w:tcW w:w="1135" w:type="dxa"/>
                  <w:vAlign w:val="center"/>
                </w:tcPr>
                <w:p w14:paraId="1613E9F3">
                  <w:pPr>
                    <w:pStyle w:val="111"/>
                    <w:spacing w:line="240" w:lineRule="auto"/>
                    <w:rPr>
                      <w:color w:val="auto"/>
                      <w:szCs w:val="21"/>
                    </w:rPr>
                  </w:pPr>
                </w:p>
              </w:tc>
              <w:tc>
                <w:tcPr>
                  <w:tcW w:w="923" w:type="dxa"/>
                  <w:vAlign w:val="center"/>
                </w:tcPr>
                <w:p w14:paraId="1E668A4F">
                  <w:pPr>
                    <w:pStyle w:val="111"/>
                    <w:spacing w:line="240" w:lineRule="auto"/>
                    <w:rPr>
                      <w:color w:val="auto"/>
                      <w:szCs w:val="21"/>
                    </w:rPr>
                  </w:pPr>
                </w:p>
              </w:tc>
              <w:tc>
                <w:tcPr>
                  <w:tcW w:w="1114" w:type="dxa"/>
                  <w:vAlign w:val="center"/>
                </w:tcPr>
                <w:p w14:paraId="6D02BD96">
                  <w:pPr>
                    <w:pStyle w:val="111"/>
                    <w:spacing w:line="240" w:lineRule="auto"/>
                    <w:rPr>
                      <w:color w:val="auto"/>
                      <w:szCs w:val="21"/>
                    </w:rPr>
                  </w:pPr>
                  <w:r>
                    <w:rPr>
                      <w:color w:val="auto"/>
                      <w:szCs w:val="21"/>
                    </w:rPr>
                    <w:t>达标</w:t>
                  </w:r>
                </w:p>
              </w:tc>
            </w:tr>
          </w:tbl>
          <w:p w14:paraId="6C6E158A">
            <w:pPr>
              <w:adjustRightInd w:val="0"/>
              <w:snapToGrid w:val="0"/>
              <w:ind w:firstLine="480" w:firstLineChars="200"/>
              <w:rPr>
                <w:color w:val="auto"/>
              </w:rPr>
            </w:pPr>
            <w:r>
              <w:rPr>
                <w:color w:val="auto"/>
              </w:rPr>
              <w:t>根据上表可知，</w:t>
            </w:r>
            <w:r>
              <w:rPr>
                <w:rFonts w:hint="eastAsia"/>
                <w:color w:val="auto"/>
              </w:rPr>
              <w:t>项目所在区域</w:t>
            </w:r>
            <w:r>
              <w:rPr>
                <w:rFonts w:hint="eastAsia"/>
                <w:bCs/>
                <w:color w:val="auto"/>
              </w:rPr>
              <w:t>空气PM</w:t>
            </w:r>
            <w:r>
              <w:rPr>
                <w:rFonts w:hint="eastAsia"/>
                <w:bCs/>
                <w:color w:val="auto"/>
                <w:vertAlign w:val="subscript"/>
              </w:rPr>
              <w:t>2.5</w:t>
            </w:r>
            <w:r>
              <w:rPr>
                <w:rFonts w:hint="eastAsia"/>
                <w:bCs/>
                <w:color w:val="auto"/>
              </w:rPr>
              <w:t>、PM</w:t>
            </w:r>
            <w:r>
              <w:rPr>
                <w:rFonts w:hint="eastAsia"/>
                <w:bCs/>
                <w:color w:val="auto"/>
                <w:vertAlign w:val="subscript"/>
              </w:rPr>
              <w:t>10</w:t>
            </w:r>
            <w:r>
              <w:rPr>
                <w:rFonts w:hint="eastAsia"/>
                <w:bCs/>
                <w:color w:val="auto"/>
              </w:rPr>
              <w:t>、SO</w:t>
            </w:r>
            <w:r>
              <w:rPr>
                <w:rFonts w:hint="eastAsia"/>
                <w:bCs/>
                <w:color w:val="auto"/>
                <w:vertAlign w:val="subscript"/>
              </w:rPr>
              <w:t>2</w:t>
            </w:r>
            <w:r>
              <w:rPr>
                <w:rFonts w:hint="eastAsia"/>
                <w:bCs/>
                <w:color w:val="auto"/>
              </w:rPr>
              <w:t>、NO</w:t>
            </w:r>
            <w:r>
              <w:rPr>
                <w:rFonts w:hint="eastAsia"/>
                <w:bCs/>
                <w:color w:val="auto"/>
                <w:vertAlign w:val="subscript"/>
              </w:rPr>
              <w:t>2</w:t>
            </w:r>
            <w:r>
              <w:rPr>
                <w:rFonts w:hint="eastAsia"/>
                <w:bCs/>
                <w:color w:val="auto"/>
              </w:rPr>
              <w:t>、CO、O</w:t>
            </w:r>
            <w:r>
              <w:rPr>
                <w:rFonts w:hint="eastAsia"/>
                <w:bCs/>
                <w:color w:val="auto"/>
                <w:vertAlign w:val="subscript"/>
              </w:rPr>
              <w:t>3</w:t>
            </w:r>
            <w:r>
              <w:rPr>
                <w:rFonts w:hint="eastAsia"/>
                <w:bCs/>
                <w:color w:val="auto"/>
              </w:rPr>
              <w:t>全部达到</w:t>
            </w:r>
            <w:r>
              <w:rPr>
                <w:color w:val="auto"/>
              </w:rPr>
              <w:t>《环境空气质量标准》（GB3095-2012）</w:t>
            </w:r>
            <w:r>
              <w:rPr>
                <w:rFonts w:hint="eastAsia"/>
                <w:color w:val="auto"/>
              </w:rPr>
              <w:t>及其修改单中</w:t>
            </w:r>
            <w:r>
              <w:rPr>
                <w:color w:val="auto"/>
              </w:rPr>
              <w:t>二级标准要求，因此项目所在区域为达标区。</w:t>
            </w:r>
          </w:p>
          <w:p w14:paraId="35F392F9">
            <w:pPr>
              <w:adjustRightInd w:val="0"/>
              <w:snapToGrid w:val="0"/>
              <w:ind w:firstLine="480" w:firstLineChars="200"/>
              <w:rPr>
                <w:color w:val="auto"/>
              </w:rPr>
            </w:pPr>
            <w:r>
              <w:rPr>
                <w:rFonts w:hint="eastAsia"/>
                <w:color w:val="auto"/>
              </w:rPr>
              <w:t>（2）特征污染因子</w:t>
            </w:r>
          </w:p>
          <w:p w14:paraId="68B8D8CA">
            <w:pPr>
              <w:adjustRightInd w:val="0"/>
              <w:snapToGrid w:val="0"/>
              <w:ind w:firstLine="480" w:firstLineChars="200"/>
              <w:jc w:val="left"/>
              <w:rPr>
                <w:color w:val="auto"/>
              </w:rPr>
            </w:pPr>
            <w:r>
              <w:rPr>
                <w:color w:val="auto"/>
              </w:rPr>
              <w:t>项目</w:t>
            </w:r>
            <w:r>
              <w:rPr>
                <w:rFonts w:hint="eastAsia"/>
                <w:color w:val="auto"/>
              </w:rPr>
              <w:t>特征因子主要是非甲烷总烃，</w:t>
            </w:r>
            <w:r>
              <w:rPr>
                <w:color w:val="auto"/>
              </w:rPr>
              <w:t>引用《</w:t>
            </w:r>
            <w:r>
              <w:rPr>
                <w:color w:val="auto"/>
                <w:lang w:val="zh-CN"/>
              </w:rPr>
              <w:t>广西钦州丰林木业有限公司年产50万m</w:t>
            </w:r>
            <w:r>
              <w:rPr>
                <w:color w:val="auto"/>
                <w:vertAlign w:val="superscript"/>
                <w:lang w:val="zh-CN"/>
              </w:rPr>
              <w:t>3</w:t>
            </w:r>
            <w:r>
              <w:rPr>
                <w:color w:val="auto"/>
                <w:lang w:val="zh-CN"/>
              </w:rPr>
              <w:t>超强</w:t>
            </w:r>
            <w:bookmarkStart w:id="69" w:name="_Hlk72253084"/>
            <w:r>
              <w:rPr>
                <w:color w:val="auto"/>
                <w:lang w:val="zh-CN"/>
              </w:rPr>
              <w:t>刨花板</w:t>
            </w:r>
            <w:bookmarkEnd w:id="69"/>
            <w:r>
              <w:rPr>
                <w:color w:val="auto"/>
                <w:lang w:val="zh-CN"/>
              </w:rPr>
              <w:t>项目</w:t>
            </w:r>
            <w:r>
              <w:rPr>
                <w:rFonts w:hint="eastAsia"/>
                <w:color w:val="auto"/>
              </w:rPr>
              <w:t>监测报告</w:t>
            </w:r>
            <w:r>
              <w:rPr>
                <w:color w:val="auto"/>
              </w:rPr>
              <w:t>》监测数据进行说明（监测时间为20</w:t>
            </w:r>
            <w:r>
              <w:rPr>
                <w:rFonts w:hint="eastAsia"/>
                <w:color w:val="auto"/>
              </w:rPr>
              <w:t>23</w:t>
            </w:r>
            <w:r>
              <w:rPr>
                <w:color w:val="auto"/>
              </w:rPr>
              <w:t>年</w:t>
            </w:r>
            <w:r>
              <w:rPr>
                <w:rFonts w:hint="eastAsia"/>
                <w:color w:val="auto"/>
              </w:rPr>
              <w:t>5</w:t>
            </w:r>
            <w:r>
              <w:rPr>
                <w:color w:val="auto"/>
              </w:rPr>
              <w:t>月</w:t>
            </w:r>
            <w:r>
              <w:rPr>
                <w:rFonts w:hint="eastAsia"/>
                <w:color w:val="auto"/>
              </w:rPr>
              <w:t>23</w:t>
            </w:r>
            <w:r>
              <w:rPr>
                <w:color w:val="auto"/>
              </w:rPr>
              <w:t>日~</w:t>
            </w:r>
            <w:r>
              <w:rPr>
                <w:rFonts w:hint="eastAsia"/>
                <w:color w:val="auto"/>
              </w:rPr>
              <w:t>29</w:t>
            </w:r>
            <w:r>
              <w:rPr>
                <w:color w:val="auto"/>
              </w:rPr>
              <w:t>日），所引用的监测点为</w:t>
            </w:r>
            <w:bookmarkStart w:id="70" w:name="OLE_LINK39"/>
            <w:r>
              <w:rPr>
                <w:rFonts w:hint="eastAsia"/>
                <w:color w:val="auto"/>
                <w:lang w:eastAsia="zh-CN"/>
              </w:rPr>
              <w:t>本</w:t>
            </w:r>
            <w:r>
              <w:rPr>
                <w:color w:val="auto"/>
              </w:rPr>
              <w:t>项目</w:t>
            </w:r>
            <w:r>
              <w:rPr>
                <w:rFonts w:hint="eastAsia"/>
                <w:color w:val="auto"/>
              </w:rPr>
              <w:t>东北面4900m的长坪村</w:t>
            </w:r>
            <w:bookmarkEnd w:id="70"/>
            <w:r>
              <w:rPr>
                <w:rFonts w:hint="eastAsia"/>
                <w:color w:val="auto"/>
              </w:rPr>
              <w:t>。项目引用的监测点位</w:t>
            </w:r>
            <w:r>
              <w:rPr>
                <w:rStyle w:val="31"/>
                <w:rFonts w:hint="eastAsia"/>
                <w:color w:val="auto"/>
                <w:kern w:val="0"/>
                <w:sz w:val="24"/>
              </w:rPr>
              <w:t>满足项目周边5千米范围内的要求</w:t>
            </w:r>
            <w:r>
              <w:rPr>
                <w:color w:val="auto"/>
              </w:rPr>
              <w:t>，监测数据</w:t>
            </w:r>
            <w:r>
              <w:rPr>
                <w:rFonts w:hint="eastAsia"/>
                <w:color w:val="auto"/>
              </w:rPr>
              <w:t>均三年</w:t>
            </w:r>
            <w:r>
              <w:rPr>
                <w:color w:val="auto"/>
              </w:rPr>
              <w:t>有效，因此所引用的点位符合本项目要求。</w:t>
            </w:r>
            <w:bookmarkStart w:id="71" w:name="OLE_LINK7"/>
            <w:r>
              <w:rPr>
                <w:color w:val="auto"/>
              </w:rPr>
              <w:t>项目环境空气监测统计结果见表</w:t>
            </w:r>
            <w:r>
              <w:rPr>
                <w:rFonts w:hint="eastAsia"/>
                <w:color w:val="auto"/>
              </w:rPr>
              <w:t>3-2</w:t>
            </w:r>
            <w:r>
              <w:rPr>
                <w:color w:val="auto"/>
              </w:rPr>
              <w:t>。</w:t>
            </w:r>
          </w:p>
          <w:bookmarkEnd w:id="71"/>
          <w:p w14:paraId="04756A3F">
            <w:pPr>
              <w:autoSpaceDE w:val="0"/>
              <w:autoSpaceDN w:val="0"/>
              <w:spacing w:line="240" w:lineRule="auto"/>
              <w:jc w:val="center"/>
              <w:rPr>
                <w:b/>
                <w:color w:val="auto"/>
              </w:rPr>
            </w:pPr>
            <w:r>
              <w:rPr>
                <w:b/>
                <w:color w:val="auto"/>
              </w:rPr>
              <w:t>表</w:t>
            </w:r>
            <w:r>
              <w:rPr>
                <w:rFonts w:hint="eastAsia"/>
                <w:b/>
                <w:color w:val="auto"/>
              </w:rPr>
              <w:t>3-2</w:t>
            </w:r>
            <w:r>
              <w:rPr>
                <w:b/>
                <w:color w:val="auto"/>
              </w:rPr>
              <w:t xml:space="preserve"> </w:t>
            </w:r>
            <w:r>
              <w:rPr>
                <w:rFonts w:hint="eastAsia"/>
                <w:b/>
                <w:color w:val="auto"/>
              </w:rPr>
              <w:t xml:space="preserve"> </w:t>
            </w:r>
            <w:r>
              <w:rPr>
                <w:b/>
                <w:color w:val="auto"/>
              </w:rPr>
              <w:t>评价区环境空气质量现状监测结果（单位：</w:t>
            </w:r>
            <w:r>
              <w:rPr>
                <w:color w:val="auto"/>
              </w:rPr>
              <w:t>µ</w:t>
            </w:r>
            <w:r>
              <w:rPr>
                <w:b/>
                <w:color w:val="auto"/>
              </w:rPr>
              <w:t>g/m</w:t>
            </w:r>
            <w:r>
              <w:rPr>
                <w:b/>
                <w:color w:val="auto"/>
                <w:vertAlign w:val="superscript"/>
              </w:rPr>
              <w:t>3</w:t>
            </w:r>
            <w:r>
              <w:rPr>
                <w:b/>
                <w:color w:val="auto"/>
              </w:rPr>
              <w:t>）</w:t>
            </w:r>
          </w:p>
          <w:tbl>
            <w:tblPr>
              <w:tblStyle w:val="2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035"/>
              <w:gridCol w:w="1167"/>
              <w:gridCol w:w="981"/>
              <w:gridCol w:w="1237"/>
              <w:gridCol w:w="1237"/>
              <w:gridCol w:w="1043"/>
              <w:gridCol w:w="723"/>
              <w:gridCol w:w="937"/>
            </w:tblGrid>
            <w:tr w14:paraId="2E0BC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19" w:type="pct"/>
                  <w:vAlign w:val="center"/>
                </w:tcPr>
                <w:p w14:paraId="7BAC3117">
                  <w:pPr>
                    <w:pStyle w:val="118"/>
                    <w:adjustRightInd/>
                    <w:snapToGrid/>
                    <w:spacing w:line="276" w:lineRule="auto"/>
                    <w:rPr>
                      <w:color w:val="auto"/>
                    </w:rPr>
                  </w:pPr>
                  <w:r>
                    <w:rPr>
                      <w:color w:val="auto"/>
                    </w:rPr>
                    <w:t>监测</w:t>
                  </w:r>
                </w:p>
                <w:p w14:paraId="0FFC628A">
                  <w:pPr>
                    <w:pStyle w:val="118"/>
                    <w:adjustRightInd/>
                    <w:snapToGrid/>
                    <w:spacing w:line="276" w:lineRule="auto"/>
                    <w:rPr>
                      <w:color w:val="auto"/>
                    </w:rPr>
                  </w:pPr>
                  <w:r>
                    <w:rPr>
                      <w:color w:val="auto"/>
                    </w:rPr>
                    <w:t>点位</w:t>
                  </w:r>
                </w:p>
              </w:tc>
              <w:tc>
                <w:tcPr>
                  <w:tcW w:w="698" w:type="pct"/>
                  <w:vAlign w:val="center"/>
                </w:tcPr>
                <w:p w14:paraId="64D20A53">
                  <w:pPr>
                    <w:pStyle w:val="118"/>
                    <w:adjustRightInd/>
                    <w:snapToGrid/>
                    <w:spacing w:line="276" w:lineRule="auto"/>
                    <w:rPr>
                      <w:color w:val="auto"/>
                    </w:rPr>
                  </w:pPr>
                  <w:r>
                    <w:rPr>
                      <w:color w:val="auto"/>
                    </w:rPr>
                    <w:t>污染物</w:t>
                  </w:r>
                </w:p>
              </w:tc>
              <w:tc>
                <w:tcPr>
                  <w:tcW w:w="586" w:type="pct"/>
                  <w:vAlign w:val="center"/>
                </w:tcPr>
                <w:p w14:paraId="32325679">
                  <w:pPr>
                    <w:pStyle w:val="118"/>
                    <w:adjustRightInd/>
                    <w:snapToGrid/>
                    <w:spacing w:line="276" w:lineRule="auto"/>
                    <w:rPr>
                      <w:color w:val="auto"/>
                    </w:rPr>
                  </w:pPr>
                  <w:r>
                    <w:rPr>
                      <w:color w:val="auto"/>
                    </w:rPr>
                    <w:t>平均时间</w:t>
                  </w:r>
                </w:p>
              </w:tc>
              <w:tc>
                <w:tcPr>
                  <w:tcW w:w="739" w:type="pct"/>
                  <w:vAlign w:val="center"/>
                </w:tcPr>
                <w:p w14:paraId="6D279F6C">
                  <w:pPr>
                    <w:pStyle w:val="118"/>
                    <w:adjustRightInd/>
                    <w:snapToGrid/>
                    <w:spacing w:line="276" w:lineRule="auto"/>
                    <w:rPr>
                      <w:color w:val="auto"/>
                    </w:rPr>
                  </w:pPr>
                  <w:r>
                    <w:rPr>
                      <w:color w:val="auto"/>
                    </w:rPr>
                    <w:t>评价标准</w:t>
                  </w:r>
                </w:p>
              </w:tc>
              <w:tc>
                <w:tcPr>
                  <w:tcW w:w="739" w:type="pct"/>
                  <w:vAlign w:val="center"/>
                </w:tcPr>
                <w:p w14:paraId="03E87F1A">
                  <w:pPr>
                    <w:pStyle w:val="118"/>
                    <w:adjustRightInd/>
                    <w:snapToGrid/>
                    <w:spacing w:line="276" w:lineRule="auto"/>
                    <w:rPr>
                      <w:color w:val="auto"/>
                    </w:rPr>
                  </w:pPr>
                  <w:r>
                    <w:rPr>
                      <w:color w:val="auto"/>
                    </w:rPr>
                    <w:t>监测浓度范围</w:t>
                  </w:r>
                </w:p>
              </w:tc>
              <w:tc>
                <w:tcPr>
                  <w:tcW w:w="623" w:type="pct"/>
                  <w:vAlign w:val="center"/>
                </w:tcPr>
                <w:p w14:paraId="418FC33F">
                  <w:pPr>
                    <w:pStyle w:val="118"/>
                    <w:adjustRightInd/>
                    <w:snapToGrid/>
                    <w:spacing w:line="276" w:lineRule="auto"/>
                    <w:rPr>
                      <w:color w:val="auto"/>
                    </w:rPr>
                  </w:pPr>
                  <w:r>
                    <w:rPr>
                      <w:rFonts w:hint="eastAsia"/>
                      <w:color w:val="auto"/>
                    </w:rPr>
                    <w:t>标准指数</w:t>
                  </w:r>
                </w:p>
              </w:tc>
              <w:tc>
                <w:tcPr>
                  <w:tcW w:w="432" w:type="pct"/>
                  <w:vAlign w:val="center"/>
                </w:tcPr>
                <w:p w14:paraId="679F0552">
                  <w:pPr>
                    <w:pStyle w:val="118"/>
                    <w:adjustRightInd/>
                    <w:snapToGrid/>
                    <w:spacing w:line="276" w:lineRule="auto"/>
                    <w:rPr>
                      <w:color w:val="auto"/>
                    </w:rPr>
                  </w:pPr>
                  <w:r>
                    <w:rPr>
                      <w:color w:val="auto"/>
                    </w:rPr>
                    <w:t>超标率（%）</w:t>
                  </w:r>
                </w:p>
              </w:tc>
              <w:tc>
                <w:tcPr>
                  <w:tcW w:w="560" w:type="pct"/>
                  <w:vAlign w:val="center"/>
                </w:tcPr>
                <w:p w14:paraId="4DDF1F28">
                  <w:pPr>
                    <w:pStyle w:val="118"/>
                    <w:adjustRightInd/>
                    <w:snapToGrid/>
                    <w:spacing w:line="276" w:lineRule="auto"/>
                    <w:rPr>
                      <w:color w:val="auto"/>
                    </w:rPr>
                  </w:pPr>
                  <w:r>
                    <w:rPr>
                      <w:color w:val="auto"/>
                    </w:rPr>
                    <w:t>达标情况</w:t>
                  </w:r>
                </w:p>
              </w:tc>
            </w:tr>
            <w:tr w14:paraId="0890D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19" w:type="pct"/>
                  <w:vAlign w:val="center"/>
                </w:tcPr>
                <w:p w14:paraId="391F3C83">
                  <w:pPr>
                    <w:pStyle w:val="71"/>
                    <w:rPr>
                      <w:rFonts w:ascii="Times New Roman" w:hAnsi="Times New Roman"/>
                      <w:color w:val="auto"/>
                      <w:szCs w:val="21"/>
                    </w:rPr>
                  </w:pPr>
                  <w:r>
                    <w:rPr>
                      <w:rFonts w:hint="eastAsia" w:ascii="Times New Roman" w:hAnsi="Times New Roman"/>
                      <w:color w:val="auto"/>
                      <w:szCs w:val="21"/>
                      <w:lang w:eastAsia="zh-CN"/>
                    </w:rPr>
                    <w:t>本</w:t>
                  </w:r>
                  <w:r>
                    <w:rPr>
                      <w:rFonts w:ascii="Times New Roman" w:hAnsi="Times New Roman"/>
                      <w:color w:val="auto"/>
                      <w:szCs w:val="21"/>
                    </w:rPr>
                    <w:t>项目</w:t>
                  </w:r>
                  <w:r>
                    <w:rPr>
                      <w:rFonts w:hint="eastAsia" w:ascii="Times New Roman" w:hAnsi="Times New Roman"/>
                      <w:color w:val="auto"/>
                      <w:szCs w:val="21"/>
                    </w:rPr>
                    <w:t>东北面4900m的长坪村</w:t>
                  </w:r>
                </w:p>
              </w:tc>
              <w:tc>
                <w:tcPr>
                  <w:tcW w:w="698" w:type="pct"/>
                  <w:vAlign w:val="center"/>
                </w:tcPr>
                <w:p w14:paraId="3381DA32">
                  <w:pPr>
                    <w:spacing w:line="276" w:lineRule="auto"/>
                    <w:jc w:val="center"/>
                    <w:rPr>
                      <w:color w:val="auto"/>
                      <w:sz w:val="21"/>
                      <w:szCs w:val="21"/>
                    </w:rPr>
                  </w:pPr>
                  <w:r>
                    <w:rPr>
                      <w:rFonts w:hint="eastAsia"/>
                      <w:color w:val="auto"/>
                      <w:sz w:val="21"/>
                      <w:szCs w:val="21"/>
                    </w:rPr>
                    <w:t>非甲烷总烃</w:t>
                  </w:r>
                </w:p>
              </w:tc>
              <w:tc>
                <w:tcPr>
                  <w:tcW w:w="586" w:type="pct"/>
                  <w:vAlign w:val="center"/>
                </w:tcPr>
                <w:p w14:paraId="027DB283">
                  <w:pPr>
                    <w:pStyle w:val="118"/>
                    <w:adjustRightInd/>
                    <w:snapToGrid/>
                    <w:spacing w:line="276" w:lineRule="auto"/>
                    <w:rPr>
                      <w:color w:val="auto"/>
                    </w:rPr>
                  </w:pPr>
                </w:p>
              </w:tc>
              <w:tc>
                <w:tcPr>
                  <w:tcW w:w="739" w:type="pct"/>
                  <w:vAlign w:val="center"/>
                </w:tcPr>
                <w:p w14:paraId="7353DF78">
                  <w:pPr>
                    <w:spacing w:line="276" w:lineRule="auto"/>
                    <w:jc w:val="center"/>
                    <w:rPr>
                      <w:color w:val="auto"/>
                      <w:sz w:val="21"/>
                      <w:szCs w:val="21"/>
                    </w:rPr>
                  </w:pPr>
                </w:p>
              </w:tc>
              <w:tc>
                <w:tcPr>
                  <w:tcW w:w="739" w:type="pct"/>
                  <w:vAlign w:val="center"/>
                </w:tcPr>
                <w:p w14:paraId="48B68621">
                  <w:pPr>
                    <w:spacing w:line="276" w:lineRule="auto"/>
                    <w:jc w:val="center"/>
                    <w:rPr>
                      <w:color w:val="auto"/>
                    </w:rPr>
                  </w:pPr>
                </w:p>
              </w:tc>
              <w:tc>
                <w:tcPr>
                  <w:tcW w:w="623" w:type="pct"/>
                  <w:vAlign w:val="center"/>
                </w:tcPr>
                <w:p w14:paraId="67561AED">
                  <w:pPr>
                    <w:spacing w:line="276" w:lineRule="auto"/>
                    <w:jc w:val="center"/>
                    <w:rPr>
                      <w:color w:val="auto"/>
                    </w:rPr>
                  </w:pPr>
                </w:p>
              </w:tc>
              <w:tc>
                <w:tcPr>
                  <w:tcW w:w="432" w:type="pct"/>
                  <w:vAlign w:val="center"/>
                </w:tcPr>
                <w:p w14:paraId="51536299">
                  <w:pPr>
                    <w:spacing w:line="276" w:lineRule="auto"/>
                    <w:jc w:val="center"/>
                    <w:rPr>
                      <w:color w:val="auto"/>
                    </w:rPr>
                  </w:pPr>
                </w:p>
              </w:tc>
              <w:tc>
                <w:tcPr>
                  <w:tcW w:w="560" w:type="pct"/>
                  <w:vAlign w:val="center"/>
                </w:tcPr>
                <w:p w14:paraId="6CA55377">
                  <w:pPr>
                    <w:spacing w:line="276" w:lineRule="auto"/>
                    <w:jc w:val="center"/>
                    <w:rPr>
                      <w:color w:val="auto"/>
                      <w:sz w:val="21"/>
                      <w:szCs w:val="21"/>
                    </w:rPr>
                  </w:pPr>
                  <w:r>
                    <w:rPr>
                      <w:color w:val="auto"/>
                      <w:sz w:val="21"/>
                      <w:szCs w:val="21"/>
                    </w:rPr>
                    <w:t>达标</w:t>
                  </w:r>
                </w:p>
              </w:tc>
            </w:tr>
          </w:tbl>
          <w:p w14:paraId="3140B2CF">
            <w:pPr>
              <w:spacing w:before="120" w:beforeLines="50"/>
              <w:ind w:firstLine="480" w:firstLineChars="200"/>
              <w:rPr>
                <w:bCs/>
                <w:color w:val="auto"/>
              </w:rPr>
            </w:pPr>
            <w:r>
              <w:rPr>
                <w:bCs/>
                <w:color w:val="auto"/>
              </w:rPr>
              <w:t>综上，区域非甲烷总烃的评价指标达到《大气污染物综合排放标准详解》相应标准值</w:t>
            </w:r>
            <w:r>
              <w:rPr>
                <w:rFonts w:hint="eastAsia"/>
                <w:bCs/>
                <w:color w:val="auto"/>
              </w:rPr>
              <w:t>。项目区域</w:t>
            </w:r>
            <w:r>
              <w:rPr>
                <w:color w:val="auto"/>
              </w:rPr>
              <w:t>环境空气质量良好</w:t>
            </w:r>
            <w:r>
              <w:rPr>
                <w:rFonts w:hint="eastAsia"/>
                <w:color w:val="auto"/>
              </w:rPr>
              <w:t>。</w:t>
            </w:r>
          </w:p>
          <w:p w14:paraId="001F9838">
            <w:pPr>
              <w:ind w:firstLine="482" w:firstLineChars="200"/>
              <w:rPr>
                <w:color w:val="auto"/>
              </w:rPr>
            </w:pPr>
            <w:r>
              <w:rPr>
                <w:b/>
                <w:color w:val="auto"/>
              </w:rPr>
              <w:t>2、</w:t>
            </w:r>
            <w:r>
              <w:rPr>
                <w:rFonts w:hint="eastAsia"/>
                <w:b/>
                <w:color w:val="auto"/>
              </w:rPr>
              <w:t>海水环境</w:t>
            </w:r>
            <w:r>
              <w:rPr>
                <w:b/>
                <w:color w:val="auto"/>
              </w:rPr>
              <w:t>质量现状</w:t>
            </w:r>
          </w:p>
          <w:p w14:paraId="17ED64A3">
            <w:pPr>
              <w:pStyle w:val="5"/>
              <w:ind w:firstLine="480"/>
              <w:rPr>
                <w:rFonts w:hint="eastAsia" w:ascii="Times New Roman" w:hAnsi="Times New Roman"/>
                <w:color w:val="auto"/>
                <w:sz w:val="24"/>
                <w:szCs w:val="24"/>
              </w:rPr>
            </w:pPr>
            <w:r>
              <w:rPr>
                <w:rFonts w:hint="eastAsia" w:ascii="Times New Roman" w:hAnsi="Times New Roman"/>
                <w:color w:val="auto"/>
                <w:sz w:val="24"/>
                <w:szCs w:val="24"/>
              </w:rPr>
              <w:t>本项目冷却水循环使用，不外排；生活污水经市政污水管网进入大榄坪污水处理厂进行集中处理，最终排入钦州港大榄坪排污混合区（GX057DIV），属四类环境功能区，水质保护目标为海水水质标准第四类。按照《环境影响评价技术导则地表水环境》(HJ2.3-2018)要求，本项目地表水环境影响评价等级为三级B。项目废水不直接排往地表水体，本次评价仅考虑废水综合利用及措施的可行性。</w:t>
            </w:r>
          </w:p>
          <w:p w14:paraId="07241BA3">
            <w:pPr>
              <w:pStyle w:val="5"/>
              <w:ind w:firstLine="480"/>
              <w:rPr>
                <w:rFonts w:hint="eastAsia" w:ascii="Times New Roman" w:hAnsi="Times New Roman"/>
                <w:color w:val="auto"/>
                <w:sz w:val="24"/>
                <w:szCs w:val="24"/>
              </w:rPr>
            </w:pPr>
            <w:r>
              <w:rPr>
                <w:rFonts w:hint="eastAsia" w:ascii="Times New Roman" w:hAnsi="Times New Roman"/>
                <w:color w:val="auto"/>
                <w:sz w:val="24"/>
                <w:szCs w:val="24"/>
              </w:rPr>
              <w:t>根据现场勘察，项目东面约2600 m为金窝水库，西面1550m为金鼓江水域，南面12000m为钦州湾海域，根据《广西壮族自治区近岸海域环境功能区划调整方案》，</w:t>
            </w:r>
            <w:r>
              <w:rPr>
                <w:rFonts w:hint="eastAsia" w:ascii="Times New Roman" w:hAnsi="Times New Roman"/>
                <w:color w:val="auto"/>
                <w:sz w:val="24"/>
                <w:szCs w:val="24"/>
                <w:lang w:eastAsia="zh-CN"/>
              </w:rPr>
              <w:t>钦州港</w:t>
            </w:r>
            <w:r>
              <w:rPr>
                <w:rFonts w:hint="eastAsia" w:ascii="Times New Roman" w:hAnsi="Times New Roman"/>
                <w:color w:val="auto"/>
                <w:sz w:val="24"/>
                <w:szCs w:val="24"/>
              </w:rPr>
              <w:t>大榄坪排污混合区（GX057DIV）</w:t>
            </w:r>
            <w:r>
              <w:rPr>
                <w:rFonts w:hint="eastAsia" w:ascii="Times New Roman" w:hAnsi="Times New Roman"/>
                <w:color w:val="auto"/>
                <w:sz w:val="24"/>
                <w:szCs w:val="24"/>
                <w:lang w:eastAsia="zh-CN"/>
              </w:rPr>
              <w:t>位属钦州港经济开发区鸡丁头村南部海域，范围是</w:t>
            </w:r>
            <w:r>
              <w:rPr>
                <w:rFonts w:ascii="Times New Roman" w:hAnsi="Times New Roman"/>
                <w:color w:val="auto"/>
                <w:sz w:val="24"/>
                <w:szCs w:val="24"/>
              </w:rPr>
              <w:t>（E108°3</w:t>
            </w:r>
            <w:r>
              <w:rPr>
                <w:rFonts w:hint="eastAsia" w:ascii="Times New Roman" w:hAnsi="Times New Roman"/>
                <w:color w:val="auto"/>
                <w:sz w:val="24"/>
                <w:szCs w:val="24"/>
                <w:lang w:val="en-US" w:eastAsia="zh-CN"/>
              </w:rPr>
              <w:t>9</w:t>
            </w:r>
            <w:r>
              <w:rPr>
                <w:rFonts w:ascii="Times New Roman" w:hAnsi="Times New Roman"/>
                <w:color w:val="auto"/>
                <w:sz w:val="24"/>
                <w:szCs w:val="24"/>
              </w:rPr>
              <w:t>′</w:t>
            </w:r>
            <w:r>
              <w:rPr>
                <w:rFonts w:hint="eastAsia" w:ascii="Times New Roman" w:hAnsi="Times New Roman"/>
                <w:color w:val="auto"/>
                <w:sz w:val="24"/>
                <w:szCs w:val="24"/>
                <w:lang w:val="en-US" w:eastAsia="zh-CN"/>
              </w:rPr>
              <w:t>46</w:t>
            </w:r>
            <w:r>
              <w:rPr>
                <w:rFonts w:ascii="Times New Roman" w:hAnsi="Times New Roman"/>
                <w:color w:val="auto"/>
                <w:sz w:val="24"/>
                <w:szCs w:val="24"/>
              </w:rPr>
              <w:t>″、N21°</w:t>
            </w:r>
            <w:r>
              <w:rPr>
                <w:rFonts w:hint="eastAsia" w:ascii="Times New Roman" w:hAnsi="Times New Roman"/>
                <w:color w:val="auto"/>
                <w:sz w:val="24"/>
                <w:szCs w:val="24"/>
                <w:lang w:val="en-US" w:eastAsia="zh-CN"/>
              </w:rPr>
              <w:t>39</w:t>
            </w:r>
            <w:r>
              <w:rPr>
                <w:rFonts w:ascii="Times New Roman" w:hAnsi="Times New Roman"/>
                <w:color w:val="auto"/>
                <w:sz w:val="24"/>
                <w:szCs w:val="24"/>
              </w:rPr>
              <w:t>′1</w:t>
            </w:r>
            <w:r>
              <w:rPr>
                <w:rFonts w:hint="eastAsia" w:ascii="Times New Roman" w:hAnsi="Times New Roman"/>
                <w:color w:val="auto"/>
                <w:sz w:val="24"/>
                <w:szCs w:val="24"/>
                <w:lang w:val="en-US" w:eastAsia="zh-CN"/>
              </w:rPr>
              <w:t>9</w:t>
            </w:r>
            <w:r>
              <w:rPr>
                <w:rFonts w:ascii="Times New Roman" w:hAnsi="Times New Roman"/>
                <w:color w:val="auto"/>
                <w:sz w:val="24"/>
                <w:szCs w:val="24"/>
              </w:rPr>
              <w:t>″</w:t>
            </w:r>
            <w:r>
              <w:rPr>
                <w:rFonts w:hint="eastAsia" w:ascii="Times New Roman" w:hAnsi="Times New Roman"/>
                <w:color w:val="auto"/>
                <w:sz w:val="24"/>
                <w:szCs w:val="24"/>
                <w:lang w:eastAsia="zh-CN"/>
              </w:rPr>
              <w:t>，E</w:t>
            </w:r>
            <w:r>
              <w:rPr>
                <w:rFonts w:hint="default" w:ascii="Times New Roman" w:hAnsi="Times New Roman" w:cs="Times New Roman"/>
                <w:color w:val="auto"/>
                <w:sz w:val="24"/>
                <w:szCs w:val="24"/>
                <w:lang w:eastAsia="zh-CN"/>
              </w:rPr>
              <w:t>108°39'</w:t>
            </w:r>
            <w:r>
              <w:rPr>
                <w:rFonts w:hint="default"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N21°39'</w:t>
            </w:r>
            <w:r>
              <w:rPr>
                <w:rFonts w:hint="default" w:ascii="Times New Roman" w:hAnsi="Times New Roman" w:cs="Times New Roman"/>
                <w:color w:val="auto"/>
                <w:sz w:val="24"/>
                <w:szCs w:val="24"/>
                <w:lang w:val="en-US" w:eastAsia="zh-CN"/>
              </w:rPr>
              <w:t>4</w:t>
            </w:r>
            <w:r>
              <w:rPr>
                <w:rFonts w:hint="eastAsia" w:ascii="Times New Roman" w:hAnsi="Times New Roman"/>
                <w:color w:val="auto"/>
                <w:sz w:val="24"/>
                <w:szCs w:val="24"/>
                <w:lang w:val="en-US"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，E</w:t>
            </w:r>
            <w:r>
              <w:rPr>
                <w:rFonts w:hint="default" w:ascii="Times New Roman" w:hAnsi="Times New Roman" w:cs="Times New Roman"/>
                <w:color w:val="auto"/>
                <w:sz w:val="24"/>
                <w:szCs w:val="24"/>
                <w:lang w:eastAsia="zh-CN"/>
              </w:rPr>
              <w:t>108°3</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N21°39'40</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eastAsia" w:ascii="Times New Roman" w:hAnsi="Times New Roman"/>
                <w:color w:val="auto"/>
                <w:sz w:val="24"/>
                <w:szCs w:val="24"/>
                <w:lang w:eastAsia="zh-CN"/>
              </w:rPr>
              <w:t>E</w:t>
            </w:r>
            <w:r>
              <w:rPr>
                <w:rFonts w:hint="default" w:ascii="Times New Roman" w:hAnsi="Times New Roman" w:cs="Times New Roman"/>
                <w:color w:val="auto"/>
                <w:sz w:val="24"/>
                <w:szCs w:val="24"/>
                <w:lang w:eastAsia="zh-CN"/>
              </w:rPr>
              <w:t>108°3</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N21°38'51</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E108°39'39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、N21°38'54</w:t>
            </w:r>
            <w:r>
              <w:rPr>
                <w:rFonts w:ascii="Times New Roman" w:hAnsi="Times New Roman"/>
                <w:color w:val="auto"/>
                <w:sz w:val="24"/>
                <w:szCs w:val="24"/>
              </w:rPr>
              <w:t>″</w:t>
            </w:r>
            <w:r>
              <w:rPr>
                <w:rFonts w:hint="eastAsia" w:ascii="Times New Roman" w:hAnsi="Times New Roman"/>
                <w:color w:val="auto"/>
                <w:sz w:val="24"/>
                <w:szCs w:val="24"/>
                <w:lang w:eastAsia="zh-CN"/>
              </w:rPr>
              <w:t>）围成的海域</w:t>
            </w:r>
            <w:r>
              <w:rPr>
                <w:rFonts w:hint="eastAsia" w:ascii="Times New Roman" w:hAnsi="Times New Roman"/>
                <w:color w:val="auto"/>
                <w:sz w:val="24"/>
                <w:szCs w:val="24"/>
              </w:rPr>
              <w:t>，周围设 0.5km 水质过渡带，主导功能为港口、工业</w:t>
            </w:r>
            <w:r>
              <w:rPr>
                <w:rFonts w:hint="eastAsia" w:ascii="Times New Roman" w:hAnsi="Times New Roman"/>
                <w:color w:val="auto"/>
                <w:sz w:val="24"/>
                <w:szCs w:val="24"/>
                <w:lang w:eastAsia="zh-CN"/>
              </w:rPr>
              <w:t>、生活排污</w:t>
            </w:r>
            <w:r>
              <w:rPr>
                <w:rFonts w:hint="eastAsia" w:ascii="Times New Roman" w:hAnsi="Times New Roman"/>
                <w:color w:val="auto"/>
                <w:sz w:val="24"/>
                <w:szCs w:val="24"/>
              </w:rPr>
              <w:t>用海，属四类环境功能区，水质保护目标为海水水质标准第四类。</w:t>
            </w:r>
          </w:p>
          <w:p w14:paraId="3B5F6B4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sz w:val="24"/>
                <w:szCs w:val="24"/>
                <w:lang w:val="en-US" w:eastAsia="zh-CN"/>
              </w:rPr>
            </w:pPr>
            <w:r>
              <w:rPr>
                <w:rFonts w:hint="eastAsia"/>
                <w:color w:val="auto"/>
                <w:sz w:val="24"/>
                <w:szCs w:val="24"/>
                <w:lang w:val="en-US" w:eastAsia="zh-CN"/>
              </w:rPr>
              <w:t>为了解</w:t>
            </w:r>
            <w:r>
              <w:rPr>
                <w:rFonts w:hint="eastAsia" w:ascii="Times New Roman" w:hAnsi="Times New Roman"/>
                <w:color w:val="auto"/>
                <w:sz w:val="24"/>
                <w:szCs w:val="24"/>
                <w:lang w:eastAsia="zh-CN"/>
              </w:rPr>
              <w:t>钦州港</w:t>
            </w:r>
            <w:r>
              <w:rPr>
                <w:rFonts w:hint="eastAsia" w:ascii="Times New Roman" w:hAnsi="Times New Roman"/>
                <w:color w:val="auto"/>
                <w:sz w:val="24"/>
                <w:szCs w:val="24"/>
              </w:rPr>
              <w:t>大榄坪排污混合区（GX057DIV）</w:t>
            </w:r>
            <w:r>
              <w:rPr>
                <w:rFonts w:hint="eastAsia"/>
                <w:color w:val="auto"/>
                <w:sz w:val="24"/>
                <w:szCs w:val="24"/>
                <w:lang w:eastAsia="zh-CN"/>
              </w:rPr>
              <w:t>水质情况，引用《</w:t>
            </w:r>
            <w:r>
              <w:rPr>
                <w:rFonts w:hint="eastAsia"/>
                <w:color w:val="auto"/>
                <w:sz w:val="24"/>
                <w:szCs w:val="24"/>
                <w:lang w:val="en-US" w:eastAsia="zh-CN"/>
              </w:rPr>
              <w:t>钦州市大榄坪污水处理厂技改项目填海工程海洋环境影响报告书</w:t>
            </w:r>
            <w:r>
              <w:rPr>
                <w:rFonts w:hint="eastAsia"/>
                <w:color w:val="auto"/>
                <w:sz w:val="24"/>
                <w:szCs w:val="24"/>
                <w:lang w:eastAsia="zh-CN"/>
              </w:rPr>
              <w:t>》中的监测数据进行说明（监测时间为202</w:t>
            </w:r>
            <w:r>
              <w:rPr>
                <w:rFonts w:hint="eastAsia"/>
                <w:color w:val="auto"/>
                <w:sz w:val="24"/>
                <w:szCs w:val="24"/>
                <w:lang w:val="en-US" w:eastAsia="zh-CN"/>
              </w:rPr>
              <w:t>2</w:t>
            </w:r>
            <w:r>
              <w:rPr>
                <w:rFonts w:hint="eastAsia"/>
                <w:color w:val="auto"/>
                <w:sz w:val="24"/>
                <w:szCs w:val="24"/>
                <w:lang w:eastAsia="zh-CN"/>
              </w:rPr>
              <w:t>年5月春季和</w:t>
            </w:r>
            <w:r>
              <w:rPr>
                <w:rFonts w:hint="eastAsia"/>
                <w:color w:val="auto"/>
                <w:sz w:val="24"/>
                <w:szCs w:val="24"/>
                <w:lang w:val="en-US" w:eastAsia="zh-CN"/>
              </w:rPr>
              <w:t>9月秋季</w:t>
            </w:r>
            <w:r>
              <w:rPr>
                <w:rFonts w:hint="eastAsia"/>
                <w:color w:val="auto"/>
                <w:sz w:val="24"/>
                <w:szCs w:val="24"/>
                <w:lang w:eastAsia="zh-CN"/>
              </w:rPr>
              <w:t>），所引用的监测点为《</w:t>
            </w:r>
            <w:r>
              <w:rPr>
                <w:rFonts w:hint="eastAsia"/>
                <w:color w:val="auto"/>
                <w:sz w:val="24"/>
                <w:szCs w:val="24"/>
                <w:lang w:val="en-US" w:eastAsia="zh-CN"/>
              </w:rPr>
              <w:t>钦州市大榄坪污水处理厂技改项目填海工程海洋环境影响报告书</w:t>
            </w:r>
            <w:r>
              <w:rPr>
                <w:rFonts w:hint="eastAsia"/>
                <w:color w:val="auto"/>
                <w:sz w:val="24"/>
                <w:szCs w:val="24"/>
                <w:lang w:eastAsia="zh-CN"/>
              </w:rPr>
              <w:t>》中的</w:t>
            </w:r>
            <w:r>
              <w:rPr>
                <w:rFonts w:hint="eastAsia"/>
                <w:color w:val="auto"/>
                <w:sz w:val="24"/>
                <w:szCs w:val="24"/>
                <w:lang w:val="en-US" w:eastAsia="zh-CN"/>
              </w:rPr>
              <w:t>12点位监测数据，其地理坐标为</w:t>
            </w:r>
            <w:r>
              <w:rPr>
                <w:rFonts w:ascii="Times New Roman" w:hAnsi="Times New Roman"/>
                <w:color w:val="auto"/>
                <w:sz w:val="24"/>
                <w:szCs w:val="24"/>
              </w:rPr>
              <w:t>E108°3</w:t>
            </w:r>
            <w:r>
              <w:rPr>
                <w:rFonts w:hint="eastAsia" w:ascii="Times New Roman" w:hAnsi="Times New Roman"/>
                <w:color w:val="auto"/>
                <w:sz w:val="24"/>
                <w:szCs w:val="24"/>
                <w:lang w:val="en-US" w:eastAsia="zh-CN"/>
              </w:rPr>
              <w:t>9</w:t>
            </w:r>
            <w:r>
              <w:rPr>
                <w:rFonts w:ascii="Times New Roman" w:hAnsi="Times New Roman"/>
                <w:color w:val="auto"/>
                <w:sz w:val="24"/>
                <w:szCs w:val="24"/>
              </w:rPr>
              <w:t>′</w:t>
            </w:r>
            <w:r>
              <w:rPr>
                <w:rFonts w:hint="eastAsia"/>
                <w:color w:val="auto"/>
                <w:sz w:val="24"/>
                <w:szCs w:val="24"/>
                <w:lang w:val="en-US" w:eastAsia="zh-CN"/>
              </w:rPr>
              <w:t>3.24</w:t>
            </w:r>
            <w:r>
              <w:rPr>
                <w:rFonts w:ascii="Times New Roman" w:hAnsi="Times New Roman"/>
                <w:color w:val="auto"/>
                <w:sz w:val="24"/>
                <w:szCs w:val="24"/>
              </w:rPr>
              <w:t>″、N21°</w:t>
            </w:r>
            <w:r>
              <w:rPr>
                <w:rFonts w:hint="eastAsia" w:ascii="Times New Roman" w:hAnsi="Times New Roman"/>
                <w:color w:val="auto"/>
                <w:sz w:val="24"/>
                <w:szCs w:val="24"/>
                <w:lang w:val="en-US" w:eastAsia="zh-CN"/>
              </w:rPr>
              <w:t>39</w:t>
            </w:r>
            <w:r>
              <w:rPr>
                <w:rFonts w:ascii="Times New Roman" w:hAnsi="Times New Roman"/>
                <w:color w:val="auto"/>
                <w:sz w:val="24"/>
                <w:szCs w:val="24"/>
              </w:rPr>
              <w:t>′</w:t>
            </w:r>
            <w:r>
              <w:rPr>
                <w:rFonts w:hint="eastAsia"/>
                <w:color w:val="auto"/>
                <w:sz w:val="24"/>
                <w:szCs w:val="24"/>
                <w:lang w:val="en-US" w:eastAsia="zh-CN"/>
              </w:rPr>
              <w:t>26.04</w:t>
            </w:r>
            <w:r>
              <w:rPr>
                <w:rFonts w:ascii="Times New Roman" w:hAnsi="Times New Roman"/>
                <w:color w:val="auto"/>
                <w:sz w:val="24"/>
                <w:szCs w:val="24"/>
              </w:rPr>
              <w:t>″</w:t>
            </w:r>
            <w:r>
              <w:rPr>
                <w:rFonts w:hint="eastAsia"/>
                <w:color w:val="auto"/>
                <w:sz w:val="24"/>
                <w:szCs w:val="24"/>
                <w:lang w:eastAsia="zh-CN"/>
              </w:rPr>
              <w:t>。项目引用的报告书已于</w:t>
            </w:r>
            <w:r>
              <w:rPr>
                <w:rFonts w:hint="eastAsia"/>
                <w:color w:val="auto"/>
                <w:sz w:val="24"/>
                <w:szCs w:val="24"/>
                <w:lang w:val="en-US" w:eastAsia="zh-CN"/>
              </w:rPr>
              <w:t>2024年10月12日获得《广西壮族自治区生态环境厅关于钦州市大榄坪污水处理厂技改项目填海工程海洋环境影响报告书的批复》（桂环审〔2024〕498号），且引用的</w:t>
            </w:r>
            <w:r>
              <w:rPr>
                <w:rFonts w:hint="eastAsia"/>
                <w:color w:val="auto"/>
                <w:sz w:val="24"/>
                <w:szCs w:val="24"/>
                <w:lang w:eastAsia="zh-CN"/>
              </w:rPr>
              <w:t>监测点位位于</w:t>
            </w:r>
            <w:r>
              <w:rPr>
                <w:rFonts w:hint="eastAsia" w:ascii="Times New Roman" w:hAnsi="Times New Roman"/>
                <w:color w:val="auto"/>
                <w:sz w:val="24"/>
                <w:szCs w:val="24"/>
              </w:rPr>
              <w:t>（GX057DIV）</w:t>
            </w:r>
            <w:r>
              <w:rPr>
                <w:rFonts w:hint="eastAsia"/>
                <w:color w:val="auto"/>
                <w:sz w:val="24"/>
                <w:szCs w:val="24"/>
                <w:lang w:eastAsia="zh-CN"/>
              </w:rPr>
              <w:t>范围内，监测数据三年有效，因此所引用的点位符合本项目要求。项目海水现状监测统计结果见表3-</w:t>
            </w:r>
            <w:r>
              <w:rPr>
                <w:rFonts w:hint="eastAsia"/>
                <w:color w:val="auto"/>
                <w:sz w:val="24"/>
                <w:szCs w:val="24"/>
                <w:lang w:val="en-US" w:eastAsia="zh-CN"/>
              </w:rPr>
              <w:t>3</w:t>
            </w:r>
            <w:r>
              <w:rPr>
                <w:rFonts w:hint="eastAsia"/>
                <w:color w:val="auto"/>
                <w:sz w:val="24"/>
                <w:szCs w:val="24"/>
                <w:lang w:eastAsia="zh-CN"/>
              </w:rPr>
              <w:t>。</w:t>
            </w:r>
          </w:p>
          <w:p w14:paraId="1CC7204F">
            <w:pPr>
              <w:adjustRightInd w:val="0"/>
              <w:snapToGrid w:val="0"/>
              <w:spacing w:line="240" w:lineRule="auto"/>
              <w:jc w:val="center"/>
              <w:rPr>
                <w:b/>
                <w:color w:val="auto"/>
                <w:sz w:val="21"/>
                <w:szCs w:val="21"/>
              </w:rPr>
            </w:pPr>
            <w:r>
              <w:rPr>
                <w:rFonts w:hint="eastAsia"/>
                <w:b/>
                <w:bCs/>
                <w:color w:val="auto"/>
                <w:sz w:val="24"/>
                <w:szCs w:val="24"/>
                <w:lang w:val="en-US" w:eastAsia="zh-CN"/>
              </w:rPr>
              <w:t xml:space="preserve">表3-3  评价区域海水水质现状监测结果一览表  </w:t>
            </w:r>
            <w:r>
              <w:rPr>
                <w:b/>
                <w:color w:val="auto"/>
                <w:sz w:val="21"/>
                <w:szCs w:val="21"/>
              </w:rPr>
              <w:t>单位：mg/L，pH值无量纲</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7"/>
              <w:gridCol w:w="894"/>
              <w:gridCol w:w="6"/>
              <w:gridCol w:w="675"/>
              <w:gridCol w:w="675"/>
              <w:gridCol w:w="756"/>
              <w:gridCol w:w="624"/>
              <w:gridCol w:w="624"/>
              <w:gridCol w:w="531"/>
              <w:gridCol w:w="645"/>
              <w:gridCol w:w="735"/>
              <w:gridCol w:w="630"/>
              <w:gridCol w:w="573"/>
            </w:tblGrid>
            <w:tr w14:paraId="64882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restart"/>
                  <w:noWrap w:val="0"/>
                  <w:vAlign w:val="center"/>
                </w:tcPr>
                <w:p w14:paraId="4DD44A03">
                  <w:pPr>
                    <w:pStyle w:val="146"/>
                    <w:rPr>
                      <w:b/>
                      <w:bCs/>
                      <w:color w:val="auto"/>
                      <w:szCs w:val="21"/>
                    </w:rPr>
                  </w:pPr>
                  <w:r>
                    <w:rPr>
                      <w:b/>
                      <w:bCs/>
                      <w:color w:val="auto"/>
                      <w:szCs w:val="21"/>
                    </w:rPr>
                    <w:t>监测点位</w:t>
                  </w:r>
                </w:p>
              </w:tc>
              <w:tc>
                <w:tcPr>
                  <w:tcW w:w="943" w:type="pct"/>
                  <w:gridSpan w:val="3"/>
                  <w:vMerge w:val="restart"/>
                  <w:noWrap w:val="0"/>
                  <w:vAlign w:val="center"/>
                </w:tcPr>
                <w:p w14:paraId="68FF2EC6">
                  <w:pPr>
                    <w:pStyle w:val="146"/>
                    <w:rPr>
                      <w:b/>
                      <w:bCs/>
                      <w:color w:val="auto"/>
                      <w:szCs w:val="21"/>
                    </w:rPr>
                  </w:pPr>
                  <w:r>
                    <w:rPr>
                      <w:b/>
                      <w:bCs/>
                      <w:color w:val="auto"/>
                      <w:szCs w:val="21"/>
                    </w:rPr>
                    <w:t>评价项目</w:t>
                  </w:r>
                </w:p>
              </w:tc>
              <w:tc>
                <w:tcPr>
                  <w:tcW w:w="3470" w:type="pct"/>
                  <w:gridSpan w:val="9"/>
                  <w:noWrap w:val="0"/>
                  <w:vAlign w:val="center"/>
                </w:tcPr>
                <w:p w14:paraId="14881248">
                  <w:pPr>
                    <w:pStyle w:val="146"/>
                    <w:rPr>
                      <w:b/>
                      <w:bCs/>
                      <w:color w:val="auto"/>
                      <w:szCs w:val="21"/>
                    </w:rPr>
                  </w:pPr>
                  <w:r>
                    <w:rPr>
                      <w:b/>
                      <w:bCs/>
                      <w:color w:val="auto"/>
                      <w:szCs w:val="21"/>
                    </w:rPr>
                    <w:t>监测项目</w:t>
                  </w:r>
                </w:p>
              </w:tc>
            </w:tr>
            <w:tr w14:paraId="0F39D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continue"/>
                  <w:noWrap w:val="0"/>
                  <w:vAlign w:val="center"/>
                </w:tcPr>
                <w:p w14:paraId="4711D023">
                  <w:pPr>
                    <w:pStyle w:val="146"/>
                    <w:rPr>
                      <w:b/>
                      <w:bCs/>
                      <w:color w:val="auto"/>
                      <w:szCs w:val="21"/>
                    </w:rPr>
                  </w:pPr>
                </w:p>
              </w:tc>
              <w:tc>
                <w:tcPr>
                  <w:tcW w:w="943" w:type="pct"/>
                  <w:gridSpan w:val="3"/>
                  <w:vMerge w:val="continue"/>
                  <w:noWrap w:val="0"/>
                  <w:vAlign w:val="center"/>
                </w:tcPr>
                <w:p w14:paraId="35674177">
                  <w:pPr>
                    <w:pStyle w:val="146"/>
                    <w:rPr>
                      <w:b/>
                      <w:bCs/>
                      <w:color w:val="auto"/>
                      <w:szCs w:val="21"/>
                    </w:rPr>
                  </w:pPr>
                </w:p>
              </w:tc>
              <w:tc>
                <w:tcPr>
                  <w:tcW w:w="404" w:type="pct"/>
                  <w:noWrap w:val="0"/>
                  <w:vAlign w:val="center"/>
                </w:tcPr>
                <w:p w14:paraId="1F9BA849">
                  <w:pPr>
                    <w:pStyle w:val="146"/>
                    <w:rPr>
                      <w:b/>
                      <w:bCs/>
                      <w:color w:val="auto"/>
                      <w:szCs w:val="21"/>
                    </w:rPr>
                  </w:pPr>
                  <w:r>
                    <w:rPr>
                      <w:b/>
                      <w:bCs/>
                      <w:color w:val="auto"/>
                      <w:szCs w:val="21"/>
                    </w:rPr>
                    <w:t>pH值</w:t>
                  </w:r>
                </w:p>
              </w:tc>
              <w:tc>
                <w:tcPr>
                  <w:tcW w:w="452" w:type="pct"/>
                  <w:noWrap w:val="0"/>
                  <w:vAlign w:val="center"/>
                </w:tcPr>
                <w:p w14:paraId="075BC7C3">
                  <w:pPr>
                    <w:pStyle w:val="146"/>
                    <w:rPr>
                      <w:rFonts w:hint="eastAsia" w:eastAsia="宋体"/>
                      <w:b/>
                      <w:bCs/>
                      <w:color w:val="auto"/>
                      <w:szCs w:val="21"/>
                      <w:lang w:eastAsia="zh-CN"/>
                    </w:rPr>
                  </w:pPr>
                  <w:r>
                    <w:rPr>
                      <w:rFonts w:hint="eastAsia"/>
                      <w:b/>
                      <w:bCs/>
                      <w:color w:val="auto"/>
                      <w:szCs w:val="21"/>
                      <w:lang w:eastAsia="zh-CN"/>
                    </w:rPr>
                    <w:t>温度</w:t>
                  </w:r>
                </w:p>
              </w:tc>
              <w:tc>
                <w:tcPr>
                  <w:tcW w:w="373" w:type="pct"/>
                  <w:noWrap w:val="0"/>
                  <w:vAlign w:val="center"/>
                </w:tcPr>
                <w:p w14:paraId="5311C793">
                  <w:pPr>
                    <w:pStyle w:val="146"/>
                    <w:rPr>
                      <w:rFonts w:hint="eastAsia"/>
                      <w:b/>
                      <w:bCs/>
                      <w:color w:val="auto"/>
                      <w:szCs w:val="21"/>
                    </w:rPr>
                  </w:pPr>
                  <w:r>
                    <w:rPr>
                      <w:rFonts w:hint="eastAsia"/>
                      <w:b/>
                      <w:bCs/>
                      <w:color w:val="auto"/>
                      <w:szCs w:val="21"/>
                    </w:rPr>
                    <w:t>溶解氧</w:t>
                  </w:r>
                </w:p>
              </w:tc>
              <w:tc>
                <w:tcPr>
                  <w:tcW w:w="373" w:type="pct"/>
                  <w:noWrap w:val="0"/>
                  <w:vAlign w:val="center"/>
                </w:tcPr>
                <w:p w14:paraId="3CD0F31F">
                  <w:pPr>
                    <w:pStyle w:val="146"/>
                    <w:rPr>
                      <w:b/>
                      <w:bCs/>
                      <w:color w:val="auto"/>
                      <w:szCs w:val="21"/>
                    </w:rPr>
                  </w:pPr>
                  <w:r>
                    <w:rPr>
                      <w:b/>
                      <w:bCs/>
                      <w:color w:val="auto"/>
                      <w:szCs w:val="21"/>
                    </w:rPr>
                    <w:t>COD</w:t>
                  </w:r>
                </w:p>
              </w:tc>
              <w:tc>
                <w:tcPr>
                  <w:tcW w:w="318" w:type="pct"/>
                  <w:noWrap w:val="0"/>
                  <w:vAlign w:val="center"/>
                </w:tcPr>
                <w:p w14:paraId="352DB090">
                  <w:pPr>
                    <w:pStyle w:val="146"/>
                    <w:rPr>
                      <w:rFonts w:hint="default" w:eastAsia="宋体"/>
                      <w:b/>
                      <w:bCs/>
                      <w:color w:val="auto"/>
                      <w:szCs w:val="21"/>
                      <w:lang w:val="en-US" w:eastAsia="zh-CN"/>
                    </w:rPr>
                  </w:pPr>
                  <w:r>
                    <w:rPr>
                      <w:rFonts w:hint="eastAsia"/>
                      <w:b/>
                      <w:bCs/>
                      <w:color w:val="auto"/>
                      <w:szCs w:val="21"/>
                      <w:lang w:val="en-US" w:eastAsia="zh-CN"/>
                    </w:rPr>
                    <w:t>BOD</w:t>
                  </w:r>
                  <w:r>
                    <w:rPr>
                      <w:rFonts w:hint="eastAsia"/>
                      <w:b/>
                      <w:bCs/>
                      <w:color w:val="auto"/>
                      <w:szCs w:val="21"/>
                      <w:vertAlign w:val="subscript"/>
                      <w:lang w:val="en-US" w:eastAsia="zh-CN"/>
                    </w:rPr>
                    <w:t>5</w:t>
                  </w:r>
                </w:p>
              </w:tc>
              <w:tc>
                <w:tcPr>
                  <w:tcW w:w="386" w:type="pct"/>
                  <w:noWrap w:val="0"/>
                  <w:vAlign w:val="center"/>
                </w:tcPr>
                <w:p w14:paraId="48F76D45">
                  <w:pPr>
                    <w:pStyle w:val="146"/>
                    <w:rPr>
                      <w:rFonts w:hint="default" w:eastAsia="宋体"/>
                      <w:b/>
                      <w:bCs/>
                      <w:color w:val="auto"/>
                      <w:szCs w:val="21"/>
                      <w:lang w:val="en-US" w:eastAsia="zh-CN"/>
                    </w:rPr>
                  </w:pPr>
                  <w:r>
                    <w:rPr>
                      <w:rFonts w:hint="eastAsia"/>
                      <w:b/>
                      <w:bCs/>
                      <w:color w:val="auto"/>
                      <w:szCs w:val="21"/>
                      <w:lang w:eastAsia="zh-CN"/>
                    </w:rPr>
                    <w:t>无机</w:t>
                  </w:r>
                  <w:r>
                    <w:rPr>
                      <w:rFonts w:hint="eastAsia"/>
                      <w:b/>
                      <w:bCs/>
                      <w:color w:val="auto"/>
                      <w:szCs w:val="21"/>
                      <w:lang w:val="en-US" w:eastAsia="zh-CN"/>
                    </w:rPr>
                    <w:t>氮</w:t>
                  </w:r>
                </w:p>
              </w:tc>
              <w:tc>
                <w:tcPr>
                  <w:tcW w:w="440" w:type="pct"/>
                  <w:noWrap w:val="0"/>
                  <w:vAlign w:val="center"/>
                </w:tcPr>
                <w:p w14:paraId="5501D093">
                  <w:pPr>
                    <w:pStyle w:val="146"/>
                    <w:rPr>
                      <w:b/>
                      <w:bCs/>
                      <w:color w:val="auto"/>
                      <w:szCs w:val="21"/>
                    </w:rPr>
                  </w:pPr>
                  <w:r>
                    <w:rPr>
                      <w:rFonts w:hint="eastAsia"/>
                      <w:b/>
                      <w:bCs/>
                      <w:color w:val="auto"/>
                      <w:szCs w:val="21"/>
                      <w:lang w:val="en-US" w:eastAsia="zh-CN"/>
                    </w:rPr>
                    <w:t>活性磷酸盐</w:t>
                  </w:r>
                </w:p>
              </w:tc>
              <w:tc>
                <w:tcPr>
                  <w:tcW w:w="377" w:type="pct"/>
                  <w:noWrap w:val="0"/>
                  <w:vAlign w:val="center"/>
                </w:tcPr>
                <w:p w14:paraId="27A5F1C1">
                  <w:pPr>
                    <w:pStyle w:val="146"/>
                    <w:rPr>
                      <w:rFonts w:hint="default"/>
                      <w:b/>
                      <w:bCs/>
                      <w:color w:val="auto"/>
                      <w:szCs w:val="21"/>
                      <w:lang w:val="en-US" w:eastAsia="zh-CN"/>
                    </w:rPr>
                  </w:pPr>
                  <w:r>
                    <w:rPr>
                      <w:rFonts w:hint="eastAsia"/>
                      <w:b/>
                      <w:bCs/>
                      <w:color w:val="auto"/>
                      <w:szCs w:val="21"/>
                      <w:lang w:val="en-US" w:eastAsia="zh-CN"/>
                    </w:rPr>
                    <w:t>石油类</w:t>
                  </w:r>
                </w:p>
              </w:tc>
              <w:tc>
                <w:tcPr>
                  <w:tcW w:w="343" w:type="pct"/>
                  <w:noWrap w:val="0"/>
                  <w:vAlign w:val="center"/>
                </w:tcPr>
                <w:p w14:paraId="19EABD72">
                  <w:pPr>
                    <w:pStyle w:val="146"/>
                    <w:rPr>
                      <w:rFonts w:hint="eastAsia" w:eastAsia="宋体"/>
                      <w:b/>
                      <w:bCs/>
                      <w:color w:val="auto"/>
                      <w:szCs w:val="21"/>
                      <w:lang w:eastAsia="zh-CN"/>
                    </w:rPr>
                  </w:pPr>
                  <w:r>
                    <w:rPr>
                      <w:rFonts w:hint="eastAsia"/>
                      <w:b/>
                      <w:bCs/>
                      <w:color w:val="auto"/>
                      <w:szCs w:val="21"/>
                      <w:lang w:eastAsia="zh-CN"/>
                    </w:rPr>
                    <w:t>悬浮物</w:t>
                  </w:r>
                </w:p>
              </w:tc>
            </w:tr>
            <w:tr w14:paraId="711DB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Merge w:val="continue"/>
                  <w:noWrap w:val="0"/>
                  <w:vAlign w:val="center"/>
                </w:tcPr>
                <w:p w14:paraId="560858BE">
                  <w:pPr>
                    <w:pStyle w:val="146"/>
                    <w:rPr>
                      <w:b/>
                      <w:bCs/>
                      <w:color w:val="auto"/>
                      <w:szCs w:val="21"/>
                    </w:rPr>
                  </w:pPr>
                </w:p>
              </w:tc>
              <w:tc>
                <w:tcPr>
                  <w:tcW w:w="943" w:type="pct"/>
                  <w:gridSpan w:val="3"/>
                  <w:noWrap w:val="0"/>
                  <w:vAlign w:val="center"/>
                </w:tcPr>
                <w:p w14:paraId="59373CFB">
                  <w:pPr>
                    <w:pStyle w:val="146"/>
                    <w:rPr>
                      <w:rFonts w:hint="eastAsia"/>
                      <w:b/>
                      <w:bCs/>
                      <w:color w:val="auto"/>
                      <w:szCs w:val="21"/>
                    </w:rPr>
                  </w:pPr>
                  <w:r>
                    <w:rPr>
                      <w:rFonts w:hint="eastAsia"/>
                      <w:b/>
                      <w:bCs/>
                      <w:color w:val="auto"/>
                      <w:szCs w:val="21"/>
                    </w:rPr>
                    <w:t>IV类</w:t>
                  </w:r>
                  <w:r>
                    <w:rPr>
                      <w:b/>
                      <w:bCs/>
                      <w:color w:val="auto"/>
                      <w:szCs w:val="21"/>
                    </w:rPr>
                    <w:t>标准值</w:t>
                  </w:r>
                </w:p>
              </w:tc>
              <w:tc>
                <w:tcPr>
                  <w:tcW w:w="404" w:type="pct"/>
                  <w:noWrap w:val="0"/>
                  <w:vAlign w:val="center"/>
                </w:tcPr>
                <w:p w14:paraId="6232F413">
                  <w:pPr>
                    <w:pStyle w:val="146"/>
                    <w:rPr>
                      <w:rFonts w:hint="default" w:eastAsia="宋体"/>
                      <w:color w:val="auto"/>
                      <w:sz w:val="21"/>
                      <w:szCs w:val="21"/>
                      <w:u w:val="none"/>
                      <w:lang w:val="en-US" w:eastAsia="zh-CN" w:bidi="ar-SA"/>
                    </w:rPr>
                  </w:pPr>
                </w:p>
              </w:tc>
              <w:tc>
                <w:tcPr>
                  <w:tcW w:w="452" w:type="pct"/>
                  <w:noWrap w:val="0"/>
                  <w:vAlign w:val="center"/>
                </w:tcPr>
                <w:p w14:paraId="1DCD75F9">
                  <w:pPr>
                    <w:pStyle w:val="146"/>
                    <w:rPr>
                      <w:rFonts w:hint="eastAsia" w:eastAsia="宋体"/>
                      <w:color w:val="auto"/>
                      <w:szCs w:val="21"/>
                      <w:u w:val="none"/>
                      <w:lang w:val="en-US" w:eastAsia="zh-CN"/>
                    </w:rPr>
                  </w:pPr>
                </w:p>
              </w:tc>
              <w:tc>
                <w:tcPr>
                  <w:tcW w:w="373" w:type="pct"/>
                  <w:noWrap w:val="0"/>
                  <w:vAlign w:val="center"/>
                </w:tcPr>
                <w:p w14:paraId="1384E492">
                  <w:pPr>
                    <w:pStyle w:val="146"/>
                    <w:rPr>
                      <w:rFonts w:hint="default" w:eastAsia="宋体"/>
                      <w:color w:val="auto"/>
                      <w:szCs w:val="21"/>
                      <w:u w:val="none"/>
                      <w:lang w:val="en-US" w:eastAsia="zh-CN"/>
                    </w:rPr>
                  </w:pPr>
                </w:p>
              </w:tc>
              <w:tc>
                <w:tcPr>
                  <w:tcW w:w="373" w:type="pct"/>
                  <w:noWrap w:val="0"/>
                  <w:vAlign w:val="center"/>
                </w:tcPr>
                <w:p w14:paraId="155083BD">
                  <w:pPr>
                    <w:pStyle w:val="146"/>
                    <w:rPr>
                      <w:rFonts w:hint="eastAsia" w:eastAsia="宋体"/>
                      <w:color w:val="auto"/>
                      <w:szCs w:val="21"/>
                      <w:u w:val="none"/>
                      <w:lang w:val="en-US" w:eastAsia="zh-CN"/>
                    </w:rPr>
                  </w:pPr>
                </w:p>
              </w:tc>
              <w:tc>
                <w:tcPr>
                  <w:tcW w:w="318" w:type="pct"/>
                  <w:noWrap w:val="0"/>
                  <w:vAlign w:val="center"/>
                </w:tcPr>
                <w:p w14:paraId="27582A65">
                  <w:pPr>
                    <w:pStyle w:val="146"/>
                    <w:rPr>
                      <w:color w:val="auto"/>
                      <w:szCs w:val="21"/>
                      <w:u w:val="none"/>
                    </w:rPr>
                  </w:pPr>
                </w:p>
              </w:tc>
              <w:tc>
                <w:tcPr>
                  <w:tcW w:w="386" w:type="pct"/>
                  <w:noWrap w:val="0"/>
                  <w:vAlign w:val="center"/>
                </w:tcPr>
                <w:p w14:paraId="42E02E1B">
                  <w:pPr>
                    <w:pStyle w:val="146"/>
                    <w:rPr>
                      <w:rFonts w:hint="default" w:eastAsia="宋体"/>
                      <w:color w:val="auto"/>
                      <w:szCs w:val="21"/>
                      <w:u w:val="none"/>
                      <w:lang w:val="en-US" w:eastAsia="zh-CN"/>
                    </w:rPr>
                  </w:pPr>
                </w:p>
              </w:tc>
              <w:tc>
                <w:tcPr>
                  <w:tcW w:w="440" w:type="pct"/>
                  <w:noWrap w:val="0"/>
                  <w:vAlign w:val="center"/>
                </w:tcPr>
                <w:p w14:paraId="39714E07">
                  <w:pPr>
                    <w:pStyle w:val="146"/>
                    <w:rPr>
                      <w:rFonts w:hint="default" w:eastAsia="宋体"/>
                      <w:color w:val="auto"/>
                      <w:szCs w:val="21"/>
                      <w:u w:val="none"/>
                      <w:lang w:val="en-US" w:eastAsia="zh-CN"/>
                    </w:rPr>
                  </w:pPr>
                </w:p>
              </w:tc>
              <w:tc>
                <w:tcPr>
                  <w:tcW w:w="377" w:type="pct"/>
                  <w:noWrap w:val="0"/>
                  <w:vAlign w:val="center"/>
                </w:tcPr>
                <w:p w14:paraId="2AFEEA48">
                  <w:pPr>
                    <w:pStyle w:val="146"/>
                    <w:rPr>
                      <w:color w:val="auto"/>
                      <w:szCs w:val="21"/>
                      <w:u w:val="none"/>
                    </w:rPr>
                  </w:pPr>
                </w:p>
              </w:tc>
              <w:tc>
                <w:tcPr>
                  <w:tcW w:w="343" w:type="pct"/>
                  <w:noWrap w:val="0"/>
                  <w:vAlign w:val="center"/>
                </w:tcPr>
                <w:p w14:paraId="04DFA2F9">
                  <w:pPr>
                    <w:pStyle w:val="146"/>
                    <w:rPr>
                      <w:rFonts w:hint="default" w:eastAsia="宋体"/>
                      <w:color w:val="auto"/>
                      <w:szCs w:val="21"/>
                      <w:u w:val="none"/>
                      <w:lang w:val="en-US" w:eastAsia="zh-CN"/>
                    </w:rPr>
                  </w:pPr>
                </w:p>
              </w:tc>
            </w:tr>
            <w:tr w14:paraId="6E03B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restart"/>
                  <w:noWrap w:val="0"/>
                  <w:vAlign w:val="center"/>
                </w:tcPr>
                <w:p w14:paraId="47B17BD7">
                  <w:pPr>
                    <w:pStyle w:val="146"/>
                    <w:rPr>
                      <w:color w:val="auto"/>
                      <w:szCs w:val="21"/>
                    </w:rPr>
                  </w:pPr>
                  <w:r>
                    <w:rPr>
                      <w:color w:val="auto"/>
                      <w:szCs w:val="21"/>
                    </w:rPr>
                    <w:t>E108°3</w:t>
                  </w:r>
                  <w:r>
                    <w:rPr>
                      <w:rFonts w:hint="eastAsia"/>
                      <w:color w:val="auto"/>
                      <w:szCs w:val="21"/>
                      <w:lang w:val="en-US" w:eastAsia="zh-CN"/>
                    </w:rPr>
                    <w:t>9</w:t>
                  </w:r>
                  <w:r>
                    <w:rPr>
                      <w:color w:val="auto"/>
                      <w:szCs w:val="21"/>
                    </w:rPr>
                    <w:t>′</w:t>
                  </w:r>
                  <w:r>
                    <w:rPr>
                      <w:rFonts w:hint="eastAsia"/>
                      <w:color w:val="auto"/>
                      <w:szCs w:val="21"/>
                      <w:lang w:val="en-US" w:eastAsia="zh-CN"/>
                    </w:rPr>
                    <w:t>3.24</w:t>
                  </w:r>
                  <w:r>
                    <w:rPr>
                      <w:color w:val="auto"/>
                      <w:szCs w:val="21"/>
                    </w:rPr>
                    <w:t>″、N21°</w:t>
                  </w:r>
                  <w:r>
                    <w:rPr>
                      <w:rFonts w:hint="eastAsia"/>
                      <w:color w:val="auto"/>
                      <w:szCs w:val="21"/>
                      <w:lang w:val="en-US" w:eastAsia="zh-CN"/>
                    </w:rPr>
                    <w:t>39</w:t>
                  </w:r>
                  <w:r>
                    <w:rPr>
                      <w:color w:val="auto"/>
                      <w:szCs w:val="21"/>
                    </w:rPr>
                    <w:t>′</w:t>
                  </w:r>
                  <w:r>
                    <w:rPr>
                      <w:rFonts w:hint="eastAsia"/>
                      <w:color w:val="auto"/>
                      <w:szCs w:val="21"/>
                      <w:lang w:val="en-US" w:eastAsia="zh-CN"/>
                    </w:rPr>
                    <w:t>26.04</w:t>
                  </w:r>
                  <w:r>
                    <w:rPr>
                      <w:color w:val="auto"/>
                      <w:szCs w:val="21"/>
                    </w:rPr>
                    <w:t>″</w:t>
                  </w:r>
                </w:p>
              </w:tc>
              <w:tc>
                <w:tcPr>
                  <w:tcW w:w="535" w:type="pct"/>
                  <w:shd w:val="clear" w:color="auto" w:fill="auto"/>
                  <w:noWrap w:val="0"/>
                  <w:vAlign w:val="center"/>
                </w:tcPr>
                <w:p w14:paraId="27447CBD">
                  <w:pPr>
                    <w:pStyle w:val="146"/>
                    <w:rPr>
                      <w:rFonts w:ascii="Times New Roman" w:hAnsi="Times New Roman" w:eastAsia="宋体" w:cs="Times New Roman"/>
                      <w:color w:val="auto"/>
                      <w:sz w:val="21"/>
                      <w:szCs w:val="21"/>
                      <w:lang w:val="en-US" w:eastAsia="zh-CN" w:bidi="ar-SA"/>
                    </w:rPr>
                  </w:pPr>
                  <w:r>
                    <w:rPr>
                      <w:color w:val="auto"/>
                      <w:szCs w:val="21"/>
                    </w:rPr>
                    <w:t>监测值</w:t>
                  </w:r>
                </w:p>
              </w:tc>
              <w:tc>
                <w:tcPr>
                  <w:tcW w:w="408" w:type="pct"/>
                  <w:gridSpan w:val="2"/>
                  <w:shd w:val="clear" w:color="auto" w:fill="auto"/>
                  <w:noWrap w:val="0"/>
                  <w:vAlign w:val="center"/>
                </w:tcPr>
                <w:p w14:paraId="505C96C5">
                  <w:pPr>
                    <w:pStyle w:val="146"/>
                    <w:rPr>
                      <w:rFonts w:hint="default" w:ascii="Times New Roman" w:hAnsi="Times New Roman" w:eastAsia="宋体" w:cs="Times New Roman"/>
                      <w:color w:val="auto"/>
                      <w:sz w:val="21"/>
                      <w:szCs w:val="21"/>
                      <w:lang w:val="en-US" w:eastAsia="zh-CN" w:bidi="ar-SA"/>
                    </w:rPr>
                  </w:pPr>
                  <w:r>
                    <w:rPr>
                      <w:rFonts w:hint="eastAsia"/>
                      <w:color w:val="auto"/>
                      <w:szCs w:val="21"/>
                      <w:lang w:val="en-US" w:eastAsia="zh-CN"/>
                    </w:rPr>
                    <w:t>2022.05春季</w:t>
                  </w:r>
                </w:p>
              </w:tc>
              <w:tc>
                <w:tcPr>
                  <w:tcW w:w="404" w:type="pct"/>
                  <w:noWrap w:val="0"/>
                  <w:vAlign w:val="center"/>
                </w:tcPr>
                <w:p w14:paraId="32622CDC">
                  <w:pPr>
                    <w:pStyle w:val="146"/>
                    <w:rPr>
                      <w:rFonts w:hint="default"/>
                      <w:color w:val="auto"/>
                      <w:szCs w:val="21"/>
                      <w:lang w:val="en-US" w:eastAsia="zh-CN"/>
                    </w:rPr>
                  </w:pPr>
                </w:p>
              </w:tc>
              <w:tc>
                <w:tcPr>
                  <w:tcW w:w="452" w:type="pct"/>
                  <w:noWrap w:val="0"/>
                  <w:vAlign w:val="center"/>
                </w:tcPr>
                <w:p w14:paraId="44D48544">
                  <w:pPr>
                    <w:pStyle w:val="146"/>
                    <w:rPr>
                      <w:rFonts w:hint="default"/>
                      <w:color w:val="auto"/>
                      <w:szCs w:val="21"/>
                      <w:lang w:val="en-US" w:eastAsia="zh-CN"/>
                    </w:rPr>
                  </w:pPr>
                </w:p>
              </w:tc>
              <w:tc>
                <w:tcPr>
                  <w:tcW w:w="373" w:type="pct"/>
                  <w:noWrap w:val="0"/>
                  <w:vAlign w:val="center"/>
                </w:tcPr>
                <w:p w14:paraId="0F7237D9">
                  <w:pPr>
                    <w:pStyle w:val="146"/>
                    <w:rPr>
                      <w:rFonts w:hint="default"/>
                      <w:color w:val="auto"/>
                      <w:szCs w:val="21"/>
                      <w:lang w:val="en-US" w:eastAsia="zh-CN"/>
                    </w:rPr>
                  </w:pPr>
                </w:p>
              </w:tc>
              <w:tc>
                <w:tcPr>
                  <w:tcW w:w="373" w:type="pct"/>
                  <w:noWrap w:val="0"/>
                  <w:vAlign w:val="center"/>
                </w:tcPr>
                <w:p w14:paraId="0D05A94F">
                  <w:pPr>
                    <w:pStyle w:val="146"/>
                    <w:rPr>
                      <w:rFonts w:hint="default"/>
                      <w:color w:val="auto"/>
                      <w:szCs w:val="21"/>
                      <w:lang w:val="en-US" w:eastAsia="zh-CN"/>
                    </w:rPr>
                  </w:pPr>
                </w:p>
              </w:tc>
              <w:tc>
                <w:tcPr>
                  <w:tcW w:w="318" w:type="pct"/>
                  <w:noWrap w:val="0"/>
                  <w:vAlign w:val="center"/>
                </w:tcPr>
                <w:p w14:paraId="54C03629">
                  <w:pPr>
                    <w:pStyle w:val="146"/>
                    <w:rPr>
                      <w:rFonts w:hint="default"/>
                      <w:color w:val="auto"/>
                      <w:szCs w:val="21"/>
                      <w:lang w:val="en-US" w:eastAsia="zh-CN"/>
                    </w:rPr>
                  </w:pPr>
                </w:p>
              </w:tc>
              <w:tc>
                <w:tcPr>
                  <w:tcW w:w="386" w:type="pct"/>
                  <w:noWrap w:val="0"/>
                  <w:vAlign w:val="center"/>
                </w:tcPr>
                <w:p w14:paraId="2C3FBFB7">
                  <w:pPr>
                    <w:pStyle w:val="146"/>
                    <w:rPr>
                      <w:rFonts w:hint="default" w:cs="Times New Roman"/>
                      <w:color w:val="auto"/>
                      <w:szCs w:val="21"/>
                      <w:lang w:val="en-US" w:eastAsia="zh-CN"/>
                    </w:rPr>
                  </w:pPr>
                </w:p>
              </w:tc>
              <w:tc>
                <w:tcPr>
                  <w:tcW w:w="440" w:type="pct"/>
                  <w:noWrap w:val="0"/>
                  <w:vAlign w:val="center"/>
                </w:tcPr>
                <w:p w14:paraId="3DD6D047">
                  <w:pPr>
                    <w:pStyle w:val="146"/>
                    <w:rPr>
                      <w:rFonts w:hint="default"/>
                      <w:color w:val="auto"/>
                      <w:szCs w:val="21"/>
                      <w:lang w:val="en-US" w:eastAsia="zh-CN"/>
                    </w:rPr>
                  </w:pPr>
                </w:p>
              </w:tc>
              <w:tc>
                <w:tcPr>
                  <w:tcW w:w="377" w:type="pct"/>
                  <w:noWrap w:val="0"/>
                  <w:vAlign w:val="center"/>
                </w:tcPr>
                <w:p w14:paraId="32FEE597">
                  <w:pPr>
                    <w:pStyle w:val="146"/>
                    <w:rPr>
                      <w:rFonts w:hint="default"/>
                      <w:color w:val="auto"/>
                      <w:szCs w:val="21"/>
                      <w:lang w:val="en-US" w:eastAsia="zh-CN"/>
                    </w:rPr>
                  </w:pPr>
                </w:p>
              </w:tc>
              <w:tc>
                <w:tcPr>
                  <w:tcW w:w="343" w:type="pct"/>
                  <w:noWrap w:val="0"/>
                  <w:vAlign w:val="center"/>
                </w:tcPr>
                <w:p w14:paraId="18D124C5">
                  <w:pPr>
                    <w:pStyle w:val="146"/>
                    <w:rPr>
                      <w:rFonts w:hint="default"/>
                      <w:color w:val="auto"/>
                      <w:szCs w:val="21"/>
                      <w:lang w:val="en-US" w:eastAsia="zh-CN"/>
                    </w:rPr>
                  </w:pPr>
                </w:p>
              </w:tc>
            </w:tr>
            <w:tr w14:paraId="40705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noWrap w:val="0"/>
                  <w:vAlign w:val="center"/>
                </w:tcPr>
                <w:p w14:paraId="2D37E3B8">
                  <w:pPr>
                    <w:pStyle w:val="146"/>
                    <w:rPr>
                      <w:rFonts w:hint="eastAsia"/>
                      <w:color w:val="auto"/>
                      <w:szCs w:val="21"/>
                      <w:lang w:val="en-US" w:eastAsia="zh-CN"/>
                    </w:rPr>
                  </w:pPr>
                </w:p>
              </w:tc>
              <w:tc>
                <w:tcPr>
                  <w:tcW w:w="943" w:type="pct"/>
                  <w:gridSpan w:val="3"/>
                  <w:shd w:val="clear" w:color="auto" w:fill="auto"/>
                  <w:noWrap w:val="0"/>
                  <w:vAlign w:val="center"/>
                </w:tcPr>
                <w:p w14:paraId="69A5ECF3">
                  <w:pPr>
                    <w:pStyle w:val="146"/>
                    <w:rPr>
                      <w:rFonts w:hint="eastAsia" w:ascii="Times New Roman" w:hAnsi="Times New Roman" w:eastAsia="宋体" w:cs="Times New Roman"/>
                      <w:color w:val="auto"/>
                      <w:sz w:val="21"/>
                      <w:szCs w:val="21"/>
                      <w:lang w:val="en-US" w:eastAsia="zh-CN" w:bidi="ar-SA"/>
                    </w:rPr>
                  </w:pPr>
                  <w:r>
                    <w:rPr>
                      <w:color w:val="auto"/>
                      <w:szCs w:val="21"/>
                    </w:rPr>
                    <w:t>最大监测值S</w:t>
                  </w:r>
                  <w:r>
                    <w:rPr>
                      <w:color w:val="auto"/>
                      <w:szCs w:val="21"/>
                      <w:vertAlign w:val="subscript"/>
                    </w:rPr>
                    <w:t>i.j</w:t>
                  </w:r>
                </w:p>
              </w:tc>
              <w:tc>
                <w:tcPr>
                  <w:tcW w:w="404" w:type="pct"/>
                  <w:noWrap w:val="0"/>
                  <w:vAlign w:val="center"/>
                </w:tcPr>
                <w:p w14:paraId="7B3AEF82">
                  <w:pPr>
                    <w:pStyle w:val="146"/>
                    <w:rPr>
                      <w:rFonts w:hint="default"/>
                      <w:color w:val="auto"/>
                      <w:szCs w:val="21"/>
                      <w:lang w:val="en-US" w:eastAsia="zh-CN"/>
                    </w:rPr>
                  </w:pPr>
                </w:p>
              </w:tc>
              <w:tc>
                <w:tcPr>
                  <w:tcW w:w="452" w:type="pct"/>
                  <w:noWrap w:val="0"/>
                  <w:vAlign w:val="center"/>
                </w:tcPr>
                <w:p w14:paraId="384D0A74">
                  <w:pPr>
                    <w:pStyle w:val="146"/>
                    <w:rPr>
                      <w:rFonts w:hint="default"/>
                      <w:color w:val="auto"/>
                      <w:szCs w:val="21"/>
                      <w:lang w:val="en-US" w:eastAsia="zh-CN"/>
                    </w:rPr>
                  </w:pPr>
                </w:p>
              </w:tc>
              <w:tc>
                <w:tcPr>
                  <w:tcW w:w="373" w:type="pct"/>
                  <w:noWrap w:val="0"/>
                  <w:vAlign w:val="center"/>
                </w:tcPr>
                <w:p w14:paraId="5CFEC7B7">
                  <w:pPr>
                    <w:pStyle w:val="146"/>
                    <w:rPr>
                      <w:rFonts w:hint="default"/>
                      <w:color w:val="auto"/>
                      <w:szCs w:val="21"/>
                      <w:lang w:val="en-US" w:eastAsia="zh-CN"/>
                    </w:rPr>
                  </w:pPr>
                </w:p>
              </w:tc>
              <w:tc>
                <w:tcPr>
                  <w:tcW w:w="373" w:type="pct"/>
                  <w:noWrap w:val="0"/>
                  <w:vAlign w:val="center"/>
                </w:tcPr>
                <w:p w14:paraId="5A597708">
                  <w:pPr>
                    <w:pStyle w:val="146"/>
                    <w:rPr>
                      <w:rFonts w:hint="default"/>
                      <w:color w:val="auto"/>
                      <w:szCs w:val="21"/>
                      <w:lang w:val="en-US" w:eastAsia="zh-CN"/>
                    </w:rPr>
                  </w:pPr>
                </w:p>
              </w:tc>
              <w:tc>
                <w:tcPr>
                  <w:tcW w:w="318" w:type="pct"/>
                  <w:noWrap w:val="0"/>
                  <w:vAlign w:val="center"/>
                </w:tcPr>
                <w:p w14:paraId="052B1D2A">
                  <w:pPr>
                    <w:pStyle w:val="146"/>
                    <w:rPr>
                      <w:rFonts w:hint="default"/>
                      <w:color w:val="auto"/>
                      <w:szCs w:val="21"/>
                      <w:lang w:val="en-US" w:eastAsia="zh-CN"/>
                    </w:rPr>
                  </w:pPr>
                </w:p>
              </w:tc>
              <w:tc>
                <w:tcPr>
                  <w:tcW w:w="386" w:type="pct"/>
                  <w:noWrap w:val="0"/>
                  <w:vAlign w:val="center"/>
                </w:tcPr>
                <w:p w14:paraId="78476AA2">
                  <w:pPr>
                    <w:pStyle w:val="146"/>
                    <w:rPr>
                      <w:rFonts w:hint="default" w:cs="Times New Roman"/>
                      <w:color w:val="auto"/>
                      <w:szCs w:val="21"/>
                      <w:lang w:val="en-US" w:eastAsia="zh-CN"/>
                    </w:rPr>
                  </w:pPr>
                </w:p>
              </w:tc>
              <w:tc>
                <w:tcPr>
                  <w:tcW w:w="440" w:type="pct"/>
                  <w:noWrap w:val="0"/>
                  <w:vAlign w:val="center"/>
                </w:tcPr>
                <w:p w14:paraId="2CE0D5D9">
                  <w:pPr>
                    <w:pStyle w:val="146"/>
                    <w:rPr>
                      <w:rFonts w:hint="default"/>
                      <w:color w:val="auto"/>
                      <w:szCs w:val="21"/>
                      <w:lang w:val="en-US" w:eastAsia="zh-CN"/>
                    </w:rPr>
                  </w:pPr>
                </w:p>
              </w:tc>
              <w:tc>
                <w:tcPr>
                  <w:tcW w:w="377" w:type="pct"/>
                  <w:noWrap w:val="0"/>
                  <w:vAlign w:val="center"/>
                </w:tcPr>
                <w:p w14:paraId="33CEBF6C">
                  <w:pPr>
                    <w:pStyle w:val="146"/>
                    <w:rPr>
                      <w:rFonts w:hint="eastAsia"/>
                      <w:color w:val="auto"/>
                      <w:szCs w:val="21"/>
                      <w:lang w:val="en-US" w:eastAsia="zh-CN"/>
                    </w:rPr>
                  </w:pPr>
                </w:p>
              </w:tc>
              <w:tc>
                <w:tcPr>
                  <w:tcW w:w="343" w:type="pct"/>
                  <w:noWrap w:val="0"/>
                  <w:vAlign w:val="center"/>
                </w:tcPr>
                <w:p w14:paraId="76F9CC9B">
                  <w:pPr>
                    <w:pStyle w:val="146"/>
                    <w:rPr>
                      <w:rFonts w:hint="default"/>
                      <w:color w:val="auto"/>
                      <w:szCs w:val="21"/>
                      <w:lang w:val="en-US" w:eastAsia="zh-CN"/>
                    </w:rPr>
                  </w:pPr>
                </w:p>
              </w:tc>
            </w:tr>
            <w:tr w14:paraId="642CB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noWrap w:val="0"/>
                  <w:vAlign w:val="center"/>
                </w:tcPr>
                <w:p w14:paraId="47856825">
                  <w:pPr>
                    <w:pStyle w:val="146"/>
                    <w:rPr>
                      <w:rFonts w:hint="eastAsia"/>
                      <w:color w:val="auto"/>
                      <w:szCs w:val="21"/>
                      <w:lang w:val="en-US" w:eastAsia="zh-CN"/>
                    </w:rPr>
                  </w:pPr>
                </w:p>
              </w:tc>
              <w:tc>
                <w:tcPr>
                  <w:tcW w:w="943" w:type="pct"/>
                  <w:gridSpan w:val="3"/>
                  <w:shd w:val="clear" w:color="auto" w:fill="auto"/>
                  <w:noWrap w:val="0"/>
                  <w:vAlign w:val="center"/>
                </w:tcPr>
                <w:p w14:paraId="34D47B64">
                  <w:pPr>
                    <w:pStyle w:val="146"/>
                    <w:rPr>
                      <w:rFonts w:hint="eastAsia" w:ascii="Times New Roman" w:hAnsi="Times New Roman" w:eastAsia="宋体" w:cs="Times New Roman"/>
                      <w:color w:val="auto"/>
                      <w:sz w:val="21"/>
                      <w:szCs w:val="21"/>
                      <w:lang w:val="en-US" w:eastAsia="zh-CN" w:bidi="ar-SA"/>
                    </w:rPr>
                  </w:pPr>
                  <w:r>
                    <w:rPr>
                      <w:color w:val="auto"/>
                      <w:szCs w:val="21"/>
                    </w:rPr>
                    <w:t>超标率</w:t>
                  </w:r>
                </w:p>
              </w:tc>
              <w:tc>
                <w:tcPr>
                  <w:tcW w:w="404" w:type="pct"/>
                  <w:noWrap w:val="0"/>
                  <w:vAlign w:val="center"/>
                </w:tcPr>
                <w:p w14:paraId="384526FC">
                  <w:pPr>
                    <w:pStyle w:val="146"/>
                    <w:rPr>
                      <w:rFonts w:hint="default"/>
                      <w:color w:val="auto"/>
                      <w:szCs w:val="21"/>
                      <w:lang w:val="en-US" w:eastAsia="zh-CN"/>
                    </w:rPr>
                  </w:pPr>
                </w:p>
              </w:tc>
              <w:tc>
                <w:tcPr>
                  <w:tcW w:w="452" w:type="pct"/>
                  <w:noWrap w:val="0"/>
                  <w:vAlign w:val="center"/>
                </w:tcPr>
                <w:p w14:paraId="69C239E8">
                  <w:pPr>
                    <w:pStyle w:val="146"/>
                    <w:rPr>
                      <w:rFonts w:hint="default"/>
                      <w:color w:val="auto"/>
                      <w:szCs w:val="21"/>
                      <w:lang w:val="en-US" w:eastAsia="zh-CN"/>
                    </w:rPr>
                  </w:pPr>
                </w:p>
              </w:tc>
              <w:tc>
                <w:tcPr>
                  <w:tcW w:w="373" w:type="pct"/>
                  <w:noWrap w:val="0"/>
                  <w:vAlign w:val="center"/>
                </w:tcPr>
                <w:p w14:paraId="20C15FDA">
                  <w:pPr>
                    <w:pStyle w:val="146"/>
                    <w:rPr>
                      <w:rFonts w:hint="eastAsia"/>
                      <w:color w:val="auto"/>
                      <w:szCs w:val="21"/>
                      <w:lang w:val="en-US" w:eastAsia="zh-CN"/>
                    </w:rPr>
                  </w:pPr>
                </w:p>
              </w:tc>
              <w:tc>
                <w:tcPr>
                  <w:tcW w:w="373" w:type="pct"/>
                  <w:noWrap w:val="0"/>
                  <w:vAlign w:val="center"/>
                </w:tcPr>
                <w:p w14:paraId="65858CA6">
                  <w:pPr>
                    <w:pStyle w:val="146"/>
                    <w:rPr>
                      <w:rFonts w:hint="eastAsia"/>
                      <w:color w:val="auto"/>
                      <w:szCs w:val="21"/>
                      <w:lang w:val="en-US" w:eastAsia="zh-CN"/>
                    </w:rPr>
                  </w:pPr>
                </w:p>
              </w:tc>
              <w:tc>
                <w:tcPr>
                  <w:tcW w:w="318" w:type="pct"/>
                  <w:noWrap w:val="0"/>
                  <w:vAlign w:val="center"/>
                </w:tcPr>
                <w:p w14:paraId="1A7D8708">
                  <w:pPr>
                    <w:pStyle w:val="146"/>
                    <w:rPr>
                      <w:rFonts w:hint="default"/>
                      <w:color w:val="auto"/>
                      <w:szCs w:val="21"/>
                      <w:lang w:val="en-US" w:eastAsia="zh-CN"/>
                    </w:rPr>
                  </w:pPr>
                </w:p>
              </w:tc>
              <w:tc>
                <w:tcPr>
                  <w:tcW w:w="386" w:type="pct"/>
                  <w:noWrap w:val="0"/>
                  <w:vAlign w:val="center"/>
                </w:tcPr>
                <w:p w14:paraId="3AFA0360">
                  <w:pPr>
                    <w:pStyle w:val="146"/>
                    <w:rPr>
                      <w:rFonts w:hint="eastAsia" w:cs="Times New Roman"/>
                      <w:color w:val="auto"/>
                      <w:szCs w:val="21"/>
                      <w:lang w:val="en-US" w:eastAsia="zh-CN"/>
                    </w:rPr>
                  </w:pPr>
                </w:p>
              </w:tc>
              <w:tc>
                <w:tcPr>
                  <w:tcW w:w="440" w:type="pct"/>
                  <w:noWrap w:val="0"/>
                  <w:vAlign w:val="center"/>
                </w:tcPr>
                <w:p w14:paraId="5AB269AA">
                  <w:pPr>
                    <w:pStyle w:val="146"/>
                    <w:rPr>
                      <w:rFonts w:hint="eastAsia"/>
                      <w:color w:val="auto"/>
                      <w:szCs w:val="21"/>
                      <w:lang w:val="en-US" w:eastAsia="zh-CN"/>
                    </w:rPr>
                  </w:pPr>
                </w:p>
              </w:tc>
              <w:tc>
                <w:tcPr>
                  <w:tcW w:w="377" w:type="pct"/>
                  <w:noWrap w:val="0"/>
                  <w:vAlign w:val="center"/>
                </w:tcPr>
                <w:p w14:paraId="52EA020A">
                  <w:pPr>
                    <w:pStyle w:val="146"/>
                    <w:rPr>
                      <w:rFonts w:hint="default"/>
                      <w:color w:val="auto"/>
                      <w:szCs w:val="21"/>
                      <w:lang w:val="en-US" w:eastAsia="zh-CN"/>
                    </w:rPr>
                  </w:pPr>
                </w:p>
              </w:tc>
              <w:tc>
                <w:tcPr>
                  <w:tcW w:w="343" w:type="pct"/>
                  <w:noWrap w:val="0"/>
                  <w:vAlign w:val="center"/>
                </w:tcPr>
                <w:p w14:paraId="6E3A2E59">
                  <w:pPr>
                    <w:pStyle w:val="146"/>
                    <w:rPr>
                      <w:rFonts w:hint="eastAsia"/>
                      <w:color w:val="auto"/>
                      <w:szCs w:val="21"/>
                      <w:lang w:val="en-US" w:eastAsia="zh-CN"/>
                    </w:rPr>
                  </w:pPr>
                </w:p>
              </w:tc>
            </w:tr>
            <w:tr w14:paraId="0467A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noWrap w:val="0"/>
                  <w:vAlign w:val="center"/>
                </w:tcPr>
                <w:p w14:paraId="7BDD4EF1">
                  <w:pPr>
                    <w:pStyle w:val="146"/>
                    <w:rPr>
                      <w:rFonts w:hint="eastAsia"/>
                      <w:color w:val="auto"/>
                      <w:szCs w:val="21"/>
                      <w:lang w:val="en-US" w:eastAsia="zh-CN"/>
                    </w:rPr>
                  </w:pPr>
                </w:p>
              </w:tc>
              <w:tc>
                <w:tcPr>
                  <w:tcW w:w="943" w:type="pct"/>
                  <w:gridSpan w:val="3"/>
                  <w:shd w:val="clear" w:color="auto" w:fill="auto"/>
                  <w:noWrap w:val="0"/>
                  <w:vAlign w:val="center"/>
                </w:tcPr>
                <w:p w14:paraId="4FF789D7">
                  <w:pPr>
                    <w:pStyle w:val="146"/>
                    <w:rPr>
                      <w:rFonts w:hint="eastAsia" w:ascii="Times New Roman" w:hAnsi="Times New Roman" w:eastAsia="宋体" w:cs="Times New Roman"/>
                      <w:color w:val="auto"/>
                      <w:sz w:val="21"/>
                      <w:szCs w:val="21"/>
                      <w:lang w:val="en-US" w:eastAsia="zh-CN" w:bidi="ar-SA"/>
                    </w:rPr>
                  </w:pPr>
                  <w:r>
                    <w:rPr>
                      <w:rFonts w:hint="eastAsia"/>
                      <w:color w:val="auto"/>
                      <w:szCs w:val="21"/>
                      <w:lang w:eastAsia="zh-CN"/>
                    </w:rPr>
                    <w:t>最大超标倍数</w:t>
                  </w:r>
                </w:p>
              </w:tc>
              <w:tc>
                <w:tcPr>
                  <w:tcW w:w="404" w:type="pct"/>
                  <w:noWrap w:val="0"/>
                  <w:vAlign w:val="center"/>
                </w:tcPr>
                <w:p w14:paraId="5B238B81">
                  <w:pPr>
                    <w:pStyle w:val="146"/>
                    <w:rPr>
                      <w:rFonts w:hint="eastAsia"/>
                      <w:color w:val="auto"/>
                      <w:szCs w:val="21"/>
                      <w:lang w:val="en-US" w:eastAsia="zh-CN"/>
                    </w:rPr>
                  </w:pPr>
                </w:p>
              </w:tc>
              <w:tc>
                <w:tcPr>
                  <w:tcW w:w="452" w:type="pct"/>
                  <w:noWrap w:val="0"/>
                  <w:vAlign w:val="center"/>
                </w:tcPr>
                <w:p w14:paraId="5843E381">
                  <w:pPr>
                    <w:pStyle w:val="146"/>
                    <w:rPr>
                      <w:rFonts w:hint="default"/>
                      <w:color w:val="auto"/>
                      <w:szCs w:val="21"/>
                      <w:lang w:val="en-US" w:eastAsia="zh-CN"/>
                    </w:rPr>
                  </w:pPr>
                </w:p>
              </w:tc>
              <w:tc>
                <w:tcPr>
                  <w:tcW w:w="373" w:type="pct"/>
                  <w:noWrap w:val="0"/>
                  <w:vAlign w:val="center"/>
                </w:tcPr>
                <w:p w14:paraId="6070ADE0">
                  <w:pPr>
                    <w:pStyle w:val="146"/>
                    <w:rPr>
                      <w:rFonts w:hint="eastAsia"/>
                      <w:color w:val="auto"/>
                      <w:szCs w:val="21"/>
                      <w:lang w:val="en-US" w:eastAsia="zh-CN"/>
                    </w:rPr>
                  </w:pPr>
                </w:p>
              </w:tc>
              <w:tc>
                <w:tcPr>
                  <w:tcW w:w="373" w:type="pct"/>
                  <w:noWrap w:val="0"/>
                  <w:vAlign w:val="center"/>
                </w:tcPr>
                <w:p w14:paraId="61C4F5AD">
                  <w:pPr>
                    <w:pStyle w:val="146"/>
                    <w:rPr>
                      <w:rFonts w:hint="eastAsia"/>
                      <w:color w:val="auto"/>
                      <w:szCs w:val="21"/>
                      <w:lang w:val="en-US" w:eastAsia="zh-CN"/>
                    </w:rPr>
                  </w:pPr>
                </w:p>
              </w:tc>
              <w:tc>
                <w:tcPr>
                  <w:tcW w:w="318" w:type="pct"/>
                  <w:noWrap w:val="0"/>
                  <w:vAlign w:val="center"/>
                </w:tcPr>
                <w:p w14:paraId="3D82A1EC">
                  <w:pPr>
                    <w:pStyle w:val="146"/>
                    <w:rPr>
                      <w:rFonts w:hint="default"/>
                      <w:color w:val="auto"/>
                      <w:szCs w:val="21"/>
                      <w:lang w:val="en-US" w:eastAsia="zh-CN"/>
                    </w:rPr>
                  </w:pPr>
                </w:p>
              </w:tc>
              <w:tc>
                <w:tcPr>
                  <w:tcW w:w="386" w:type="pct"/>
                  <w:noWrap w:val="0"/>
                  <w:vAlign w:val="center"/>
                </w:tcPr>
                <w:p w14:paraId="43195D5C">
                  <w:pPr>
                    <w:pStyle w:val="146"/>
                    <w:rPr>
                      <w:rFonts w:hint="eastAsia" w:cs="Times New Roman"/>
                      <w:color w:val="auto"/>
                      <w:szCs w:val="21"/>
                      <w:lang w:val="en-US" w:eastAsia="zh-CN"/>
                    </w:rPr>
                  </w:pPr>
                </w:p>
              </w:tc>
              <w:tc>
                <w:tcPr>
                  <w:tcW w:w="440" w:type="pct"/>
                  <w:noWrap w:val="0"/>
                  <w:vAlign w:val="center"/>
                </w:tcPr>
                <w:p w14:paraId="50F49DD4">
                  <w:pPr>
                    <w:pStyle w:val="146"/>
                    <w:rPr>
                      <w:rFonts w:hint="eastAsia"/>
                      <w:color w:val="auto"/>
                      <w:szCs w:val="21"/>
                      <w:lang w:val="en-US" w:eastAsia="zh-CN"/>
                    </w:rPr>
                  </w:pPr>
                </w:p>
              </w:tc>
              <w:tc>
                <w:tcPr>
                  <w:tcW w:w="377" w:type="pct"/>
                  <w:noWrap w:val="0"/>
                  <w:vAlign w:val="center"/>
                </w:tcPr>
                <w:p w14:paraId="5AE507C0">
                  <w:pPr>
                    <w:pStyle w:val="146"/>
                    <w:rPr>
                      <w:rFonts w:hint="default"/>
                      <w:color w:val="auto"/>
                      <w:szCs w:val="21"/>
                      <w:lang w:val="en-US" w:eastAsia="zh-CN"/>
                    </w:rPr>
                  </w:pPr>
                </w:p>
              </w:tc>
              <w:tc>
                <w:tcPr>
                  <w:tcW w:w="343" w:type="pct"/>
                  <w:noWrap w:val="0"/>
                  <w:vAlign w:val="center"/>
                </w:tcPr>
                <w:p w14:paraId="0A3B7ADA">
                  <w:pPr>
                    <w:pStyle w:val="146"/>
                    <w:rPr>
                      <w:rFonts w:hint="eastAsia"/>
                      <w:color w:val="auto"/>
                      <w:szCs w:val="21"/>
                      <w:lang w:val="en-US" w:eastAsia="zh-CN"/>
                    </w:rPr>
                  </w:pPr>
                </w:p>
              </w:tc>
            </w:tr>
            <w:tr w14:paraId="532C7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noWrap w:val="0"/>
                  <w:vAlign w:val="center"/>
                </w:tcPr>
                <w:p w14:paraId="40D63C6A">
                  <w:pPr>
                    <w:pStyle w:val="146"/>
                    <w:rPr>
                      <w:rFonts w:hint="eastAsia"/>
                      <w:color w:val="auto"/>
                      <w:szCs w:val="21"/>
                      <w:lang w:val="en-US" w:eastAsia="zh-CN"/>
                    </w:rPr>
                  </w:pPr>
                </w:p>
              </w:tc>
              <w:tc>
                <w:tcPr>
                  <w:tcW w:w="539" w:type="pct"/>
                  <w:gridSpan w:val="2"/>
                  <w:shd w:val="clear" w:color="auto" w:fill="auto"/>
                  <w:noWrap w:val="0"/>
                  <w:vAlign w:val="center"/>
                </w:tcPr>
                <w:p w14:paraId="4197BC2A">
                  <w:pPr>
                    <w:pStyle w:val="146"/>
                    <w:rPr>
                      <w:rFonts w:hint="eastAsia" w:ascii="Times New Roman" w:hAnsi="Times New Roman" w:eastAsia="宋体" w:cs="Times New Roman"/>
                      <w:color w:val="auto"/>
                      <w:sz w:val="21"/>
                      <w:szCs w:val="21"/>
                      <w:lang w:val="en-US" w:eastAsia="zh-CN" w:bidi="ar-SA"/>
                    </w:rPr>
                  </w:pPr>
                  <w:r>
                    <w:rPr>
                      <w:color w:val="auto"/>
                      <w:szCs w:val="21"/>
                    </w:rPr>
                    <w:t>监测值</w:t>
                  </w:r>
                </w:p>
              </w:tc>
              <w:tc>
                <w:tcPr>
                  <w:tcW w:w="404" w:type="pct"/>
                  <w:shd w:val="clear" w:color="auto" w:fill="auto"/>
                  <w:noWrap w:val="0"/>
                  <w:vAlign w:val="center"/>
                </w:tcPr>
                <w:p w14:paraId="620433B2">
                  <w:pPr>
                    <w:pStyle w:val="146"/>
                    <w:rPr>
                      <w:rFonts w:hint="default" w:ascii="Times New Roman" w:hAnsi="Times New Roman" w:eastAsia="宋体" w:cs="Times New Roman"/>
                      <w:color w:val="auto"/>
                      <w:sz w:val="21"/>
                      <w:szCs w:val="21"/>
                      <w:lang w:val="en-US" w:eastAsia="zh-CN" w:bidi="ar-SA"/>
                    </w:rPr>
                  </w:pPr>
                  <w:r>
                    <w:rPr>
                      <w:rFonts w:hint="eastAsia"/>
                      <w:color w:val="auto"/>
                      <w:szCs w:val="21"/>
                      <w:lang w:val="en-US" w:eastAsia="zh-CN"/>
                    </w:rPr>
                    <w:t>2022.09秋季</w:t>
                  </w:r>
                </w:p>
              </w:tc>
              <w:tc>
                <w:tcPr>
                  <w:tcW w:w="404" w:type="pct"/>
                  <w:noWrap w:val="0"/>
                  <w:vAlign w:val="center"/>
                </w:tcPr>
                <w:p w14:paraId="1AFC9AF7">
                  <w:pPr>
                    <w:pStyle w:val="146"/>
                    <w:rPr>
                      <w:rFonts w:hint="default"/>
                      <w:color w:val="auto"/>
                      <w:szCs w:val="21"/>
                      <w:lang w:val="en-US" w:eastAsia="zh-CN"/>
                    </w:rPr>
                  </w:pPr>
                </w:p>
              </w:tc>
              <w:tc>
                <w:tcPr>
                  <w:tcW w:w="452" w:type="pct"/>
                  <w:noWrap w:val="0"/>
                  <w:vAlign w:val="center"/>
                </w:tcPr>
                <w:p w14:paraId="265412C9">
                  <w:pPr>
                    <w:pStyle w:val="146"/>
                    <w:rPr>
                      <w:rFonts w:hint="default"/>
                      <w:color w:val="auto"/>
                      <w:szCs w:val="21"/>
                      <w:lang w:val="en-US" w:eastAsia="zh-CN"/>
                    </w:rPr>
                  </w:pPr>
                </w:p>
              </w:tc>
              <w:tc>
                <w:tcPr>
                  <w:tcW w:w="373" w:type="pct"/>
                  <w:noWrap w:val="0"/>
                  <w:vAlign w:val="center"/>
                </w:tcPr>
                <w:p w14:paraId="51591549">
                  <w:pPr>
                    <w:pStyle w:val="146"/>
                    <w:rPr>
                      <w:rFonts w:hint="default"/>
                      <w:color w:val="auto"/>
                      <w:szCs w:val="21"/>
                      <w:lang w:val="en-US" w:eastAsia="zh-CN"/>
                    </w:rPr>
                  </w:pPr>
                </w:p>
              </w:tc>
              <w:tc>
                <w:tcPr>
                  <w:tcW w:w="373" w:type="pct"/>
                  <w:noWrap w:val="0"/>
                  <w:vAlign w:val="center"/>
                </w:tcPr>
                <w:p w14:paraId="3CCC3C4E">
                  <w:pPr>
                    <w:pStyle w:val="146"/>
                    <w:rPr>
                      <w:rFonts w:hint="default"/>
                      <w:color w:val="auto"/>
                      <w:szCs w:val="21"/>
                      <w:lang w:val="en-US" w:eastAsia="zh-CN"/>
                    </w:rPr>
                  </w:pPr>
                </w:p>
              </w:tc>
              <w:tc>
                <w:tcPr>
                  <w:tcW w:w="318" w:type="pct"/>
                  <w:noWrap w:val="0"/>
                  <w:vAlign w:val="center"/>
                </w:tcPr>
                <w:p w14:paraId="2D0AF52C">
                  <w:pPr>
                    <w:pStyle w:val="146"/>
                    <w:rPr>
                      <w:rFonts w:hint="default"/>
                      <w:color w:val="auto"/>
                      <w:szCs w:val="21"/>
                      <w:lang w:val="en-US" w:eastAsia="zh-CN"/>
                    </w:rPr>
                  </w:pPr>
                </w:p>
              </w:tc>
              <w:tc>
                <w:tcPr>
                  <w:tcW w:w="386" w:type="pct"/>
                  <w:noWrap w:val="0"/>
                  <w:vAlign w:val="center"/>
                </w:tcPr>
                <w:p w14:paraId="1EC88E64">
                  <w:pPr>
                    <w:pStyle w:val="146"/>
                    <w:rPr>
                      <w:rFonts w:hint="default"/>
                      <w:color w:val="auto"/>
                      <w:szCs w:val="21"/>
                      <w:lang w:val="en-US" w:eastAsia="zh-CN"/>
                    </w:rPr>
                  </w:pPr>
                </w:p>
              </w:tc>
              <w:tc>
                <w:tcPr>
                  <w:tcW w:w="440" w:type="pct"/>
                  <w:noWrap w:val="0"/>
                  <w:vAlign w:val="center"/>
                </w:tcPr>
                <w:p w14:paraId="340FF6EE">
                  <w:pPr>
                    <w:pStyle w:val="146"/>
                    <w:rPr>
                      <w:rFonts w:hint="default"/>
                      <w:color w:val="auto"/>
                      <w:szCs w:val="21"/>
                      <w:lang w:val="en-US" w:eastAsia="zh-CN"/>
                    </w:rPr>
                  </w:pPr>
                </w:p>
              </w:tc>
              <w:tc>
                <w:tcPr>
                  <w:tcW w:w="377" w:type="pct"/>
                  <w:noWrap w:val="0"/>
                  <w:vAlign w:val="center"/>
                </w:tcPr>
                <w:p w14:paraId="0EF7EBC8">
                  <w:pPr>
                    <w:pStyle w:val="146"/>
                    <w:rPr>
                      <w:rFonts w:hint="default"/>
                      <w:color w:val="auto"/>
                      <w:szCs w:val="21"/>
                      <w:lang w:val="en-US" w:eastAsia="zh-CN"/>
                    </w:rPr>
                  </w:pPr>
                </w:p>
              </w:tc>
              <w:tc>
                <w:tcPr>
                  <w:tcW w:w="343" w:type="pct"/>
                  <w:noWrap w:val="0"/>
                  <w:vAlign w:val="center"/>
                </w:tcPr>
                <w:p w14:paraId="03AE2385">
                  <w:pPr>
                    <w:pStyle w:val="146"/>
                    <w:rPr>
                      <w:rFonts w:hint="default"/>
                      <w:color w:val="auto"/>
                      <w:szCs w:val="21"/>
                      <w:lang w:val="en-US" w:eastAsia="zh-CN"/>
                    </w:rPr>
                  </w:pPr>
                </w:p>
              </w:tc>
            </w:tr>
            <w:tr w14:paraId="03338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noWrap w:val="0"/>
                  <w:vAlign w:val="center"/>
                </w:tcPr>
                <w:p w14:paraId="12D6C460">
                  <w:pPr>
                    <w:pStyle w:val="146"/>
                    <w:rPr>
                      <w:rFonts w:hint="eastAsia"/>
                      <w:color w:val="auto"/>
                      <w:szCs w:val="21"/>
                      <w:lang w:val="en-US" w:eastAsia="zh-CN"/>
                    </w:rPr>
                  </w:pPr>
                </w:p>
              </w:tc>
              <w:tc>
                <w:tcPr>
                  <w:tcW w:w="943" w:type="pct"/>
                  <w:gridSpan w:val="3"/>
                  <w:shd w:val="clear" w:color="auto" w:fill="auto"/>
                  <w:noWrap w:val="0"/>
                  <w:vAlign w:val="center"/>
                </w:tcPr>
                <w:p w14:paraId="7CB0143A">
                  <w:pPr>
                    <w:pStyle w:val="146"/>
                    <w:rPr>
                      <w:rFonts w:hint="eastAsia" w:ascii="Times New Roman" w:hAnsi="Times New Roman" w:eastAsia="宋体" w:cs="Times New Roman"/>
                      <w:color w:val="auto"/>
                      <w:sz w:val="21"/>
                      <w:szCs w:val="21"/>
                      <w:lang w:val="en-US" w:eastAsia="zh-CN" w:bidi="ar-SA"/>
                    </w:rPr>
                  </w:pPr>
                  <w:r>
                    <w:rPr>
                      <w:color w:val="auto"/>
                      <w:szCs w:val="21"/>
                    </w:rPr>
                    <w:t>最大监测值S</w:t>
                  </w:r>
                  <w:r>
                    <w:rPr>
                      <w:color w:val="auto"/>
                      <w:szCs w:val="21"/>
                      <w:vertAlign w:val="subscript"/>
                    </w:rPr>
                    <w:t>i.j</w:t>
                  </w:r>
                </w:p>
              </w:tc>
              <w:tc>
                <w:tcPr>
                  <w:tcW w:w="404" w:type="pct"/>
                  <w:noWrap w:val="0"/>
                  <w:vAlign w:val="center"/>
                </w:tcPr>
                <w:p w14:paraId="03CC4B75">
                  <w:pPr>
                    <w:pStyle w:val="146"/>
                    <w:rPr>
                      <w:rFonts w:hint="default"/>
                      <w:color w:val="auto"/>
                      <w:szCs w:val="21"/>
                      <w:lang w:val="en-US" w:eastAsia="zh-CN"/>
                    </w:rPr>
                  </w:pPr>
                </w:p>
              </w:tc>
              <w:tc>
                <w:tcPr>
                  <w:tcW w:w="452" w:type="pct"/>
                  <w:noWrap w:val="0"/>
                  <w:vAlign w:val="center"/>
                </w:tcPr>
                <w:p w14:paraId="0AA3C5D4">
                  <w:pPr>
                    <w:pStyle w:val="146"/>
                    <w:rPr>
                      <w:rFonts w:hint="default"/>
                      <w:color w:val="auto"/>
                      <w:szCs w:val="21"/>
                      <w:lang w:val="en-US" w:eastAsia="zh-CN"/>
                    </w:rPr>
                  </w:pPr>
                </w:p>
              </w:tc>
              <w:tc>
                <w:tcPr>
                  <w:tcW w:w="373" w:type="pct"/>
                  <w:noWrap w:val="0"/>
                  <w:vAlign w:val="center"/>
                </w:tcPr>
                <w:p w14:paraId="3D6BE6EE">
                  <w:pPr>
                    <w:pStyle w:val="146"/>
                    <w:rPr>
                      <w:rFonts w:hint="default"/>
                      <w:color w:val="auto"/>
                      <w:szCs w:val="21"/>
                      <w:lang w:val="en-US" w:eastAsia="zh-CN"/>
                    </w:rPr>
                  </w:pPr>
                </w:p>
              </w:tc>
              <w:tc>
                <w:tcPr>
                  <w:tcW w:w="373" w:type="pct"/>
                  <w:noWrap w:val="0"/>
                  <w:vAlign w:val="center"/>
                </w:tcPr>
                <w:p w14:paraId="1411CAD6">
                  <w:pPr>
                    <w:pStyle w:val="146"/>
                    <w:rPr>
                      <w:rFonts w:hint="default"/>
                      <w:color w:val="auto"/>
                      <w:szCs w:val="21"/>
                      <w:lang w:val="en-US" w:eastAsia="zh-CN"/>
                    </w:rPr>
                  </w:pPr>
                </w:p>
              </w:tc>
              <w:tc>
                <w:tcPr>
                  <w:tcW w:w="318" w:type="pct"/>
                  <w:noWrap w:val="0"/>
                  <w:vAlign w:val="center"/>
                </w:tcPr>
                <w:p w14:paraId="42A50077">
                  <w:pPr>
                    <w:pStyle w:val="146"/>
                    <w:rPr>
                      <w:rFonts w:hint="default"/>
                      <w:color w:val="auto"/>
                      <w:szCs w:val="21"/>
                      <w:lang w:val="en-US" w:eastAsia="zh-CN"/>
                    </w:rPr>
                  </w:pPr>
                </w:p>
              </w:tc>
              <w:tc>
                <w:tcPr>
                  <w:tcW w:w="386" w:type="pct"/>
                  <w:noWrap w:val="0"/>
                  <w:vAlign w:val="center"/>
                </w:tcPr>
                <w:p w14:paraId="4EF28074">
                  <w:pPr>
                    <w:pStyle w:val="146"/>
                    <w:rPr>
                      <w:rFonts w:hint="default"/>
                      <w:color w:val="auto"/>
                      <w:szCs w:val="21"/>
                      <w:lang w:val="en-US" w:eastAsia="zh-CN"/>
                    </w:rPr>
                  </w:pPr>
                </w:p>
              </w:tc>
              <w:tc>
                <w:tcPr>
                  <w:tcW w:w="440" w:type="pct"/>
                  <w:noWrap w:val="0"/>
                  <w:vAlign w:val="center"/>
                </w:tcPr>
                <w:p w14:paraId="30F72F90">
                  <w:pPr>
                    <w:pStyle w:val="146"/>
                    <w:rPr>
                      <w:rFonts w:hint="default"/>
                      <w:color w:val="auto"/>
                      <w:szCs w:val="21"/>
                      <w:lang w:val="en-US" w:eastAsia="zh-CN"/>
                    </w:rPr>
                  </w:pPr>
                </w:p>
              </w:tc>
              <w:tc>
                <w:tcPr>
                  <w:tcW w:w="377" w:type="pct"/>
                  <w:noWrap w:val="0"/>
                  <w:vAlign w:val="center"/>
                </w:tcPr>
                <w:p w14:paraId="6E991B77">
                  <w:pPr>
                    <w:pStyle w:val="146"/>
                    <w:rPr>
                      <w:rFonts w:hint="default"/>
                      <w:color w:val="auto"/>
                      <w:szCs w:val="21"/>
                      <w:lang w:val="en-US" w:eastAsia="zh-CN"/>
                    </w:rPr>
                  </w:pPr>
                </w:p>
              </w:tc>
              <w:tc>
                <w:tcPr>
                  <w:tcW w:w="343" w:type="pct"/>
                  <w:noWrap w:val="0"/>
                  <w:vAlign w:val="center"/>
                </w:tcPr>
                <w:p w14:paraId="61FC65CD">
                  <w:pPr>
                    <w:pStyle w:val="146"/>
                    <w:rPr>
                      <w:rFonts w:hint="default"/>
                      <w:color w:val="auto"/>
                      <w:szCs w:val="21"/>
                      <w:lang w:val="en-US" w:eastAsia="zh-CN"/>
                    </w:rPr>
                  </w:pPr>
                </w:p>
              </w:tc>
            </w:tr>
            <w:tr w14:paraId="218C3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noWrap w:val="0"/>
                  <w:vAlign w:val="center"/>
                </w:tcPr>
                <w:p w14:paraId="759B0E85">
                  <w:pPr>
                    <w:pStyle w:val="146"/>
                    <w:rPr>
                      <w:rFonts w:hint="eastAsia"/>
                      <w:color w:val="auto"/>
                      <w:szCs w:val="21"/>
                      <w:lang w:val="en-US" w:eastAsia="zh-CN"/>
                    </w:rPr>
                  </w:pPr>
                </w:p>
              </w:tc>
              <w:tc>
                <w:tcPr>
                  <w:tcW w:w="943" w:type="pct"/>
                  <w:gridSpan w:val="3"/>
                  <w:shd w:val="clear" w:color="auto" w:fill="auto"/>
                  <w:noWrap w:val="0"/>
                  <w:vAlign w:val="center"/>
                </w:tcPr>
                <w:p w14:paraId="6AC178B9">
                  <w:pPr>
                    <w:pStyle w:val="146"/>
                    <w:rPr>
                      <w:rFonts w:hint="eastAsia" w:ascii="Times New Roman" w:hAnsi="Times New Roman" w:eastAsia="宋体" w:cs="Times New Roman"/>
                      <w:color w:val="auto"/>
                      <w:sz w:val="21"/>
                      <w:szCs w:val="21"/>
                      <w:lang w:val="en-US" w:eastAsia="zh-CN" w:bidi="ar-SA"/>
                    </w:rPr>
                  </w:pPr>
                  <w:r>
                    <w:rPr>
                      <w:color w:val="auto"/>
                      <w:szCs w:val="21"/>
                    </w:rPr>
                    <w:t>超标率</w:t>
                  </w:r>
                </w:p>
              </w:tc>
              <w:tc>
                <w:tcPr>
                  <w:tcW w:w="404" w:type="pct"/>
                  <w:shd w:val="clear" w:color="auto" w:fill="auto"/>
                  <w:noWrap w:val="0"/>
                  <w:vAlign w:val="center"/>
                </w:tcPr>
                <w:p w14:paraId="7F218972">
                  <w:pPr>
                    <w:pStyle w:val="146"/>
                    <w:rPr>
                      <w:rFonts w:hint="eastAsia" w:ascii="Times New Roman" w:hAnsi="Times New Roman" w:eastAsia="宋体" w:cs="Times New Roman"/>
                      <w:color w:val="auto"/>
                      <w:sz w:val="21"/>
                      <w:szCs w:val="21"/>
                      <w:lang w:val="en-US" w:eastAsia="zh-CN" w:bidi="ar-SA"/>
                    </w:rPr>
                  </w:pPr>
                </w:p>
              </w:tc>
              <w:tc>
                <w:tcPr>
                  <w:tcW w:w="452" w:type="pct"/>
                  <w:shd w:val="clear" w:color="auto" w:fill="auto"/>
                  <w:noWrap w:val="0"/>
                  <w:vAlign w:val="center"/>
                </w:tcPr>
                <w:p w14:paraId="5A66FDA7">
                  <w:pPr>
                    <w:pStyle w:val="146"/>
                    <w:rPr>
                      <w:rFonts w:hint="eastAsia" w:ascii="Times New Roman" w:hAnsi="Times New Roman" w:eastAsia="宋体" w:cs="Times New Roman"/>
                      <w:color w:val="auto"/>
                      <w:sz w:val="21"/>
                      <w:szCs w:val="21"/>
                      <w:lang w:val="en-US" w:eastAsia="zh-CN" w:bidi="ar-SA"/>
                    </w:rPr>
                  </w:pPr>
                </w:p>
              </w:tc>
              <w:tc>
                <w:tcPr>
                  <w:tcW w:w="373" w:type="pct"/>
                  <w:shd w:val="clear" w:color="auto" w:fill="auto"/>
                  <w:noWrap w:val="0"/>
                  <w:vAlign w:val="center"/>
                </w:tcPr>
                <w:p w14:paraId="64F61602">
                  <w:pPr>
                    <w:pStyle w:val="146"/>
                    <w:rPr>
                      <w:rFonts w:hint="eastAsia" w:ascii="Times New Roman" w:hAnsi="Times New Roman" w:eastAsia="宋体" w:cs="Times New Roman"/>
                      <w:color w:val="auto"/>
                      <w:sz w:val="21"/>
                      <w:szCs w:val="21"/>
                      <w:lang w:val="en-US" w:eastAsia="zh-CN" w:bidi="ar-SA"/>
                    </w:rPr>
                  </w:pPr>
                </w:p>
              </w:tc>
              <w:tc>
                <w:tcPr>
                  <w:tcW w:w="373" w:type="pct"/>
                  <w:shd w:val="clear" w:color="auto" w:fill="auto"/>
                  <w:noWrap w:val="0"/>
                  <w:vAlign w:val="center"/>
                </w:tcPr>
                <w:p w14:paraId="30B7297C">
                  <w:pPr>
                    <w:pStyle w:val="146"/>
                    <w:rPr>
                      <w:rFonts w:hint="eastAsia" w:ascii="Times New Roman" w:hAnsi="Times New Roman" w:eastAsia="宋体" w:cs="Times New Roman"/>
                      <w:color w:val="auto"/>
                      <w:sz w:val="21"/>
                      <w:szCs w:val="21"/>
                      <w:lang w:val="en-US" w:eastAsia="zh-CN" w:bidi="ar-SA"/>
                    </w:rPr>
                  </w:pPr>
                </w:p>
              </w:tc>
              <w:tc>
                <w:tcPr>
                  <w:tcW w:w="318" w:type="pct"/>
                  <w:shd w:val="clear" w:color="auto" w:fill="auto"/>
                  <w:noWrap w:val="0"/>
                  <w:vAlign w:val="center"/>
                </w:tcPr>
                <w:p w14:paraId="3C68378E">
                  <w:pPr>
                    <w:pStyle w:val="146"/>
                    <w:rPr>
                      <w:rFonts w:hint="eastAsia" w:ascii="Times New Roman" w:hAnsi="Times New Roman" w:eastAsia="宋体" w:cs="Times New Roman"/>
                      <w:color w:val="auto"/>
                      <w:sz w:val="21"/>
                      <w:szCs w:val="21"/>
                      <w:lang w:val="en-US" w:eastAsia="zh-CN" w:bidi="ar-SA"/>
                    </w:rPr>
                  </w:pPr>
                </w:p>
              </w:tc>
              <w:tc>
                <w:tcPr>
                  <w:tcW w:w="386" w:type="pct"/>
                  <w:shd w:val="clear" w:color="auto" w:fill="auto"/>
                  <w:noWrap w:val="0"/>
                  <w:vAlign w:val="center"/>
                </w:tcPr>
                <w:p w14:paraId="4853B847">
                  <w:pPr>
                    <w:pStyle w:val="146"/>
                    <w:rPr>
                      <w:rFonts w:hint="eastAsia" w:ascii="Times New Roman" w:hAnsi="Times New Roman" w:eastAsia="宋体" w:cs="Times New Roman"/>
                      <w:color w:val="auto"/>
                      <w:sz w:val="21"/>
                      <w:szCs w:val="21"/>
                      <w:lang w:val="en-US" w:eastAsia="zh-CN" w:bidi="ar-SA"/>
                    </w:rPr>
                  </w:pPr>
                </w:p>
              </w:tc>
              <w:tc>
                <w:tcPr>
                  <w:tcW w:w="440" w:type="pct"/>
                  <w:shd w:val="clear" w:color="auto" w:fill="auto"/>
                  <w:noWrap w:val="0"/>
                  <w:vAlign w:val="center"/>
                </w:tcPr>
                <w:p w14:paraId="7809BBBA">
                  <w:pPr>
                    <w:pStyle w:val="146"/>
                    <w:rPr>
                      <w:rFonts w:hint="eastAsia" w:ascii="Times New Roman" w:hAnsi="Times New Roman" w:eastAsia="宋体" w:cs="Times New Roman"/>
                      <w:color w:val="auto"/>
                      <w:sz w:val="21"/>
                      <w:szCs w:val="21"/>
                      <w:lang w:val="en-US" w:eastAsia="zh-CN" w:bidi="ar-SA"/>
                    </w:rPr>
                  </w:pPr>
                </w:p>
              </w:tc>
              <w:tc>
                <w:tcPr>
                  <w:tcW w:w="377" w:type="pct"/>
                  <w:shd w:val="clear" w:color="auto" w:fill="auto"/>
                  <w:noWrap w:val="0"/>
                  <w:vAlign w:val="center"/>
                </w:tcPr>
                <w:p w14:paraId="0B132195">
                  <w:pPr>
                    <w:pStyle w:val="146"/>
                    <w:rPr>
                      <w:rFonts w:hint="eastAsia" w:ascii="Times New Roman" w:hAnsi="Times New Roman" w:eastAsia="宋体" w:cs="Times New Roman"/>
                      <w:color w:val="auto"/>
                      <w:sz w:val="21"/>
                      <w:szCs w:val="21"/>
                      <w:lang w:val="en-US" w:eastAsia="zh-CN" w:bidi="ar-SA"/>
                    </w:rPr>
                  </w:pPr>
                </w:p>
              </w:tc>
              <w:tc>
                <w:tcPr>
                  <w:tcW w:w="343" w:type="pct"/>
                  <w:shd w:val="clear" w:color="auto" w:fill="auto"/>
                  <w:noWrap w:val="0"/>
                  <w:vAlign w:val="center"/>
                </w:tcPr>
                <w:p w14:paraId="3FC85C8C">
                  <w:pPr>
                    <w:pStyle w:val="146"/>
                    <w:rPr>
                      <w:rFonts w:hint="eastAsia" w:ascii="Times New Roman" w:hAnsi="Times New Roman" w:eastAsia="宋体" w:cs="Times New Roman"/>
                      <w:color w:val="auto"/>
                      <w:sz w:val="21"/>
                      <w:szCs w:val="21"/>
                      <w:lang w:val="en-US" w:eastAsia="zh-CN" w:bidi="ar-SA"/>
                    </w:rPr>
                  </w:pPr>
                </w:p>
              </w:tc>
            </w:tr>
            <w:tr w14:paraId="3E720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85" w:type="pct"/>
                  <w:vMerge w:val="continue"/>
                  <w:noWrap w:val="0"/>
                  <w:vAlign w:val="center"/>
                </w:tcPr>
                <w:p w14:paraId="04CFC4BC">
                  <w:pPr>
                    <w:pStyle w:val="146"/>
                    <w:rPr>
                      <w:rFonts w:hint="eastAsia"/>
                      <w:color w:val="auto"/>
                      <w:szCs w:val="21"/>
                      <w:lang w:val="en-US" w:eastAsia="zh-CN"/>
                    </w:rPr>
                  </w:pPr>
                </w:p>
              </w:tc>
              <w:tc>
                <w:tcPr>
                  <w:tcW w:w="943" w:type="pct"/>
                  <w:gridSpan w:val="3"/>
                  <w:shd w:val="clear" w:color="auto" w:fill="auto"/>
                  <w:noWrap w:val="0"/>
                  <w:vAlign w:val="center"/>
                </w:tcPr>
                <w:p w14:paraId="2302A11A">
                  <w:pPr>
                    <w:pStyle w:val="146"/>
                    <w:rPr>
                      <w:rFonts w:hint="eastAsia" w:ascii="Times New Roman" w:hAnsi="Times New Roman" w:eastAsia="宋体" w:cs="Times New Roman"/>
                      <w:color w:val="auto"/>
                      <w:sz w:val="21"/>
                      <w:szCs w:val="21"/>
                      <w:lang w:val="en-US" w:eastAsia="zh-CN" w:bidi="ar-SA"/>
                    </w:rPr>
                  </w:pPr>
                  <w:r>
                    <w:rPr>
                      <w:rFonts w:hint="eastAsia"/>
                      <w:color w:val="auto"/>
                      <w:szCs w:val="21"/>
                      <w:lang w:eastAsia="zh-CN"/>
                    </w:rPr>
                    <w:t>最大超标倍数</w:t>
                  </w:r>
                </w:p>
              </w:tc>
              <w:tc>
                <w:tcPr>
                  <w:tcW w:w="404" w:type="pct"/>
                  <w:shd w:val="clear" w:color="auto" w:fill="auto"/>
                  <w:noWrap w:val="0"/>
                  <w:vAlign w:val="center"/>
                </w:tcPr>
                <w:p w14:paraId="7DB04715">
                  <w:pPr>
                    <w:pStyle w:val="146"/>
                    <w:rPr>
                      <w:rFonts w:hint="eastAsia" w:ascii="Times New Roman" w:hAnsi="Times New Roman" w:eastAsia="宋体" w:cs="Times New Roman"/>
                      <w:color w:val="auto"/>
                      <w:sz w:val="21"/>
                      <w:szCs w:val="21"/>
                      <w:lang w:val="en-US" w:eastAsia="zh-CN" w:bidi="ar-SA"/>
                    </w:rPr>
                  </w:pPr>
                </w:p>
              </w:tc>
              <w:tc>
                <w:tcPr>
                  <w:tcW w:w="452" w:type="pct"/>
                  <w:shd w:val="clear" w:color="auto" w:fill="auto"/>
                  <w:noWrap w:val="0"/>
                  <w:vAlign w:val="center"/>
                </w:tcPr>
                <w:p w14:paraId="221B4C39">
                  <w:pPr>
                    <w:pStyle w:val="146"/>
                    <w:rPr>
                      <w:rFonts w:hint="eastAsia" w:ascii="Times New Roman" w:hAnsi="Times New Roman" w:eastAsia="宋体" w:cs="Times New Roman"/>
                      <w:color w:val="auto"/>
                      <w:sz w:val="21"/>
                      <w:szCs w:val="21"/>
                      <w:lang w:val="en-US" w:eastAsia="zh-CN" w:bidi="ar-SA"/>
                    </w:rPr>
                  </w:pPr>
                </w:p>
              </w:tc>
              <w:tc>
                <w:tcPr>
                  <w:tcW w:w="373" w:type="pct"/>
                  <w:shd w:val="clear" w:color="auto" w:fill="auto"/>
                  <w:noWrap w:val="0"/>
                  <w:vAlign w:val="center"/>
                </w:tcPr>
                <w:p w14:paraId="6831E08D">
                  <w:pPr>
                    <w:pStyle w:val="146"/>
                    <w:rPr>
                      <w:rFonts w:hint="eastAsia" w:ascii="Times New Roman" w:hAnsi="Times New Roman" w:eastAsia="宋体" w:cs="Times New Roman"/>
                      <w:color w:val="auto"/>
                      <w:sz w:val="21"/>
                      <w:szCs w:val="21"/>
                      <w:lang w:val="en-US" w:eastAsia="zh-CN" w:bidi="ar-SA"/>
                    </w:rPr>
                  </w:pPr>
                </w:p>
              </w:tc>
              <w:tc>
                <w:tcPr>
                  <w:tcW w:w="373" w:type="pct"/>
                  <w:shd w:val="clear" w:color="auto" w:fill="auto"/>
                  <w:noWrap w:val="0"/>
                  <w:vAlign w:val="center"/>
                </w:tcPr>
                <w:p w14:paraId="313D20AE">
                  <w:pPr>
                    <w:pStyle w:val="146"/>
                    <w:rPr>
                      <w:rFonts w:hint="eastAsia" w:ascii="Times New Roman" w:hAnsi="Times New Roman" w:eastAsia="宋体" w:cs="Times New Roman"/>
                      <w:color w:val="auto"/>
                      <w:sz w:val="21"/>
                      <w:szCs w:val="21"/>
                      <w:lang w:val="en-US" w:eastAsia="zh-CN" w:bidi="ar-SA"/>
                    </w:rPr>
                  </w:pPr>
                </w:p>
              </w:tc>
              <w:tc>
                <w:tcPr>
                  <w:tcW w:w="318" w:type="pct"/>
                  <w:shd w:val="clear" w:color="auto" w:fill="auto"/>
                  <w:noWrap w:val="0"/>
                  <w:vAlign w:val="center"/>
                </w:tcPr>
                <w:p w14:paraId="57838855">
                  <w:pPr>
                    <w:pStyle w:val="146"/>
                    <w:rPr>
                      <w:rFonts w:hint="eastAsia" w:ascii="Times New Roman" w:hAnsi="Times New Roman" w:eastAsia="宋体" w:cs="Times New Roman"/>
                      <w:color w:val="auto"/>
                      <w:sz w:val="21"/>
                      <w:szCs w:val="21"/>
                      <w:lang w:val="en-US" w:eastAsia="zh-CN" w:bidi="ar-SA"/>
                    </w:rPr>
                  </w:pPr>
                </w:p>
              </w:tc>
              <w:tc>
                <w:tcPr>
                  <w:tcW w:w="386" w:type="pct"/>
                  <w:shd w:val="clear" w:color="auto" w:fill="auto"/>
                  <w:noWrap w:val="0"/>
                  <w:vAlign w:val="center"/>
                </w:tcPr>
                <w:p w14:paraId="647D1912">
                  <w:pPr>
                    <w:pStyle w:val="146"/>
                    <w:rPr>
                      <w:rFonts w:hint="eastAsia" w:ascii="Times New Roman" w:hAnsi="Times New Roman" w:eastAsia="宋体" w:cs="Times New Roman"/>
                      <w:color w:val="auto"/>
                      <w:sz w:val="21"/>
                      <w:szCs w:val="21"/>
                      <w:lang w:val="en-US" w:eastAsia="zh-CN" w:bidi="ar-SA"/>
                    </w:rPr>
                  </w:pPr>
                </w:p>
              </w:tc>
              <w:tc>
                <w:tcPr>
                  <w:tcW w:w="440" w:type="pct"/>
                  <w:shd w:val="clear" w:color="auto" w:fill="auto"/>
                  <w:noWrap w:val="0"/>
                  <w:vAlign w:val="center"/>
                </w:tcPr>
                <w:p w14:paraId="2CCC90A0">
                  <w:pPr>
                    <w:pStyle w:val="146"/>
                    <w:rPr>
                      <w:rFonts w:hint="eastAsia" w:ascii="Times New Roman" w:hAnsi="Times New Roman" w:eastAsia="宋体" w:cs="Times New Roman"/>
                      <w:color w:val="auto"/>
                      <w:sz w:val="21"/>
                      <w:szCs w:val="21"/>
                      <w:lang w:val="en-US" w:eastAsia="zh-CN" w:bidi="ar-SA"/>
                    </w:rPr>
                  </w:pPr>
                </w:p>
              </w:tc>
              <w:tc>
                <w:tcPr>
                  <w:tcW w:w="377" w:type="pct"/>
                  <w:shd w:val="clear" w:color="auto" w:fill="auto"/>
                  <w:noWrap w:val="0"/>
                  <w:vAlign w:val="center"/>
                </w:tcPr>
                <w:p w14:paraId="6036ED0C">
                  <w:pPr>
                    <w:pStyle w:val="146"/>
                    <w:rPr>
                      <w:rFonts w:hint="eastAsia" w:ascii="Times New Roman" w:hAnsi="Times New Roman" w:eastAsia="宋体" w:cs="Times New Roman"/>
                      <w:color w:val="auto"/>
                      <w:sz w:val="21"/>
                      <w:szCs w:val="21"/>
                      <w:lang w:val="en-US" w:eastAsia="zh-CN" w:bidi="ar-SA"/>
                    </w:rPr>
                  </w:pPr>
                </w:p>
              </w:tc>
              <w:tc>
                <w:tcPr>
                  <w:tcW w:w="343" w:type="pct"/>
                  <w:shd w:val="clear" w:color="auto" w:fill="auto"/>
                  <w:noWrap w:val="0"/>
                  <w:vAlign w:val="center"/>
                </w:tcPr>
                <w:p w14:paraId="320B9839">
                  <w:pPr>
                    <w:pStyle w:val="146"/>
                    <w:rPr>
                      <w:rFonts w:hint="eastAsia" w:ascii="Times New Roman" w:hAnsi="Times New Roman" w:eastAsia="宋体" w:cs="Times New Roman"/>
                      <w:color w:val="auto"/>
                      <w:sz w:val="21"/>
                      <w:szCs w:val="21"/>
                      <w:lang w:val="en-US" w:eastAsia="zh-CN" w:bidi="ar-SA"/>
                    </w:rPr>
                  </w:pPr>
                </w:p>
              </w:tc>
            </w:tr>
          </w:tbl>
          <w:p w14:paraId="614D110B">
            <w:pPr>
              <w:pStyle w:val="5"/>
              <w:keepNext w:val="0"/>
              <w:keepLines w:val="0"/>
              <w:pageBreakBefore w:val="0"/>
              <w:widowControl w:val="0"/>
              <w:kinsoku/>
              <w:wordWrap/>
              <w:overflowPunct/>
              <w:topLinePunct w:val="0"/>
              <w:autoSpaceDE/>
              <w:autoSpaceDN/>
              <w:bidi w:val="0"/>
              <w:adjustRightInd/>
              <w:snapToGrid/>
              <w:spacing w:before="164" w:beforeLines="50"/>
              <w:ind w:left="0" w:leftChars="0" w:firstLine="480" w:firstLineChars="200"/>
              <w:textAlignment w:val="auto"/>
              <w:rPr>
                <w:rFonts w:hint="eastAsia" w:ascii="Times New Roman" w:hAnsi="Times New Roman"/>
                <w:color w:val="auto"/>
                <w:sz w:val="24"/>
                <w:szCs w:val="24"/>
              </w:rPr>
            </w:pPr>
            <w:r>
              <w:rPr>
                <w:rFonts w:hint="eastAsia" w:ascii="Times New Roman" w:hAnsi="Times New Roman"/>
                <w:color w:val="auto"/>
                <w:sz w:val="24"/>
                <w:szCs w:val="24"/>
                <w:lang w:eastAsia="zh-CN"/>
              </w:rPr>
              <w:t>综上，钦州港</w:t>
            </w:r>
            <w:r>
              <w:rPr>
                <w:rFonts w:hint="eastAsia" w:ascii="Times New Roman" w:hAnsi="Times New Roman"/>
                <w:color w:val="auto"/>
                <w:sz w:val="24"/>
                <w:szCs w:val="24"/>
              </w:rPr>
              <w:t>大榄坪排污混合区（GX057DIV）</w:t>
            </w:r>
            <w:r>
              <w:rPr>
                <w:rFonts w:hint="eastAsia" w:ascii="Times New Roman" w:hAnsi="Times New Roman"/>
                <w:color w:val="auto"/>
                <w:sz w:val="24"/>
                <w:szCs w:val="24"/>
                <w:lang w:eastAsia="zh-CN"/>
              </w:rPr>
              <w:t>水质评价指标均能达到</w:t>
            </w:r>
            <w:r>
              <w:rPr>
                <w:rFonts w:hint="eastAsia" w:ascii="Times New Roman" w:hAnsi="Times New Roman"/>
                <w:color w:val="auto"/>
                <w:sz w:val="24"/>
                <w:szCs w:val="24"/>
                <w:lang w:val="en-US" w:eastAsia="zh-CN"/>
              </w:rPr>
              <w:t>《海水水质标准》（GB3097-1997）第四类水质标准。因此，</w:t>
            </w:r>
            <w:r>
              <w:rPr>
                <w:rFonts w:hint="eastAsia" w:ascii="Times New Roman" w:hAnsi="Times New Roman"/>
                <w:color w:val="auto"/>
                <w:sz w:val="24"/>
                <w:szCs w:val="24"/>
              </w:rPr>
              <w:t>项目</w:t>
            </w:r>
            <w:r>
              <w:rPr>
                <w:rFonts w:hint="eastAsia" w:ascii="Times New Roman" w:hAnsi="Times New Roman"/>
                <w:color w:val="auto"/>
                <w:sz w:val="24"/>
                <w:szCs w:val="24"/>
                <w:lang w:eastAsia="zh-CN"/>
              </w:rPr>
              <w:t>钦州港</w:t>
            </w:r>
            <w:r>
              <w:rPr>
                <w:rFonts w:hint="eastAsia" w:ascii="Times New Roman" w:hAnsi="Times New Roman"/>
                <w:color w:val="auto"/>
                <w:sz w:val="24"/>
                <w:szCs w:val="24"/>
              </w:rPr>
              <w:t>大榄坪排污混合区（GX057DIV）水质</w:t>
            </w:r>
            <w:r>
              <w:rPr>
                <w:rFonts w:hint="eastAsia" w:ascii="Times New Roman" w:hAnsi="Times New Roman"/>
                <w:color w:val="auto"/>
                <w:sz w:val="24"/>
                <w:szCs w:val="24"/>
                <w:lang w:eastAsia="zh-CN"/>
              </w:rPr>
              <w:t>良好</w:t>
            </w:r>
            <w:r>
              <w:rPr>
                <w:rFonts w:hint="eastAsia" w:ascii="Times New Roman" w:hAnsi="Times New Roman"/>
                <w:color w:val="auto"/>
                <w:sz w:val="24"/>
                <w:szCs w:val="24"/>
              </w:rPr>
              <w:t>。</w:t>
            </w:r>
          </w:p>
          <w:p w14:paraId="53AE64B8">
            <w:pPr>
              <w:rPr>
                <w:rFonts w:hint="eastAsia" w:ascii="Times New Roman" w:hAnsi="Times New Roman" w:eastAsia="宋体"/>
                <w:color w:val="auto"/>
                <w:sz w:val="24"/>
                <w:szCs w:val="24"/>
                <w:lang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1639570</wp:posOffset>
                      </wp:positionH>
                      <wp:positionV relativeFrom="paragraph">
                        <wp:posOffset>4069715</wp:posOffset>
                      </wp:positionV>
                      <wp:extent cx="3075940" cy="304800"/>
                      <wp:effectExtent l="0" t="0" r="0" b="0"/>
                      <wp:wrapNone/>
                      <wp:docPr id="17" name="文本框 17"/>
                      <wp:cNvGraphicFramePr/>
                      <a:graphic xmlns:a="http://schemas.openxmlformats.org/drawingml/2006/main">
                        <a:graphicData uri="http://schemas.microsoft.com/office/word/2010/wordprocessingShape">
                          <wps:wsp>
                            <wps:cNvSpPr txBox="1"/>
                            <wps:spPr>
                              <a:xfrm>
                                <a:off x="4267200" y="1400175"/>
                                <a:ext cx="307594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241FC">
                                  <w:pPr>
                                    <w:rPr>
                                      <w:rFonts w:hint="eastAsia"/>
                                      <w:sz w:val="21"/>
                                      <w:szCs w:val="21"/>
                                      <w:lang w:val="en-US" w:eastAsia="zh-CN"/>
                                    </w:rPr>
                                  </w:pPr>
                                  <w:r>
                                    <w:rPr>
                                      <w:rFonts w:hint="eastAsia" w:ascii="Times New Roman" w:hAnsi="Times New Roman"/>
                                      <w:color w:val="DC11E9"/>
                                      <w:sz w:val="21"/>
                                      <w:szCs w:val="21"/>
                                      <w:lang w:eastAsia="zh-CN"/>
                                    </w:rPr>
                                    <w:t>钦州港</w:t>
                                  </w:r>
                                  <w:r>
                                    <w:rPr>
                                      <w:rFonts w:hint="eastAsia" w:ascii="Times New Roman" w:hAnsi="Times New Roman"/>
                                      <w:color w:val="DC11E9"/>
                                      <w:sz w:val="21"/>
                                      <w:szCs w:val="21"/>
                                    </w:rPr>
                                    <w:t>大榄坪排污混合区（GX057DIV）</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1pt;margin-top:320.45pt;height:24pt;width:242.2pt;z-index:251664384;mso-width-relative:page;mso-height-relative:page;" filled="f" stroked="f" coordsize="21600,21600" o:gfxdata="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9SLkPcAAAACwEAAA8AAAAAAAAA&#10;AQAgAAAAIgAAAGRycy9kb3ducmV2LnhtbFBLAQIUABQAAAAIAIdO4kAeU30tRgIAAHQEAAAOAAAA&#10;AAAAAAEAIAAAACsBAABkcnMvZTJvRG9jLnhtbFBLBQYAAAAABgAGAFkBAADjBQAAAAA=&#10;">
                      <v:fill on="f" focussize="0,0"/>
                      <v:stroke on="f" weight="0.5pt"/>
                      <v:imagedata o:title=""/>
                      <o:lock v:ext="edit" aspectratio="f"/>
                      <v:textbox>
                        <w:txbxContent>
                          <w:p w14:paraId="026241FC">
                            <w:pPr>
                              <w:rPr>
                                <w:rFonts w:hint="eastAsia"/>
                                <w:sz w:val="21"/>
                                <w:szCs w:val="21"/>
                                <w:lang w:val="en-US" w:eastAsia="zh-CN"/>
                              </w:rPr>
                            </w:pPr>
                            <w:r>
                              <w:rPr>
                                <w:rFonts w:hint="eastAsia" w:ascii="Times New Roman" w:hAnsi="Times New Roman"/>
                                <w:color w:val="DC11E9"/>
                                <w:sz w:val="21"/>
                                <w:szCs w:val="21"/>
                                <w:lang w:eastAsia="zh-CN"/>
                              </w:rPr>
                              <w:t>钦州港</w:t>
                            </w:r>
                            <w:r>
                              <w:rPr>
                                <w:rFonts w:hint="eastAsia" w:ascii="Times New Roman" w:hAnsi="Times New Roman"/>
                                <w:color w:val="DC11E9"/>
                                <w:sz w:val="21"/>
                                <w:szCs w:val="21"/>
                              </w:rPr>
                              <w:t>大榄坪排污混合区（GX057DIV）</w:t>
                            </w:r>
                          </w:p>
                        </w:txbxContent>
                      </v:textbox>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3431540</wp:posOffset>
                      </wp:positionH>
                      <wp:positionV relativeFrom="paragraph">
                        <wp:posOffset>852170</wp:posOffset>
                      </wp:positionV>
                      <wp:extent cx="914400" cy="382905"/>
                      <wp:effectExtent l="408305" t="680085" r="10795" b="22860"/>
                      <wp:wrapNone/>
                      <wp:docPr id="19" name="矩形标注 19"/>
                      <wp:cNvGraphicFramePr/>
                      <a:graphic xmlns:a="http://schemas.openxmlformats.org/drawingml/2006/main">
                        <a:graphicData uri="http://schemas.microsoft.com/office/word/2010/wordprocessingShape">
                          <wps:wsp>
                            <wps:cNvSpPr/>
                            <wps:spPr>
                              <a:xfrm>
                                <a:off x="4697095" y="1945005"/>
                                <a:ext cx="914400" cy="382905"/>
                              </a:xfrm>
                              <a:prstGeom prst="wedgeRectCallout">
                                <a:avLst>
                                  <a:gd name="adj1" fmla="val -90625"/>
                                  <a:gd name="adj2" fmla="val -21782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C3E02CA">
                                  <w:pPr>
                                    <w:jc w:val="center"/>
                                    <w:rPr>
                                      <w:rFonts w:hint="eastAsia" w:eastAsia="宋体"/>
                                      <w:color w:val="DC11E9"/>
                                      <w:lang w:eastAsia="zh-CN"/>
                                    </w:rPr>
                                  </w:pPr>
                                  <w:r>
                                    <w:rPr>
                                      <w:rFonts w:hint="eastAsia"/>
                                      <w:color w:val="DC11E9"/>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0.2pt;margin-top:67.1pt;height:30.15pt;width:72pt;z-index:251665408;v-text-anchor:middle;mso-width-relative:page;mso-height-relative:page;" filled="f" stroked="t" coordsize="21600,21600" o:gfxdata="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yEZhzNwAAAALAQAADwAAAAAAAAABACAAAAAi&#10;AAAAZHJzL2Rvd25yZXYueG1sUEsBAhQAFAAAAAgAh07iQFHZht6xAgAASQUAAA4AAAAAAAAAAQAg&#10;AAAAKwEAAGRycy9lMm9Eb2MueG1sUEsFBgAAAAAGAAYAWQEAAE4GAAAAAA==&#10;" adj="-8775,-36251">
                      <v:fill on="f" focussize="0,0"/>
                      <v:stroke weight="1pt" color="#000000 [3213]" miterlimit="8" joinstyle="miter"/>
                      <v:imagedata o:title=""/>
                      <o:lock v:ext="edit" aspectratio="f"/>
                      <v:textbox>
                        <w:txbxContent>
                          <w:p w14:paraId="3C3E02CA">
                            <w:pPr>
                              <w:jc w:val="center"/>
                              <w:rPr>
                                <w:rFonts w:hint="eastAsia" w:eastAsia="宋体"/>
                                <w:color w:val="DC11E9"/>
                                <w:lang w:eastAsia="zh-CN"/>
                              </w:rPr>
                            </w:pPr>
                            <w:r>
                              <w:rPr>
                                <w:rFonts w:hint="eastAsia"/>
                                <w:color w:val="DC11E9"/>
                                <w:lang w:eastAsia="zh-CN"/>
                              </w:rPr>
                              <w:t>本项目</w:t>
                            </w:r>
                          </w:p>
                        </w:txbxContent>
                      </v:textbox>
                    </v:shape>
                  </w:pict>
                </mc:Fallback>
              </mc:AlternateContent>
            </w:r>
            <w:r>
              <w:rPr>
                <w:color w:val="auto"/>
              </w:rPr>
              <w:drawing>
                <wp:inline distT="0" distB="0" distL="114300" distR="114300">
                  <wp:extent cx="5315585" cy="4447540"/>
                  <wp:effectExtent l="0" t="0" r="18415"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5315585" cy="4447540"/>
                          </a:xfrm>
                          <a:prstGeom prst="rect">
                            <a:avLst/>
                          </a:prstGeom>
                          <a:noFill/>
                          <a:ln>
                            <a:noFill/>
                          </a:ln>
                        </pic:spPr>
                      </pic:pic>
                    </a:graphicData>
                  </a:graphic>
                </wp:inline>
              </w:drawing>
            </w:r>
            <w:r>
              <w:rPr>
                <w:color w:val="auto"/>
              </w:rPr>
              <w:drawing>
                <wp:anchor distT="0" distB="0" distL="114300" distR="114300" simplePos="0" relativeHeight="251663360" behindDoc="0" locked="0" layoutInCell="1" allowOverlap="1">
                  <wp:simplePos x="0" y="0"/>
                  <wp:positionH relativeFrom="column">
                    <wp:posOffset>4800600</wp:posOffset>
                  </wp:positionH>
                  <wp:positionV relativeFrom="paragraph">
                    <wp:posOffset>-1905</wp:posOffset>
                  </wp:positionV>
                  <wp:extent cx="511175" cy="981075"/>
                  <wp:effectExtent l="0" t="0" r="3175" b="9525"/>
                  <wp:wrapNone/>
                  <wp:docPr id="15" name="图片 2" descr="钦州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钦州风玫瑰"/>
                          <pic:cNvPicPr>
                            <a:picLocks noChangeAspect="1"/>
                          </pic:cNvPicPr>
                        </pic:nvPicPr>
                        <pic:blipFill>
                          <a:blip r:embed="rId23"/>
                          <a:stretch>
                            <a:fillRect/>
                          </a:stretch>
                        </pic:blipFill>
                        <pic:spPr>
                          <a:xfrm>
                            <a:off x="0" y="0"/>
                            <a:ext cx="511175" cy="981075"/>
                          </a:xfrm>
                          <a:prstGeom prst="rect">
                            <a:avLst/>
                          </a:prstGeom>
                          <a:noFill/>
                          <a:ln>
                            <a:noFill/>
                          </a:ln>
                        </pic:spPr>
                      </pic:pic>
                    </a:graphicData>
                  </a:graphic>
                </wp:anchor>
              </w:drawing>
            </w:r>
          </w:p>
          <w:p w14:paraId="5F1AD69F">
            <w:pPr>
              <w:pStyle w:val="2"/>
              <w:keepNext/>
              <w:keepLines/>
              <w:pageBreakBefore w:val="0"/>
              <w:widowControl w:val="0"/>
              <w:kinsoku/>
              <w:wordWrap/>
              <w:overflowPunct/>
              <w:topLinePunct w:val="0"/>
              <w:autoSpaceDE/>
              <w:autoSpaceDN/>
              <w:bidi w:val="0"/>
              <w:adjustRightInd/>
              <w:snapToGrid/>
              <w:jc w:val="center"/>
              <w:textAlignment w:val="auto"/>
              <w:rPr>
                <w:rFonts w:hint="default" w:eastAsia="宋体"/>
                <w:b/>
                <w:bCs w:val="0"/>
                <w:color w:val="auto"/>
                <w:sz w:val="24"/>
                <w:szCs w:val="24"/>
                <w:lang w:val="en-US" w:eastAsia="zh-CN"/>
              </w:rPr>
            </w:pPr>
            <w:r>
              <w:rPr>
                <w:rFonts w:hint="eastAsia"/>
                <w:b/>
                <w:bCs w:val="0"/>
                <w:color w:val="auto"/>
                <w:sz w:val="24"/>
                <w:szCs w:val="24"/>
                <w:lang w:eastAsia="zh-CN"/>
              </w:rPr>
              <w:t>图</w:t>
            </w:r>
            <w:r>
              <w:rPr>
                <w:rFonts w:hint="eastAsia"/>
                <w:b/>
                <w:bCs w:val="0"/>
                <w:color w:val="auto"/>
                <w:sz w:val="24"/>
                <w:szCs w:val="24"/>
                <w:lang w:val="en-US" w:eastAsia="zh-CN"/>
              </w:rPr>
              <w:t>3-1 钦州港大榄坪排污混合区（GX057DIV）与引用监测点位关系图</w:t>
            </w:r>
          </w:p>
          <w:p w14:paraId="1492250D">
            <w:pPr>
              <w:keepNext w:val="0"/>
              <w:keepLines w:val="0"/>
              <w:pageBreakBefore w:val="0"/>
              <w:widowControl w:val="0"/>
              <w:kinsoku/>
              <w:wordWrap/>
              <w:overflowPunct/>
              <w:topLinePunct w:val="0"/>
              <w:autoSpaceDE/>
              <w:autoSpaceDN/>
              <w:bidi w:val="0"/>
              <w:adjustRightInd/>
              <w:snapToGrid/>
              <w:spacing w:before="164" w:beforeLines="50"/>
              <w:ind w:firstLine="482" w:firstLineChars="200"/>
              <w:textAlignment w:val="auto"/>
              <w:rPr>
                <w:b/>
                <w:color w:val="auto"/>
              </w:rPr>
            </w:pPr>
            <w:r>
              <w:rPr>
                <w:rFonts w:hint="eastAsia"/>
                <w:b/>
                <w:color w:val="auto"/>
              </w:rPr>
              <w:t>3</w:t>
            </w:r>
            <w:r>
              <w:rPr>
                <w:b/>
                <w:color w:val="auto"/>
              </w:rPr>
              <w:t>、地下水</w:t>
            </w:r>
            <w:r>
              <w:rPr>
                <w:rFonts w:hint="eastAsia"/>
                <w:b/>
                <w:color w:val="auto"/>
              </w:rPr>
              <w:t>、土壤环境</w:t>
            </w:r>
          </w:p>
          <w:p w14:paraId="430947D3">
            <w:pPr>
              <w:ind w:firstLine="480" w:firstLineChars="200"/>
              <w:rPr>
                <w:color w:val="auto"/>
                <w:szCs w:val="22"/>
              </w:rPr>
            </w:pPr>
            <w:r>
              <w:rPr>
                <w:rFonts w:hint="eastAsia"/>
                <w:color w:val="auto"/>
              </w:rPr>
              <w:t>根据《建设项目环境影响报告表编制技术指南（污染影响类）（试行）》，“原则上不开展土壤环境质量现状调查。建设项目存在土壤环境污染途径的，应结合污染源、保护目标分布情况开展现状调查以留做背景值”。</w:t>
            </w:r>
            <w:r>
              <w:rPr>
                <w:rFonts w:hint="eastAsia"/>
                <w:color w:val="auto"/>
                <w:szCs w:val="22"/>
              </w:rPr>
              <w:t>本项目租用的车间、</w:t>
            </w:r>
            <w:r>
              <w:rPr>
                <w:rFonts w:hint="eastAsia"/>
                <w:color w:val="auto"/>
                <w:szCs w:val="22"/>
                <w:lang w:eastAsia="zh-CN"/>
              </w:rPr>
              <w:t>危废暂存间</w:t>
            </w:r>
            <w:r>
              <w:rPr>
                <w:rFonts w:hint="eastAsia"/>
                <w:color w:val="auto"/>
                <w:szCs w:val="22"/>
              </w:rPr>
              <w:t>均采取防渗措施，项目加强管理，不存在地下水和土壤环境污染途径。项目不开展地下水、土壤环境质量现状调查。</w:t>
            </w:r>
          </w:p>
          <w:p w14:paraId="453B94E9">
            <w:pPr>
              <w:spacing w:before="120" w:beforeLines="50"/>
              <w:ind w:firstLine="482" w:firstLineChars="200"/>
              <w:rPr>
                <w:b/>
                <w:color w:val="auto"/>
              </w:rPr>
            </w:pPr>
            <w:r>
              <w:rPr>
                <w:rFonts w:hint="eastAsia"/>
                <w:b/>
                <w:color w:val="auto"/>
              </w:rPr>
              <w:t>4</w:t>
            </w:r>
            <w:r>
              <w:rPr>
                <w:b/>
                <w:color w:val="auto"/>
              </w:rPr>
              <w:t>、声环境质量现状</w:t>
            </w:r>
          </w:p>
          <w:p w14:paraId="7E571899">
            <w:pPr>
              <w:pStyle w:val="10"/>
              <w:spacing w:after="0"/>
              <w:ind w:left="0" w:leftChars="0" w:firstLine="480" w:firstLineChars="200"/>
              <w:rPr>
                <w:color w:val="auto"/>
              </w:rPr>
            </w:pPr>
            <w:r>
              <w:rPr>
                <w:color w:val="auto"/>
              </w:rPr>
              <w:t>本项目</w:t>
            </w:r>
            <w:r>
              <w:rPr>
                <w:rFonts w:hint="eastAsia"/>
                <w:color w:val="auto"/>
              </w:rPr>
              <w:t>所在地为</w:t>
            </w:r>
            <w:r>
              <w:rPr>
                <w:color w:val="auto"/>
                <w:kern w:val="0"/>
              </w:rPr>
              <w:t>中国-马来西亚钦州产业园区</w:t>
            </w:r>
            <w:r>
              <w:rPr>
                <w:rFonts w:hint="eastAsia"/>
                <w:color w:val="auto"/>
                <w:kern w:val="0"/>
              </w:rPr>
              <w:t>规划范围</w:t>
            </w:r>
            <w:r>
              <w:rPr>
                <w:color w:val="auto"/>
              </w:rPr>
              <w:t>内，</w:t>
            </w:r>
            <w:r>
              <w:rPr>
                <w:rFonts w:hint="eastAsia"/>
                <w:color w:val="auto"/>
              </w:rPr>
              <w:t>所在区域环境功能区属于3类区</w:t>
            </w:r>
            <w:r>
              <w:rPr>
                <w:rFonts w:hint="eastAsia"/>
                <w:color w:val="auto"/>
                <w:lang w:eastAsia="zh-CN"/>
              </w:rPr>
              <w:t>，</w:t>
            </w:r>
            <w:r>
              <w:rPr>
                <w:rFonts w:hint="eastAsia"/>
                <w:color w:val="auto"/>
              </w:rPr>
              <w:t>项目西面</w:t>
            </w:r>
            <w:r>
              <w:rPr>
                <w:rFonts w:hint="eastAsia"/>
                <w:color w:val="auto"/>
                <w:lang w:val="en-US" w:eastAsia="zh-CN"/>
              </w:rPr>
              <w:t>25m为</w:t>
            </w:r>
            <w:r>
              <w:rPr>
                <w:rFonts w:hint="eastAsia"/>
                <w:color w:val="auto"/>
              </w:rPr>
              <w:t>锦绣大道，</w:t>
            </w:r>
            <w:r>
              <w:rPr>
                <w:rFonts w:hint="eastAsia"/>
                <w:color w:val="auto"/>
                <w:u w:val="single"/>
                <w:lang w:eastAsia="zh-CN"/>
              </w:rPr>
              <w:t>根据《钦州市人民政府办公室关于印发钦州市中心城区声环境功能区划的通知》（钦政办规〔2023〕11号），锦绣大道属于次干道，其次干道边界至</w:t>
            </w:r>
            <w:r>
              <w:rPr>
                <w:rFonts w:hint="eastAsia"/>
                <w:color w:val="auto"/>
                <w:u w:val="single"/>
                <w:lang w:val="en-US" w:eastAsia="zh-CN"/>
              </w:rPr>
              <w:t>20m范围内执行4a类标准。由此可知，本项目四周边界</w:t>
            </w:r>
            <w:r>
              <w:rPr>
                <w:rFonts w:hint="eastAsia"/>
                <w:color w:val="auto"/>
              </w:rPr>
              <w:t>区域</w:t>
            </w:r>
            <w:r>
              <w:rPr>
                <w:rFonts w:hint="eastAsia"/>
                <w:color w:val="auto"/>
                <w:szCs w:val="24"/>
              </w:rPr>
              <w:t>属于3类声环境功能区，</w:t>
            </w:r>
            <w:r>
              <w:rPr>
                <w:color w:val="auto"/>
              </w:rPr>
              <w:t>执行《声环境质量标准》（GB3096-2008）中3类</w:t>
            </w:r>
            <w:r>
              <w:rPr>
                <w:rFonts w:hint="eastAsia"/>
                <w:color w:val="auto"/>
              </w:rPr>
              <w:t>标准限值要求</w:t>
            </w:r>
            <w:r>
              <w:rPr>
                <w:color w:val="auto"/>
              </w:rPr>
              <w:t>。</w:t>
            </w:r>
          </w:p>
          <w:p w14:paraId="1BF32EC1">
            <w:pPr>
              <w:ind w:firstLine="480" w:firstLineChars="200"/>
              <w:rPr>
                <w:color w:val="auto"/>
                <w:kern w:val="0"/>
              </w:rPr>
            </w:pPr>
            <w:r>
              <w:rPr>
                <w:rFonts w:hint="eastAsia"/>
                <w:color w:val="auto"/>
                <w:kern w:val="0"/>
              </w:rPr>
              <w:t>本次评价委托</w:t>
            </w:r>
            <w:r>
              <w:rPr>
                <w:rFonts w:hint="eastAsia"/>
                <w:color w:val="auto"/>
                <w:kern w:val="0"/>
                <w:highlight w:val="none"/>
              </w:rPr>
              <w:t>广西</w:t>
            </w:r>
            <w:r>
              <w:rPr>
                <w:rFonts w:hint="eastAsia"/>
                <w:color w:val="auto"/>
                <w:kern w:val="0"/>
                <w:highlight w:val="none"/>
                <w:lang w:eastAsia="zh-CN"/>
              </w:rPr>
              <w:t>浩航</w:t>
            </w:r>
            <w:r>
              <w:rPr>
                <w:rFonts w:hint="eastAsia"/>
                <w:color w:val="auto"/>
                <w:kern w:val="0"/>
                <w:highlight w:val="none"/>
              </w:rPr>
              <w:t>检测科技有限公司于</w:t>
            </w:r>
            <w:r>
              <w:rPr>
                <w:color w:val="auto"/>
                <w:kern w:val="0"/>
                <w:highlight w:val="none"/>
              </w:rPr>
              <w:t>202</w:t>
            </w:r>
            <w:r>
              <w:rPr>
                <w:rFonts w:hint="eastAsia"/>
                <w:color w:val="auto"/>
                <w:kern w:val="0"/>
                <w:highlight w:val="none"/>
              </w:rPr>
              <w:t>4年1</w:t>
            </w:r>
            <w:r>
              <w:rPr>
                <w:rFonts w:hint="eastAsia"/>
                <w:color w:val="auto"/>
                <w:kern w:val="0"/>
                <w:highlight w:val="none"/>
                <w:lang w:val="en-US" w:eastAsia="zh-CN"/>
              </w:rPr>
              <w:t>0</w:t>
            </w:r>
            <w:r>
              <w:rPr>
                <w:rFonts w:hint="eastAsia"/>
                <w:color w:val="auto"/>
                <w:kern w:val="0"/>
                <w:highlight w:val="none"/>
              </w:rPr>
              <w:t>月</w:t>
            </w:r>
            <w:r>
              <w:rPr>
                <w:rFonts w:hint="eastAsia"/>
                <w:color w:val="auto"/>
                <w:kern w:val="0"/>
                <w:highlight w:val="none"/>
                <w:lang w:val="en-US" w:eastAsia="zh-CN"/>
              </w:rPr>
              <w:t>14</w:t>
            </w:r>
            <w:r>
              <w:rPr>
                <w:rFonts w:hint="eastAsia"/>
                <w:color w:val="auto"/>
                <w:kern w:val="0"/>
                <w:highlight w:val="none"/>
              </w:rPr>
              <w:t>日和1</w:t>
            </w:r>
            <w:r>
              <w:rPr>
                <w:rFonts w:hint="eastAsia"/>
                <w:color w:val="auto"/>
                <w:kern w:val="0"/>
                <w:highlight w:val="none"/>
                <w:lang w:val="en-US" w:eastAsia="zh-CN"/>
              </w:rPr>
              <w:t>0</w:t>
            </w:r>
            <w:r>
              <w:rPr>
                <w:rFonts w:hint="eastAsia"/>
                <w:color w:val="auto"/>
                <w:kern w:val="0"/>
                <w:highlight w:val="none"/>
              </w:rPr>
              <w:t>月</w:t>
            </w:r>
            <w:r>
              <w:rPr>
                <w:rFonts w:hint="eastAsia"/>
                <w:color w:val="auto"/>
                <w:kern w:val="0"/>
                <w:highlight w:val="none"/>
                <w:lang w:val="en-US" w:eastAsia="zh-CN"/>
              </w:rPr>
              <w:t>15</w:t>
            </w:r>
            <w:r>
              <w:rPr>
                <w:rFonts w:hint="eastAsia"/>
                <w:color w:val="auto"/>
                <w:kern w:val="0"/>
                <w:highlight w:val="none"/>
              </w:rPr>
              <w:t>日对项目厂界进行了环境质量现状监测</w:t>
            </w:r>
            <w:r>
              <w:rPr>
                <w:rFonts w:hint="eastAsia"/>
                <w:color w:val="auto"/>
                <w:kern w:val="0"/>
              </w:rPr>
              <w:t>。监测时间</w:t>
            </w:r>
            <w:r>
              <w:rPr>
                <w:color w:val="auto"/>
                <w:kern w:val="0"/>
              </w:rPr>
              <w:t>2</w:t>
            </w:r>
            <w:r>
              <w:rPr>
                <w:rFonts w:hint="eastAsia"/>
                <w:color w:val="auto"/>
                <w:kern w:val="0"/>
              </w:rPr>
              <w:t>天，进行昼间和夜间监测，符合《建设项目环境影响报告表编制技术指南（污染类）》（试行）要求。</w:t>
            </w:r>
          </w:p>
          <w:p w14:paraId="7D532938">
            <w:pPr>
              <w:pStyle w:val="12"/>
              <w:snapToGrid w:val="0"/>
              <w:spacing w:line="360" w:lineRule="auto"/>
              <w:ind w:firstLine="482"/>
              <w:rPr>
                <w:rFonts w:ascii="Times New Roman" w:hAnsi="Times New Roman" w:cs="Times New Roman"/>
                <w:color w:val="auto"/>
                <w:sz w:val="24"/>
              </w:rPr>
            </w:pPr>
            <w:r>
              <w:rPr>
                <w:rFonts w:hint="eastAsia" w:ascii="Times New Roman" w:hAnsi="Times New Roman" w:cs="Times New Roman"/>
                <w:color w:val="auto"/>
                <w:sz w:val="24"/>
              </w:rPr>
              <w:t>（</w:t>
            </w:r>
            <w:r>
              <w:rPr>
                <w:rFonts w:ascii="Times New Roman" w:hAnsi="Times New Roman" w:cs="Times New Roman"/>
                <w:color w:val="auto"/>
                <w:sz w:val="24"/>
              </w:rPr>
              <w:t>1</w:t>
            </w:r>
            <w:r>
              <w:rPr>
                <w:rFonts w:hint="eastAsia" w:ascii="Times New Roman" w:hAnsi="Times New Roman" w:cs="Times New Roman"/>
                <w:color w:val="auto"/>
                <w:sz w:val="24"/>
              </w:rPr>
              <w:t>）监测布点</w:t>
            </w:r>
          </w:p>
          <w:p w14:paraId="50A492B0">
            <w:pPr>
              <w:pStyle w:val="12"/>
              <w:snapToGrid w:val="0"/>
              <w:spacing w:line="360" w:lineRule="auto"/>
              <w:ind w:firstLine="482"/>
              <w:rPr>
                <w:rFonts w:ascii="Times New Roman" w:hAnsi="Times New Roman" w:cs="Times New Roman"/>
                <w:color w:val="auto"/>
                <w:sz w:val="24"/>
              </w:rPr>
            </w:pPr>
            <w:r>
              <w:rPr>
                <w:rFonts w:hint="eastAsia" w:ascii="Times New Roman" w:hAnsi="Times New Roman" w:cs="Times New Roman"/>
                <w:color w:val="auto"/>
                <w:sz w:val="24"/>
              </w:rPr>
              <w:t>本次评价对厂界四周设置4个声环境质量现状监测点，监测布点详见表</w:t>
            </w:r>
            <w:r>
              <w:rPr>
                <w:rFonts w:ascii="Times New Roman" w:hAnsi="Times New Roman" w:cs="Times New Roman"/>
                <w:color w:val="auto"/>
                <w:sz w:val="24"/>
              </w:rPr>
              <w:t>3-3</w:t>
            </w:r>
            <w:r>
              <w:rPr>
                <w:rFonts w:hint="eastAsia" w:ascii="Times New Roman" w:hAnsi="Times New Roman" w:cs="Times New Roman"/>
                <w:color w:val="auto"/>
                <w:sz w:val="24"/>
              </w:rPr>
              <w:t>所示。</w:t>
            </w:r>
          </w:p>
          <w:p w14:paraId="432474D1">
            <w:pPr>
              <w:spacing w:line="240" w:lineRule="auto"/>
              <w:jc w:val="center"/>
              <w:rPr>
                <w:b/>
                <w:bCs/>
                <w:color w:val="auto"/>
                <w:sz w:val="21"/>
                <w:szCs w:val="21"/>
              </w:rPr>
            </w:pPr>
            <w:r>
              <w:rPr>
                <w:rFonts w:hint="eastAsia"/>
                <w:b/>
                <w:bCs/>
                <w:color w:val="auto"/>
                <w:sz w:val="21"/>
                <w:szCs w:val="21"/>
              </w:rPr>
              <w:t>表</w:t>
            </w:r>
            <w:r>
              <w:rPr>
                <w:b/>
                <w:bCs/>
                <w:color w:val="auto"/>
                <w:sz w:val="21"/>
                <w:szCs w:val="21"/>
              </w:rPr>
              <w:t xml:space="preserve">3-3 </w:t>
            </w:r>
            <w:r>
              <w:rPr>
                <w:rFonts w:hint="eastAsia"/>
                <w:b/>
                <w:bCs/>
                <w:color w:val="auto"/>
                <w:sz w:val="21"/>
                <w:szCs w:val="21"/>
              </w:rPr>
              <w:t>项目噪声监测点位分布情况</w:t>
            </w:r>
          </w:p>
          <w:tbl>
            <w:tblPr>
              <w:tblStyle w:val="25"/>
              <w:tblW w:w="8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575"/>
              <w:gridCol w:w="1731"/>
              <w:gridCol w:w="3888"/>
            </w:tblGrid>
            <w:tr w14:paraId="6E45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0" w:type="dxa"/>
                  <w:vAlign w:val="center"/>
                </w:tcPr>
                <w:p w14:paraId="13265C5A">
                  <w:pPr>
                    <w:snapToGrid w:val="0"/>
                    <w:spacing w:line="240" w:lineRule="auto"/>
                    <w:jc w:val="center"/>
                    <w:rPr>
                      <w:b/>
                      <w:bCs/>
                      <w:color w:val="auto"/>
                      <w:sz w:val="21"/>
                      <w:szCs w:val="21"/>
                    </w:rPr>
                  </w:pPr>
                  <w:r>
                    <w:rPr>
                      <w:rFonts w:hint="eastAsia"/>
                      <w:b/>
                      <w:bCs/>
                      <w:color w:val="auto"/>
                      <w:sz w:val="21"/>
                      <w:szCs w:val="21"/>
                    </w:rPr>
                    <w:t>编号</w:t>
                  </w:r>
                </w:p>
              </w:tc>
              <w:tc>
                <w:tcPr>
                  <w:tcW w:w="1575" w:type="dxa"/>
                  <w:vAlign w:val="center"/>
                </w:tcPr>
                <w:p w14:paraId="3C5D3561">
                  <w:pPr>
                    <w:snapToGrid w:val="0"/>
                    <w:spacing w:line="240" w:lineRule="auto"/>
                    <w:jc w:val="center"/>
                    <w:rPr>
                      <w:b/>
                      <w:bCs/>
                      <w:color w:val="auto"/>
                      <w:sz w:val="21"/>
                      <w:szCs w:val="21"/>
                    </w:rPr>
                  </w:pPr>
                  <w:r>
                    <w:rPr>
                      <w:rFonts w:hint="eastAsia"/>
                      <w:b/>
                      <w:bCs/>
                      <w:color w:val="auto"/>
                      <w:sz w:val="21"/>
                      <w:szCs w:val="21"/>
                    </w:rPr>
                    <w:t>监测点名称</w:t>
                  </w:r>
                </w:p>
              </w:tc>
              <w:tc>
                <w:tcPr>
                  <w:tcW w:w="1731" w:type="dxa"/>
                  <w:vAlign w:val="center"/>
                </w:tcPr>
                <w:p w14:paraId="5B1BAABE">
                  <w:pPr>
                    <w:snapToGrid w:val="0"/>
                    <w:spacing w:line="240" w:lineRule="auto"/>
                    <w:jc w:val="center"/>
                    <w:rPr>
                      <w:b/>
                      <w:bCs/>
                      <w:color w:val="auto"/>
                      <w:sz w:val="21"/>
                      <w:szCs w:val="21"/>
                    </w:rPr>
                  </w:pPr>
                  <w:r>
                    <w:rPr>
                      <w:rFonts w:hint="eastAsia"/>
                      <w:b/>
                      <w:bCs/>
                      <w:color w:val="auto"/>
                      <w:sz w:val="21"/>
                      <w:szCs w:val="21"/>
                    </w:rPr>
                    <w:t>与项目方位距离</w:t>
                  </w:r>
                </w:p>
              </w:tc>
              <w:tc>
                <w:tcPr>
                  <w:tcW w:w="3888" w:type="dxa"/>
                  <w:vAlign w:val="center"/>
                </w:tcPr>
                <w:p w14:paraId="7B4C7DC5">
                  <w:pPr>
                    <w:snapToGrid w:val="0"/>
                    <w:spacing w:line="240" w:lineRule="auto"/>
                    <w:jc w:val="center"/>
                    <w:rPr>
                      <w:b/>
                      <w:bCs/>
                      <w:color w:val="auto"/>
                      <w:sz w:val="21"/>
                      <w:szCs w:val="21"/>
                    </w:rPr>
                  </w:pPr>
                  <w:r>
                    <w:rPr>
                      <w:rFonts w:hint="eastAsia"/>
                      <w:b/>
                      <w:bCs/>
                      <w:color w:val="auto"/>
                      <w:sz w:val="21"/>
                      <w:szCs w:val="21"/>
                    </w:rPr>
                    <w:t>监测因子和监测时间</w:t>
                  </w:r>
                </w:p>
              </w:tc>
            </w:tr>
            <w:tr w14:paraId="0EEC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0" w:type="dxa"/>
                  <w:vAlign w:val="center"/>
                </w:tcPr>
                <w:p w14:paraId="0364328F">
                  <w:pPr>
                    <w:snapToGrid w:val="0"/>
                    <w:spacing w:line="240" w:lineRule="auto"/>
                    <w:jc w:val="center"/>
                    <w:rPr>
                      <w:color w:val="auto"/>
                      <w:sz w:val="21"/>
                      <w:szCs w:val="21"/>
                    </w:rPr>
                  </w:pPr>
                  <w:r>
                    <w:rPr>
                      <w:rFonts w:hint="eastAsia"/>
                      <w:color w:val="auto"/>
                      <w:sz w:val="21"/>
                      <w:szCs w:val="21"/>
                    </w:rPr>
                    <w:t>N1</w:t>
                  </w:r>
                </w:p>
              </w:tc>
              <w:tc>
                <w:tcPr>
                  <w:tcW w:w="1575" w:type="dxa"/>
                  <w:vAlign w:val="center"/>
                </w:tcPr>
                <w:p w14:paraId="41A95E2C">
                  <w:pPr>
                    <w:snapToGrid w:val="0"/>
                    <w:spacing w:line="240" w:lineRule="auto"/>
                    <w:jc w:val="center"/>
                    <w:rPr>
                      <w:rFonts w:hint="eastAsia" w:ascii="宋体" w:hAnsi="宋体"/>
                      <w:color w:val="auto"/>
                      <w:sz w:val="21"/>
                      <w:szCs w:val="21"/>
                    </w:rPr>
                  </w:pPr>
                  <w:r>
                    <w:rPr>
                      <w:rFonts w:hint="eastAsia" w:ascii="宋体" w:hAnsi="宋体"/>
                      <w:color w:val="auto"/>
                      <w:sz w:val="21"/>
                      <w:szCs w:val="21"/>
                    </w:rPr>
                    <w:t>东面厂界</w:t>
                  </w:r>
                </w:p>
              </w:tc>
              <w:tc>
                <w:tcPr>
                  <w:tcW w:w="1731" w:type="dxa"/>
                  <w:vAlign w:val="center"/>
                </w:tcPr>
                <w:p w14:paraId="5C404A18">
                  <w:pPr>
                    <w:snapToGrid w:val="0"/>
                    <w:spacing w:line="240" w:lineRule="auto"/>
                    <w:jc w:val="center"/>
                    <w:rPr>
                      <w:color w:val="auto"/>
                      <w:sz w:val="21"/>
                      <w:szCs w:val="21"/>
                    </w:rPr>
                  </w:pPr>
                </w:p>
              </w:tc>
              <w:tc>
                <w:tcPr>
                  <w:tcW w:w="3888" w:type="dxa"/>
                  <w:vMerge w:val="restart"/>
                  <w:vAlign w:val="center"/>
                </w:tcPr>
                <w:p w14:paraId="76A90CB5">
                  <w:pPr>
                    <w:snapToGrid w:val="0"/>
                    <w:spacing w:line="240" w:lineRule="auto"/>
                    <w:jc w:val="left"/>
                    <w:rPr>
                      <w:color w:val="auto"/>
                      <w:sz w:val="21"/>
                      <w:szCs w:val="21"/>
                    </w:rPr>
                  </w:pPr>
                </w:p>
              </w:tc>
            </w:tr>
            <w:tr w14:paraId="2AFB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0" w:type="dxa"/>
                  <w:vAlign w:val="center"/>
                </w:tcPr>
                <w:p w14:paraId="78DECD6D">
                  <w:pPr>
                    <w:snapToGrid w:val="0"/>
                    <w:spacing w:line="240" w:lineRule="auto"/>
                    <w:jc w:val="center"/>
                    <w:rPr>
                      <w:color w:val="auto"/>
                      <w:sz w:val="21"/>
                      <w:szCs w:val="21"/>
                    </w:rPr>
                  </w:pPr>
                  <w:r>
                    <w:rPr>
                      <w:rFonts w:hint="eastAsia"/>
                      <w:color w:val="auto"/>
                      <w:sz w:val="21"/>
                      <w:szCs w:val="21"/>
                    </w:rPr>
                    <w:t>N2</w:t>
                  </w:r>
                </w:p>
              </w:tc>
              <w:tc>
                <w:tcPr>
                  <w:tcW w:w="1575" w:type="dxa"/>
                  <w:vAlign w:val="center"/>
                </w:tcPr>
                <w:p w14:paraId="7D684949">
                  <w:pPr>
                    <w:snapToGrid w:val="0"/>
                    <w:spacing w:line="240" w:lineRule="auto"/>
                    <w:jc w:val="center"/>
                    <w:rPr>
                      <w:rFonts w:hint="eastAsia" w:ascii="宋体" w:hAnsi="宋体"/>
                      <w:color w:val="auto"/>
                      <w:sz w:val="21"/>
                      <w:szCs w:val="21"/>
                    </w:rPr>
                  </w:pPr>
                  <w:r>
                    <w:rPr>
                      <w:rFonts w:hint="eastAsia" w:ascii="宋体" w:hAnsi="宋体"/>
                      <w:color w:val="auto"/>
                      <w:sz w:val="21"/>
                      <w:szCs w:val="21"/>
                    </w:rPr>
                    <w:t>南面厂界</w:t>
                  </w:r>
                </w:p>
              </w:tc>
              <w:tc>
                <w:tcPr>
                  <w:tcW w:w="1731" w:type="dxa"/>
                  <w:vAlign w:val="center"/>
                </w:tcPr>
                <w:p w14:paraId="631F4717">
                  <w:pPr>
                    <w:snapToGrid w:val="0"/>
                    <w:spacing w:line="240" w:lineRule="auto"/>
                    <w:jc w:val="center"/>
                    <w:rPr>
                      <w:color w:val="auto"/>
                      <w:sz w:val="21"/>
                      <w:szCs w:val="21"/>
                    </w:rPr>
                  </w:pPr>
                </w:p>
              </w:tc>
              <w:tc>
                <w:tcPr>
                  <w:tcW w:w="3888" w:type="dxa"/>
                  <w:vMerge w:val="continue"/>
                  <w:vAlign w:val="center"/>
                </w:tcPr>
                <w:p w14:paraId="2FA1DBAE">
                  <w:pPr>
                    <w:snapToGrid w:val="0"/>
                    <w:spacing w:line="240" w:lineRule="auto"/>
                    <w:jc w:val="left"/>
                    <w:rPr>
                      <w:color w:val="auto"/>
                      <w:sz w:val="21"/>
                      <w:szCs w:val="21"/>
                    </w:rPr>
                  </w:pPr>
                </w:p>
              </w:tc>
            </w:tr>
            <w:tr w14:paraId="0391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0" w:type="dxa"/>
                  <w:vAlign w:val="center"/>
                </w:tcPr>
                <w:p w14:paraId="661F8785">
                  <w:pPr>
                    <w:snapToGrid w:val="0"/>
                    <w:spacing w:line="240" w:lineRule="auto"/>
                    <w:jc w:val="center"/>
                    <w:rPr>
                      <w:color w:val="auto"/>
                      <w:sz w:val="21"/>
                      <w:szCs w:val="21"/>
                    </w:rPr>
                  </w:pPr>
                  <w:r>
                    <w:rPr>
                      <w:rFonts w:hint="eastAsia"/>
                      <w:color w:val="auto"/>
                      <w:sz w:val="21"/>
                      <w:szCs w:val="21"/>
                    </w:rPr>
                    <w:t>N</w:t>
                  </w:r>
                  <w:r>
                    <w:rPr>
                      <w:color w:val="auto"/>
                      <w:sz w:val="21"/>
                      <w:szCs w:val="21"/>
                    </w:rPr>
                    <w:t>3</w:t>
                  </w:r>
                </w:p>
              </w:tc>
              <w:tc>
                <w:tcPr>
                  <w:tcW w:w="1575" w:type="dxa"/>
                  <w:vAlign w:val="center"/>
                </w:tcPr>
                <w:p w14:paraId="5099149C">
                  <w:pPr>
                    <w:snapToGrid w:val="0"/>
                    <w:spacing w:line="240" w:lineRule="auto"/>
                    <w:jc w:val="center"/>
                    <w:rPr>
                      <w:rFonts w:hint="eastAsia" w:ascii="宋体" w:hAnsi="宋体"/>
                      <w:color w:val="auto"/>
                      <w:sz w:val="21"/>
                      <w:szCs w:val="21"/>
                    </w:rPr>
                  </w:pPr>
                  <w:r>
                    <w:rPr>
                      <w:rFonts w:hint="eastAsia" w:ascii="宋体" w:hAnsi="宋体"/>
                      <w:color w:val="auto"/>
                      <w:sz w:val="21"/>
                      <w:szCs w:val="21"/>
                    </w:rPr>
                    <w:t>西面厂界</w:t>
                  </w:r>
                </w:p>
              </w:tc>
              <w:tc>
                <w:tcPr>
                  <w:tcW w:w="1731" w:type="dxa"/>
                  <w:vAlign w:val="center"/>
                </w:tcPr>
                <w:p w14:paraId="32A24F85">
                  <w:pPr>
                    <w:snapToGrid w:val="0"/>
                    <w:spacing w:line="240" w:lineRule="auto"/>
                    <w:jc w:val="center"/>
                    <w:rPr>
                      <w:color w:val="auto"/>
                      <w:sz w:val="21"/>
                      <w:szCs w:val="21"/>
                    </w:rPr>
                  </w:pPr>
                </w:p>
              </w:tc>
              <w:tc>
                <w:tcPr>
                  <w:tcW w:w="3888" w:type="dxa"/>
                  <w:vMerge w:val="continue"/>
                  <w:vAlign w:val="center"/>
                </w:tcPr>
                <w:p w14:paraId="3FDC5792">
                  <w:pPr>
                    <w:snapToGrid w:val="0"/>
                    <w:spacing w:line="240" w:lineRule="auto"/>
                    <w:jc w:val="left"/>
                    <w:rPr>
                      <w:color w:val="auto"/>
                      <w:sz w:val="21"/>
                      <w:szCs w:val="21"/>
                    </w:rPr>
                  </w:pPr>
                </w:p>
              </w:tc>
            </w:tr>
            <w:tr w14:paraId="082B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0" w:type="dxa"/>
                  <w:vAlign w:val="center"/>
                </w:tcPr>
                <w:p w14:paraId="53CA5351">
                  <w:pPr>
                    <w:snapToGrid w:val="0"/>
                    <w:spacing w:line="240" w:lineRule="auto"/>
                    <w:jc w:val="center"/>
                    <w:rPr>
                      <w:color w:val="auto"/>
                      <w:sz w:val="21"/>
                      <w:szCs w:val="21"/>
                    </w:rPr>
                  </w:pPr>
                  <w:r>
                    <w:rPr>
                      <w:rFonts w:hint="eastAsia"/>
                      <w:color w:val="auto"/>
                      <w:sz w:val="21"/>
                      <w:szCs w:val="21"/>
                    </w:rPr>
                    <w:t>N</w:t>
                  </w:r>
                  <w:r>
                    <w:rPr>
                      <w:color w:val="auto"/>
                      <w:sz w:val="21"/>
                      <w:szCs w:val="21"/>
                    </w:rPr>
                    <w:t>4</w:t>
                  </w:r>
                </w:p>
              </w:tc>
              <w:tc>
                <w:tcPr>
                  <w:tcW w:w="1575" w:type="dxa"/>
                  <w:vAlign w:val="center"/>
                </w:tcPr>
                <w:p w14:paraId="27CBE1C8">
                  <w:pPr>
                    <w:snapToGrid w:val="0"/>
                    <w:spacing w:line="240" w:lineRule="auto"/>
                    <w:jc w:val="center"/>
                    <w:rPr>
                      <w:rFonts w:hint="eastAsia" w:ascii="宋体" w:hAnsi="宋体"/>
                      <w:color w:val="auto"/>
                      <w:sz w:val="21"/>
                      <w:szCs w:val="21"/>
                    </w:rPr>
                  </w:pPr>
                  <w:r>
                    <w:rPr>
                      <w:rFonts w:hint="eastAsia" w:ascii="宋体" w:hAnsi="宋体"/>
                      <w:color w:val="auto"/>
                      <w:sz w:val="21"/>
                      <w:szCs w:val="21"/>
                    </w:rPr>
                    <w:t>北面厂界</w:t>
                  </w:r>
                </w:p>
              </w:tc>
              <w:tc>
                <w:tcPr>
                  <w:tcW w:w="1731" w:type="dxa"/>
                  <w:vAlign w:val="center"/>
                </w:tcPr>
                <w:p w14:paraId="6D69C792">
                  <w:pPr>
                    <w:snapToGrid w:val="0"/>
                    <w:spacing w:line="240" w:lineRule="auto"/>
                    <w:jc w:val="center"/>
                    <w:rPr>
                      <w:color w:val="auto"/>
                      <w:sz w:val="21"/>
                      <w:szCs w:val="21"/>
                    </w:rPr>
                  </w:pPr>
                </w:p>
              </w:tc>
              <w:tc>
                <w:tcPr>
                  <w:tcW w:w="3888" w:type="dxa"/>
                  <w:vMerge w:val="continue"/>
                  <w:vAlign w:val="center"/>
                </w:tcPr>
                <w:p w14:paraId="787279CE">
                  <w:pPr>
                    <w:snapToGrid w:val="0"/>
                    <w:spacing w:line="240" w:lineRule="auto"/>
                    <w:jc w:val="left"/>
                    <w:rPr>
                      <w:color w:val="auto"/>
                      <w:sz w:val="21"/>
                      <w:szCs w:val="21"/>
                    </w:rPr>
                  </w:pPr>
                </w:p>
              </w:tc>
            </w:tr>
          </w:tbl>
          <w:p w14:paraId="1ED5520B">
            <w:pPr>
              <w:pStyle w:val="12"/>
              <w:spacing w:before="120" w:beforeLines="50" w:line="360" w:lineRule="auto"/>
              <w:ind w:firstLine="482"/>
              <w:rPr>
                <w:rFonts w:ascii="Times New Roman" w:hAnsi="Times New Roman" w:cs="Times New Roman"/>
                <w:color w:val="auto"/>
                <w:sz w:val="24"/>
                <w:szCs w:val="20"/>
              </w:rPr>
            </w:pPr>
            <w:r>
              <w:rPr>
                <w:rFonts w:hint="eastAsia" w:ascii="Times New Roman" w:hAnsi="Times New Roman" w:cs="Times New Roman"/>
                <w:color w:val="auto"/>
                <w:sz w:val="24"/>
              </w:rPr>
              <w:t>（</w:t>
            </w:r>
            <w:r>
              <w:rPr>
                <w:rFonts w:ascii="Times New Roman" w:hAnsi="Times New Roman" w:cs="Times New Roman"/>
                <w:color w:val="auto"/>
                <w:sz w:val="24"/>
              </w:rPr>
              <w:t>2</w:t>
            </w:r>
            <w:r>
              <w:rPr>
                <w:rFonts w:hint="eastAsia" w:ascii="Times New Roman" w:hAnsi="Times New Roman" w:cs="Times New Roman"/>
                <w:color w:val="auto"/>
                <w:sz w:val="24"/>
              </w:rPr>
              <w:t>）监测项目、频次和执行标准</w:t>
            </w:r>
          </w:p>
          <w:p w14:paraId="139209AA">
            <w:pPr>
              <w:pStyle w:val="12"/>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监测项目：区域环境噪声（连续等效</w:t>
            </w:r>
            <w:r>
              <w:rPr>
                <w:rFonts w:ascii="Times New Roman" w:hAnsi="Times New Roman" w:cs="Times New Roman"/>
                <w:color w:val="auto"/>
                <w:sz w:val="24"/>
              </w:rPr>
              <w:t>A</w:t>
            </w:r>
            <w:r>
              <w:rPr>
                <w:rFonts w:hint="eastAsia" w:ascii="Times New Roman" w:hAnsi="Times New Roman" w:cs="Times New Roman"/>
                <w:color w:val="auto"/>
                <w:sz w:val="24"/>
              </w:rPr>
              <w:t>声级</w:t>
            </w:r>
            <w:r>
              <w:rPr>
                <w:rFonts w:ascii="Times New Roman" w:hAnsi="Times New Roman" w:cs="Times New Roman"/>
                <w:color w:val="auto"/>
                <w:sz w:val="24"/>
              </w:rPr>
              <w:t>LAeq</w:t>
            </w:r>
            <w:r>
              <w:rPr>
                <w:rFonts w:hint="eastAsia" w:ascii="Times New Roman" w:hAnsi="Times New Roman" w:cs="Times New Roman"/>
                <w:color w:val="auto"/>
                <w:sz w:val="24"/>
              </w:rPr>
              <w:t>）。</w:t>
            </w:r>
          </w:p>
          <w:p w14:paraId="0BA8C596">
            <w:pPr>
              <w:pStyle w:val="12"/>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监测频次：每一监测点分白天和夜间进行监测。测量时段为：昼间</w:t>
            </w:r>
            <w:r>
              <w:rPr>
                <w:rFonts w:ascii="Times New Roman" w:hAnsi="Times New Roman" w:cs="Times New Roman"/>
                <w:color w:val="auto"/>
                <w:sz w:val="24"/>
              </w:rPr>
              <w:t>6</w:t>
            </w:r>
            <w:r>
              <w:rPr>
                <w:rFonts w:hint="eastAsia" w:ascii="Times New Roman" w:hAnsi="Times New Roman" w:cs="Times New Roman"/>
                <w:color w:val="auto"/>
                <w:sz w:val="24"/>
              </w:rPr>
              <w:t>：</w:t>
            </w:r>
            <w:r>
              <w:rPr>
                <w:rFonts w:ascii="Times New Roman" w:hAnsi="Times New Roman" w:cs="Times New Roman"/>
                <w:color w:val="auto"/>
                <w:sz w:val="24"/>
              </w:rPr>
              <w:t>00</w:t>
            </w:r>
            <w:r>
              <w:rPr>
                <w:rFonts w:hint="eastAsia" w:ascii="Times New Roman" w:hAnsi="Times New Roman" w:cs="Times New Roman"/>
                <w:color w:val="auto"/>
                <w:sz w:val="24"/>
              </w:rPr>
              <w:t>～</w:t>
            </w:r>
            <w:r>
              <w:rPr>
                <w:rFonts w:ascii="Times New Roman" w:hAnsi="Times New Roman" w:cs="Times New Roman"/>
                <w:color w:val="auto"/>
                <w:sz w:val="24"/>
              </w:rPr>
              <w:t>22</w:t>
            </w:r>
            <w:r>
              <w:rPr>
                <w:rFonts w:hint="eastAsia" w:ascii="Times New Roman" w:hAnsi="Times New Roman" w:cs="Times New Roman"/>
                <w:color w:val="auto"/>
                <w:sz w:val="24"/>
              </w:rPr>
              <w:t>：</w:t>
            </w:r>
            <w:r>
              <w:rPr>
                <w:rFonts w:ascii="Times New Roman" w:hAnsi="Times New Roman" w:cs="Times New Roman"/>
                <w:color w:val="auto"/>
                <w:sz w:val="24"/>
              </w:rPr>
              <w:t>00</w:t>
            </w:r>
            <w:r>
              <w:rPr>
                <w:rFonts w:hint="eastAsia" w:ascii="Times New Roman" w:hAnsi="Times New Roman" w:cs="Times New Roman"/>
                <w:color w:val="auto"/>
                <w:sz w:val="24"/>
              </w:rPr>
              <w:t>；夜间</w:t>
            </w:r>
            <w:r>
              <w:rPr>
                <w:rFonts w:ascii="Times New Roman" w:hAnsi="Times New Roman" w:cs="Times New Roman"/>
                <w:color w:val="auto"/>
                <w:sz w:val="24"/>
              </w:rPr>
              <w:t>22</w:t>
            </w:r>
            <w:r>
              <w:rPr>
                <w:rFonts w:hint="eastAsia" w:ascii="Times New Roman" w:hAnsi="Times New Roman" w:cs="Times New Roman"/>
                <w:color w:val="auto"/>
                <w:sz w:val="24"/>
              </w:rPr>
              <w:t>：</w:t>
            </w:r>
            <w:r>
              <w:rPr>
                <w:rFonts w:ascii="Times New Roman" w:hAnsi="Times New Roman" w:cs="Times New Roman"/>
                <w:color w:val="auto"/>
                <w:sz w:val="24"/>
              </w:rPr>
              <w:t>00</w:t>
            </w:r>
            <w:r>
              <w:rPr>
                <w:rFonts w:hint="eastAsia" w:ascii="Times New Roman" w:hAnsi="Times New Roman" w:cs="Times New Roman"/>
                <w:color w:val="auto"/>
                <w:sz w:val="24"/>
              </w:rPr>
              <w:t>～</w:t>
            </w:r>
            <w:r>
              <w:rPr>
                <w:rFonts w:ascii="Times New Roman" w:hAnsi="Times New Roman" w:cs="Times New Roman"/>
                <w:color w:val="auto"/>
                <w:sz w:val="24"/>
              </w:rPr>
              <w:t>6</w:t>
            </w:r>
            <w:r>
              <w:rPr>
                <w:rFonts w:hint="eastAsia" w:ascii="Times New Roman" w:hAnsi="Times New Roman" w:cs="Times New Roman"/>
                <w:color w:val="auto"/>
                <w:sz w:val="24"/>
              </w:rPr>
              <w:t>：</w:t>
            </w:r>
            <w:r>
              <w:rPr>
                <w:rFonts w:ascii="Times New Roman" w:hAnsi="Times New Roman" w:cs="Times New Roman"/>
                <w:color w:val="auto"/>
                <w:sz w:val="24"/>
              </w:rPr>
              <w:t>00</w:t>
            </w:r>
            <w:r>
              <w:rPr>
                <w:rFonts w:hint="eastAsia" w:ascii="Times New Roman" w:hAnsi="Times New Roman" w:cs="Times New Roman"/>
                <w:color w:val="auto"/>
                <w:sz w:val="24"/>
              </w:rPr>
              <w:t>，昼夜各测一次，每次连续</w:t>
            </w:r>
            <w:r>
              <w:rPr>
                <w:rFonts w:ascii="Times New Roman" w:hAnsi="Times New Roman" w:cs="Times New Roman"/>
                <w:color w:val="auto"/>
                <w:sz w:val="24"/>
              </w:rPr>
              <w:t>10min</w:t>
            </w:r>
            <w:r>
              <w:rPr>
                <w:rFonts w:hint="eastAsia" w:ascii="Times New Roman" w:hAnsi="Times New Roman" w:cs="Times New Roman"/>
                <w:color w:val="auto"/>
                <w:sz w:val="24"/>
              </w:rPr>
              <w:t>，检测</w:t>
            </w:r>
            <w:r>
              <w:rPr>
                <w:rFonts w:ascii="Times New Roman" w:hAnsi="Times New Roman" w:cs="Times New Roman"/>
                <w:color w:val="auto"/>
                <w:sz w:val="24"/>
              </w:rPr>
              <w:t>2</w:t>
            </w:r>
            <w:r>
              <w:rPr>
                <w:rFonts w:hint="eastAsia" w:ascii="Times New Roman" w:hAnsi="Times New Roman" w:cs="Times New Roman"/>
                <w:color w:val="auto"/>
                <w:sz w:val="24"/>
              </w:rPr>
              <w:t>天。</w:t>
            </w:r>
          </w:p>
          <w:p w14:paraId="59C347FD">
            <w:pPr>
              <w:pStyle w:val="12"/>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执行标准：项目厂区厂界四周执行《声环境质量标准》（</w:t>
            </w:r>
            <w:r>
              <w:rPr>
                <w:rFonts w:ascii="Times New Roman" w:hAnsi="Times New Roman" w:cs="Times New Roman"/>
                <w:color w:val="auto"/>
                <w:sz w:val="24"/>
              </w:rPr>
              <w:t>GB3096-2008</w:t>
            </w:r>
            <w:r>
              <w:rPr>
                <w:rFonts w:hint="eastAsia" w:ascii="Times New Roman" w:hAnsi="Times New Roman" w:cs="Times New Roman"/>
                <w:color w:val="auto"/>
                <w:sz w:val="24"/>
              </w:rPr>
              <w:t>）</w:t>
            </w:r>
            <w:r>
              <w:rPr>
                <w:rFonts w:ascii="Times New Roman" w:hAnsi="Times New Roman" w:cs="Times New Roman"/>
                <w:color w:val="auto"/>
                <w:sz w:val="24"/>
              </w:rPr>
              <w:t>3</w:t>
            </w:r>
            <w:r>
              <w:rPr>
                <w:rFonts w:hint="eastAsia" w:ascii="Times New Roman" w:hAnsi="Times New Roman" w:cs="Times New Roman"/>
                <w:color w:val="auto"/>
                <w:sz w:val="24"/>
              </w:rPr>
              <w:t>类限值。</w:t>
            </w:r>
          </w:p>
          <w:p w14:paraId="315624FB">
            <w:pPr>
              <w:pStyle w:val="12"/>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w:t>
            </w:r>
            <w:r>
              <w:rPr>
                <w:rFonts w:ascii="Times New Roman" w:hAnsi="Times New Roman" w:cs="Times New Roman"/>
                <w:color w:val="auto"/>
                <w:sz w:val="24"/>
              </w:rPr>
              <w:t>3</w:t>
            </w:r>
            <w:r>
              <w:rPr>
                <w:rFonts w:hint="eastAsia" w:ascii="Times New Roman" w:hAnsi="Times New Roman" w:cs="Times New Roman"/>
                <w:color w:val="auto"/>
                <w:sz w:val="24"/>
              </w:rPr>
              <w:t>）监测结果及评价</w:t>
            </w:r>
          </w:p>
          <w:p w14:paraId="10307A19">
            <w:pPr>
              <w:pStyle w:val="12"/>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监测结果如表</w:t>
            </w:r>
            <w:r>
              <w:rPr>
                <w:rFonts w:ascii="Times New Roman" w:hAnsi="Times New Roman" w:cs="Times New Roman"/>
                <w:color w:val="auto"/>
                <w:sz w:val="24"/>
              </w:rPr>
              <w:t>3-4</w:t>
            </w:r>
            <w:r>
              <w:rPr>
                <w:rFonts w:hint="eastAsia" w:ascii="Times New Roman" w:hAnsi="Times New Roman" w:cs="Times New Roman"/>
                <w:color w:val="auto"/>
                <w:sz w:val="24"/>
              </w:rPr>
              <w:t>所示。</w:t>
            </w:r>
          </w:p>
          <w:p w14:paraId="3AF4AAD4">
            <w:pPr>
              <w:spacing w:line="240" w:lineRule="auto"/>
              <w:jc w:val="center"/>
              <w:rPr>
                <w:b/>
                <w:bCs/>
                <w:color w:val="auto"/>
                <w:sz w:val="21"/>
                <w:szCs w:val="21"/>
              </w:rPr>
            </w:pPr>
            <w:bookmarkStart w:id="72" w:name="_Ref509499754"/>
            <w:r>
              <w:rPr>
                <w:rFonts w:hint="eastAsia"/>
                <w:b/>
                <w:bCs/>
                <w:color w:val="auto"/>
                <w:sz w:val="21"/>
                <w:szCs w:val="21"/>
              </w:rPr>
              <w:t>表</w:t>
            </w:r>
            <w:bookmarkEnd w:id="72"/>
            <w:r>
              <w:rPr>
                <w:b/>
                <w:bCs/>
                <w:color w:val="auto"/>
                <w:sz w:val="21"/>
                <w:szCs w:val="21"/>
              </w:rPr>
              <w:t xml:space="preserve">3-4 </w:t>
            </w:r>
            <w:r>
              <w:rPr>
                <w:rFonts w:hint="eastAsia"/>
                <w:b/>
                <w:bCs/>
                <w:color w:val="auto"/>
                <w:sz w:val="21"/>
                <w:szCs w:val="21"/>
              </w:rPr>
              <w:t>环境噪声监测结果及评价</w:t>
            </w:r>
            <w:r>
              <w:rPr>
                <w:b/>
                <w:bCs/>
                <w:color w:val="auto"/>
                <w:sz w:val="21"/>
                <w:szCs w:val="21"/>
              </w:rPr>
              <w:t xml:space="preserve">  </w:t>
            </w:r>
            <w:r>
              <w:rPr>
                <w:rFonts w:hint="eastAsia"/>
                <w:b/>
                <w:bCs/>
                <w:color w:val="auto"/>
                <w:sz w:val="21"/>
                <w:szCs w:val="21"/>
              </w:rPr>
              <w:t>单位</w:t>
            </w:r>
            <w:r>
              <w:rPr>
                <w:b/>
                <w:bCs/>
                <w:color w:val="auto"/>
                <w:sz w:val="21"/>
                <w:szCs w:val="21"/>
              </w:rPr>
              <w:t>dB</w:t>
            </w:r>
            <w:r>
              <w:rPr>
                <w:rFonts w:hint="eastAsia"/>
                <w:b/>
                <w:bCs/>
                <w:color w:val="auto"/>
                <w:sz w:val="21"/>
                <w:szCs w:val="21"/>
              </w:rPr>
              <w:t>（</w:t>
            </w:r>
            <w:r>
              <w:rPr>
                <w:b/>
                <w:bCs/>
                <w:color w:val="auto"/>
                <w:sz w:val="21"/>
                <w:szCs w:val="21"/>
              </w:rPr>
              <w:t>A</w:t>
            </w:r>
            <w:r>
              <w:rPr>
                <w:rFonts w:hint="eastAsia"/>
                <w:b/>
                <w:bCs/>
                <w:color w:val="auto"/>
                <w:sz w:val="21"/>
                <w:szCs w:val="21"/>
              </w:rPr>
              <w:t>）</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2453"/>
              <w:gridCol w:w="820"/>
              <w:gridCol w:w="823"/>
              <w:gridCol w:w="772"/>
              <w:gridCol w:w="772"/>
              <w:gridCol w:w="772"/>
              <w:gridCol w:w="761"/>
            </w:tblGrid>
            <w:tr w14:paraId="210E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12" w:type="pct"/>
                  <w:vMerge w:val="restart"/>
                  <w:vAlign w:val="center"/>
                </w:tcPr>
                <w:p w14:paraId="304125CC">
                  <w:pPr>
                    <w:tabs>
                      <w:tab w:val="left" w:pos="6900"/>
                    </w:tabs>
                    <w:snapToGrid w:val="0"/>
                    <w:spacing w:line="240" w:lineRule="auto"/>
                    <w:jc w:val="center"/>
                    <w:rPr>
                      <w:b/>
                      <w:bCs/>
                      <w:color w:val="auto"/>
                      <w:kern w:val="0"/>
                      <w:sz w:val="21"/>
                      <w:szCs w:val="21"/>
                    </w:rPr>
                  </w:pPr>
                  <w:r>
                    <w:rPr>
                      <w:rFonts w:hint="eastAsia"/>
                      <w:b/>
                      <w:bCs/>
                      <w:color w:val="auto"/>
                      <w:kern w:val="0"/>
                      <w:sz w:val="21"/>
                      <w:szCs w:val="21"/>
                    </w:rPr>
                    <w:t>监测时间</w:t>
                  </w:r>
                </w:p>
              </w:tc>
              <w:tc>
                <w:tcPr>
                  <w:tcW w:w="1466" w:type="pct"/>
                  <w:vMerge w:val="restart"/>
                  <w:vAlign w:val="center"/>
                </w:tcPr>
                <w:p w14:paraId="0B64C014">
                  <w:pPr>
                    <w:tabs>
                      <w:tab w:val="left" w:pos="6900"/>
                    </w:tabs>
                    <w:snapToGrid w:val="0"/>
                    <w:spacing w:line="240" w:lineRule="auto"/>
                    <w:jc w:val="center"/>
                    <w:rPr>
                      <w:b/>
                      <w:bCs/>
                      <w:color w:val="auto"/>
                      <w:kern w:val="0"/>
                      <w:sz w:val="21"/>
                      <w:szCs w:val="21"/>
                    </w:rPr>
                  </w:pPr>
                  <w:r>
                    <w:rPr>
                      <w:b/>
                      <w:bCs/>
                      <w:color w:val="auto"/>
                      <w:kern w:val="0"/>
                      <w:sz w:val="21"/>
                      <w:szCs w:val="21"/>
                    </w:rPr>
                    <w:t>监测点位</w:t>
                  </w:r>
                </w:p>
              </w:tc>
              <w:tc>
                <w:tcPr>
                  <w:tcW w:w="982" w:type="pct"/>
                  <w:gridSpan w:val="2"/>
                  <w:vAlign w:val="center"/>
                </w:tcPr>
                <w:p w14:paraId="29766B13">
                  <w:pPr>
                    <w:tabs>
                      <w:tab w:val="left" w:pos="6900"/>
                    </w:tabs>
                    <w:snapToGrid w:val="0"/>
                    <w:spacing w:line="240" w:lineRule="auto"/>
                    <w:jc w:val="center"/>
                    <w:rPr>
                      <w:b/>
                      <w:bCs/>
                      <w:color w:val="auto"/>
                      <w:kern w:val="0"/>
                      <w:sz w:val="21"/>
                      <w:szCs w:val="21"/>
                    </w:rPr>
                  </w:pPr>
                  <w:r>
                    <w:rPr>
                      <w:rFonts w:hint="eastAsia"/>
                      <w:b/>
                      <w:bCs/>
                      <w:color w:val="auto"/>
                      <w:kern w:val="0"/>
                      <w:sz w:val="21"/>
                      <w:szCs w:val="21"/>
                    </w:rPr>
                    <w:t>监测结果</w:t>
                  </w:r>
                </w:p>
              </w:tc>
              <w:tc>
                <w:tcPr>
                  <w:tcW w:w="922" w:type="pct"/>
                  <w:gridSpan w:val="2"/>
                  <w:vAlign w:val="center"/>
                </w:tcPr>
                <w:p w14:paraId="30CE774A">
                  <w:pPr>
                    <w:tabs>
                      <w:tab w:val="left" w:pos="6900"/>
                    </w:tabs>
                    <w:snapToGrid w:val="0"/>
                    <w:spacing w:line="240" w:lineRule="auto"/>
                    <w:jc w:val="center"/>
                    <w:rPr>
                      <w:b/>
                      <w:bCs/>
                      <w:color w:val="auto"/>
                      <w:kern w:val="0"/>
                      <w:sz w:val="21"/>
                      <w:szCs w:val="21"/>
                    </w:rPr>
                  </w:pPr>
                  <w:r>
                    <w:rPr>
                      <w:rFonts w:hint="eastAsia"/>
                      <w:b/>
                      <w:bCs/>
                      <w:color w:val="auto"/>
                      <w:kern w:val="0"/>
                      <w:sz w:val="21"/>
                      <w:szCs w:val="21"/>
                    </w:rPr>
                    <w:t>评价标准</w:t>
                  </w:r>
                </w:p>
              </w:tc>
              <w:tc>
                <w:tcPr>
                  <w:tcW w:w="916" w:type="pct"/>
                  <w:gridSpan w:val="2"/>
                  <w:vAlign w:val="center"/>
                </w:tcPr>
                <w:p w14:paraId="28C1CF5B">
                  <w:pPr>
                    <w:tabs>
                      <w:tab w:val="left" w:pos="6900"/>
                    </w:tabs>
                    <w:snapToGrid w:val="0"/>
                    <w:spacing w:line="240" w:lineRule="auto"/>
                    <w:jc w:val="center"/>
                    <w:rPr>
                      <w:b/>
                      <w:bCs/>
                      <w:color w:val="auto"/>
                      <w:kern w:val="0"/>
                      <w:sz w:val="21"/>
                      <w:szCs w:val="21"/>
                    </w:rPr>
                  </w:pPr>
                  <w:r>
                    <w:rPr>
                      <w:rFonts w:hint="eastAsia"/>
                      <w:b/>
                      <w:bCs/>
                      <w:color w:val="auto"/>
                      <w:kern w:val="0"/>
                      <w:sz w:val="21"/>
                      <w:szCs w:val="21"/>
                    </w:rPr>
                    <w:t>达标情况</w:t>
                  </w:r>
                </w:p>
              </w:tc>
            </w:tr>
            <w:tr w14:paraId="2A4B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continue"/>
                  <w:vAlign w:val="center"/>
                </w:tcPr>
                <w:p w14:paraId="29C44A0C">
                  <w:pPr>
                    <w:tabs>
                      <w:tab w:val="left" w:pos="6900"/>
                    </w:tabs>
                    <w:snapToGrid w:val="0"/>
                    <w:spacing w:line="240" w:lineRule="auto"/>
                    <w:jc w:val="center"/>
                    <w:rPr>
                      <w:b/>
                      <w:bCs/>
                      <w:color w:val="auto"/>
                      <w:kern w:val="0"/>
                      <w:sz w:val="21"/>
                      <w:szCs w:val="21"/>
                    </w:rPr>
                  </w:pPr>
                </w:p>
              </w:tc>
              <w:tc>
                <w:tcPr>
                  <w:tcW w:w="1466" w:type="pct"/>
                  <w:vMerge w:val="continue"/>
                  <w:vAlign w:val="center"/>
                </w:tcPr>
                <w:p w14:paraId="22F0231B">
                  <w:pPr>
                    <w:tabs>
                      <w:tab w:val="left" w:pos="6900"/>
                    </w:tabs>
                    <w:snapToGrid w:val="0"/>
                    <w:spacing w:line="240" w:lineRule="auto"/>
                    <w:jc w:val="center"/>
                    <w:rPr>
                      <w:b/>
                      <w:bCs/>
                      <w:color w:val="auto"/>
                      <w:kern w:val="0"/>
                      <w:sz w:val="21"/>
                      <w:szCs w:val="21"/>
                    </w:rPr>
                  </w:pPr>
                </w:p>
              </w:tc>
              <w:tc>
                <w:tcPr>
                  <w:tcW w:w="490" w:type="pct"/>
                  <w:vAlign w:val="center"/>
                </w:tcPr>
                <w:p w14:paraId="0422030F">
                  <w:pPr>
                    <w:tabs>
                      <w:tab w:val="left" w:pos="6900"/>
                    </w:tabs>
                    <w:snapToGrid w:val="0"/>
                    <w:spacing w:line="240" w:lineRule="auto"/>
                    <w:jc w:val="center"/>
                    <w:rPr>
                      <w:b/>
                      <w:bCs/>
                      <w:color w:val="auto"/>
                      <w:kern w:val="0"/>
                      <w:sz w:val="21"/>
                      <w:szCs w:val="21"/>
                    </w:rPr>
                  </w:pPr>
                  <w:r>
                    <w:rPr>
                      <w:b/>
                      <w:bCs/>
                      <w:color w:val="auto"/>
                      <w:kern w:val="0"/>
                      <w:sz w:val="21"/>
                      <w:szCs w:val="21"/>
                    </w:rPr>
                    <w:t>昼间</w:t>
                  </w:r>
                </w:p>
              </w:tc>
              <w:tc>
                <w:tcPr>
                  <w:tcW w:w="492" w:type="pct"/>
                  <w:vAlign w:val="center"/>
                </w:tcPr>
                <w:p w14:paraId="036B0208">
                  <w:pPr>
                    <w:tabs>
                      <w:tab w:val="left" w:pos="6900"/>
                    </w:tabs>
                    <w:snapToGrid w:val="0"/>
                    <w:spacing w:line="240" w:lineRule="auto"/>
                    <w:jc w:val="center"/>
                    <w:rPr>
                      <w:b/>
                      <w:bCs/>
                      <w:color w:val="auto"/>
                      <w:kern w:val="0"/>
                      <w:sz w:val="21"/>
                      <w:szCs w:val="21"/>
                    </w:rPr>
                  </w:pPr>
                  <w:r>
                    <w:rPr>
                      <w:b/>
                      <w:bCs/>
                      <w:color w:val="auto"/>
                      <w:kern w:val="0"/>
                      <w:sz w:val="21"/>
                      <w:szCs w:val="21"/>
                    </w:rPr>
                    <w:t>夜间</w:t>
                  </w:r>
                </w:p>
              </w:tc>
              <w:tc>
                <w:tcPr>
                  <w:tcW w:w="461" w:type="pct"/>
                  <w:vAlign w:val="center"/>
                </w:tcPr>
                <w:p w14:paraId="1A175ABB">
                  <w:pPr>
                    <w:tabs>
                      <w:tab w:val="left" w:pos="6900"/>
                    </w:tabs>
                    <w:snapToGrid w:val="0"/>
                    <w:spacing w:line="240" w:lineRule="auto"/>
                    <w:jc w:val="center"/>
                    <w:rPr>
                      <w:b/>
                      <w:bCs/>
                      <w:color w:val="auto"/>
                      <w:kern w:val="0"/>
                      <w:sz w:val="21"/>
                      <w:szCs w:val="21"/>
                    </w:rPr>
                  </w:pPr>
                  <w:r>
                    <w:rPr>
                      <w:b/>
                      <w:bCs/>
                      <w:color w:val="auto"/>
                      <w:kern w:val="0"/>
                      <w:sz w:val="21"/>
                      <w:szCs w:val="21"/>
                    </w:rPr>
                    <w:t>昼间</w:t>
                  </w:r>
                </w:p>
              </w:tc>
              <w:tc>
                <w:tcPr>
                  <w:tcW w:w="461" w:type="pct"/>
                  <w:vAlign w:val="center"/>
                </w:tcPr>
                <w:p w14:paraId="223B5B13">
                  <w:pPr>
                    <w:tabs>
                      <w:tab w:val="left" w:pos="6900"/>
                    </w:tabs>
                    <w:snapToGrid w:val="0"/>
                    <w:spacing w:line="240" w:lineRule="auto"/>
                    <w:jc w:val="center"/>
                    <w:rPr>
                      <w:b/>
                      <w:bCs/>
                      <w:color w:val="auto"/>
                      <w:kern w:val="0"/>
                      <w:sz w:val="21"/>
                      <w:szCs w:val="21"/>
                    </w:rPr>
                  </w:pPr>
                  <w:r>
                    <w:rPr>
                      <w:b/>
                      <w:bCs/>
                      <w:color w:val="auto"/>
                      <w:kern w:val="0"/>
                      <w:sz w:val="21"/>
                      <w:szCs w:val="21"/>
                    </w:rPr>
                    <w:t>夜间</w:t>
                  </w:r>
                </w:p>
              </w:tc>
              <w:tc>
                <w:tcPr>
                  <w:tcW w:w="461" w:type="pct"/>
                  <w:vAlign w:val="center"/>
                </w:tcPr>
                <w:p w14:paraId="0C875D37">
                  <w:pPr>
                    <w:tabs>
                      <w:tab w:val="left" w:pos="6900"/>
                    </w:tabs>
                    <w:snapToGrid w:val="0"/>
                    <w:spacing w:line="240" w:lineRule="auto"/>
                    <w:jc w:val="center"/>
                    <w:rPr>
                      <w:b/>
                      <w:bCs/>
                      <w:color w:val="auto"/>
                      <w:kern w:val="0"/>
                      <w:sz w:val="21"/>
                      <w:szCs w:val="21"/>
                    </w:rPr>
                  </w:pPr>
                  <w:r>
                    <w:rPr>
                      <w:b/>
                      <w:bCs/>
                      <w:color w:val="auto"/>
                      <w:kern w:val="0"/>
                      <w:sz w:val="21"/>
                      <w:szCs w:val="21"/>
                    </w:rPr>
                    <w:t>昼间</w:t>
                  </w:r>
                </w:p>
              </w:tc>
              <w:tc>
                <w:tcPr>
                  <w:tcW w:w="455" w:type="pct"/>
                  <w:vAlign w:val="center"/>
                </w:tcPr>
                <w:p w14:paraId="7D6AD7BC">
                  <w:pPr>
                    <w:tabs>
                      <w:tab w:val="left" w:pos="6900"/>
                    </w:tabs>
                    <w:snapToGrid w:val="0"/>
                    <w:spacing w:line="240" w:lineRule="auto"/>
                    <w:jc w:val="center"/>
                    <w:rPr>
                      <w:b/>
                      <w:bCs/>
                      <w:color w:val="auto"/>
                      <w:kern w:val="0"/>
                      <w:sz w:val="21"/>
                      <w:szCs w:val="21"/>
                    </w:rPr>
                  </w:pPr>
                  <w:r>
                    <w:rPr>
                      <w:b/>
                      <w:bCs/>
                      <w:color w:val="auto"/>
                      <w:kern w:val="0"/>
                      <w:sz w:val="21"/>
                      <w:szCs w:val="21"/>
                    </w:rPr>
                    <w:t>夜间</w:t>
                  </w:r>
                </w:p>
              </w:tc>
            </w:tr>
            <w:tr w14:paraId="2564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restart"/>
                  <w:vAlign w:val="center"/>
                </w:tcPr>
                <w:p w14:paraId="5DF58840">
                  <w:pPr>
                    <w:pStyle w:val="122"/>
                    <w:snapToGrid w:val="0"/>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rPr>
                    <w:t>2</w:t>
                  </w:r>
                  <w:r>
                    <w:rPr>
                      <w:bCs/>
                      <w:color w:val="auto"/>
                      <w:sz w:val="21"/>
                      <w:szCs w:val="21"/>
                      <w:highlight w:val="none"/>
                    </w:rPr>
                    <w:t>02</w:t>
                  </w:r>
                  <w:r>
                    <w:rPr>
                      <w:rFonts w:hint="eastAsia"/>
                      <w:bCs/>
                      <w:color w:val="auto"/>
                      <w:sz w:val="21"/>
                      <w:szCs w:val="21"/>
                      <w:highlight w:val="none"/>
                    </w:rPr>
                    <w:t>4.1</w:t>
                  </w:r>
                  <w:r>
                    <w:rPr>
                      <w:rFonts w:hint="eastAsia"/>
                      <w:bCs/>
                      <w:color w:val="auto"/>
                      <w:sz w:val="21"/>
                      <w:szCs w:val="21"/>
                      <w:highlight w:val="none"/>
                      <w:lang w:val="en-US" w:eastAsia="zh-CN"/>
                    </w:rPr>
                    <w:t>0</w:t>
                  </w:r>
                  <w:r>
                    <w:rPr>
                      <w:rFonts w:hint="eastAsia"/>
                      <w:bCs/>
                      <w:color w:val="auto"/>
                      <w:sz w:val="21"/>
                      <w:szCs w:val="21"/>
                      <w:highlight w:val="none"/>
                    </w:rPr>
                    <w:t>.</w:t>
                  </w:r>
                  <w:r>
                    <w:rPr>
                      <w:rFonts w:hint="eastAsia"/>
                      <w:bCs/>
                      <w:color w:val="auto"/>
                      <w:sz w:val="21"/>
                      <w:szCs w:val="21"/>
                      <w:highlight w:val="none"/>
                      <w:lang w:val="en-US" w:eastAsia="zh-CN"/>
                    </w:rPr>
                    <w:t>14</w:t>
                  </w:r>
                </w:p>
              </w:tc>
              <w:tc>
                <w:tcPr>
                  <w:tcW w:w="1466" w:type="pct"/>
                  <w:vAlign w:val="center"/>
                </w:tcPr>
                <w:p w14:paraId="4195B391">
                  <w:pPr>
                    <w:pStyle w:val="122"/>
                    <w:snapToGrid w:val="0"/>
                    <w:ind w:firstLine="0" w:firstLineChars="0"/>
                    <w:jc w:val="center"/>
                    <w:rPr>
                      <w:bCs/>
                      <w:color w:val="auto"/>
                      <w:sz w:val="21"/>
                      <w:szCs w:val="21"/>
                    </w:rPr>
                  </w:pPr>
                  <w:r>
                    <w:rPr>
                      <w:color w:val="auto"/>
                      <w:sz w:val="21"/>
                      <w:szCs w:val="21"/>
                    </w:rPr>
                    <w:t>N1东</w:t>
                  </w:r>
                  <w:r>
                    <w:rPr>
                      <w:rFonts w:hint="eastAsia"/>
                      <w:color w:val="auto"/>
                      <w:sz w:val="21"/>
                      <w:szCs w:val="21"/>
                    </w:rPr>
                    <w:t>面厂</w:t>
                  </w:r>
                  <w:r>
                    <w:rPr>
                      <w:color w:val="auto"/>
                      <w:sz w:val="21"/>
                      <w:szCs w:val="21"/>
                    </w:rPr>
                    <w:t>界外1m处</w:t>
                  </w:r>
                </w:p>
              </w:tc>
              <w:tc>
                <w:tcPr>
                  <w:tcW w:w="810" w:type="dxa"/>
                  <w:vAlign w:val="center"/>
                </w:tcPr>
                <w:p w14:paraId="6808654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color w:val="auto"/>
                      <w:kern w:val="0"/>
                      <w:sz w:val="21"/>
                      <w:szCs w:val="21"/>
                    </w:rPr>
                  </w:pPr>
                </w:p>
              </w:tc>
              <w:tc>
                <w:tcPr>
                  <w:tcW w:w="492" w:type="pct"/>
                  <w:vAlign w:val="center"/>
                </w:tcPr>
                <w:p w14:paraId="21F908E0">
                  <w:pPr>
                    <w:keepNext w:val="0"/>
                    <w:keepLines w:val="0"/>
                    <w:pageBreakBefore w:val="0"/>
                    <w:kinsoku/>
                    <w:wordWrap/>
                    <w:overflowPunct/>
                    <w:topLinePunct w:val="0"/>
                    <w:autoSpaceDE/>
                    <w:autoSpaceDN/>
                    <w:bidi w:val="0"/>
                    <w:adjustRightInd/>
                    <w:snapToGrid w:val="0"/>
                    <w:spacing w:line="240" w:lineRule="auto"/>
                    <w:jc w:val="center"/>
                    <w:rPr>
                      <w:color w:val="auto"/>
                      <w:kern w:val="0"/>
                      <w:sz w:val="21"/>
                      <w:szCs w:val="21"/>
                    </w:rPr>
                  </w:pPr>
                </w:p>
              </w:tc>
              <w:tc>
                <w:tcPr>
                  <w:tcW w:w="461" w:type="pct"/>
                  <w:vAlign w:val="center"/>
                </w:tcPr>
                <w:p w14:paraId="3AEB43A8">
                  <w:pPr>
                    <w:tabs>
                      <w:tab w:val="left" w:pos="6900"/>
                    </w:tabs>
                    <w:snapToGrid w:val="0"/>
                    <w:spacing w:line="240" w:lineRule="auto"/>
                    <w:jc w:val="center"/>
                    <w:rPr>
                      <w:color w:val="auto"/>
                      <w:kern w:val="0"/>
                      <w:sz w:val="21"/>
                      <w:szCs w:val="21"/>
                    </w:rPr>
                  </w:pPr>
                </w:p>
              </w:tc>
              <w:tc>
                <w:tcPr>
                  <w:tcW w:w="461" w:type="pct"/>
                  <w:vAlign w:val="center"/>
                </w:tcPr>
                <w:p w14:paraId="63D3496D">
                  <w:pPr>
                    <w:tabs>
                      <w:tab w:val="left" w:pos="6900"/>
                    </w:tabs>
                    <w:snapToGrid w:val="0"/>
                    <w:spacing w:line="240" w:lineRule="auto"/>
                    <w:jc w:val="center"/>
                    <w:rPr>
                      <w:color w:val="auto"/>
                      <w:kern w:val="0"/>
                      <w:sz w:val="21"/>
                      <w:szCs w:val="21"/>
                    </w:rPr>
                  </w:pPr>
                </w:p>
              </w:tc>
              <w:tc>
                <w:tcPr>
                  <w:tcW w:w="461" w:type="pct"/>
                  <w:vAlign w:val="center"/>
                </w:tcPr>
                <w:p w14:paraId="6FF79040">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c>
                <w:tcPr>
                  <w:tcW w:w="455" w:type="pct"/>
                  <w:vAlign w:val="center"/>
                </w:tcPr>
                <w:p w14:paraId="252A865B">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r>
            <w:tr w14:paraId="66F2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continue"/>
                  <w:vAlign w:val="center"/>
                </w:tcPr>
                <w:p w14:paraId="7B7C08BA">
                  <w:pPr>
                    <w:pStyle w:val="122"/>
                    <w:snapToGrid w:val="0"/>
                    <w:ind w:firstLine="0" w:firstLineChars="0"/>
                    <w:jc w:val="center"/>
                    <w:rPr>
                      <w:bCs/>
                      <w:color w:val="auto"/>
                      <w:sz w:val="21"/>
                      <w:szCs w:val="21"/>
                      <w:highlight w:val="none"/>
                    </w:rPr>
                  </w:pPr>
                </w:p>
              </w:tc>
              <w:tc>
                <w:tcPr>
                  <w:tcW w:w="1466" w:type="pct"/>
                  <w:vAlign w:val="center"/>
                </w:tcPr>
                <w:p w14:paraId="0B68059F">
                  <w:pPr>
                    <w:pStyle w:val="122"/>
                    <w:snapToGrid w:val="0"/>
                    <w:ind w:firstLine="0" w:firstLineChars="0"/>
                    <w:jc w:val="center"/>
                    <w:rPr>
                      <w:bCs/>
                      <w:color w:val="auto"/>
                      <w:sz w:val="21"/>
                      <w:szCs w:val="21"/>
                    </w:rPr>
                  </w:pPr>
                  <w:r>
                    <w:rPr>
                      <w:color w:val="auto"/>
                      <w:sz w:val="21"/>
                      <w:szCs w:val="21"/>
                    </w:rPr>
                    <w:t>N2</w:t>
                  </w:r>
                  <w:r>
                    <w:rPr>
                      <w:rFonts w:hint="eastAsia"/>
                      <w:color w:val="auto"/>
                      <w:sz w:val="21"/>
                      <w:szCs w:val="21"/>
                    </w:rPr>
                    <w:t>南面厂</w:t>
                  </w:r>
                  <w:r>
                    <w:rPr>
                      <w:color w:val="auto"/>
                      <w:sz w:val="21"/>
                      <w:szCs w:val="21"/>
                    </w:rPr>
                    <w:t>界外1m处</w:t>
                  </w:r>
                </w:p>
              </w:tc>
              <w:tc>
                <w:tcPr>
                  <w:tcW w:w="810" w:type="dxa"/>
                  <w:vAlign w:val="center"/>
                </w:tcPr>
                <w:p w14:paraId="5C6E113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color w:val="auto"/>
                      <w:kern w:val="0"/>
                      <w:sz w:val="21"/>
                      <w:szCs w:val="21"/>
                    </w:rPr>
                  </w:pPr>
                </w:p>
              </w:tc>
              <w:tc>
                <w:tcPr>
                  <w:tcW w:w="492" w:type="pct"/>
                  <w:vAlign w:val="center"/>
                </w:tcPr>
                <w:p w14:paraId="611CE26C">
                  <w:pPr>
                    <w:keepNext w:val="0"/>
                    <w:keepLines w:val="0"/>
                    <w:pageBreakBefore w:val="0"/>
                    <w:kinsoku/>
                    <w:wordWrap/>
                    <w:overflowPunct/>
                    <w:topLinePunct w:val="0"/>
                    <w:autoSpaceDE/>
                    <w:autoSpaceDN/>
                    <w:bidi w:val="0"/>
                    <w:adjustRightInd/>
                    <w:snapToGrid w:val="0"/>
                    <w:spacing w:line="240" w:lineRule="auto"/>
                    <w:jc w:val="center"/>
                    <w:rPr>
                      <w:color w:val="auto"/>
                      <w:kern w:val="0"/>
                      <w:sz w:val="21"/>
                      <w:szCs w:val="21"/>
                    </w:rPr>
                  </w:pPr>
                </w:p>
              </w:tc>
              <w:tc>
                <w:tcPr>
                  <w:tcW w:w="461" w:type="pct"/>
                  <w:vAlign w:val="center"/>
                </w:tcPr>
                <w:p w14:paraId="3FE25B35">
                  <w:pPr>
                    <w:tabs>
                      <w:tab w:val="left" w:pos="6900"/>
                    </w:tabs>
                    <w:snapToGrid w:val="0"/>
                    <w:spacing w:line="240" w:lineRule="auto"/>
                    <w:jc w:val="center"/>
                    <w:rPr>
                      <w:color w:val="auto"/>
                      <w:kern w:val="0"/>
                      <w:sz w:val="21"/>
                      <w:szCs w:val="21"/>
                    </w:rPr>
                  </w:pPr>
                </w:p>
              </w:tc>
              <w:tc>
                <w:tcPr>
                  <w:tcW w:w="461" w:type="pct"/>
                  <w:vAlign w:val="center"/>
                </w:tcPr>
                <w:p w14:paraId="5A3EED29">
                  <w:pPr>
                    <w:tabs>
                      <w:tab w:val="left" w:pos="6900"/>
                    </w:tabs>
                    <w:snapToGrid w:val="0"/>
                    <w:spacing w:line="240" w:lineRule="auto"/>
                    <w:jc w:val="center"/>
                    <w:rPr>
                      <w:color w:val="auto"/>
                      <w:kern w:val="0"/>
                      <w:sz w:val="21"/>
                      <w:szCs w:val="21"/>
                    </w:rPr>
                  </w:pPr>
                </w:p>
              </w:tc>
              <w:tc>
                <w:tcPr>
                  <w:tcW w:w="461" w:type="pct"/>
                  <w:vAlign w:val="center"/>
                </w:tcPr>
                <w:p w14:paraId="5D119B1E">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c>
                <w:tcPr>
                  <w:tcW w:w="455" w:type="pct"/>
                  <w:vAlign w:val="center"/>
                </w:tcPr>
                <w:p w14:paraId="1A2F6BD0">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r>
            <w:tr w14:paraId="203E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continue"/>
                  <w:vAlign w:val="center"/>
                </w:tcPr>
                <w:p w14:paraId="53ECE727">
                  <w:pPr>
                    <w:pStyle w:val="122"/>
                    <w:snapToGrid w:val="0"/>
                    <w:ind w:firstLine="0" w:firstLineChars="0"/>
                    <w:jc w:val="center"/>
                    <w:rPr>
                      <w:bCs/>
                      <w:color w:val="auto"/>
                      <w:sz w:val="21"/>
                      <w:szCs w:val="21"/>
                      <w:highlight w:val="none"/>
                    </w:rPr>
                  </w:pPr>
                </w:p>
              </w:tc>
              <w:tc>
                <w:tcPr>
                  <w:tcW w:w="1466" w:type="pct"/>
                  <w:vAlign w:val="center"/>
                </w:tcPr>
                <w:p w14:paraId="02F8D702">
                  <w:pPr>
                    <w:pStyle w:val="122"/>
                    <w:snapToGrid w:val="0"/>
                    <w:ind w:firstLine="0" w:firstLineChars="0"/>
                    <w:jc w:val="center"/>
                    <w:rPr>
                      <w:bCs/>
                      <w:color w:val="auto"/>
                      <w:sz w:val="21"/>
                      <w:szCs w:val="21"/>
                    </w:rPr>
                  </w:pPr>
                  <w:r>
                    <w:rPr>
                      <w:color w:val="auto"/>
                      <w:sz w:val="21"/>
                      <w:szCs w:val="21"/>
                    </w:rPr>
                    <w:t>N</w:t>
                  </w:r>
                  <w:r>
                    <w:rPr>
                      <w:rFonts w:hint="eastAsia"/>
                      <w:color w:val="auto"/>
                      <w:sz w:val="21"/>
                      <w:szCs w:val="21"/>
                    </w:rPr>
                    <w:t>3</w:t>
                  </w:r>
                  <w:r>
                    <w:rPr>
                      <w:color w:val="auto"/>
                      <w:sz w:val="21"/>
                      <w:szCs w:val="21"/>
                    </w:rPr>
                    <w:t>西</w:t>
                  </w:r>
                  <w:r>
                    <w:rPr>
                      <w:rFonts w:hint="eastAsia"/>
                      <w:color w:val="auto"/>
                      <w:sz w:val="21"/>
                      <w:szCs w:val="21"/>
                    </w:rPr>
                    <w:t>面厂</w:t>
                  </w:r>
                  <w:r>
                    <w:rPr>
                      <w:color w:val="auto"/>
                      <w:sz w:val="21"/>
                      <w:szCs w:val="21"/>
                    </w:rPr>
                    <w:t>界外1m处</w:t>
                  </w:r>
                </w:p>
              </w:tc>
              <w:tc>
                <w:tcPr>
                  <w:tcW w:w="810" w:type="dxa"/>
                  <w:vAlign w:val="center"/>
                </w:tcPr>
                <w:p w14:paraId="602571C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color w:val="auto"/>
                      <w:kern w:val="0"/>
                      <w:sz w:val="21"/>
                      <w:szCs w:val="21"/>
                    </w:rPr>
                  </w:pPr>
                </w:p>
              </w:tc>
              <w:tc>
                <w:tcPr>
                  <w:tcW w:w="492" w:type="pct"/>
                  <w:vAlign w:val="center"/>
                </w:tcPr>
                <w:p w14:paraId="03C67DB3">
                  <w:pPr>
                    <w:keepNext w:val="0"/>
                    <w:keepLines w:val="0"/>
                    <w:pageBreakBefore w:val="0"/>
                    <w:kinsoku/>
                    <w:wordWrap/>
                    <w:overflowPunct/>
                    <w:topLinePunct w:val="0"/>
                    <w:autoSpaceDE/>
                    <w:autoSpaceDN/>
                    <w:bidi w:val="0"/>
                    <w:adjustRightInd/>
                    <w:snapToGrid w:val="0"/>
                    <w:spacing w:line="240" w:lineRule="auto"/>
                    <w:jc w:val="center"/>
                    <w:rPr>
                      <w:color w:val="auto"/>
                      <w:kern w:val="0"/>
                      <w:sz w:val="21"/>
                      <w:szCs w:val="21"/>
                    </w:rPr>
                  </w:pPr>
                </w:p>
              </w:tc>
              <w:tc>
                <w:tcPr>
                  <w:tcW w:w="461" w:type="pct"/>
                  <w:vAlign w:val="center"/>
                </w:tcPr>
                <w:p w14:paraId="35FBB6B4">
                  <w:pPr>
                    <w:tabs>
                      <w:tab w:val="left" w:pos="6900"/>
                    </w:tabs>
                    <w:snapToGrid w:val="0"/>
                    <w:spacing w:line="240" w:lineRule="auto"/>
                    <w:jc w:val="center"/>
                    <w:rPr>
                      <w:rFonts w:hint="default" w:eastAsia="宋体"/>
                      <w:color w:val="auto"/>
                      <w:kern w:val="0"/>
                      <w:sz w:val="21"/>
                      <w:szCs w:val="21"/>
                      <w:lang w:val="en-US" w:eastAsia="zh-CN"/>
                    </w:rPr>
                  </w:pPr>
                </w:p>
              </w:tc>
              <w:tc>
                <w:tcPr>
                  <w:tcW w:w="461" w:type="pct"/>
                  <w:vAlign w:val="center"/>
                </w:tcPr>
                <w:p w14:paraId="640962CE">
                  <w:pPr>
                    <w:tabs>
                      <w:tab w:val="left" w:pos="6900"/>
                    </w:tabs>
                    <w:snapToGrid w:val="0"/>
                    <w:spacing w:line="240" w:lineRule="auto"/>
                    <w:jc w:val="center"/>
                    <w:rPr>
                      <w:color w:val="auto"/>
                      <w:kern w:val="0"/>
                      <w:sz w:val="21"/>
                      <w:szCs w:val="21"/>
                    </w:rPr>
                  </w:pPr>
                </w:p>
              </w:tc>
              <w:tc>
                <w:tcPr>
                  <w:tcW w:w="461" w:type="pct"/>
                  <w:vAlign w:val="center"/>
                </w:tcPr>
                <w:p w14:paraId="222A418D">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c>
                <w:tcPr>
                  <w:tcW w:w="455" w:type="pct"/>
                  <w:vAlign w:val="center"/>
                </w:tcPr>
                <w:p w14:paraId="1C7B4AC7">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r>
            <w:tr w14:paraId="3801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continue"/>
                  <w:vAlign w:val="center"/>
                </w:tcPr>
                <w:p w14:paraId="41D4B405">
                  <w:pPr>
                    <w:pStyle w:val="122"/>
                    <w:snapToGrid w:val="0"/>
                    <w:ind w:firstLine="0" w:firstLineChars="0"/>
                    <w:jc w:val="center"/>
                    <w:rPr>
                      <w:bCs/>
                      <w:color w:val="auto"/>
                      <w:sz w:val="21"/>
                      <w:szCs w:val="21"/>
                      <w:highlight w:val="none"/>
                    </w:rPr>
                  </w:pPr>
                </w:p>
              </w:tc>
              <w:tc>
                <w:tcPr>
                  <w:tcW w:w="1466" w:type="pct"/>
                  <w:vAlign w:val="center"/>
                </w:tcPr>
                <w:p w14:paraId="2FB13C31">
                  <w:pPr>
                    <w:pStyle w:val="122"/>
                    <w:snapToGrid w:val="0"/>
                    <w:ind w:firstLine="0" w:firstLineChars="0"/>
                    <w:jc w:val="center"/>
                    <w:rPr>
                      <w:bCs/>
                      <w:color w:val="auto"/>
                      <w:sz w:val="21"/>
                      <w:szCs w:val="21"/>
                    </w:rPr>
                  </w:pPr>
                  <w:r>
                    <w:rPr>
                      <w:color w:val="auto"/>
                      <w:sz w:val="21"/>
                      <w:szCs w:val="21"/>
                    </w:rPr>
                    <w:t>N</w:t>
                  </w:r>
                  <w:r>
                    <w:rPr>
                      <w:rFonts w:hint="eastAsia"/>
                      <w:color w:val="auto"/>
                      <w:sz w:val="21"/>
                      <w:szCs w:val="21"/>
                    </w:rPr>
                    <w:t>4</w:t>
                  </w:r>
                  <w:r>
                    <w:rPr>
                      <w:color w:val="auto"/>
                      <w:sz w:val="21"/>
                      <w:szCs w:val="21"/>
                    </w:rPr>
                    <w:t>北</w:t>
                  </w:r>
                  <w:r>
                    <w:rPr>
                      <w:rFonts w:hint="eastAsia"/>
                      <w:color w:val="auto"/>
                      <w:sz w:val="21"/>
                      <w:szCs w:val="21"/>
                    </w:rPr>
                    <w:t>面厂</w:t>
                  </w:r>
                  <w:r>
                    <w:rPr>
                      <w:color w:val="auto"/>
                      <w:sz w:val="21"/>
                      <w:szCs w:val="21"/>
                    </w:rPr>
                    <w:t>界外1m处</w:t>
                  </w:r>
                </w:p>
              </w:tc>
              <w:tc>
                <w:tcPr>
                  <w:tcW w:w="810" w:type="dxa"/>
                  <w:vAlign w:val="center"/>
                </w:tcPr>
                <w:p w14:paraId="3231470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color w:val="auto"/>
                      <w:kern w:val="0"/>
                      <w:sz w:val="21"/>
                      <w:szCs w:val="21"/>
                    </w:rPr>
                  </w:pPr>
                </w:p>
              </w:tc>
              <w:tc>
                <w:tcPr>
                  <w:tcW w:w="492" w:type="pct"/>
                  <w:vAlign w:val="center"/>
                </w:tcPr>
                <w:p w14:paraId="3DC91561">
                  <w:pPr>
                    <w:keepNext w:val="0"/>
                    <w:keepLines w:val="0"/>
                    <w:pageBreakBefore w:val="0"/>
                    <w:kinsoku/>
                    <w:wordWrap/>
                    <w:overflowPunct/>
                    <w:topLinePunct w:val="0"/>
                    <w:autoSpaceDE/>
                    <w:autoSpaceDN/>
                    <w:bidi w:val="0"/>
                    <w:adjustRightInd/>
                    <w:snapToGrid w:val="0"/>
                    <w:spacing w:line="240" w:lineRule="auto"/>
                    <w:jc w:val="center"/>
                    <w:rPr>
                      <w:color w:val="auto"/>
                      <w:kern w:val="0"/>
                      <w:sz w:val="21"/>
                      <w:szCs w:val="21"/>
                    </w:rPr>
                  </w:pPr>
                </w:p>
              </w:tc>
              <w:tc>
                <w:tcPr>
                  <w:tcW w:w="461" w:type="pct"/>
                  <w:vAlign w:val="center"/>
                </w:tcPr>
                <w:p w14:paraId="29DBB3B1">
                  <w:pPr>
                    <w:tabs>
                      <w:tab w:val="left" w:pos="6900"/>
                    </w:tabs>
                    <w:snapToGrid w:val="0"/>
                    <w:spacing w:line="240" w:lineRule="auto"/>
                    <w:jc w:val="center"/>
                    <w:rPr>
                      <w:color w:val="auto"/>
                      <w:kern w:val="0"/>
                      <w:sz w:val="21"/>
                      <w:szCs w:val="21"/>
                    </w:rPr>
                  </w:pPr>
                </w:p>
              </w:tc>
              <w:tc>
                <w:tcPr>
                  <w:tcW w:w="461" w:type="pct"/>
                  <w:vAlign w:val="center"/>
                </w:tcPr>
                <w:p w14:paraId="256AC8D3">
                  <w:pPr>
                    <w:tabs>
                      <w:tab w:val="left" w:pos="6900"/>
                    </w:tabs>
                    <w:snapToGrid w:val="0"/>
                    <w:spacing w:line="240" w:lineRule="auto"/>
                    <w:jc w:val="center"/>
                    <w:rPr>
                      <w:color w:val="auto"/>
                      <w:kern w:val="0"/>
                      <w:sz w:val="21"/>
                      <w:szCs w:val="21"/>
                    </w:rPr>
                  </w:pPr>
                </w:p>
              </w:tc>
              <w:tc>
                <w:tcPr>
                  <w:tcW w:w="461" w:type="pct"/>
                  <w:vAlign w:val="center"/>
                </w:tcPr>
                <w:p w14:paraId="7BFE8307">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c>
                <w:tcPr>
                  <w:tcW w:w="455" w:type="pct"/>
                  <w:vAlign w:val="center"/>
                </w:tcPr>
                <w:p w14:paraId="52D7FE1E">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r>
            <w:tr w14:paraId="6CFE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restart"/>
                  <w:vAlign w:val="center"/>
                </w:tcPr>
                <w:p w14:paraId="4F8E61BC">
                  <w:pPr>
                    <w:pStyle w:val="122"/>
                    <w:snapToGrid w:val="0"/>
                    <w:ind w:firstLine="0" w:firstLineChars="0"/>
                    <w:jc w:val="center"/>
                    <w:rPr>
                      <w:rFonts w:hint="default" w:eastAsia="宋体"/>
                      <w:bCs/>
                      <w:color w:val="auto"/>
                      <w:sz w:val="21"/>
                      <w:szCs w:val="21"/>
                      <w:highlight w:val="none"/>
                      <w:lang w:val="en-US" w:eastAsia="zh-CN"/>
                    </w:rPr>
                  </w:pPr>
                  <w:r>
                    <w:rPr>
                      <w:rFonts w:hint="eastAsia"/>
                      <w:bCs/>
                      <w:color w:val="auto"/>
                      <w:sz w:val="21"/>
                      <w:szCs w:val="21"/>
                      <w:highlight w:val="none"/>
                    </w:rPr>
                    <w:t>2</w:t>
                  </w:r>
                  <w:r>
                    <w:rPr>
                      <w:bCs/>
                      <w:color w:val="auto"/>
                      <w:sz w:val="21"/>
                      <w:szCs w:val="21"/>
                      <w:highlight w:val="none"/>
                    </w:rPr>
                    <w:t>02</w:t>
                  </w:r>
                  <w:r>
                    <w:rPr>
                      <w:rFonts w:hint="eastAsia"/>
                      <w:bCs/>
                      <w:color w:val="auto"/>
                      <w:sz w:val="21"/>
                      <w:szCs w:val="21"/>
                      <w:highlight w:val="none"/>
                    </w:rPr>
                    <w:t>4.1</w:t>
                  </w:r>
                  <w:r>
                    <w:rPr>
                      <w:rFonts w:hint="eastAsia"/>
                      <w:bCs/>
                      <w:color w:val="auto"/>
                      <w:sz w:val="21"/>
                      <w:szCs w:val="21"/>
                      <w:highlight w:val="none"/>
                      <w:lang w:val="en-US" w:eastAsia="zh-CN"/>
                    </w:rPr>
                    <w:t>0.15</w:t>
                  </w:r>
                </w:p>
              </w:tc>
              <w:tc>
                <w:tcPr>
                  <w:tcW w:w="1466" w:type="pct"/>
                  <w:vAlign w:val="center"/>
                </w:tcPr>
                <w:p w14:paraId="0205D058">
                  <w:pPr>
                    <w:pStyle w:val="122"/>
                    <w:snapToGrid w:val="0"/>
                    <w:ind w:firstLine="0" w:firstLineChars="0"/>
                    <w:jc w:val="center"/>
                    <w:rPr>
                      <w:bCs/>
                      <w:color w:val="auto"/>
                      <w:sz w:val="21"/>
                      <w:szCs w:val="21"/>
                    </w:rPr>
                  </w:pPr>
                  <w:r>
                    <w:rPr>
                      <w:color w:val="auto"/>
                      <w:sz w:val="21"/>
                      <w:szCs w:val="21"/>
                    </w:rPr>
                    <w:t>N1东</w:t>
                  </w:r>
                  <w:r>
                    <w:rPr>
                      <w:rFonts w:hint="eastAsia"/>
                      <w:color w:val="auto"/>
                      <w:sz w:val="21"/>
                      <w:szCs w:val="21"/>
                    </w:rPr>
                    <w:t>面厂</w:t>
                  </w:r>
                  <w:r>
                    <w:rPr>
                      <w:color w:val="auto"/>
                      <w:sz w:val="21"/>
                      <w:szCs w:val="21"/>
                    </w:rPr>
                    <w:t>界外1m处</w:t>
                  </w:r>
                </w:p>
              </w:tc>
              <w:tc>
                <w:tcPr>
                  <w:tcW w:w="810" w:type="dxa"/>
                  <w:vAlign w:val="center"/>
                </w:tcPr>
                <w:p w14:paraId="7615A27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color w:val="auto"/>
                      <w:kern w:val="0"/>
                      <w:sz w:val="21"/>
                      <w:szCs w:val="21"/>
                    </w:rPr>
                  </w:pPr>
                </w:p>
              </w:tc>
              <w:tc>
                <w:tcPr>
                  <w:tcW w:w="492" w:type="pct"/>
                  <w:vAlign w:val="center"/>
                </w:tcPr>
                <w:p w14:paraId="6088559A">
                  <w:pPr>
                    <w:keepNext w:val="0"/>
                    <w:keepLines w:val="0"/>
                    <w:pageBreakBefore w:val="0"/>
                    <w:kinsoku/>
                    <w:wordWrap/>
                    <w:overflowPunct/>
                    <w:topLinePunct w:val="0"/>
                    <w:autoSpaceDE/>
                    <w:autoSpaceDN/>
                    <w:bidi w:val="0"/>
                    <w:adjustRightInd/>
                    <w:snapToGrid w:val="0"/>
                    <w:spacing w:line="240" w:lineRule="auto"/>
                    <w:jc w:val="center"/>
                    <w:rPr>
                      <w:color w:val="auto"/>
                      <w:kern w:val="0"/>
                      <w:sz w:val="21"/>
                      <w:szCs w:val="21"/>
                    </w:rPr>
                  </w:pPr>
                </w:p>
              </w:tc>
              <w:tc>
                <w:tcPr>
                  <w:tcW w:w="461" w:type="pct"/>
                  <w:vAlign w:val="center"/>
                </w:tcPr>
                <w:p w14:paraId="63A0F169">
                  <w:pPr>
                    <w:tabs>
                      <w:tab w:val="left" w:pos="6900"/>
                    </w:tabs>
                    <w:snapToGrid w:val="0"/>
                    <w:spacing w:line="240" w:lineRule="auto"/>
                    <w:jc w:val="center"/>
                    <w:rPr>
                      <w:color w:val="auto"/>
                      <w:kern w:val="0"/>
                      <w:sz w:val="21"/>
                      <w:szCs w:val="21"/>
                    </w:rPr>
                  </w:pPr>
                </w:p>
              </w:tc>
              <w:tc>
                <w:tcPr>
                  <w:tcW w:w="461" w:type="pct"/>
                  <w:vAlign w:val="center"/>
                </w:tcPr>
                <w:p w14:paraId="08BE0BCE">
                  <w:pPr>
                    <w:tabs>
                      <w:tab w:val="left" w:pos="6900"/>
                    </w:tabs>
                    <w:snapToGrid w:val="0"/>
                    <w:spacing w:line="240" w:lineRule="auto"/>
                    <w:jc w:val="center"/>
                    <w:rPr>
                      <w:color w:val="auto"/>
                      <w:kern w:val="0"/>
                      <w:sz w:val="21"/>
                      <w:szCs w:val="21"/>
                    </w:rPr>
                  </w:pPr>
                </w:p>
              </w:tc>
              <w:tc>
                <w:tcPr>
                  <w:tcW w:w="461" w:type="pct"/>
                  <w:vAlign w:val="center"/>
                </w:tcPr>
                <w:p w14:paraId="518BFD78">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c>
                <w:tcPr>
                  <w:tcW w:w="455" w:type="pct"/>
                  <w:vAlign w:val="center"/>
                </w:tcPr>
                <w:p w14:paraId="5BC3F12C">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r>
            <w:tr w14:paraId="70C1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continue"/>
                  <w:vAlign w:val="center"/>
                </w:tcPr>
                <w:p w14:paraId="150450A3">
                  <w:pPr>
                    <w:pStyle w:val="122"/>
                    <w:snapToGrid w:val="0"/>
                    <w:ind w:firstLine="0" w:firstLineChars="0"/>
                    <w:jc w:val="center"/>
                    <w:rPr>
                      <w:bCs/>
                      <w:color w:val="auto"/>
                      <w:sz w:val="21"/>
                      <w:szCs w:val="21"/>
                    </w:rPr>
                  </w:pPr>
                </w:p>
              </w:tc>
              <w:tc>
                <w:tcPr>
                  <w:tcW w:w="1466" w:type="pct"/>
                  <w:vAlign w:val="center"/>
                </w:tcPr>
                <w:p w14:paraId="3D95A8C3">
                  <w:pPr>
                    <w:pStyle w:val="122"/>
                    <w:snapToGrid w:val="0"/>
                    <w:ind w:firstLine="0" w:firstLineChars="0"/>
                    <w:jc w:val="center"/>
                    <w:rPr>
                      <w:bCs/>
                      <w:color w:val="auto"/>
                      <w:sz w:val="21"/>
                      <w:szCs w:val="21"/>
                    </w:rPr>
                  </w:pPr>
                  <w:r>
                    <w:rPr>
                      <w:color w:val="auto"/>
                      <w:sz w:val="21"/>
                      <w:szCs w:val="21"/>
                    </w:rPr>
                    <w:t>N2</w:t>
                  </w:r>
                  <w:r>
                    <w:rPr>
                      <w:rFonts w:hint="eastAsia"/>
                      <w:color w:val="auto"/>
                      <w:sz w:val="21"/>
                      <w:szCs w:val="21"/>
                    </w:rPr>
                    <w:t>南面厂</w:t>
                  </w:r>
                  <w:r>
                    <w:rPr>
                      <w:color w:val="auto"/>
                      <w:sz w:val="21"/>
                      <w:szCs w:val="21"/>
                    </w:rPr>
                    <w:t>界外1m处</w:t>
                  </w:r>
                </w:p>
              </w:tc>
              <w:tc>
                <w:tcPr>
                  <w:tcW w:w="810" w:type="dxa"/>
                  <w:vAlign w:val="center"/>
                </w:tcPr>
                <w:p w14:paraId="2B93282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color w:val="auto"/>
                      <w:kern w:val="0"/>
                      <w:sz w:val="21"/>
                      <w:szCs w:val="21"/>
                    </w:rPr>
                  </w:pPr>
                </w:p>
              </w:tc>
              <w:tc>
                <w:tcPr>
                  <w:tcW w:w="492" w:type="pct"/>
                  <w:vAlign w:val="center"/>
                </w:tcPr>
                <w:p w14:paraId="404CDB57">
                  <w:pPr>
                    <w:keepNext w:val="0"/>
                    <w:keepLines w:val="0"/>
                    <w:pageBreakBefore w:val="0"/>
                    <w:kinsoku/>
                    <w:wordWrap/>
                    <w:overflowPunct/>
                    <w:topLinePunct w:val="0"/>
                    <w:autoSpaceDE/>
                    <w:autoSpaceDN/>
                    <w:bidi w:val="0"/>
                    <w:adjustRightInd/>
                    <w:snapToGrid w:val="0"/>
                    <w:spacing w:line="240" w:lineRule="auto"/>
                    <w:jc w:val="center"/>
                    <w:rPr>
                      <w:color w:val="auto"/>
                      <w:kern w:val="0"/>
                      <w:sz w:val="21"/>
                      <w:szCs w:val="21"/>
                    </w:rPr>
                  </w:pPr>
                </w:p>
              </w:tc>
              <w:tc>
                <w:tcPr>
                  <w:tcW w:w="461" w:type="pct"/>
                  <w:vAlign w:val="center"/>
                </w:tcPr>
                <w:p w14:paraId="7EF429C3">
                  <w:pPr>
                    <w:tabs>
                      <w:tab w:val="left" w:pos="6900"/>
                    </w:tabs>
                    <w:snapToGrid w:val="0"/>
                    <w:spacing w:line="240" w:lineRule="auto"/>
                    <w:jc w:val="center"/>
                    <w:rPr>
                      <w:color w:val="auto"/>
                      <w:kern w:val="0"/>
                      <w:sz w:val="21"/>
                      <w:szCs w:val="21"/>
                    </w:rPr>
                  </w:pPr>
                </w:p>
              </w:tc>
              <w:tc>
                <w:tcPr>
                  <w:tcW w:w="461" w:type="pct"/>
                  <w:vAlign w:val="center"/>
                </w:tcPr>
                <w:p w14:paraId="16B8C2AE">
                  <w:pPr>
                    <w:tabs>
                      <w:tab w:val="left" w:pos="6900"/>
                    </w:tabs>
                    <w:snapToGrid w:val="0"/>
                    <w:spacing w:line="240" w:lineRule="auto"/>
                    <w:jc w:val="center"/>
                    <w:rPr>
                      <w:color w:val="auto"/>
                      <w:kern w:val="0"/>
                      <w:sz w:val="21"/>
                      <w:szCs w:val="21"/>
                    </w:rPr>
                  </w:pPr>
                </w:p>
              </w:tc>
              <w:tc>
                <w:tcPr>
                  <w:tcW w:w="461" w:type="pct"/>
                  <w:vAlign w:val="center"/>
                </w:tcPr>
                <w:p w14:paraId="78992D0F">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c>
                <w:tcPr>
                  <w:tcW w:w="455" w:type="pct"/>
                  <w:vAlign w:val="center"/>
                </w:tcPr>
                <w:p w14:paraId="37248A7E">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r>
            <w:tr w14:paraId="129C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continue"/>
                  <w:vAlign w:val="center"/>
                </w:tcPr>
                <w:p w14:paraId="24B693EB">
                  <w:pPr>
                    <w:pStyle w:val="122"/>
                    <w:snapToGrid w:val="0"/>
                    <w:ind w:firstLine="0" w:firstLineChars="0"/>
                    <w:jc w:val="center"/>
                    <w:rPr>
                      <w:bCs/>
                      <w:color w:val="auto"/>
                      <w:sz w:val="21"/>
                      <w:szCs w:val="21"/>
                    </w:rPr>
                  </w:pPr>
                </w:p>
              </w:tc>
              <w:tc>
                <w:tcPr>
                  <w:tcW w:w="1466" w:type="pct"/>
                  <w:vAlign w:val="center"/>
                </w:tcPr>
                <w:p w14:paraId="03EF2404">
                  <w:pPr>
                    <w:pStyle w:val="122"/>
                    <w:snapToGrid w:val="0"/>
                    <w:ind w:firstLine="0" w:firstLineChars="0"/>
                    <w:jc w:val="center"/>
                    <w:rPr>
                      <w:bCs/>
                      <w:color w:val="auto"/>
                      <w:sz w:val="21"/>
                      <w:szCs w:val="21"/>
                    </w:rPr>
                  </w:pPr>
                  <w:r>
                    <w:rPr>
                      <w:color w:val="auto"/>
                      <w:sz w:val="21"/>
                      <w:szCs w:val="21"/>
                    </w:rPr>
                    <w:t>N</w:t>
                  </w:r>
                  <w:r>
                    <w:rPr>
                      <w:rFonts w:hint="eastAsia"/>
                      <w:color w:val="auto"/>
                      <w:sz w:val="21"/>
                      <w:szCs w:val="21"/>
                    </w:rPr>
                    <w:t>3</w:t>
                  </w:r>
                  <w:r>
                    <w:rPr>
                      <w:color w:val="auto"/>
                      <w:sz w:val="21"/>
                      <w:szCs w:val="21"/>
                    </w:rPr>
                    <w:t>西</w:t>
                  </w:r>
                  <w:r>
                    <w:rPr>
                      <w:rFonts w:hint="eastAsia"/>
                      <w:color w:val="auto"/>
                      <w:sz w:val="21"/>
                      <w:szCs w:val="21"/>
                    </w:rPr>
                    <w:t>面厂</w:t>
                  </w:r>
                  <w:r>
                    <w:rPr>
                      <w:color w:val="auto"/>
                      <w:sz w:val="21"/>
                      <w:szCs w:val="21"/>
                    </w:rPr>
                    <w:t>界外1m处</w:t>
                  </w:r>
                </w:p>
              </w:tc>
              <w:tc>
                <w:tcPr>
                  <w:tcW w:w="810" w:type="dxa"/>
                  <w:vAlign w:val="center"/>
                </w:tcPr>
                <w:p w14:paraId="2E993A2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color w:val="auto"/>
                      <w:kern w:val="0"/>
                      <w:sz w:val="21"/>
                      <w:szCs w:val="21"/>
                    </w:rPr>
                  </w:pPr>
                </w:p>
              </w:tc>
              <w:tc>
                <w:tcPr>
                  <w:tcW w:w="492" w:type="pct"/>
                  <w:vAlign w:val="center"/>
                </w:tcPr>
                <w:p w14:paraId="3036E539">
                  <w:pPr>
                    <w:keepNext w:val="0"/>
                    <w:keepLines w:val="0"/>
                    <w:pageBreakBefore w:val="0"/>
                    <w:kinsoku/>
                    <w:wordWrap/>
                    <w:overflowPunct/>
                    <w:topLinePunct w:val="0"/>
                    <w:autoSpaceDE/>
                    <w:autoSpaceDN/>
                    <w:bidi w:val="0"/>
                    <w:adjustRightInd/>
                    <w:snapToGrid w:val="0"/>
                    <w:spacing w:line="240" w:lineRule="auto"/>
                    <w:jc w:val="center"/>
                    <w:rPr>
                      <w:color w:val="auto"/>
                      <w:kern w:val="0"/>
                      <w:sz w:val="21"/>
                      <w:szCs w:val="21"/>
                    </w:rPr>
                  </w:pPr>
                </w:p>
              </w:tc>
              <w:tc>
                <w:tcPr>
                  <w:tcW w:w="461" w:type="pct"/>
                  <w:vAlign w:val="center"/>
                </w:tcPr>
                <w:p w14:paraId="3BD83BF9">
                  <w:pPr>
                    <w:tabs>
                      <w:tab w:val="left" w:pos="6900"/>
                    </w:tabs>
                    <w:snapToGrid w:val="0"/>
                    <w:spacing w:line="240" w:lineRule="auto"/>
                    <w:jc w:val="center"/>
                    <w:rPr>
                      <w:rFonts w:hint="default" w:eastAsia="宋体"/>
                      <w:color w:val="auto"/>
                      <w:kern w:val="0"/>
                      <w:sz w:val="21"/>
                      <w:szCs w:val="21"/>
                      <w:lang w:val="en-US" w:eastAsia="zh-CN"/>
                    </w:rPr>
                  </w:pPr>
                </w:p>
              </w:tc>
              <w:tc>
                <w:tcPr>
                  <w:tcW w:w="461" w:type="pct"/>
                  <w:vAlign w:val="center"/>
                </w:tcPr>
                <w:p w14:paraId="39300388">
                  <w:pPr>
                    <w:tabs>
                      <w:tab w:val="left" w:pos="6900"/>
                    </w:tabs>
                    <w:snapToGrid w:val="0"/>
                    <w:spacing w:line="240" w:lineRule="auto"/>
                    <w:jc w:val="center"/>
                    <w:rPr>
                      <w:color w:val="auto"/>
                      <w:kern w:val="0"/>
                      <w:sz w:val="21"/>
                      <w:szCs w:val="21"/>
                    </w:rPr>
                  </w:pPr>
                </w:p>
              </w:tc>
              <w:tc>
                <w:tcPr>
                  <w:tcW w:w="461" w:type="pct"/>
                  <w:vAlign w:val="center"/>
                </w:tcPr>
                <w:p w14:paraId="55BBFC9A">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c>
                <w:tcPr>
                  <w:tcW w:w="455" w:type="pct"/>
                  <w:vAlign w:val="center"/>
                </w:tcPr>
                <w:p w14:paraId="5B79AE4E">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r>
            <w:tr w14:paraId="00D1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2" w:type="pct"/>
                  <w:vMerge w:val="continue"/>
                  <w:vAlign w:val="center"/>
                </w:tcPr>
                <w:p w14:paraId="10360CFD">
                  <w:pPr>
                    <w:pStyle w:val="122"/>
                    <w:snapToGrid w:val="0"/>
                    <w:ind w:firstLine="0" w:firstLineChars="0"/>
                    <w:jc w:val="center"/>
                    <w:rPr>
                      <w:bCs/>
                      <w:color w:val="auto"/>
                      <w:sz w:val="21"/>
                      <w:szCs w:val="21"/>
                    </w:rPr>
                  </w:pPr>
                </w:p>
              </w:tc>
              <w:tc>
                <w:tcPr>
                  <w:tcW w:w="1466" w:type="pct"/>
                  <w:vAlign w:val="center"/>
                </w:tcPr>
                <w:p w14:paraId="49BDD0CC">
                  <w:pPr>
                    <w:pStyle w:val="122"/>
                    <w:snapToGrid w:val="0"/>
                    <w:ind w:firstLine="0" w:firstLineChars="0"/>
                    <w:jc w:val="center"/>
                    <w:rPr>
                      <w:bCs/>
                      <w:color w:val="auto"/>
                      <w:sz w:val="21"/>
                      <w:szCs w:val="21"/>
                    </w:rPr>
                  </w:pPr>
                  <w:r>
                    <w:rPr>
                      <w:color w:val="auto"/>
                      <w:sz w:val="21"/>
                      <w:szCs w:val="21"/>
                    </w:rPr>
                    <w:t>N</w:t>
                  </w:r>
                  <w:r>
                    <w:rPr>
                      <w:rFonts w:hint="eastAsia"/>
                      <w:color w:val="auto"/>
                      <w:sz w:val="21"/>
                      <w:szCs w:val="21"/>
                    </w:rPr>
                    <w:t>4</w:t>
                  </w:r>
                  <w:r>
                    <w:rPr>
                      <w:color w:val="auto"/>
                      <w:sz w:val="21"/>
                      <w:szCs w:val="21"/>
                    </w:rPr>
                    <w:t>北</w:t>
                  </w:r>
                  <w:r>
                    <w:rPr>
                      <w:rFonts w:hint="eastAsia"/>
                      <w:color w:val="auto"/>
                      <w:sz w:val="21"/>
                      <w:szCs w:val="21"/>
                    </w:rPr>
                    <w:t>面厂</w:t>
                  </w:r>
                  <w:r>
                    <w:rPr>
                      <w:color w:val="auto"/>
                      <w:sz w:val="21"/>
                      <w:szCs w:val="21"/>
                    </w:rPr>
                    <w:t>界外1m处</w:t>
                  </w:r>
                </w:p>
              </w:tc>
              <w:tc>
                <w:tcPr>
                  <w:tcW w:w="810" w:type="dxa"/>
                  <w:vAlign w:val="center"/>
                </w:tcPr>
                <w:p w14:paraId="72A4717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color w:val="auto"/>
                      <w:kern w:val="0"/>
                      <w:sz w:val="21"/>
                      <w:szCs w:val="21"/>
                    </w:rPr>
                  </w:pPr>
                </w:p>
              </w:tc>
              <w:tc>
                <w:tcPr>
                  <w:tcW w:w="492" w:type="pct"/>
                  <w:vAlign w:val="center"/>
                </w:tcPr>
                <w:p w14:paraId="7481B8CC">
                  <w:pPr>
                    <w:keepNext w:val="0"/>
                    <w:keepLines w:val="0"/>
                    <w:pageBreakBefore w:val="0"/>
                    <w:kinsoku/>
                    <w:wordWrap/>
                    <w:overflowPunct/>
                    <w:topLinePunct w:val="0"/>
                    <w:autoSpaceDE/>
                    <w:autoSpaceDN/>
                    <w:bidi w:val="0"/>
                    <w:adjustRightInd/>
                    <w:snapToGrid w:val="0"/>
                    <w:spacing w:line="240" w:lineRule="auto"/>
                    <w:jc w:val="center"/>
                    <w:rPr>
                      <w:color w:val="auto"/>
                      <w:kern w:val="0"/>
                      <w:sz w:val="21"/>
                      <w:szCs w:val="21"/>
                    </w:rPr>
                  </w:pPr>
                </w:p>
              </w:tc>
              <w:tc>
                <w:tcPr>
                  <w:tcW w:w="461" w:type="pct"/>
                  <w:vAlign w:val="center"/>
                </w:tcPr>
                <w:p w14:paraId="2ED1D9F8">
                  <w:pPr>
                    <w:tabs>
                      <w:tab w:val="left" w:pos="6900"/>
                    </w:tabs>
                    <w:snapToGrid w:val="0"/>
                    <w:spacing w:line="240" w:lineRule="auto"/>
                    <w:jc w:val="center"/>
                    <w:rPr>
                      <w:color w:val="auto"/>
                      <w:kern w:val="0"/>
                      <w:sz w:val="21"/>
                      <w:szCs w:val="21"/>
                    </w:rPr>
                  </w:pPr>
                </w:p>
              </w:tc>
              <w:tc>
                <w:tcPr>
                  <w:tcW w:w="461" w:type="pct"/>
                  <w:vAlign w:val="center"/>
                </w:tcPr>
                <w:p w14:paraId="72FA3F7A">
                  <w:pPr>
                    <w:tabs>
                      <w:tab w:val="left" w:pos="6900"/>
                    </w:tabs>
                    <w:snapToGrid w:val="0"/>
                    <w:spacing w:line="240" w:lineRule="auto"/>
                    <w:jc w:val="center"/>
                    <w:rPr>
                      <w:color w:val="auto"/>
                      <w:kern w:val="0"/>
                      <w:sz w:val="21"/>
                      <w:szCs w:val="21"/>
                    </w:rPr>
                  </w:pPr>
                </w:p>
              </w:tc>
              <w:tc>
                <w:tcPr>
                  <w:tcW w:w="461" w:type="pct"/>
                  <w:vAlign w:val="center"/>
                </w:tcPr>
                <w:p w14:paraId="5E4B662C">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c>
                <w:tcPr>
                  <w:tcW w:w="455" w:type="pct"/>
                  <w:vAlign w:val="center"/>
                </w:tcPr>
                <w:p w14:paraId="640AFD40">
                  <w:pPr>
                    <w:tabs>
                      <w:tab w:val="left" w:pos="6900"/>
                    </w:tabs>
                    <w:snapToGrid w:val="0"/>
                    <w:spacing w:line="240" w:lineRule="auto"/>
                    <w:jc w:val="center"/>
                    <w:rPr>
                      <w:color w:val="auto"/>
                      <w:kern w:val="0"/>
                      <w:sz w:val="21"/>
                      <w:szCs w:val="21"/>
                    </w:rPr>
                  </w:pPr>
                  <w:r>
                    <w:rPr>
                      <w:rFonts w:hint="eastAsia"/>
                      <w:color w:val="auto"/>
                      <w:kern w:val="0"/>
                      <w:sz w:val="21"/>
                      <w:szCs w:val="21"/>
                    </w:rPr>
                    <w:t>达标</w:t>
                  </w:r>
                </w:p>
              </w:tc>
            </w:tr>
          </w:tbl>
          <w:p w14:paraId="27D14921">
            <w:pPr>
              <w:pStyle w:val="12"/>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rPr>
              <w:t>由表</w:t>
            </w:r>
            <w:r>
              <w:rPr>
                <w:rFonts w:ascii="Times New Roman" w:hAnsi="Times New Roman" w:cs="Times New Roman"/>
                <w:color w:val="auto"/>
                <w:sz w:val="24"/>
              </w:rPr>
              <w:t>3-4</w:t>
            </w:r>
            <w:r>
              <w:rPr>
                <w:rFonts w:hint="eastAsia" w:ascii="Times New Roman" w:hAnsi="Times New Roman" w:cs="Times New Roman"/>
                <w:color w:val="auto"/>
                <w:sz w:val="24"/>
              </w:rPr>
              <w:t>可知，项目厂界噪声值满足《声环境质量标准》（</w:t>
            </w:r>
            <w:r>
              <w:rPr>
                <w:rFonts w:ascii="Times New Roman" w:hAnsi="Times New Roman" w:cs="Times New Roman"/>
                <w:color w:val="auto"/>
                <w:sz w:val="24"/>
              </w:rPr>
              <w:t>GB 3096-2008</w:t>
            </w:r>
            <w:r>
              <w:rPr>
                <w:rFonts w:hint="eastAsia" w:ascii="Times New Roman" w:hAnsi="Times New Roman" w:cs="Times New Roman"/>
                <w:color w:val="auto"/>
                <w:sz w:val="24"/>
              </w:rPr>
              <w:t>）</w:t>
            </w:r>
            <w:r>
              <w:rPr>
                <w:rFonts w:ascii="Times New Roman" w:hAnsi="Times New Roman" w:cs="Times New Roman"/>
                <w:color w:val="auto"/>
                <w:sz w:val="24"/>
              </w:rPr>
              <w:t>3</w:t>
            </w:r>
            <w:r>
              <w:rPr>
                <w:rFonts w:hint="eastAsia" w:ascii="Times New Roman" w:hAnsi="Times New Roman" w:cs="Times New Roman"/>
                <w:color w:val="auto"/>
                <w:sz w:val="24"/>
              </w:rPr>
              <w:t>类声功能标准。项目区域环境质量良好。</w:t>
            </w:r>
          </w:p>
          <w:p w14:paraId="61737065">
            <w:pPr>
              <w:tabs>
                <w:tab w:val="left" w:pos="720"/>
                <w:tab w:val="left" w:pos="3225"/>
              </w:tabs>
              <w:ind w:firstLine="472" w:firstLineChars="196"/>
              <w:rPr>
                <w:rFonts w:hint="eastAsia" w:hAnsi="宋体"/>
                <w:b/>
                <w:bCs/>
                <w:color w:val="auto"/>
              </w:rPr>
            </w:pPr>
            <w:r>
              <w:rPr>
                <w:rFonts w:hint="eastAsia"/>
                <w:b/>
                <w:color w:val="auto"/>
              </w:rPr>
              <w:t>5</w:t>
            </w:r>
            <w:r>
              <w:rPr>
                <w:b/>
                <w:color w:val="auto"/>
              </w:rPr>
              <w:t>、</w:t>
            </w:r>
            <w:r>
              <w:rPr>
                <w:rFonts w:hint="eastAsia" w:hAnsi="宋体"/>
                <w:b/>
                <w:bCs/>
                <w:color w:val="auto"/>
              </w:rPr>
              <w:t>电磁辐射</w:t>
            </w:r>
          </w:p>
          <w:p w14:paraId="6C982740">
            <w:pPr>
              <w:ind w:firstLine="480" w:firstLineChars="200"/>
              <w:rPr>
                <w:color w:val="auto"/>
                <w:szCs w:val="22"/>
              </w:rPr>
            </w:pPr>
            <w:r>
              <w:rPr>
                <w:rFonts w:hint="eastAsia" w:hAnsi="宋体"/>
                <w:color w:val="auto"/>
              </w:rPr>
              <w:t>项目不属于新建或改建、扩建广播电台、差转台、电视塔台、卫星地球上行站、雷达等电磁辐射类项目，不需开展电磁辐射现状开展监测与评价。</w:t>
            </w:r>
          </w:p>
          <w:p w14:paraId="2AB15ECC">
            <w:pPr>
              <w:ind w:firstLine="482" w:firstLineChars="200"/>
              <w:rPr>
                <w:b/>
                <w:bCs/>
                <w:color w:val="auto"/>
                <w:szCs w:val="22"/>
              </w:rPr>
            </w:pPr>
            <w:r>
              <w:rPr>
                <w:rFonts w:hint="eastAsia"/>
                <w:b/>
                <w:bCs/>
                <w:color w:val="auto"/>
                <w:szCs w:val="22"/>
              </w:rPr>
              <w:t>6</w:t>
            </w:r>
            <w:r>
              <w:rPr>
                <w:b/>
                <w:bCs/>
                <w:color w:val="auto"/>
                <w:szCs w:val="22"/>
              </w:rPr>
              <w:t>、生态环境现状</w:t>
            </w:r>
          </w:p>
          <w:p w14:paraId="02B90A8F">
            <w:pPr>
              <w:adjustRightInd w:val="0"/>
              <w:snapToGrid w:val="0"/>
              <w:ind w:firstLine="480" w:firstLineChars="200"/>
              <w:rPr>
                <w:color w:val="auto"/>
              </w:rPr>
            </w:pPr>
            <w:r>
              <w:rPr>
                <w:color w:val="auto"/>
                <w:szCs w:val="22"/>
              </w:rPr>
              <w:t>经现场踏勘，项目</w:t>
            </w:r>
            <w:r>
              <w:rPr>
                <w:rFonts w:hint="eastAsia"/>
                <w:color w:val="auto"/>
                <w:szCs w:val="22"/>
              </w:rPr>
              <w:t>位于</w:t>
            </w:r>
            <w:r>
              <w:rPr>
                <w:rFonts w:hint="eastAsia"/>
                <w:color w:val="auto"/>
              </w:rPr>
              <w:t xml:space="preserve">钦州港片区中马钦州产业园区台湾中小企业园区2＃厂房第一层 </w:t>
            </w:r>
            <w:r>
              <w:rPr>
                <w:color w:val="auto"/>
                <w:szCs w:val="22"/>
              </w:rPr>
              <w:t>，周边</w:t>
            </w:r>
            <w:r>
              <w:rPr>
                <w:rFonts w:hint="eastAsia"/>
                <w:color w:val="auto"/>
                <w:szCs w:val="22"/>
              </w:rPr>
              <w:t>主要为</w:t>
            </w:r>
            <w:r>
              <w:rPr>
                <w:rFonts w:hint="eastAsia"/>
                <w:color w:val="auto"/>
                <w:kern w:val="0"/>
              </w:rPr>
              <w:t>企业、道路等</w:t>
            </w:r>
            <w:r>
              <w:rPr>
                <w:rFonts w:hint="eastAsia"/>
                <w:color w:val="auto"/>
                <w:szCs w:val="22"/>
              </w:rPr>
              <w:t>。项目所在区域</w:t>
            </w:r>
            <w:r>
              <w:rPr>
                <w:color w:val="auto"/>
                <w:szCs w:val="22"/>
              </w:rPr>
              <w:t>主要植被为人工种植的绿化树种及自然生长的杂草</w:t>
            </w:r>
            <w:r>
              <w:rPr>
                <w:rFonts w:hint="eastAsia"/>
                <w:color w:val="auto"/>
                <w:szCs w:val="22"/>
              </w:rPr>
              <w:t>、低矮灌木</w:t>
            </w:r>
            <w:r>
              <w:rPr>
                <w:color w:val="auto"/>
                <w:szCs w:val="22"/>
              </w:rPr>
              <w:t>。总的来说，评价区域内群落结构组成简单，植被类型较少，未见大型野生动物出没，野生动物种类及数量较少，主要为当地的常见物种且均已适应人类活动的干扰，如鸟类、蛇类、鼠类、昆虫等。评价区域内无珍稀动植物分布，生态环境质量总体一般，不属于生态敏感区。项目所在区域范围内无风景名胜区、自然保护区及文化遗产等特殊保护目标。</w:t>
            </w:r>
          </w:p>
        </w:tc>
      </w:tr>
      <w:tr w14:paraId="30C11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65547DB">
            <w:pPr>
              <w:jc w:val="center"/>
              <w:rPr>
                <w:b/>
                <w:color w:val="auto"/>
              </w:rPr>
            </w:pPr>
            <w:r>
              <w:rPr>
                <w:b/>
                <w:color w:val="auto"/>
              </w:rPr>
              <w:t>环</w:t>
            </w:r>
          </w:p>
          <w:p w14:paraId="4E7E1F67">
            <w:pPr>
              <w:jc w:val="center"/>
              <w:rPr>
                <w:b/>
                <w:color w:val="auto"/>
              </w:rPr>
            </w:pPr>
            <w:r>
              <w:rPr>
                <w:b/>
                <w:color w:val="auto"/>
              </w:rPr>
              <w:t>境</w:t>
            </w:r>
          </w:p>
          <w:p w14:paraId="733D906D">
            <w:pPr>
              <w:jc w:val="center"/>
              <w:rPr>
                <w:b/>
                <w:color w:val="auto"/>
              </w:rPr>
            </w:pPr>
            <w:r>
              <w:rPr>
                <w:b/>
                <w:color w:val="auto"/>
              </w:rPr>
              <w:t>保</w:t>
            </w:r>
          </w:p>
          <w:p w14:paraId="53EE7B48">
            <w:pPr>
              <w:jc w:val="center"/>
              <w:rPr>
                <w:b/>
                <w:color w:val="auto"/>
              </w:rPr>
            </w:pPr>
            <w:r>
              <w:rPr>
                <w:b/>
                <w:color w:val="auto"/>
              </w:rPr>
              <w:t>护</w:t>
            </w:r>
          </w:p>
          <w:p w14:paraId="161AF960">
            <w:pPr>
              <w:jc w:val="center"/>
              <w:rPr>
                <w:b/>
                <w:color w:val="auto"/>
              </w:rPr>
            </w:pPr>
            <w:r>
              <w:rPr>
                <w:b/>
                <w:color w:val="auto"/>
              </w:rPr>
              <w:t>目</w:t>
            </w:r>
          </w:p>
          <w:p w14:paraId="7D596D50">
            <w:pPr>
              <w:jc w:val="center"/>
              <w:rPr>
                <w:b/>
                <w:color w:val="auto"/>
              </w:rPr>
            </w:pPr>
            <w:r>
              <w:rPr>
                <w:b/>
                <w:color w:val="auto"/>
              </w:rPr>
              <w:t>标</w:t>
            </w:r>
          </w:p>
        </w:tc>
        <w:tc>
          <w:tcPr>
            <w:tcW w:w="8591" w:type="dxa"/>
          </w:tcPr>
          <w:p w14:paraId="082FD1A9">
            <w:pPr>
              <w:adjustRightInd w:val="0"/>
              <w:snapToGrid w:val="0"/>
              <w:ind w:firstLine="480" w:firstLineChars="200"/>
              <w:rPr>
                <w:color w:val="auto"/>
              </w:rPr>
            </w:pPr>
            <w:r>
              <w:rPr>
                <w:color w:val="auto"/>
              </w:rPr>
              <w:t>根据《建设项目环境影响报告表编制技术指南（污染影响类）》（试行），建设项目环境保护目标如下：</w:t>
            </w:r>
          </w:p>
          <w:p w14:paraId="52BEE029">
            <w:pPr>
              <w:adjustRightInd w:val="0"/>
              <w:snapToGrid w:val="0"/>
              <w:ind w:firstLine="480" w:firstLineChars="200"/>
              <w:rPr>
                <w:color w:val="auto"/>
              </w:rPr>
            </w:pPr>
            <w:r>
              <w:rPr>
                <w:color w:val="auto"/>
              </w:rPr>
              <w:t>1、</w:t>
            </w:r>
            <w:r>
              <w:rPr>
                <w:rFonts w:hint="eastAsia"/>
                <w:color w:val="auto"/>
              </w:rPr>
              <w:t>大气环境</w:t>
            </w:r>
            <w:r>
              <w:rPr>
                <w:color w:val="auto"/>
              </w:rPr>
              <w:t>：</w:t>
            </w:r>
            <w:r>
              <w:rPr>
                <w:rFonts w:hint="eastAsia"/>
                <w:color w:val="auto"/>
              </w:rPr>
              <w:t>根据调查，</w:t>
            </w:r>
            <w:r>
              <w:rPr>
                <w:color w:val="auto"/>
              </w:rPr>
              <w:t>厂界外500米范围内</w:t>
            </w:r>
            <w:r>
              <w:rPr>
                <w:rFonts w:hint="eastAsia"/>
                <w:color w:val="auto"/>
              </w:rPr>
              <w:t>无</w:t>
            </w:r>
            <w:r>
              <w:rPr>
                <w:color w:val="auto"/>
              </w:rPr>
              <w:t>自然保护区、风景名胜区</w:t>
            </w:r>
            <w:r>
              <w:rPr>
                <w:rFonts w:hint="eastAsia"/>
                <w:color w:val="auto"/>
              </w:rPr>
              <w:t>分布，东南面400m处分布有</w:t>
            </w:r>
            <w:bookmarkStart w:id="73" w:name="OLE_LINK42"/>
            <w:r>
              <w:rPr>
                <w:rFonts w:hint="eastAsia"/>
                <w:color w:val="auto"/>
              </w:rPr>
              <w:t>细鸡屋</w:t>
            </w:r>
            <w:bookmarkEnd w:id="73"/>
            <w:r>
              <w:rPr>
                <w:rFonts w:hint="eastAsia"/>
                <w:color w:val="auto"/>
              </w:rPr>
              <w:t>居民点，详见下表3</w:t>
            </w:r>
            <w:r>
              <w:rPr>
                <w:color w:val="auto"/>
              </w:rPr>
              <w:t>-5。</w:t>
            </w:r>
          </w:p>
          <w:p w14:paraId="05A267FF">
            <w:pPr>
              <w:adjustRightInd w:val="0"/>
              <w:snapToGrid w:val="0"/>
              <w:ind w:firstLine="480" w:firstLineChars="200"/>
              <w:rPr>
                <w:color w:val="auto"/>
              </w:rPr>
            </w:pPr>
            <w:r>
              <w:rPr>
                <w:color w:val="auto"/>
              </w:rPr>
              <w:t>2、声环境：</w:t>
            </w:r>
            <w:r>
              <w:rPr>
                <w:rFonts w:hint="eastAsia"/>
                <w:color w:val="auto"/>
              </w:rPr>
              <w:t>根据调查，</w:t>
            </w:r>
            <w:r>
              <w:rPr>
                <w:color w:val="auto"/>
              </w:rPr>
              <w:t>厂界外50米范围内</w:t>
            </w:r>
            <w:r>
              <w:rPr>
                <w:rFonts w:hint="eastAsia"/>
                <w:color w:val="auto"/>
              </w:rPr>
              <w:t>无声</w:t>
            </w:r>
            <w:r>
              <w:rPr>
                <w:color w:val="auto"/>
              </w:rPr>
              <w:t>环境保护目标。</w:t>
            </w:r>
          </w:p>
          <w:p w14:paraId="3C913EBD">
            <w:pPr>
              <w:adjustRightInd w:val="0"/>
              <w:snapToGrid w:val="0"/>
              <w:ind w:firstLine="480" w:firstLineChars="200"/>
              <w:rPr>
                <w:color w:val="auto"/>
              </w:rPr>
            </w:pPr>
            <w:r>
              <w:rPr>
                <w:color w:val="auto"/>
              </w:rPr>
              <w:t>3、地下水环境：</w:t>
            </w:r>
            <w:r>
              <w:rPr>
                <w:rFonts w:hint="eastAsia"/>
                <w:color w:val="auto"/>
              </w:rPr>
              <w:t>根据调查，项目</w:t>
            </w:r>
            <w:r>
              <w:rPr>
                <w:color w:val="auto"/>
              </w:rPr>
              <w:t>厂界外500米范围内的</w:t>
            </w:r>
            <w:r>
              <w:rPr>
                <w:rFonts w:hint="eastAsia"/>
                <w:color w:val="auto"/>
              </w:rPr>
              <w:t>无</w:t>
            </w:r>
            <w:r>
              <w:rPr>
                <w:color w:val="auto"/>
              </w:rPr>
              <w:t>地下水集中式饮用水水源和热水、矿泉水、温泉等特殊地下水资源</w:t>
            </w:r>
            <w:r>
              <w:rPr>
                <w:rFonts w:hint="eastAsia"/>
                <w:color w:val="auto"/>
              </w:rPr>
              <w:t>等保护目标</w:t>
            </w:r>
            <w:r>
              <w:rPr>
                <w:color w:val="auto"/>
              </w:rPr>
              <w:t>。</w:t>
            </w:r>
          </w:p>
          <w:p w14:paraId="7D5195E2">
            <w:pPr>
              <w:adjustRightInd w:val="0"/>
              <w:snapToGrid w:val="0"/>
              <w:ind w:firstLine="480" w:firstLineChars="200"/>
              <w:rPr>
                <w:color w:val="auto"/>
              </w:rPr>
            </w:pPr>
            <w:r>
              <w:rPr>
                <w:color w:val="auto"/>
              </w:rPr>
              <w:t>4、</w:t>
            </w:r>
            <w:r>
              <w:rPr>
                <w:rFonts w:hint="eastAsia"/>
                <w:color w:val="auto"/>
              </w:rPr>
              <w:t>地表水环境：项目</w:t>
            </w:r>
            <w:r>
              <w:rPr>
                <w:color w:val="auto"/>
              </w:rPr>
              <w:t>距离金窝水库饮用水源保护区</w:t>
            </w:r>
            <w:r>
              <w:rPr>
                <w:rFonts w:hint="eastAsia"/>
                <w:color w:val="auto"/>
              </w:rPr>
              <w:t>陆域</w:t>
            </w:r>
            <w:r>
              <w:rPr>
                <w:color w:val="auto"/>
              </w:rPr>
              <w:t>最近为东面</w:t>
            </w:r>
            <w:r>
              <w:rPr>
                <w:rFonts w:hint="eastAsia"/>
                <w:color w:val="auto"/>
              </w:rPr>
              <w:t>2600</w:t>
            </w:r>
            <w:r>
              <w:rPr>
                <w:color w:val="auto"/>
              </w:rPr>
              <w:t>m</w:t>
            </w:r>
            <w:r>
              <w:rPr>
                <w:rFonts w:hint="eastAsia"/>
                <w:color w:val="auto"/>
              </w:rPr>
              <w:t>，水域最近为东面3400m，其水质执行《地表水环境质量标准》（GB 3838-2002）Ⅲ类标准。本项目不在</w:t>
            </w:r>
            <w:r>
              <w:rPr>
                <w:color w:val="auto"/>
              </w:rPr>
              <w:t>金窝水库饮用水源保护区</w:t>
            </w:r>
            <w:r>
              <w:rPr>
                <w:rFonts w:hint="eastAsia"/>
                <w:color w:val="auto"/>
              </w:rPr>
              <w:t>的汇水范围内。</w:t>
            </w:r>
          </w:p>
          <w:p w14:paraId="4CEADE4A">
            <w:pPr>
              <w:adjustRightInd w:val="0"/>
              <w:snapToGrid w:val="0"/>
              <w:ind w:firstLine="480" w:firstLineChars="200"/>
              <w:rPr>
                <w:color w:val="auto"/>
              </w:rPr>
            </w:pPr>
            <w:r>
              <w:rPr>
                <w:rFonts w:hint="eastAsia"/>
                <w:color w:val="auto"/>
              </w:rPr>
              <w:t>5、</w:t>
            </w:r>
            <w:r>
              <w:rPr>
                <w:color w:val="auto"/>
              </w:rPr>
              <w:t>生态环境：项目</w:t>
            </w:r>
            <w:r>
              <w:rPr>
                <w:rFonts w:hint="eastAsia"/>
                <w:color w:val="auto"/>
                <w:kern w:val="0"/>
              </w:rPr>
              <w:t>属于</w:t>
            </w:r>
            <w:r>
              <w:rPr>
                <w:color w:val="auto"/>
                <w:kern w:val="0"/>
              </w:rPr>
              <w:t>中国-马来西亚钦州产业园区</w:t>
            </w:r>
            <w:r>
              <w:rPr>
                <w:rFonts w:hint="eastAsia"/>
                <w:color w:val="auto"/>
                <w:kern w:val="0"/>
              </w:rPr>
              <w:t>规划范围</w:t>
            </w:r>
            <w:r>
              <w:rPr>
                <w:color w:val="auto"/>
              </w:rPr>
              <w:t>，</w:t>
            </w:r>
            <w:r>
              <w:rPr>
                <w:rFonts w:hint="eastAsia"/>
                <w:color w:val="auto"/>
              </w:rPr>
              <w:t>项目用地属于工业用地，</w:t>
            </w:r>
            <w:r>
              <w:rPr>
                <w:color w:val="auto"/>
              </w:rPr>
              <w:t>项目所在区域不属于生态敏感区</w:t>
            </w:r>
            <w:r>
              <w:rPr>
                <w:rFonts w:hint="eastAsia"/>
                <w:color w:val="auto"/>
              </w:rPr>
              <w:t>。项目距离茅尾海红树林自然保护区的最近距离为11.6km（西南面）</w:t>
            </w:r>
            <w:r>
              <w:rPr>
                <w:color w:val="auto"/>
              </w:rPr>
              <w:t>。</w:t>
            </w:r>
          </w:p>
          <w:p w14:paraId="1F6C32D7">
            <w:pPr>
              <w:spacing w:line="240" w:lineRule="auto"/>
              <w:jc w:val="center"/>
              <w:rPr>
                <w:b/>
                <w:bCs/>
                <w:color w:val="auto"/>
                <w:sz w:val="21"/>
                <w:szCs w:val="21"/>
              </w:rPr>
            </w:pPr>
            <w:r>
              <w:rPr>
                <w:rFonts w:hint="eastAsia"/>
                <w:b/>
                <w:bCs/>
                <w:color w:val="auto"/>
                <w:sz w:val="21"/>
                <w:szCs w:val="21"/>
              </w:rPr>
              <w:t>表3</w:t>
            </w:r>
            <w:r>
              <w:rPr>
                <w:b/>
                <w:bCs/>
                <w:color w:val="auto"/>
                <w:sz w:val="21"/>
                <w:szCs w:val="21"/>
              </w:rPr>
              <w:t xml:space="preserve">-5 </w:t>
            </w:r>
            <w:r>
              <w:rPr>
                <w:rFonts w:hint="eastAsia"/>
                <w:b/>
                <w:bCs/>
                <w:color w:val="auto"/>
                <w:sz w:val="21"/>
                <w:szCs w:val="21"/>
              </w:rPr>
              <w:t xml:space="preserve">  项目环境保护目标分布统计表</w:t>
            </w:r>
          </w:p>
          <w:tbl>
            <w:tblPr>
              <w:tblStyle w:val="25"/>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708"/>
              <w:gridCol w:w="851"/>
              <w:gridCol w:w="850"/>
              <w:gridCol w:w="709"/>
              <w:gridCol w:w="709"/>
              <w:gridCol w:w="3359"/>
            </w:tblGrid>
            <w:tr w14:paraId="1C82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2" w:type="dxa"/>
                  <w:tcMar>
                    <w:top w:w="0" w:type="dxa"/>
                    <w:left w:w="0" w:type="dxa"/>
                    <w:bottom w:w="0" w:type="dxa"/>
                    <w:right w:w="0" w:type="dxa"/>
                  </w:tcMar>
                  <w:vAlign w:val="center"/>
                </w:tcPr>
                <w:p w14:paraId="2DE0DD63">
                  <w:pPr>
                    <w:pStyle w:val="71"/>
                    <w:rPr>
                      <w:rFonts w:ascii="Times New Roman" w:hAnsi="Times New Roman"/>
                      <w:b/>
                      <w:color w:val="auto"/>
                      <w:szCs w:val="21"/>
                    </w:rPr>
                  </w:pPr>
                  <w:r>
                    <w:rPr>
                      <w:rFonts w:ascii="Times New Roman" w:hAnsi="Times New Roman"/>
                      <w:b/>
                      <w:color w:val="auto"/>
                      <w:szCs w:val="21"/>
                    </w:rPr>
                    <w:t>保护类别</w:t>
                  </w:r>
                </w:p>
              </w:tc>
              <w:tc>
                <w:tcPr>
                  <w:tcW w:w="708" w:type="dxa"/>
                  <w:tcMar>
                    <w:top w:w="0" w:type="dxa"/>
                    <w:left w:w="0" w:type="dxa"/>
                    <w:bottom w:w="0" w:type="dxa"/>
                    <w:right w:w="0" w:type="dxa"/>
                  </w:tcMar>
                  <w:vAlign w:val="center"/>
                </w:tcPr>
                <w:p w14:paraId="4DCADBA3">
                  <w:pPr>
                    <w:pStyle w:val="71"/>
                    <w:rPr>
                      <w:rFonts w:ascii="Times New Roman" w:hAnsi="Times New Roman"/>
                      <w:b/>
                      <w:color w:val="auto"/>
                      <w:szCs w:val="21"/>
                    </w:rPr>
                  </w:pPr>
                  <w:bookmarkStart w:id="74" w:name="_Hlk85642283"/>
                  <w:r>
                    <w:rPr>
                      <w:rFonts w:ascii="Times New Roman" w:hAnsi="Times New Roman"/>
                      <w:b/>
                      <w:color w:val="auto"/>
                      <w:szCs w:val="21"/>
                    </w:rPr>
                    <w:t>名称</w:t>
                  </w:r>
                </w:p>
              </w:tc>
              <w:tc>
                <w:tcPr>
                  <w:tcW w:w="851" w:type="dxa"/>
                  <w:tcMar>
                    <w:top w:w="0" w:type="dxa"/>
                    <w:left w:w="0" w:type="dxa"/>
                    <w:bottom w:w="0" w:type="dxa"/>
                    <w:right w:w="0" w:type="dxa"/>
                  </w:tcMar>
                  <w:vAlign w:val="center"/>
                </w:tcPr>
                <w:p w14:paraId="195F7B4E">
                  <w:pPr>
                    <w:pStyle w:val="71"/>
                    <w:rPr>
                      <w:rFonts w:ascii="Times New Roman" w:hAnsi="Times New Roman"/>
                      <w:b/>
                      <w:color w:val="auto"/>
                      <w:szCs w:val="21"/>
                    </w:rPr>
                  </w:pPr>
                  <w:r>
                    <w:rPr>
                      <w:rFonts w:ascii="Times New Roman" w:hAnsi="Times New Roman"/>
                      <w:b/>
                      <w:color w:val="auto"/>
                      <w:szCs w:val="21"/>
                    </w:rPr>
                    <w:t>方位/距离</w:t>
                  </w:r>
                </w:p>
              </w:tc>
              <w:tc>
                <w:tcPr>
                  <w:tcW w:w="850" w:type="dxa"/>
                  <w:tcMar>
                    <w:top w:w="0" w:type="dxa"/>
                    <w:left w:w="0" w:type="dxa"/>
                    <w:bottom w:w="0" w:type="dxa"/>
                    <w:right w:w="0" w:type="dxa"/>
                  </w:tcMar>
                  <w:vAlign w:val="center"/>
                </w:tcPr>
                <w:p w14:paraId="189E6013">
                  <w:pPr>
                    <w:pStyle w:val="71"/>
                    <w:rPr>
                      <w:rFonts w:ascii="Times New Roman" w:hAnsi="Times New Roman"/>
                      <w:b/>
                      <w:color w:val="auto"/>
                      <w:szCs w:val="21"/>
                    </w:rPr>
                  </w:pPr>
                  <w:r>
                    <w:rPr>
                      <w:rFonts w:ascii="Times New Roman" w:hAnsi="Times New Roman"/>
                      <w:b/>
                      <w:color w:val="auto"/>
                      <w:szCs w:val="21"/>
                    </w:rPr>
                    <w:t>功能</w:t>
                  </w:r>
                </w:p>
              </w:tc>
              <w:tc>
                <w:tcPr>
                  <w:tcW w:w="709" w:type="dxa"/>
                  <w:tcMar>
                    <w:top w:w="0" w:type="dxa"/>
                    <w:left w:w="0" w:type="dxa"/>
                    <w:bottom w:w="0" w:type="dxa"/>
                    <w:right w:w="0" w:type="dxa"/>
                  </w:tcMar>
                  <w:vAlign w:val="center"/>
                </w:tcPr>
                <w:p w14:paraId="5DBE3378">
                  <w:pPr>
                    <w:pStyle w:val="71"/>
                    <w:rPr>
                      <w:rFonts w:ascii="Times New Roman" w:hAnsi="Times New Roman"/>
                      <w:b/>
                      <w:color w:val="auto"/>
                      <w:szCs w:val="21"/>
                    </w:rPr>
                  </w:pPr>
                  <w:r>
                    <w:rPr>
                      <w:rFonts w:hint="eastAsia" w:ascii="Times New Roman" w:hAnsi="Times New Roman"/>
                      <w:b/>
                      <w:color w:val="auto"/>
                      <w:szCs w:val="21"/>
                    </w:rPr>
                    <w:t>影响</w:t>
                  </w:r>
                  <w:r>
                    <w:rPr>
                      <w:rFonts w:ascii="Times New Roman" w:hAnsi="Times New Roman"/>
                      <w:b/>
                      <w:color w:val="auto"/>
                      <w:szCs w:val="21"/>
                    </w:rPr>
                    <w:t>人数</w:t>
                  </w:r>
                </w:p>
              </w:tc>
              <w:tc>
                <w:tcPr>
                  <w:tcW w:w="709" w:type="dxa"/>
                  <w:tcMar>
                    <w:top w:w="0" w:type="dxa"/>
                    <w:left w:w="0" w:type="dxa"/>
                    <w:bottom w:w="0" w:type="dxa"/>
                    <w:right w:w="0" w:type="dxa"/>
                  </w:tcMar>
                  <w:vAlign w:val="center"/>
                </w:tcPr>
                <w:p w14:paraId="41BAD770">
                  <w:pPr>
                    <w:pStyle w:val="71"/>
                    <w:rPr>
                      <w:rFonts w:ascii="Times New Roman" w:hAnsi="Times New Roman"/>
                      <w:b/>
                      <w:color w:val="auto"/>
                      <w:szCs w:val="21"/>
                    </w:rPr>
                  </w:pPr>
                  <w:r>
                    <w:rPr>
                      <w:rFonts w:ascii="Times New Roman" w:hAnsi="Times New Roman"/>
                      <w:b/>
                      <w:color w:val="auto"/>
                      <w:szCs w:val="21"/>
                    </w:rPr>
                    <w:t>饮用水源</w:t>
                  </w:r>
                </w:p>
              </w:tc>
              <w:tc>
                <w:tcPr>
                  <w:tcW w:w="3359" w:type="dxa"/>
                  <w:tcMar>
                    <w:top w:w="0" w:type="dxa"/>
                    <w:left w:w="0" w:type="dxa"/>
                    <w:bottom w:w="0" w:type="dxa"/>
                    <w:right w:w="0" w:type="dxa"/>
                  </w:tcMar>
                  <w:vAlign w:val="center"/>
                </w:tcPr>
                <w:p w14:paraId="69E997EE">
                  <w:pPr>
                    <w:pStyle w:val="71"/>
                    <w:rPr>
                      <w:rFonts w:ascii="Times New Roman" w:hAnsi="Times New Roman"/>
                      <w:b/>
                      <w:color w:val="auto"/>
                      <w:szCs w:val="21"/>
                    </w:rPr>
                  </w:pPr>
                  <w:r>
                    <w:rPr>
                      <w:rFonts w:ascii="Times New Roman" w:hAnsi="Times New Roman"/>
                      <w:b/>
                      <w:color w:val="auto"/>
                      <w:szCs w:val="21"/>
                    </w:rPr>
                    <w:t>保护目标</w:t>
                  </w:r>
                </w:p>
              </w:tc>
            </w:tr>
            <w:tr w14:paraId="055E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02" w:type="dxa"/>
                  <w:tcMar>
                    <w:top w:w="0" w:type="dxa"/>
                    <w:left w:w="0" w:type="dxa"/>
                    <w:bottom w:w="0" w:type="dxa"/>
                    <w:right w:w="0" w:type="dxa"/>
                  </w:tcMar>
                  <w:vAlign w:val="center"/>
                </w:tcPr>
                <w:p w14:paraId="35EF6054">
                  <w:pPr>
                    <w:pStyle w:val="71"/>
                    <w:rPr>
                      <w:rFonts w:ascii="Times New Roman" w:hAnsi="Times New Roman"/>
                      <w:color w:val="auto"/>
                      <w:szCs w:val="21"/>
                    </w:rPr>
                  </w:pPr>
                  <w:r>
                    <w:rPr>
                      <w:rFonts w:ascii="Times New Roman" w:hAnsi="Times New Roman"/>
                      <w:color w:val="auto"/>
                      <w:szCs w:val="21"/>
                    </w:rPr>
                    <w:t>环境空气</w:t>
                  </w:r>
                </w:p>
              </w:tc>
              <w:tc>
                <w:tcPr>
                  <w:tcW w:w="708" w:type="dxa"/>
                  <w:tcMar>
                    <w:top w:w="0" w:type="dxa"/>
                    <w:left w:w="0" w:type="dxa"/>
                    <w:bottom w:w="0" w:type="dxa"/>
                    <w:right w:w="0" w:type="dxa"/>
                  </w:tcMar>
                  <w:vAlign w:val="center"/>
                </w:tcPr>
                <w:p w14:paraId="3BA1A293">
                  <w:pPr>
                    <w:pStyle w:val="71"/>
                    <w:rPr>
                      <w:rFonts w:ascii="Times New Roman" w:hAnsi="Times New Roman"/>
                      <w:color w:val="auto"/>
                      <w:szCs w:val="21"/>
                    </w:rPr>
                  </w:pPr>
                  <w:r>
                    <w:rPr>
                      <w:rFonts w:hint="eastAsia" w:ascii="Times New Roman" w:hAnsi="Times New Roman"/>
                      <w:color w:val="auto"/>
                      <w:szCs w:val="21"/>
                    </w:rPr>
                    <w:t>细鸡屋</w:t>
                  </w:r>
                </w:p>
              </w:tc>
              <w:tc>
                <w:tcPr>
                  <w:tcW w:w="851" w:type="dxa"/>
                  <w:tcMar>
                    <w:top w:w="0" w:type="dxa"/>
                    <w:left w:w="0" w:type="dxa"/>
                    <w:bottom w:w="0" w:type="dxa"/>
                    <w:right w:w="0" w:type="dxa"/>
                  </w:tcMar>
                  <w:vAlign w:val="center"/>
                </w:tcPr>
                <w:p w14:paraId="1DBA2EEA">
                  <w:pPr>
                    <w:pStyle w:val="71"/>
                    <w:rPr>
                      <w:rFonts w:ascii="Times New Roman" w:hAnsi="Times New Roman"/>
                      <w:color w:val="auto"/>
                      <w:szCs w:val="21"/>
                    </w:rPr>
                  </w:pPr>
                  <w:r>
                    <w:rPr>
                      <w:rFonts w:hint="eastAsia" w:ascii="Times New Roman" w:hAnsi="Times New Roman"/>
                      <w:color w:val="auto"/>
                      <w:szCs w:val="21"/>
                    </w:rPr>
                    <w:t>东南</w:t>
                  </w:r>
                  <w:r>
                    <w:rPr>
                      <w:rFonts w:ascii="Times New Roman" w:hAnsi="Times New Roman"/>
                      <w:color w:val="auto"/>
                      <w:szCs w:val="21"/>
                    </w:rPr>
                    <w:t>面</w:t>
                  </w:r>
                  <w:r>
                    <w:rPr>
                      <w:rFonts w:hint="eastAsia" w:ascii="Times New Roman" w:hAnsi="Times New Roman"/>
                      <w:color w:val="auto"/>
                      <w:szCs w:val="21"/>
                    </w:rPr>
                    <w:t>400</w:t>
                  </w:r>
                  <w:r>
                    <w:rPr>
                      <w:rFonts w:ascii="Times New Roman" w:hAnsi="Times New Roman"/>
                      <w:color w:val="auto"/>
                      <w:szCs w:val="21"/>
                    </w:rPr>
                    <w:t>m</w:t>
                  </w:r>
                </w:p>
              </w:tc>
              <w:tc>
                <w:tcPr>
                  <w:tcW w:w="850" w:type="dxa"/>
                  <w:tcMar>
                    <w:top w:w="0" w:type="dxa"/>
                    <w:left w:w="0" w:type="dxa"/>
                    <w:bottom w:w="0" w:type="dxa"/>
                    <w:right w:w="0" w:type="dxa"/>
                  </w:tcMar>
                  <w:vAlign w:val="center"/>
                </w:tcPr>
                <w:p w14:paraId="18E2A9B2">
                  <w:pPr>
                    <w:pStyle w:val="71"/>
                    <w:rPr>
                      <w:rFonts w:ascii="Times New Roman" w:hAnsi="Times New Roman"/>
                      <w:color w:val="auto"/>
                      <w:szCs w:val="21"/>
                    </w:rPr>
                  </w:pPr>
                  <w:r>
                    <w:rPr>
                      <w:rFonts w:hint="eastAsia" w:ascii="Times New Roman" w:hAnsi="Times New Roman"/>
                      <w:color w:val="auto"/>
                      <w:szCs w:val="21"/>
                    </w:rPr>
                    <w:t>村庄</w:t>
                  </w:r>
                </w:p>
              </w:tc>
              <w:tc>
                <w:tcPr>
                  <w:tcW w:w="709" w:type="dxa"/>
                  <w:tcMar>
                    <w:top w:w="0" w:type="dxa"/>
                    <w:left w:w="0" w:type="dxa"/>
                    <w:bottom w:w="0" w:type="dxa"/>
                    <w:right w:w="0" w:type="dxa"/>
                  </w:tcMar>
                  <w:vAlign w:val="center"/>
                </w:tcPr>
                <w:p w14:paraId="30B323A4">
                  <w:pPr>
                    <w:pStyle w:val="71"/>
                    <w:rPr>
                      <w:rFonts w:ascii="Times New Roman" w:hAnsi="Times New Roman"/>
                      <w:color w:val="auto"/>
                      <w:szCs w:val="21"/>
                    </w:rPr>
                  </w:pPr>
                  <w:r>
                    <w:rPr>
                      <w:rFonts w:hint="eastAsia" w:ascii="Times New Roman" w:hAnsi="Times New Roman"/>
                      <w:color w:val="auto"/>
                      <w:szCs w:val="21"/>
                    </w:rPr>
                    <w:t>50</w:t>
                  </w:r>
                  <w:r>
                    <w:rPr>
                      <w:rFonts w:ascii="Times New Roman" w:hAnsi="Times New Roman"/>
                      <w:color w:val="auto"/>
                      <w:szCs w:val="21"/>
                    </w:rPr>
                    <w:t>人</w:t>
                  </w:r>
                </w:p>
              </w:tc>
              <w:tc>
                <w:tcPr>
                  <w:tcW w:w="709" w:type="dxa"/>
                  <w:tcMar>
                    <w:top w:w="0" w:type="dxa"/>
                    <w:left w:w="0" w:type="dxa"/>
                    <w:bottom w:w="0" w:type="dxa"/>
                    <w:right w:w="0" w:type="dxa"/>
                  </w:tcMar>
                  <w:vAlign w:val="center"/>
                </w:tcPr>
                <w:p w14:paraId="3DE675FE">
                  <w:pPr>
                    <w:pStyle w:val="71"/>
                    <w:rPr>
                      <w:rFonts w:ascii="Times New Roman" w:hAnsi="Times New Roman"/>
                      <w:color w:val="auto"/>
                      <w:szCs w:val="21"/>
                    </w:rPr>
                  </w:pPr>
                  <w:r>
                    <w:rPr>
                      <w:rFonts w:ascii="Times New Roman" w:hAnsi="Times New Roman"/>
                      <w:color w:val="auto"/>
                      <w:szCs w:val="21"/>
                    </w:rPr>
                    <w:t>自来水</w:t>
                  </w:r>
                </w:p>
              </w:tc>
              <w:tc>
                <w:tcPr>
                  <w:tcW w:w="3359" w:type="dxa"/>
                  <w:tcMar>
                    <w:top w:w="0" w:type="dxa"/>
                    <w:left w:w="0" w:type="dxa"/>
                    <w:bottom w:w="0" w:type="dxa"/>
                    <w:right w:w="0" w:type="dxa"/>
                  </w:tcMar>
                  <w:vAlign w:val="center"/>
                </w:tcPr>
                <w:p w14:paraId="298C3B31">
                  <w:pPr>
                    <w:pStyle w:val="71"/>
                    <w:rPr>
                      <w:color w:val="auto"/>
                    </w:rPr>
                  </w:pPr>
                  <w:r>
                    <w:rPr>
                      <w:rFonts w:ascii="Times New Roman" w:hAnsi="Times New Roman"/>
                      <w:color w:val="auto"/>
                      <w:szCs w:val="21"/>
                    </w:rPr>
                    <w:t>《环境空气质量标准》（GB3095-2012）及2018修改单二级标准</w:t>
                  </w:r>
                </w:p>
              </w:tc>
            </w:tr>
            <w:bookmarkEnd w:id="74"/>
          </w:tbl>
          <w:p w14:paraId="5C1AC486">
            <w:pPr>
              <w:adjustRightInd w:val="0"/>
              <w:snapToGrid w:val="0"/>
              <w:rPr>
                <w:color w:val="auto"/>
              </w:rPr>
            </w:pPr>
          </w:p>
        </w:tc>
      </w:tr>
      <w:tr w14:paraId="04524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6" w:hRule="atLeast"/>
          <w:jc w:val="center"/>
        </w:trPr>
        <w:tc>
          <w:tcPr>
            <w:tcW w:w="456" w:type="dxa"/>
            <w:tcMar>
              <w:left w:w="28" w:type="dxa"/>
              <w:right w:w="28" w:type="dxa"/>
            </w:tcMar>
            <w:vAlign w:val="center"/>
          </w:tcPr>
          <w:p w14:paraId="6321A5DC">
            <w:pPr>
              <w:jc w:val="center"/>
              <w:rPr>
                <w:b/>
                <w:color w:val="auto"/>
              </w:rPr>
            </w:pPr>
            <w:r>
              <w:rPr>
                <w:b/>
                <w:color w:val="auto"/>
              </w:rPr>
              <w:t>污</w:t>
            </w:r>
          </w:p>
          <w:p w14:paraId="5E021184">
            <w:pPr>
              <w:jc w:val="center"/>
              <w:rPr>
                <w:b/>
                <w:color w:val="auto"/>
              </w:rPr>
            </w:pPr>
            <w:r>
              <w:rPr>
                <w:b/>
                <w:color w:val="auto"/>
              </w:rPr>
              <w:t>染</w:t>
            </w:r>
          </w:p>
          <w:p w14:paraId="6649B298">
            <w:pPr>
              <w:jc w:val="center"/>
              <w:rPr>
                <w:b/>
                <w:color w:val="auto"/>
              </w:rPr>
            </w:pPr>
            <w:r>
              <w:rPr>
                <w:b/>
                <w:color w:val="auto"/>
              </w:rPr>
              <w:t>物</w:t>
            </w:r>
          </w:p>
          <w:p w14:paraId="13BB9540">
            <w:pPr>
              <w:jc w:val="center"/>
              <w:rPr>
                <w:b/>
                <w:color w:val="auto"/>
              </w:rPr>
            </w:pPr>
            <w:r>
              <w:rPr>
                <w:b/>
                <w:color w:val="auto"/>
              </w:rPr>
              <w:t>排</w:t>
            </w:r>
          </w:p>
          <w:p w14:paraId="6057B643">
            <w:pPr>
              <w:jc w:val="center"/>
              <w:rPr>
                <w:b/>
                <w:color w:val="auto"/>
              </w:rPr>
            </w:pPr>
            <w:r>
              <w:rPr>
                <w:b/>
                <w:color w:val="auto"/>
              </w:rPr>
              <w:t>放</w:t>
            </w:r>
          </w:p>
          <w:p w14:paraId="6CBECE65">
            <w:pPr>
              <w:jc w:val="center"/>
              <w:rPr>
                <w:b/>
                <w:color w:val="auto"/>
              </w:rPr>
            </w:pPr>
            <w:r>
              <w:rPr>
                <w:b/>
                <w:color w:val="auto"/>
              </w:rPr>
              <w:t>控</w:t>
            </w:r>
          </w:p>
          <w:p w14:paraId="66FDF853">
            <w:pPr>
              <w:jc w:val="center"/>
              <w:rPr>
                <w:b/>
                <w:color w:val="auto"/>
              </w:rPr>
            </w:pPr>
            <w:r>
              <w:rPr>
                <w:b/>
                <w:color w:val="auto"/>
              </w:rPr>
              <w:t>制</w:t>
            </w:r>
          </w:p>
          <w:p w14:paraId="72C10D40">
            <w:pPr>
              <w:jc w:val="center"/>
              <w:rPr>
                <w:b/>
                <w:color w:val="auto"/>
              </w:rPr>
            </w:pPr>
            <w:r>
              <w:rPr>
                <w:b/>
                <w:color w:val="auto"/>
              </w:rPr>
              <w:t>标</w:t>
            </w:r>
          </w:p>
          <w:p w14:paraId="57F42C14">
            <w:pPr>
              <w:jc w:val="center"/>
              <w:rPr>
                <w:b/>
                <w:color w:val="auto"/>
                <w:szCs w:val="21"/>
              </w:rPr>
            </w:pPr>
            <w:r>
              <w:rPr>
                <w:b/>
                <w:color w:val="auto"/>
              </w:rPr>
              <w:t>准</w:t>
            </w:r>
          </w:p>
        </w:tc>
        <w:tc>
          <w:tcPr>
            <w:tcW w:w="8591" w:type="dxa"/>
            <w:vAlign w:val="center"/>
          </w:tcPr>
          <w:p w14:paraId="3CBE91AB">
            <w:pPr>
              <w:ind w:firstLine="482" w:firstLineChars="200"/>
              <w:rPr>
                <w:b/>
                <w:color w:val="auto"/>
              </w:rPr>
            </w:pPr>
            <w:r>
              <w:rPr>
                <w:rFonts w:hint="eastAsia"/>
                <w:b/>
                <w:color w:val="auto"/>
              </w:rPr>
              <w:t>1、</w:t>
            </w:r>
            <w:r>
              <w:rPr>
                <w:b/>
                <w:color w:val="auto"/>
              </w:rPr>
              <w:t>大气污染物排放标准</w:t>
            </w:r>
          </w:p>
          <w:p w14:paraId="5CCDC591">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eastAsia="宋体"/>
                <w:color w:val="auto"/>
                <w:lang w:val="en-US" w:eastAsia="zh-CN"/>
              </w:rPr>
            </w:pPr>
            <w:r>
              <w:rPr>
                <w:rFonts w:hint="eastAsia"/>
                <w:color w:val="auto"/>
                <w:szCs w:val="20"/>
                <w:lang w:eastAsia="zh-CN"/>
              </w:rPr>
              <w:t>施工期</w:t>
            </w:r>
            <w:r>
              <w:rPr>
                <w:rFonts w:hint="eastAsia"/>
                <w:color w:val="auto"/>
                <w:lang w:eastAsia="zh-CN"/>
              </w:rPr>
              <w:t>废气执行《大气污染物综合排放标准》（GB16297-1996）表2中无组织排放监控浓度限值，具体见表</w:t>
            </w:r>
            <w:r>
              <w:rPr>
                <w:rFonts w:hint="eastAsia"/>
                <w:color w:val="auto"/>
                <w:lang w:val="en-US" w:eastAsia="zh-CN"/>
              </w:rPr>
              <w:t>3-6。</w:t>
            </w:r>
          </w:p>
          <w:p w14:paraId="5EBA98DD">
            <w:pPr>
              <w:pStyle w:val="136"/>
              <w:spacing w:line="240" w:lineRule="auto"/>
              <w:rPr>
                <w:rFonts w:hint="eastAsia" w:ascii="Times New Roman" w:hAnsi="Times New Roman" w:eastAsia="宋体" w:cs="Times New Roman"/>
                <w:color w:val="auto"/>
              </w:rPr>
            </w:pPr>
            <w:r>
              <w:rPr>
                <w:rFonts w:ascii="Times New Roman" w:hAnsi="Times New Roman" w:eastAsia="宋体" w:cs="Times New Roman"/>
                <w:color w:val="auto"/>
              </w:rPr>
              <w:t>表</w:t>
            </w:r>
            <w:r>
              <w:rPr>
                <w:rFonts w:hint="eastAsia" w:ascii="Times New Roman" w:hAnsi="Times New Roman" w:eastAsia="宋体" w:cs="Times New Roman"/>
                <w:color w:val="auto"/>
                <w:lang w:val="en-US" w:eastAsia="zh-CN"/>
              </w:rPr>
              <w:t>3-6</w:t>
            </w:r>
            <w:r>
              <w:rPr>
                <w:rFonts w:ascii="Times New Roman" w:hAnsi="Times New Roman" w:eastAsia="宋体" w:cs="Times New Roman"/>
                <w:color w:val="auto"/>
              </w:rPr>
              <w:t xml:space="preserve">  大气污染物综合排放标准限值表</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755"/>
              <w:gridCol w:w="2776"/>
            </w:tblGrid>
            <w:tr w14:paraId="4FDA8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697" w:type="pct"/>
                  <w:vMerge w:val="restart"/>
                  <w:noWrap w:val="0"/>
                  <w:vAlign w:val="center"/>
                </w:tcPr>
                <w:p w14:paraId="7A6031C6">
                  <w:pPr>
                    <w:spacing w:line="240" w:lineRule="auto"/>
                    <w:jc w:val="center"/>
                    <w:rPr>
                      <w:bCs/>
                      <w:color w:val="auto"/>
                    </w:rPr>
                  </w:pPr>
                  <w:r>
                    <w:rPr>
                      <w:bCs/>
                      <w:color w:val="auto"/>
                    </w:rPr>
                    <w:t>污染物</w:t>
                  </w:r>
                </w:p>
              </w:tc>
              <w:tc>
                <w:tcPr>
                  <w:tcW w:w="3302" w:type="pct"/>
                  <w:gridSpan w:val="2"/>
                  <w:noWrap w:val="0"/>
                  <w:vAlign w:val="center"/>
                </w:tcPr>
                <w:p w14:paraId="58BCD803">
                  <w:pPr>
                    <w:spacing w:line="240" w:lineRule="auto"/>
                    <w:jc w:val="center"/>
                    <w:rPr>
                      <w:bCs/>
                      <w:color w:val="auto"/>
                    </w:rPr>
                  </w:pPr>
                  <w:r>
                    <w:rPr>
                      <w:bCs/>
                      <w:color w:val="auto"/>
                    </w:rPr>
                    <w:t>无组织</w:t>
                  </w:r>
                  <w:r>
                    <w:rPr>
                      <w:bCs/>
                      <w:color w:val="auto"/>
                      <w:sz w:val="24"/>
                      <w:szCs w:val="24"/>
                    </w:rPr>
                    <w:t>排放监控浓度限值</w:t>
                  </w:r>
                </w:p>
              </w:tc>
            </w:tr>
            <w:tr w14:paraId="26D17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697" w:type="pct"/>
                  <w:vMerge w:val="continue"/>
                  <w:noWrap w:val="0"/>
                  <w:vAlign w:val="center"/>
                </w:tcPr>
                <w:p w14:paraId="36E19FC6">
                  <w:pPr>
                    <w:spacing w:line="240" w:lineRule="auto"/>
                    <w:jc w:val="center"/>
                    <w:rPr>
                      <w:bCs/>
                      <w:color w:val="auto"/>
                    </w:rPr>
                  </w:pPr>
                </w:p>
              </w:tc>
              <w:tc>
                <w:tcPr>
                  <w:tcW w:w="1645" w:type="pct"/>
                  <w:noWrap w:val="0"/>
                  <w:vAlign w:val="center"/>
                </w:tcPr>
                <w:p w14:paraId="7FFAE6C4">
                  <w:pPr>
                    <w:spacing w:line="240" w:lineRule="auto"/>
                    <w:jc w:val="center"/>
                    <w:rPr>
                      <w:bCs/>
                      <w:color w:val="auto"/>
                    </w:rPr>
                  </w:pPr>
                  <w:r>
                    <w:rPr>
                      <w:bCs/>
                      <w:color w:val="auto"/>
                    </w:rPr>
                    <w:t>监控点</w:t>
                  </w:r>
                </w:p>
              </w:tc>
              <w:tc>
                <w:tcPr>
                  <w:tcW w:w="1657" w:type="pct"/>
                  <w:noWrap w:val="0"/>
                  <w:vAlign w:val="center"/>
                </w:tcPr>
                <w:p w14:paraId="568CEAD3">
                  <w:pPr>
                    <w:spacing w:line="240" w:lineRule="auto"/>
                    <w:jc w:val="center"/>
                    <w:rPr>
                      <w:bCs/>
                      <w:color w:val="auto"/>
                    </w:rPr>
                  </w:pPr>
                  <w:r>
                    <w:rPr>
                      <w:bCs/>
                      <w:color w:val="auto"/>
                    </w:rPr>
                    <w:t>浓度（mg/m</w:t>
                  </w:r>
                  <w:r>
                    <w:rPr>
                      <w:bCs/>
                      <w:color w:val="auto"/>
                      <w:vertAlign w:val="superscript"/>
                    </w:rPr>
                    <w:t>3</w:t>
                  </w:r>
                  <w:r>
                    <w:rPr>
                      <w:bCs/>
                      <w:color w:val="auto"/>
                    </w:rPr>
                    <w:t>）</w:t>
                  </w:r>
                </w:p>
              </w:tc>
            </w:tr>
            <w:tr w14:paraId="722ED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697" w:type="pct"/>
                  <w:noWrap w:val="0"/>
                  <w:vAlign w:val="center"/>
                </w:tcPr>
                <w:p w14:paraId="7CB63863">
                  <w:pPr>
                    <w:spacing w:line="240" w:lineRule="auto"/>
                    <w:jc w:val="center"/>
                    <w:rPr>
                      <w:bCs/>
                      <w:color w:val="auto"/>
                    </w:rPr>
                  </w:pPr>
                  <w:r>
                    <w:rPr>
                      <w:bCs/>
                      <w:color w:val="auto"/>
                    </w:rPr>
                    <w:t>颗粒物</w:t>
                  </w:r>
                </w:p>
              </w:tc>
              <w:tc>
                <w:tcPr>
                  <w:tcW w:w="1645" w:type="pct"/>
                  <w:noWrap w:val="0"/>
                  <w:vAlign w:val="center"/>
                </w:tcPr>
                <w:p w14:paraId="655279C5">
                  <w:pPr>
                    <w:spacing w:line="240" w:lineRule="auto"/>
                    <w:jc w:val="center"/>
                    <w:rPr>
                      <w:bCs/>
                      <w:color w:val="auto"/>
                    </w:rPr>
                  </w:pPr>
                </w:p>
              </w:tc>
              <w:tc>
                <w:tcPr>
                  <w:tcW w:w="1657" w:type="pct"/>
                  <w:noWrap w:val="0"/>
                  <w:vAlign w:val="center"/>
                </w:tcPr>
                <w:p w14:paraId="3AA653A3">
                  <w:pPr>
                    <w:spacing w:line="240" w:lineRule="auto"/>
                    <w:jc w:val="center"/>
                    <w:rPr>
                      <w:bCs/>
                      <w:color w:val="auto"/>
                    </w:rPr>
                  </w:pPr>
                </w:p>
              </w:tc>
            </w:tr>
          </w:tbl>
          <w:p w14:paraId="4A41842C">
            <w:pPr>
              <w:pStyle w:val="137"/>
              <w:ind w:firstLine="480"/>
              <w:rPr>
                <w:color w:val="auto"/>
                <w:szCs w:val="20"/>
              </w:rPr>
            </w:pPr>
            <w:r>
              <w:rPr>
                <w:rFonts w:hint="eastAsia"/>
                <w:color w:val="auto"/>
                <w:szCs w:val="20"/>
              </w:rPr>
              <w:t>运营期</w:t>
            </w:r>
            <w:r>
              <w:rPr>
                <w:rFonts w:hint="eastAsia"/>
                <w:color w:val="auto"/>
              </w:rPr>
              <w:t>注塑有机废气（以非甲烷总烃表征）</w:t>
            </w:r>
            <w:r>
              <w:rPr>
                <w:rFonts w:hint="eastAsia"/>
                <w:color w:val="auto"/>
                <w:szCs w:val="20"/>
              </w:rPr>
              <w:t>排放执行</w:t>
            </w:r>
            <w:bookmarkStart w:id="75" w:name="OLE_LINK77"/>
            <w:r>
              <w:rPr>
                <w:color w:val="auto"/>
                <w:szCs w:val="20"/>
              </w:rPr>
              <w:t>《合成树脂工业污染物排放标准》(GB31572-2015)</w:t>
            </w:r>
            <w:bookmarkStart w:id="76" w:name="OLE_LINK54"/>
            <w:r>
              <w:rPr>
                <w:rFonts w:hint="eastAsia"/>
                <w:color w:val="auto"/>
                <w:szCs w:val="20"/>
              </w:rPr>
              <w:t>（含2024修改单）</w:t>
            </w:r>
            <w:bookmarkEnd w:id="75"/>
            <w:bookmarkEnd w:id="76"/>
            <w:r>
              <w:rPr>
                <w:color w:val="auto"/>
                <w:szCs w:val="20"/>
              </w:rPr>
              <w:t>中表</w:t>
            </w:r>
            <w:r>
              <w:rPr>
                <w:rFonts w:hint="eastAsia"/>
                <w:color w:val="auto"/>
                <w:szCs w:val="20"/>
              </w:rPr>
              <w:t>4</w:t>
            </w:r>
            <w:r>
              <w:rPr>
                <w:color w:val="auto"/>
                <w:szCs w:val="20"/>
              </w:rPr>
              <w:t>规定的大气污染物排放限值和表9企业边界大气污染物浓度限值</w:t>
            </w:r>
            <w:r>
              <w:rPr>
                <w:rFonts w:hint="eastAsia"/>
                <w:color w:val="auto"/>
                <w:szCs w:val="20"/>
              </w:rPr>
              <w:t>；</w:t>
            </w:r>
            <w:r>
              <w:rPr>
                <w:color w:val="auto"/>
                <w:szCs w:val="20"/>
              </w:rPr>
              <w:t>厂区内挥发性有机物（</w:t>
            </w:r>
            <w:r>
              <w:rPr>
                <w:rFonts w:hint="eastAsia"/>
                <w:color w:val="auto"/>
              </w:rPr>
              <w:t>以非甲烷总烃表征</w:t>
            </w:r>
            <w:r>
              <w:rPr>
                <w:color w:val="auto"/>
                <w:szCs w:val="20"/>
              </w:rPr>
              <w:t>）无组织排放限值执行</w:t>
            </w:r>
            <w:bookmarkStart w:id="77" w:name="OLE_LINK50"/>
            <w:r>
              <w:rPr>
                <w:color w:val="auto"/>
                <w:szCs w:val="20"/>
              </w:rPr>
              <w:t>《挥发性有机物无组织排放控制标准》（GB37822-2019）</w:t>
            </w:r>
            <w:bookmarkEnd w:id="77"/>
            <w:r>
              <w:rPr>
                <w:color w:val="auto"/>
                <w:szCs w:val="20"/>
              </w:rPr>
              <w:t>中表A.1中排放限值</w:t>
            </w:r>
            <w:r>
              <w:rPr>
                <w:rFonts w:hint="eastAsia"/>
                <w:color w:val="auto"/>
                <w:szCs w:val="20"/>
                <w:lang w:eastAsia="zh-CN"/>
              </w:rPr>
              <w:t>，</w:t>
            </w:r>
            <w:r>
              <w:rPr>
                <w:rFonts w:hint="eastAsia"/>
                <w:color w:val="auto"/>
              </w:rPr>
              <w:t>臭气浓度执行《恶臭污染物排放标准》（GB14554-93）表2恶臭污染物排放标准值</w:t>
            </w:r>
            <w:r>
              <w:rPr>
                <w:rFonts w:hint="eastAsia"/>
                <w:color w:val="auto"/>
                <w:szCs w:val="20"/>
              </w:rPr>
              <w:t>。要求</w:t>
            </w:r>
            <w:r>
              <w:rPr>
                <w:color w:val="auto"/>
                <w:szCs w:val="20"/>
              </w:rPr>
              <w:t>具体见表3-</w:t>
            </w:r>
            <w:r>
              <w:rPr>
                <w:rFonts w:hint="eastAsia"/>
                <w:color w:val="auto"/>
                <w:szCs w:val="20"/>
                <w:lang w:val="en-US" w:eastAsia="zh-CN"/>
              </w:rPr>
              <w:t>7</w:t>
            </w:r>
            <w:r>
              <w:rPr>
                <w:rFonts w:hint="eastAsia"/>
                <w:color w:val="auto"/>
                <w:szCs w:val="20"/>
              </w:rPr>
              <w:t>~</w:t>
            </w:r>
            <w:r>
              <w:rPr>
                <w:color w:val="auto"/>
                <w:szCs w:val="20"/>
              </w:rPr>
              <w:t>3-</w:t>
            </w:r>
            <w:r>
              <w:rPr>
                <w:rFonts w:hint="eastAsia"/>
                <w:color w:val="auto"/>
                <w:szCs w:val="20"/>
                <w:lang w:val="en-US" w:eastAsia="zh-CN"/>
              </w:rPr>
              <w:t>9</w:t>
            </w:r>
            <w:r>
              <w:rPr>
                <w:color w:val="auto"/>
                <w:szCs w:val="20"/>
              </w:rPr>
              <w:t>。</w:t>
            </w:r>
          </w:p>
          <w:p w14:paraId="06312D8A">
            <w:pPr>
              <w:pStyle w:val="136"/>
              <w:spacing w:line="240" w:lineRule="auto"/>
              <w:rPr>
                <w:color w:val="auto"/>
              </w:rPr>
            </w:pPr>
            <w:r>
              <w:rPr>
                <w:color w:val="auto"/>
              </w:rPr>
              <w:t>表3-</w:t>
            </w:r>
            <w:r>
              <w:rPr>
                <w:rFonts w:hint="eastAsia"/>
                <w:color w:val="auto"/>
                <w:lang w:val="en-US" w:eastAsia="zh-CN"/>
              </w:rPr>
              <w:t>7</w:t>
            </w:r>
            <w:r>
              <w:rPr>
                <w:color w:val="auto"/>
              </w:rPr>
              <w:t xml:space="preserve"> 合成树脂工业污染物排放标准  单位：</w:t>
            </w:r>
            <w:bookmarkStart w:id="78" w:name="OLE_LINK61"/>
            <w:r>
              <w:rPr>
                <w:color w:val="auto"/>
              </w:rPr>
              <w:t>mg/</w:t>
            </w:r>
            <w:r>
              <w:rPr>
                <w:rFonts w:hint="eastAsia"/>
                <w:color w:val="auto"/>
              </w:rPr>
              <w:t>m</w:t>
            </w:r>
            <w:r>
              <w:rPr>
                <w:rFonts w:hint="eastAsia"/>
                <w:color w:val="auto"/>
                <w:vertAlign w:val="superscript"/>
              </w:rPr>
              <w:t>3</w:t>
            </w:r>
          </w:p>
          <w:bookmarkEnd w:id="78"/>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4"/>
              <w:gridCol w:w="738"/>
              <w:gridCol w:w="2225"/>
              <w:gridCol w:w="1333"/>
              <w:gridCol w:w="1782"/>
            </w:tblGrid>
            <w:tr w14:paraId="087C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365" w:type="pct"/>
                  <w:tcBorders>
                    <w:top w:val="single" w:color="auto" w:sz="4" w:space="0"/>
                    <w:left w:val="single" w:color="auto" w:sz="4" w:space="0"/>
                    <w:bottom w:val="single" w:color="auto" w:sz="4" w:space="0"/>
                    <w:right w:val="single" w:color="auto" w:sz="4" w:space="0"/>
                  </w:tcBorders>
                  <w:vAlign w:val="center"/>
                </w:tcPr>
                <w:p w14:paraId="5BD780E6">
                  <w:pPr>
                    <w:spacing w:line="240" w:lineRule="auto"/>
                    <w:jc w:val="center"/>
                    <w:rPr>
                      <w:b/>
                      <w:bCs/>
                      <w:color w:val="auto"/>
                      <w:sz w:val="21"/>
                      <w:szCs w:val="21"/>
                    </w:rPr>
                  </w:pPr>
                  <w:r>
                    <w:rPr>
                      <w:b/>
                      <w:bCs/>
                      <w:color w:val="auto"/>
                      <w:sz w:val="21"/>
                      <w:szCs w:val="21"/>
                    </w:rPr>
                    <w:t>污染物项目</w:t>
                  </w:r>
                </w:p>
              </w:tc>
              <w:tc>
                <w:tcPr>
                  <w:tcW w:w="441" w:type="pct"/>
                  <w:tcBorders>
                    <w:top w:val="single" w:color="auto" w:sz="4" w:space="0"/>
                    <w:left w:val="nil"/>
                    <w:bottom w:val="single" w:color="auto" w:sz="4" w:space="0"/>
                    <w:right w:val="single" w:color="auto" w:sz="4" w:space="0"/>
                  </w:tcBorders>
                  <w:vAlign w:val="center"/>
                </w:tcPr>
                <w:p w14:paraId="62C693C6">
                  <w:pPr>
                    <w:spacing w:line="240" w:lineRule="auto"/>
                    <w:jc w:val="center"/>
                    <w:rPr>
                      <w:b/>
                      <w:bCs/>
                      <w:color w:val="auto"/>
                      <w:sz w:val="21"/>
                      <w:szCs w:val="21"/>
                    </w:rPr>
                  </w:pPr>
                  <w:r>
                    <w:rPr>
                      <w:b/>
                      <w:bCs/>
                      <w:color w:val="auto"/>
                      <w:sz w:val="21"/>
                      <w:szCs w:val="21"/>
                    </w:rPr>
                    <w:t>排放限值</w:t>
                  </w:r>
                </w:p>
              </w:tc>
              <w:tc>
                <w:tcPr>
                  <w:tcW w:w="1330" w:type="pct"/>
                  <w:tcBorders>
                    <w:top w:val="single" w:color="auto" w:sz="4" w:space="0"/>
                    <w:left w:val="nil"/>
                    <w:bottom w:val="single" w:color="auto" w:sz="4" w:space="0"/>
                    <w:right w:val="single" w:color="auto" w:sz="4" w:space="0"/>
                  </w:tcBorders>
                  <w:vAlign w:val="center"/>
                </w:tcPr>
                <w:p w14:paraId="09113466">
                  <w:pPr>
                    <w:spacing w:line="240" w:lineRule="auto"/>
                    <w:jc w:val="center"/>
                    <w:rPr>
                      <w:b/>
                      <w:bCs/>
                      <w:color w:val="auto"/>
                      <w:sz w:val="21"/>
                      <w:szCs w:val="21"/>
                    </w:rPr>
                  </w:pPr>
                  <w:r>
                    <w:rPr>
                      <w:b/>
                      <w:bCs/>
                      <w:color w:val="auto"/>
                      <w:sz w:val="21"/>
                      <w:szCs w:val="21"/>
                    </w:rPr>
                    <w:t>适用的合成树脂类型</w:t>
                  </w:r>
                </w:p>
              </w:tc>
              <w:tc>
                <w:tcPr>
                  <w:tcW w:w="797" w:type="pct"/>
                  <w:tcBorders>
                    <w:top w:val="single" w:color="auto" w:sz="4" w:space="0"/>
                    <w:left w:val="nil"/>
                    <w:bottom w:val="single" w:color="auto" w:sz="4" w:space="0"/>
                    <w:right w:val="single" w:color="auto" w:sz="4" w:space="0"/>
                  </w:tcBorders>
                  <w:vAlign w:val="center"/>
                </w:tcPr>
                <w:p w14:paraId="6E6B0D88">
                  <w:pPr>
                    <w:spacing w:line="240" w:lineRule="auto"/>
                    <w:jc w:val="center"/>
                    <w:rPr>
                      <w:b/>
                      <w:bCs/>
                      <w:color w:val="auto"/>
                      <w:sz w:val="21"/>
                      <w:szCs w:val="21"/>
                    </w:rPr>
                  </w:pPr>
                  <w:r>
                    <w:rPr>
                      <w:b/>
                      <w:bCs/>
                      <w:color w:val="auto"/>
                      <w:sz w:val="21"/>
                      <w:szCs w:val="21"/>
                    </w:rPr>
                    <w:t>污染物排放监控位置</w:t>
                  </w:r>
                </w:p>
              </w:tc>
              <w:tc>
                <w:tcPr>
                  <w:tcW w:w="1065" w:type="pct"/>
                  <w:tcBorders>
                    <w:top w:val="single" w:color="auto" w:sz="4" w:space="0"/>
                    <w:left w:val="nil"/>
                    <w:bottom w:val="single" w:color="auto" w:sz="4" w:space="0"/>
                    <w:right w:val="single" w:color="auto" w:sz="4" w:space="0"/>
                  </w:tcBorders>
                  <w:vAlign w:val="center"/>
                </w:tcPr>
                <w:p w14:paraId="575C798D">
                  <w:pPr>
                    <w:spacing w:line="240" w:lineRule="auto"/>
                    <w:jc w:val="center"/>
                    <w:rPr>
                      <w:b/>
                      <w:bCs/>
                      <w:color w:val="auto"/>
                      <w:sz w:val="21"/>
                      <w:szCs w:val="21"/>
                    </w:rPr>
                  </w:pPr>
                  <w:r>
                    <w:rPr>
                      <w:b/>
                      <w:bCs/>
                      <w:color w:val="auto"/>
                      <w:sz w:val="21"/>
                      <w:szCs w:val="21"/>
                    </w:rPr>
                    <w:t>企业边界大气污染物浓度限值</w:t>
                  </w:r>
                </w:p>
              </w:tc>
            </w:tr>
            <w:tr w14:paraId="7DD8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365" w:type="pct"/>
                  <w:tcBorders>
                    <w:top w:val="single" w:color="auto" w:sz="4" w:space="0"/>
                    <w:left w:val="single" w:color="auto" w:sz="4" w:space="0"/>
                    <w:bottom w:val="single" w:color="auto" w:sz="4" w:space="0"/>
                    <w:right w:val="single" w:color="auto" w:sz="4" w:space="0"/>
                  </w:tcBorders>
                  <w:vAlign w:val="center"/>
                </w:tcPr>
                <w:p w14:paraId="359DB8FC">
                  <w:pPr>
                    <w:spacing w:line="240" w:lineRule="auto"/>
                    <w:jc w:val="center"/>
                    <w:rPr>
                      <w:color w:val="auto"/>
                      <w:sz w:val="21"/>
                      <w:szCs w:val="21"/>
                    </w:rPr>
                  </w:pPr>
                  <w:r>
                    <w:rPr>
                      <w:color w:val="auto"/>
                      <w:sz w:val="21"/>
                      <w:szCs w:val="21"/>
                    </w:rPr>
                    <w:t>非甲烷总烃</w:t>
                  </w:r>
                </w:p>
              </w:tc>
              <w:tc>
                <w:tcPr>
                  <w:tcW w:w="441" w:type="pct"/>
                  <w:tcBorders>
                    <w:top w:val="single" w:color="auto" w:sz="4" w:space="0"/>
                    <w:left w:val="nil"/>
                    <w:bottom w:val="single" w:color="auto" w:sz="4" w:space="0"/>
                    <w:right w:val="single" w:color="auto" w:sz="4" w:space="0"/>
                  </w:tcBorders>
                  <w:vAlign w:val="center"/>
                </w:tcPr>
                <w:p w14:paraId="06012972">
                  <w:pPr>
                    <w:spacing w:line="240" w:lineRule="auto"/>
                    <w:jc w:val="center"/>
                    <w:rPr>
                      <w:color w:val="auto"/>
                      <w:sz w:val="21"/>
                      <w:szCs w:val="21"/>
                    </w:rPr>
                  </w:pPr>
                </w:p>
              </w:tc>
              <w:tc>
                <w:tcPr>
                  <w:tcW w:w="1330" w:type="pct"/>
                  <w:tcBorders>
                    <w:top w:val="nil"/>
                    <w:left w:val="nil"/>
                    <w:right w:val="single" w:color="auto" w:sz="4" w:space="0"/>
                  </w:tcBorders>
                  <w:vAlign w:val="center"/>
                </w:tcPr>
                <w:p w14:paraId="15C68AFC">
                  <w:pPr>
                    <w:spacing w:line="240" w:lineRule="auto"/>
                    <w:jc w:val="center"/>
                    <w:rPr>
                      <w:color w:val="auto"/>
                      <w:sz w:val="21"/>
                      <w:szCs w:val="21"/>
                    </w:rPr>
                  </w:pPr>
                </w:p>
              </w:tc>
              <w:tc>
                <w:tcPr>
                  <w:tcW w:w="797" w:type="pct"/>
                  <w:vMerge w:val="restart"/>
                  <w:tcBorders>
                    <w:top w:val="nil"/>
                    <w:left w:val="nil"/>
                    <w:right w:val="single" w:color="auto" w:sz="4" w:space="0"/>
                  </w:tcBorders>
                  <w:vAlign w:val="center"/>
                </w:tcPr>
                <w:p w14:paraId="59475842">
                  <w:pPr>
                    <w:spacing w:line="240" w:lineRule="auto"/>
                    <w:jc w:val="center"/>
                    <w:rPr>
                      <w:color w:val="auto"/>
                      <w:sz w:val="21"/>
                      <w:szCs w:val="21"/>
                    </w:rPr>
                  </w:pPr>
                  <w:r>
                    <w:rPr>
                      <w:color w:val="auto"/>
                      <w:sz w:val="21"/>
                      <w:szCs w:val="21"/>
                    </w:rPr>
                    <w:t>车间或生产设施排气筒</w:t>
                  </w:r>
                </w:p>
              </w:tc>
              <w:tc>
                <w:tcPr>
                  <w:tcW w:w="1065" w:type="pct"/>
                  <w:tcBorders>
                    <w:top w:val="single" w:color="auto" w:sz="4" w:space="0"/>
                    <w:left w:val="nil"/>
                    <w:bottom w:val="single" w:color="auto" w:sz="4" w:space="0"/>
                    <w:right w:val="single" w:color="auto" w:sz="4" w:space="0"/>
                  </w:tcBorders>
                  <w:vAlign w:val="center"/>
                </w:tcPr>
                <w:p w14:paraId="6B2BFFBF">
                  <w:pPr>
                    <w:spacing w:line="240" w:lineRule="auto"/>
                    <w:jc w:val="center"/>
                    <w:rPr>
                      <w:color w:val="auto"/>
                      <w:sz w:val="21"/>
                      <w:szCs w:val="21"/>
                    </w:rPr>
                  </w:pPr>
                </w:p>
              </w:tc>
            </w:tr>
            <w:tr w14:paraId="7830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1365" w:type="pct"/>
                  <w:tcBorders>
                    <w:top w:val="single" w:color="auto" w:sz="4" w:space="0"/>
                    <w:left w:val="single" w:color="auto" w:sz="4" w:space="0"/>
                    <w:bottom w:val="single" w:color="auto" w:sz="4" w:space="0"/>
                    <w:right w:val="single" w:color="auto" w:sz="4" w:space="0"/>
                  </w:tcBorders>
                  <w:vAlign w:val="center"/>
                </w:tcPr>
                <w:p w14:paraId="0628A593">
                  <w:pPr>
                    <w:spacing w:line="240" w:lineRule="auto"/>
                    <w:jc w:val="center"/>
                    <w:rPr>
                      <w:color w:val="auto"/>
                      <w:sz w:val="21"/>
                      <w:szCs w:val="21"/>
                    </w:rPr>
                  </w:pPr>
                  <w:r>
                    <w:rPr>
                      <w:color w:val="auto"/>
                      <w:sz w:val="21"/>
                      <w:szCs w:val="21"/>
                    </w:rPr>
                    <w:t>单位产品非甲烷总烃排放量（kg/t产品）</w:t>
                  </w:r>
                </w:p>
              </w:tc>
              <w:tc>
                <w:tcPr>
                  <w:tcW w:w="441" w:type="pct"/>
                  <w:tcBorders>
                    <w:top w:val="single" w:color="auto" w:sz="4" w:space="0"/>
                    <w:left w:val="nil"/>
                    <w:bottom w:val="single" w:color="auto" w:sz="4" w:space="0"/>
                    <w:right w:val="single" w:color="auto" w:sz="4" w:space="0"/>
                  </w:tcBorders>
                  <w:vAlign w:val="center"/>
                </w:tcPr>
                <w:p w14:paraId="29B320DE">
                  <w:pPr>
                    <w:spacing w:line="240" w:lineRule="auto"/>
                    <w:jc w:val="center"/>
                    <w:rPr>
                      <w:color w:val="auto"/>
                      <w:sz w:val="21"/>
                      <w:szCs w:val="21"/>
                    </w:rPr>
                  </w:pPr>
                </w:p>
              </w:tc>
              <w:tc>
                <w:tcPr>
                  <w:tcW w:w="1330" w:type="pct"/>
                  <w:tcBorders>
                    <w:left w:val="nil"/>
                    <w:right w:val="single" w:color="auto" w:sz="4" w:space="0"/>
                  </w:tcBorders>
                  <w:vAlign w:val="center"/>
                </w:tcPr>
                <w:p w14:paraId="14B88AD6">
                  <w:pPr>
                    <w:spacing w:line="240" w:lineRule="auto"/>
                    <w:jc w:val="center"/>
                    <w:rPr>
                      <w:color w:val="auto"/>
                      <w:sz w:val="21"/>
                      <w:szCs w:val="21"/>
                    </w:rPr>
                  </w:pPr>
                </w:p>
              </w:tc>
              <w:tc>
                <w:tcPr>
                  <w:tcW w:w="797" w:type="pct"/>
                  <w:vMerge w:val="continue"/>
                  <w:tcBorders>
                    <w:left w:val="nil"/>
                    <w:right w:val="single" w:color="auto" w:sz="4" w:space="0"/>
                  </w:tcBorders>
                  <w:vAlign w:val="center"/>
                </w:tcPr>
                <w:p w14:paraId="4B2E88EC">
                  <w:pPr>
                    <w:widowControl/>
                    <w:spacing w:line="240" w:lineRule="auto"/>
                    <w:jc w:val="left"/>
                    <w:rPr>
                      <w:color w:val="auto"/>
                      <w:sz w:val="21"/>
                      <w:szCs w:val="21"/>
                    </w:rPr>
                  </w:pPr>
                </w:p>
              </w:tc>
              <w:tc>
                <w:tcPr>
                  <w:tcW w:w="1065" w:type="pct"/>
                  <w:tcBorders>
                    <w:top w:val="single" w:color="auto" w:sz="4" w:space="0"/>
                    <w:left w:val="nil"/>
                    <w:bottom w:val="single" w:color="auto" w:sz="4" w:space="0"/>
                    <w:right w:val="single" w:color="auto" w:sz="4" w:space="0"/>
                  </w:tcBorders>
                  <w:vAlign w:val="center"/>
                </w:tcPr>
                <w:p w14:paraId="1FE1E17C">
                  <w:pPr>
                    <w:spacing w:line="240" w:lineRule="auto"/>
                    <w:jc w:val="center"/>
                    <w:rPr>
                      <w:color w:val="auto"/>
                      <w:sz w:val="21"/>
                      <w:szCs w:val="21"/>
                    </w:rPr>
                  </w:pPr>
                  <w:r>
                    <w:rPr>
                      <w:color w:val="auto"/>
                      <w:sz w:val="21"/>
                      <w:szCs w:val="21"/>
                    </w:rPr>
                    <w:t>/</w:t>
                  </w:r>
                </w:p>
              </w:tc>
            </w:tr>
          </w:tbl>
          <w:p w14:paraId="69011527">
            <w:pPr>
              <w:pStyle w:val="136"/>
              <w:spacing w:line="240" w:lineRule="auto"/>
              <w:rPr>
                <w:color w:val="auto"/>
              </w:rPr>
            </w:pPr>
          </w:p>
          <w:p w14:paraId="5479C5BF">
            <w:pPr>
              <w:pStyle w:val="136"/>
              <w:spacing w:line="240" w:lineRule="auto"/>
              <w:rPr>
                <w:color w:val="auto"/>
              </w:rPr>
            </w:pPr>
            <w:r>
              <w:rPr>
                <w:color w:val="auto"/>
              </w:rPr>
              <w:t>表3-</w:t>
            </w:r>
            <w:r>
              <w:rPr>
                <w:rFonts w:hint="eastAsia"/>
                <w:color w:val="auto"/>
                <w:lang w:val="en-US" w:eastAsia="zh-CN"/>
              </w:rPr>
              <w:t>8</w:t>
            </w:r>
            <w:r>
              <w:rPr>
                <w:color w:val="auto"/>
              </w:rPr>
              <w:t>厂区内挥发性有机物（VOCs）无组织排放限值 单位：mg/</w:t>
            </w:r>
            <w:r>
              <w:rPr>
                <w:rFonts w:hint="eastAsia"/>
                <w:color w:val="auto"/>
              </w:rPr>
              <w:t>m</w:t>
            </w:r>
            <w:r>
              <w:rPr>
                <w:rFonts w:hint="eastAsia"/>
                <w:color w:val="auto"/>
                <w:vertAlign w:val="superscript"/>
              </w:rPr>
              <w:t>3</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1082"/>
              <w:gridCol w:w="2884"/>
              <w:gridCol w:w="2176"/>
            </w:tblGrid>
            <w:tr w14:paraId="2431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7" w:type="pct"/>
                  <w:vAlign w:val="center"/>
                </w:tcPr>
                <w:p w14:paraId="7E36928E">
                  <w:pPr>
                    <w:tabs>
                      <w:tab w:val="left" w:pos="0"/>
                      <w:tab w:val="left" w:pos="870"/>
                      <w:tab w:val="left" w:pos="3150"/>
                    </w:tabs>
                    <w:autoSpaceDE w:val="0"/>
                    <w:autoSpaceDN w:val="0"/>
                    <w:snapToGrid w:val="0"/>
                    <w:spacing w:line="240" w:lineRule="auto"/>
                    <w:jc w:val="center"/>
                    <w:rPr>
                      <w:b/>
                      <w:color w:val="auto"/>
                      <w:kern w:val="0"/>
                      <w:sz w:val="21"/>
                      <w:szCs w:val="21"/>
                    </w:rPr>
                  </w:pPr>
                  <w:r>
                    <w:rPr>
                      <w:b/>
                      <w:color w:val="auto"/>
                      <w:kern w:val="0"/>
                      <w:sz w:val="21"/>
                      <w:szCs w:val="21"/>
                    </w:rPr>
                    <w:t>污染物项目</w:t>
                  </w:r>
                </w:p>
              </w:tc>
              <w:tc>
                <w:tcPr>
                  <w:tcW w:w="647" w:type="pct"/>
                  <w:vAlign w:val="center"/>
                </w:tcPr>
                <w:p w14:paraId="5890EFCF">
                  <w:pPr>
                    <w:tabs>
                      <w:tab w:val="left" w:pos="0"/>
                      <w:tab w:val="left" w:pos="870"/>
                      <w:tab w:val="left" w:pos="3150"/>
                    </w:tabs>
                    <w:autoSpaceDE w:val="0"/>
                    <w:autoSpaceDN w:val="0"/>
                    <w:snapToGrid w:val="0"/>
                    <w:spacing w:line="240" w:lineRule="auto"/>
                    <w:jc w:val="center"/>
                    <w:rPr>
                      <w:b/>
                      <w:color w:val="auto"/>
                      <w:kern w:val="0"/>
                      <w:sz w:val="21"/>
                      <w:szCs w:val="21"/>
                    </w:rPr>
                  </w:pPr>
                  <w:r>
                    <w:rPr>
                      <w:rFonts w:hint="eastAsia"/>
                      <w:b/>
                      <w:color w:val="auto"/>
                      <w:kern w:val="0"/>
                      <w:sz w:val="21"/>
                      <w:szCs w:val="21"/>
                    </w:rPr>
                    <w:t>排放</w:t>
                  </w:r>
                  <w:r>
                    <w:rPr>
                      <w:b/>
                      <w:color w:val="auto"/>
                      <w:kern w:val="0"/>
                      <w:sz w:val="21"/>
                      <w:szCs w:val="21"/>
                    </w:rPr>
                    <w:t>限值</w:t>
                  </w:r>
                </w:p>
              </w:tc>
              <w:tc>
                <w:tcPr>
                  <w:tcW w:w="1724" w:type="pct"/>
                  <w:vAlign w:val="center"/>
                </w:tcPr>
                <w:p w14:paraId="586CE088">
                  <w:pPr>
                    <w:tabs>
                      <w:tab w:val="left" w:pos="0"/>
                      <w:tab w:val="left" w:pos="870"/>
                      <w:tab w:val="left" w:pos="3150"/>
                    </w:tabs>
                    <w:autoSpaceDE w:val="0"/>
                    <w:autoSpaceDN w:val="0"/>
                    <w:snapToGrid w:val="0"/>
                    <w:spacing w:line="240" w:lineRule="auto"/>
                    <w:jc w:val="center"/>
                    <w:rPr>
                      <w:b/>
                      <w:color w:val="auto"/>
                      <w:kern w:val="0"/>
                      <w:sz w:val="21"/>
                      <w:szCs w:val="21"/>
                    </w:rPr>
                  </w:pPr>
                  <w:r>
                    <w:rPr>
                      <w:b/>
                      <w:color w:val="auto"/>
                      <w:kern w:val="0"/>
                      <w:sz w:val="21"/>
                      <w:szCs w:val="21"/>
                    </w:rPr>
                    <w:t>限值含义</w:t>
                  </w:r>
                </w:p>
              </w:tc>
              <w:tc>
                <w:tcPr>
                  <w:tcW w:w="1300" w:type="pct"/>
                  <w:vAlign w:val="center"/>
                </w:tcPr>
                <w:p w14:paraId="54D16084">
                  <w:pPr>
                    <w:tabs>
                      <w:tab w:val="left" w:pos="0"/>
                      <w:tab w:val="left" w:pos="870"/>
                      <w:tab w:val="left" w:pos="3150"/>
                    </w:tabs>
                    <w:autoSpaceDE w:val="0"/>
                    <w:autoSpaceDN w:val="0"/>
                    <w:snapToGrid w:val="0"/>
                    <w:spacing w:line="240" w:lineRule="auto"/>
                    <w:jc w:val="center"/>
                    <w:rPr>
                      <w:b/>
                      <w:color w:val="auto"/>
                      <w:kern w:val="0"/>
                      <w:sz w:val="21"/>
                      <w:szCs w:val="21"/>
                    </w:rPr>
                  </w:pPr>
                  <w:r>
                    <w:rPr>
                      <w:b/>
                      <w:color w:val="auto"/>
                      <w:kern w:val="0"/>
                      <w:sz w:val="21"/>
                      <w:szCs w:val="21"/>
                    </w:rPr>
                    <w:t>无组织排放监控位置</w:t>
                  </w:r>
                </w:p>
              </w:tc>
            </w:tr>
            <w:tr w14:paraId="252E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7" w:type="pct"/>
                  <w:vMerge w:val="restart"/>
                  <w:vAlign w:val="center"/>
                </w:tcPr>
                <w:p w14:paraId="7A6FD1D9">
                  <w:pPr>
                    <w:tabs>
                      <w:tab w:val="left" w:pos="0"/>
                      <w:tab w:val="left" w:pos="870"/>
                      <w:tab w:val="left" w:pos="3150"/>
                    </w:tabs>
                    <w:autoSpaceDE w:val="0"/>
                    <w:autoSpaceDN w:val="0"/>
                    <w:snapToGrid w:val="0"/>
                    <w:spacing w:line="240" w:lineRule="auto"/>
                    <w:jc w:val="center"/>
                    <w:rPr>
                      <w:color w:val="auto"/>
                      <w:kern w:val="0"/>
                      <w:sz w:val="21"/>
                      <w:szCs w:val="21"/>
                    </w:rPr>
                  </w:pPr>
                  <w:r>
                    <w:rPr>
                      <w:color w:val="auto"/>
                      <w:kern w:val="0"/>
                      <w:sz w:val="21"/>
                      <w:szCs w:val="21"/>
                    </w:rPr>
                    <w:t>非甲烷总烃（NMHC）</w:t>
                  </w:r>
                </w:p>
              </w:tc>
              <w:tc>
                <w:tcPr>
                  <w:tcW w:w="647" w:type="pct"/>
                  <w:vAlign w:val="center"/>
                </w:tcPr>
                <w:p w14:paraId="263346DE">
                  <w:pPr>
                    <w:tabs>
                      <w:tab w:val="left" w:pos="0"/>
                      <w:tab w:val="left" w:pos="870"/>
                      <w:tab w:val="left" w:pos="3150"/>
                    </w:tabs>
                    <w:autoSpaceDE w:val="0"/>
                    <w:autoSpaceDN w:val="0"/>
                    <w:snapToGrid w:val="0"/>
                    <w:spacing w:line="240" w:lineRule="auto"/>
                    <w:jc w:val="center"/>
                    <w:rPr>
                      <w:color w:val="auto"/>
                      <w:kern w:val="0"/>
                      <w:sz w:val="21"/>
                      <w:szCs w:val="21"/>
                    </w:rPr>
                  </w:pPr>
                </w:p>
              </w:tc>
              <w:tc>
                <w:tcPr>
                  <w:tcW w:w="1724" w:type="pct"/>
                  <w:vAlign w:val="center"/>
                </w:tcPr>
                <w:p w14:paraId="1BE4876F">
                  <w:pPr>
                    <w:tabs>
                      <w:tab w:val="left" w:pos="0"/>
                      <w:tab w:val="left" w:pos="870"/>
                      <w:tab w:val="left" w:pos="3150"/>
                    </w:tabs>
                    <w:autoSpaceDE w:val="0"/>
                    <w:autoSpaceDN w:val="0"/>
                    <w:snapToGrid w:val="0"/>
                    <w:spacing w:line="240" w:lineRule="auto"/>
                    <w:jc w:val="center"/>
                    <w:rPr>
                      <w:color w:val="auto"/>
                      <w:kern w:val="0"/>
                      <w:sz w:val="21"/>
                      <w:szCs w:val="21"/>
                    </w:rPr>
                  </w:pPr>
                </w:p>
              </w:tc>
              <w:tc>
                <w:tcPr>
                  <w:tcW w:w="1300" w:type="pct"/>
                  <w:vMerge w:val="restart"/>
                  <w:vAlign w:val="center"/>
                </w:tcPr>
                <w:p w14:paraId="249DF8F6">
                  <w:pPr>
                    <w:tabs>
                      <w:tab w:val="left" w:pos="0"/>
                      <w:tab w:val="left" w:pos="870"/>
                      <w:tab w:val="left" w:pos="3150"/>
                    </w:tabs>
                    <w:autoSpaceDE w:val="0"/>
                    <w:autoSpaceDN w:val="0"/>
                    <w:snapToGrid w:val="0"/>
                    <w:spacing w:line="240" w:lineRule="auto"/>
                    <w:jc w:val="center"/>
                    <w:rPr>
                      <w:color w:val="auto"/>
                      <w:kern w:val="0"/>
                      <w:sz w:val="21"/>
                      <w:szCs w:val="21"/>
                    </w:rPr>
                  </w:pPr>
                </w:p>
              </w:tc>
            </w:tr>
            <w:tr w14:paraId="2ACD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7" w:type="pct"/>
                  <w:vMerge w:val="continue"/>
                  <w:vAlign w:val="center"/>
                </w:tcPr>
                <w:p w14:paraId="298F99C5">
                  <w:pPr>
                    <w:tabs>
                      <w:tab w:val="left" w:pos="0"/>
                      <w:tab w:val="left" w:pos="870"/>
                      <w:tab w:val="left" w:pos="3150"/>
                    </w:tabs>
                    <w:autoSpaceDE w:val="0"/>
                    <w:autoSpaceDN w:val="0"/>
                    <w:snapToGrid w:val="0"/>
                    <w:spacing w:line="240" w:lineRule="auto"/>
                    <w:jc w:val="center"/>
                    <w:rPr>
                      <w:color w:val="auto"/>
                      <w:kern w:val="0"/>
                      <w:sz w:val="21"/>
                      <w:szCs w:val="21"/>
                    </w:rPr>
                  </w:pPr>
                </w:p>
              </w:tc>
              <w:tc>
                <w:tcPr>
                  <w:tcW w:w="647" w:type="pct"/>
                  <w:vAlign w:val="center"/>
                </w:tcPr>
                <w:p w14:paraId="6D22DB9F">
                  <w:pPr>
                    <w:tabs>
                      <w:tab w:val="left" w:pos="0"/>
                      <w:tab w:val="left" w:pos="870"/>
                      <w:tab w:val="left" w:pos="3150"/>
                    </w:tabs>
                    <w:autoSpaceDE w:val="0"/>
                    <w:autoSpaceDN w:val="0"/>
                    <w:snapToGrid w:val="0"/>
                    <w:spacing w:line="240" w:lineRule="auto"/>
                    <w:jc w:val="center"/>
                    <w:rPr>
                      <w:color w:val="auto"/>
                      <w:kern w:val="0"/>
                      <w:sz w:val="21"/>
                      <w:szCs w:val="21"/>
                    </w:rPr>
                  </w:pPr>
                </w:p>
              </w:tc>
              <w:tc>
                <w:tcPr>
                  <w:tcW w:w="1724" w:type="pct"/>
                  <w:vAlign w:val="center"/>
                </w:tcPr>
                <w:p w14:paraId="4F42C1F2">
                  <w:pPr>
                    <w:tabs>
                      <w:tab w:val="left" w:pos="0"/>
                      <w:tab w:val="left" w:pos="870"/>
                      <w:tab w:val="left" w:pos="3150"/>
                    </w:tabs>
                    <w:autoSpaceDE w:val="0"/>
                    <w:autoSpaceDN w:val="0"/>
                    <w:snapToGrid w:val="0"/>
                    <w:spacing w:line="240" w:lineRule="auto"/>
                    <w:jc w:val="center"/>
                    <w:rPr>
                      <w:color w:val="auto"/>
                      <w:kern w:val="0"/>
                      <w:sz w:val="21"/>
                      <w:szCs w:val="21"/>
                    </w:rPr>
                  </w:pPr>
                </w:p>
              </w:tc>
              <w:tc>
                <w:tcPr>
                  <w:tcW w:w="1300" w:type="pct"/>
                  <w:vMerge w:val="continue"/>
                  <w:vAlign w:val="center"/>
                </w:tcPr>
                <w:p w14:paraId="4282913F">
                  <w:pPr>
                    <w:tabs>
                      <w:tab w:val="left" w:pos="0"/>
                      <w:tab w:val="left" w:pos="870"/>
                      <w:tab w:val="left" w:pos="3150"/>
                    </w:tabs>
                    <w:autoSpaceDE w:val="0"/>
                    <w:autoSpaceDN w:val="0"/>
                    <w:snapToGrid w:val="0"/>
                    <w:spacing w:line="240" w:lineRule="auto"/>
                    <w:jc w:val="center"/>
                    <w:rPr>
                      <w:color w:val="auto"/>
                      <w:kern w:val="0"/>
                      <w:sz w:val="21"/>
                      <w:szCs w:val="21"/>
                    </w:rPr>
                  </w:pPr>
                </w:p>
              </w:tc>
            </w:tr>
          </w:tbl>
          <w:p w14:paraId="43511A7B">
            <w:pPr>
              <w:pStyle w:val="136"/>
              <w:spacing w:line="240" w:lineRule="auto"/>
              <w:rPr>
                <w:rFonts w:ascii="Times New Roman" w:hAnsi="Times New Roman" w:eastAsia="宋体" w:cs="Times New Roman"/>
                <w:color w:val="auto"/>
              </w:rPr>
            </w:pPr>
            <w:r>
              <w:rPr>
                <w:rFonts w:ascii="Times New Roman" w:hAnsi="Times New Roman" w:eastAsia="宋体" w:cs="Times New Roman"/>
                <w:color w:val="auto"/>
              </w:rPr>
              <w:t>表</w:t>
            </w:r>
            <w:r>
              <w:rPr>
                <w:rFonts w:hint="eastAsia" w:ascii="Times New Roman" w:hAnsi="Times New Roman" w:eastAsia="宋体" w:cs="Times New Roman"/>
                <w:color w:val="auto"/>
              </w:rPr>
              <w:t>3-</w:t>
            </w:r>
            <w:r>
              <w:rPr>
                <w:rFonts w:hint="eastAsia" w:cs="Times New Roman"/>
                <w:color w:val="auto"/>
                <w:lang w:val="en-US" w:eastAsia="zh-CN"/>
              </w:rPr>
              <w:t>9</w:t>
            </w:r>
            <w:r>
              <w:rPr>
                <w:rFonts w:hint="eastAsia" w:ascii="Times New Roman" w:hAnsi="Times New Roman" w:eastAsia="宋体" w:cs="Times New Roman"/>
                <w:color w:val="auto"/>
              </w:rPr>
              <w:t xml:space="preserve">  恶臭污染物排放标准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1474"/>
              <w:gridCol w:w="1457"/>
              <w:gridCol w:w="1880"/>
            </w:tblGrid>
            <w:tr w14:paraId="1215A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26" w:type="pct"/>
                  <w:noWrap w:val="0"/>
                  <w:vAlign w:val="center"/>
                </w:tcPr>
                <w:p w14:paraId="0E67DFBB">
                  <w:pPr>
                    <w:pStyle w:val="139"/>
                    <w:rPr>
                      <w:rFonts w:hint="eastAsia"/>
                      <w:color w:val="auto"/>
                    </w:rPr>
                  </w:pPr>
                  <w:r>
                    <w:rPr>
                      <w:rFonts w:hint="eastAsia"/>
                      <w:color w:val="auto"/>
                    </w:rPr>
                    <w:t>标准名称</w:t>
                  </w:r>
                </w:p>
              </w:tc>
              <w:tc>
                <w:tcPr>
                  <w:tcW w:w="880" w:type="pct"/>
                  <w:noWrap w:val="0"/>
                  <w:vAlign w:val="center"/>
                </w:tcPr>
                <w:p w14:paraId="0AC4D2A6">
                  <w:pPr>
                    <w:pStyle w:val="139"/>
                    <w:rPr>
                      <w:rFonts w:hint="eastAsia" w:eastAsia="宋体"/>
                      <w:color w:val="auto"/>
                    </w:rPr>
                  </w:pPr>
                  <w:r>
                    <w:rPr>
                      <w:rFonts w:hint="eastAsia"/>
                      <w:color w:val="auto"/>
                    </w:rPr>
                    <w:t>污染物项目</w:t>
                  </w:r>
                </w:p>
              </w:tc>
              <w:tc>
                <w:tcPr>
                  <w:tcW w:w="1992" w:type="pct"/>
                  <w:gridSpan w:val="2"/>
                  <w:noWrap w:val="0"/>
                  <w:vAlign w:val="center"/>
                </w:tcPr>
                <w:p w14:paraId="556E4EDE">
                  <w:pPr>
                    <w:pStyle w:val="139"/>
                    <w:rPr>
                      <w:rFonts w:hint="eastAsia" w:eastAsia="宋体"/>
                      <w:color w:val="auto"/>
                    </w:rPr>
                  </w:pPr>
                  <w:r>
                    <w:rPr>
                      <w:rFonts w:hint="eastAsia"/>
                      <w:color w:val="auto"/>
                    </w:rPr>
                    <w:t>排放方式标准限值</w:t>
                  </w:r>
                </w:p>
              </w:tc>
            </w:tr>
            <w:tr w14:paraId="3CD0F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26" w:type="pct"/>
                  <w:noWrap w:val="0"/>
                  <w:vAlign w:val="center"/>
                </w:tcPr>
                <w:p w14:paraId="118424A9">
                  <w:pPr>
                    <w:pStyle w:val="139"/>
                    <w:rPr>
                      <w:rFonts w:hint="eastAsia"/>
                      <w:color w:val="auto"/>
                    </w:rPr>
                  </w:pPr>
                  <w:r>
                    <w:rPr>
                      <w:rFonts w:hint="eastAsia"/>
                      <w:color w:val="auto"/>
                    </w:rPr>
                    <w:t>《恶臭污染物排放标准》（GB14554-93）</w:t>
                  </w:r>
                </w:p>
              </w:tc>
              <w:tc>
                <w:tcPr>
                  <w:tcW w:w="880" w:type="pct"/>
                  <w:noWrap w:val="0"/>
                  <w:vAlign w:val="center"/>
                </w:tcPr>
                <w:p w14:paraId="01F19D29">
                  <w:pPr>
                    <w:pStyle w:val="139"/>
                    <w:jc w:val="both"/>
                    <w:rPr>
                      <w:rFonts w:hint="eastAsia"/>
                      <w:color w:val="auto"/>
                    </w:rPr>
                  </w:pPr>
                </w:p>
              </w:tc>
              <w:tc>
                <w:tcPr>
                  <w:tcW w:w="870" w:type="pct"/>
                  <w:shd w:val="clear" w:color="auto" w:fill="auto"/>
                  <w:noWrap w:val="0"/>
                  <w:vAlign w:val="center"/>
                </w:tcPr>
                <w:p w14:paraId="3B1CC64F">
                  <w:pPr>
                    <w:pStyle w:val="139"/>
                    <w:rPr>
                      <w:rFonts w:hint="eastAsia" w:ascii="Times New Roman" w:hAnsi="Times New Roman" w:eastAsia="宋体" w:cs="宋体"/>
                      <w:color w:val="auto"/>
                      <w:sz w:val="21"/>
                      <w:szCs w:val="24"/>
                      <w:lang w:val="en-US" w:eastAsia="zh-CN" w:bidi="ar-SA"/>
                    </w:rPr>
                  </w:pPr>
                </w:p>
              </w:tc>
              <w:tc>
                <w:tcPr>
                  <w:tcW w:w="1122" w:type="pct"/>
                  <w:shd w:val="clear" w:color="auto" w:fill="auto"/>
                  <w:noWrap w:val="0"/>
                  <w:vAlign w:val="center"/>
                </w:tcPr>
                <w:p w14:paraId="64606106">
                  <w:pPr>
                    <w:pStyle w:val="139"/>
                    <w:rPr>
                      <w:rFonts w:ascii="Times New Roman" w:hAnsi="Times New Roman" w:eastAsia="宋体" w:cs="宋体"/>
                      <w:color w:val="auto"/>
                      <w:sz w:val="21"/>
                      <w:szCs w:val="24"/>
                      <w:lang w:val="en-US" w:eastAsia="zh-CN" w:bidi="ar-SA"/>
                    </w:rPr>
                  </w:pPr>
                </w:p>
              </w:tc>
            </w:tr>
          </w:tbl>
          <w:p w14:paraId="75DF1221">
            <w:pPr>
              <w:adjustRightInd w:val="0"/>
              <w:snapToGrid w:val="0"/>
              <w:spacing w:line="348" w:lineRule="auto"/>
              <w:ind w:firstLine="482" w:firstLineChars="200"/>
              <w:rPr>
                <w:b/>
                <w:bCs/>
                <w:color w:val="auto"/>
              </w:rPr>
            </w:pPr>
            <w:r>
              <w:rPr>
                <w:rFonts w:hint="eastAsia"/>
                <w:b/>
                <w:bCs/>
                <w:color w:val="auto"/>
              </w:rPr>
              <w:t>2、</w:t>
            </w:r>
            <w:r>
              <w:rPr>
                <w:b/>
                <w:bCs/>
                <w:color w:val="auto"/>
              </w:rPr>
              <w:t>水污染物排放标准</w:t>
            </w:r>
          </w:p>
          <w:p w14:paraId="338961EE">
            <w:pPr>
              <w:adjustRightInd w:val="0"/>
              <w:snapToGrid w:val="0"/>
              <w:spacing w:line="348" w:lineRule="auto"/>
              <w:ind w:firstLine="480" w:firstLineChars="200"/>
              <w:rPr>
                <w:rFonts w:hint="eastAsia"/>
                <w:color w:val="auto"/>
              </w:rPr>
            </w:pPr>
            <w:r>
              <w:rPr>
                <w:rFonts w:hint="eastAsia"/>
                <w:color w:val="auto"/>
                <w:lang w:eastAsia="zh-CN"/>
              </w:rPr>
              <w:t>施工期主要是生活污水，经化粪池处理后排入园区污水管网，最后输送至大榄坪污水处理厂进一步处理。</w:t>
            </w:r>
          </w:p>
          <w:p w14:paraId="6BB52E34">
            <w:pPr>
              <w:adjustRightInd w:val="0"/>
              <w:snapToGrid w:val="0"/>
              <w:spacing w:line="348" w:lineRule="auto"/>
              <w:ind w:firstLine="480" w:firstLineChars="200"/>
              <w:rPr>
                <w:color w:val="auto"/>
              </w:rPr>
            </w:pPr>
            <w:r>
              <w:rPr>
                <w:rFonts w:hint="eastAsia"/>
                <w:color w:val="auto"/>
                <w:lang w:eastAsia="zh-CN"/>
              </w:rPr>
              <w:t>运营期</w:t>
            </w:r>
            <w:r>
              <w:rPr>
                <w:rFonts w:hint="eastAsia"/>
                <w:color w:val="auto"/>
              </w:rPr>
              <w:t>项目冷却水循环使用，不外排；生活污水经化粪池处理后排入园区污水管网，最后输送至大榄坪污水处理厂进一步处理。其排放口生活污水水质满足大榄坪污水处理厂进水水质标准要求和《污水综合排放标准》（GB 8978-1996）表4中的三级标准，两者取严，如</w:t>
            </w:r>
            <w:r>
              <w:rPr>
                <w:color w:val="auto"/>
              </w:rPr>
              <w:t>表3</w:t>
            </w:r>
            <w:r>
              <w:rPr>
                <w:rFonts w:hint="eastAsia"/>
                <w:color w:val="auto"/>
              </w:rPr>
              <w:t>-</w:t>
            </w:r>
            <w:r>
              <w:rPr>
                <w:rFonts w:hint="eastAsia"/>
                <w:color w:val="auto"/>
                <w:lang w:val="en-US" w:eastAsia="zh-CN"/>
              </w:rPr>
              <w:t>10</w:t>
            </w:r>
            <w:r>
              <w:rPr>
                <w:rFonts w:hint="eastAsia"/>
                <w:color w:val="auto"/>
              </w:rPr>
              <w:t>、3-</w:t>
            </w:r>
            <w:r>
              <w:rPr>
                <w:rFonts w:hint="eastAsia"/>
                <w:color w:val="auto"/>
                <w:lang w:val="en-US" w:eastAsia="zh-CN"/>
              </w:rPr>
              <w:t>11</w:t>
            </w:r>
            <w:r>
              <w:rPr>
                <w:color w:val="auto"/>
              </w:rPr>
              <w:t>。</w:t>
            </w:r>
            <w:r>
              <w:rPr>
                <w:rFonts w:hint="eastAsia"/>
                <w:color w:val="auto"/>
              </w:rPr>
              <w:t>本项目执行标准取值要求见表3-1</w:t>
            </w:r>
            <w:r>
              <w:rPr>
                <w:rFonts w:hint="eastAsia"/>
                <w:color w:val="auto"/>
                <w:lang w:val="en-US" w:eastAsia="zh-CN"/>
              </w:rPr>
              <w:t>2</w:t>
            </w:r>
            <w:r>
              <w:rPr>
                <w:rFonts w:hint="eastAsia"/>
                <w:color w:val="auto"/>
              </w:rPr>
              <w:t>。</w:t>
            </w:r>
          </w:p>
          <w:p w14:paraId="485BD262">
            <w:pPr>
              <w:spacing w:line="240" w:lineRule="auto"/>
              <w:jc w:val="center"/>
              <w:rPr>
                <w:b/>
                <w:bCs/>
                <w:color w:val="auto"/>
                <w:sz w:val="21"/>
                <w:szCs w:val="21"/>
              </w:rPr>
            </w:pPr>
            <w:r>
              <w:rPr>
                <w:b/>
                <w:bCs/>
                <w:color w:val="auto"/>
                <w:sz w:val="21"/>
                <w:szCs w:val="21"/>
              </w:rPr>
              <w:t>表3-</w:t>
            </w:r>
            <w:r>
              <w:rPr>
                <w:rFonts w:hint="eastAsia"/>
                <w:b/>
                <w:bCs/>
                <w:color w:val="auto"/>
                <w:sz w:val="21"/>
                <w:szCs w:val="21"/>
                <w:lang w:val="en-US" w:eastAsia="zh-CN"/>
              </w:rPr>
              <w:t>10</w:t>
            </w:r>
            <w:r>
              <w:rPr>
                <w:b/>
                <w:bCs/>
                <w:color w:val="auto"/>
                <w:sz w:val="21"/>
                <w:szCs w:val="21"/>
              </w:rPr>
              <w:t xml:space="preserve">  大榄坪污水处理厂进水水质标准    单位：mg/L</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4"/>
              <w:gridCol w:w="1154"/>
              <w:gridCol w:w="956"/>
              <w:gridCol w:w="728"/>
              <w:gridCol w:w="866"/>
              <w:gridCol w:w="744"/>
              <w:gridCol w:w="703"/>
            </w:tblGrid>
            <w:tr w14:paraId="78A2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19" w:type="pct"/>
                  <w:vAlign w:val="center"/>
                </w:tcPr>
                <w:p w14:paraId="5A1A9F81">
                  <w:pPr>
                    <w:pStyle w:val="71"/>
                    <w:adjustRightInd/>
                    <w:rPr>
                      <w:rFonts w:ascii="Times New Roman" w:hAnsi="Times New Roman"/>
                      <w:b/>
                      <w:color w:val="auto"/>
                    </w:rPr>
                  </w:pPr>
                  <w:r>
                    <w:rPr>
                      <w:rFonts w:hint="eastAsia" w:ascii="Times New Roman" w:hAnsi="Times New Roman"/>
                      <w:b/>
                      <w:color w:val="auto"/>
                    </w:rPr>
                    <w:t>标准来源</w:t>
                  </w:r>
                </w:p>
              </w:tc>
              <w:tc>
                <w:tcPr>
                  <w:tcW w:w="689" w:type="pct"/>
                  <w:vAlign w:val="center"/>
                </w:tcPr>
                <w:p w14:paraId="6458A32C">
                  <w:pPr>
                    <w:pStyle w:val="71"/>
                    <w:adjustRightInd/>
                    <w:rPr>
                      <w:rFonts w:ascii="Times New Roman" w:hAnsi="Times New Roman"/>
                      <w:b/>
                      <w:color w:val="auto"/>
                    </w:rPr>
                  </w:pPr>
                  <w:r>
                    <w:rPr>
                      <w:rFonts w:ascii="Times New Roman" w:hAnsi="Times New Roman"/>
                      <w:color w:val="auto"/>
                    </w:rPr>
                    <w:t>COD</w:t>
                  </w:r>
                  <w:r>
                    <w:rPr>
                      <w:rFonts w:ascii="Times New Roman" w:hAnsi="Times New Roman"/>
                      <w:color w:val="auto"/>
                      <w:vertAlign w:val="subscript"/>
                    </w:rPr>
                    <w:t>cr</w:t>
                  </w:r>
                </w:p>
              </w:tc>
              <w:tc>
                <w:tcPr>
                  <w:tcW w:w="571" w:type="pct"/>
                  <w:vAlign w:val="center"/>
                </w:tcPr>
                <w:p w14:paraId="33C7DD73">
                  <w:pPr>
                    <w:pStyle w:val="71"/>
                    <w:adjustRightInd/>
                    <w:rPr>
                      <w:rFonts w:ascii="Times New Roman" w:hAnsi="Times New Roman"/>
                      <w:b/>
                      <w:color w:val="auto"/>
                    </w:rPr>
                  </w:pPr>
                  <w:r>
                    <w:rPr>
                      <w:rFonts w:ascii="Times New Roman" w:hAnsi="Times New Roman"/>
                      <w:color w:val="auto"/>
                    </w:rPr>
                    <w:t>BOD</w:t>
                  </w:r>
                  <w:r>
                    <w:rPr>
                      <w:rFonts w:ascii="Times New Roman" w:hAnsi="Times New Roman"/>
                      <w:color w:val="auto"/>
                      <w:vertAlign w:val="subscript"/>
                    </w:rPr>
                    <w:t>5</w:t>
                  </w:r>
                </w:p>
              </w:tc>
              <w:tc>
                <w:tcPr>
                  <w:tcW w:w="435" w:type="pct"/>
                  <w:vAlign w:val="center"/>
                </w:tcPr>
                <w:p w14:paraId="58339850">
                  <w:pPr>
                    <w:pStyle w:val="71"/>
                    <w:adjustRightInd/>
                    <w:rPr>
                      <w:rFonts w:ascii="Times New Roman" w:hAnsi="Times New Roman"/>
                      <w:b/>
                      <w:color w:val="auto"/>
                    </w:rPr>
                  </w:pPr>
                  <w:r>
                    <w:rPr>
                      <w:rFonts w:ascii="Times New Roman" w:hAnsi="Times New Roman"/>
                      <w:color w:val="auto"/>
                    </w:rPr>
                    <w:t>SS</w:t>
                  </w:r>
                </w:p>
              </w:tc>
              <w:tc>
                <w:tcPr>
                  <w:tcW w:w="517" w:type="pct"/>
                  <w:vAlign w:val="center"/>
                </w:tcPr>
                <w:p w14:paraId="095B6DA4">
                  <w:pPr>
                    <w:pStyle w:val="71"/>
                    <w:adjustRightInd/>
                    <w:rPr>
                      <w:rFonts w:ascii="Times New Roman" w:hAnsi="Times New Roman"/>
                      <w:b/>
                      <w:color w:val="auto"/>
                    </w:rPr>
                  </w:pPr>
                  <w:r>
                    <w:rPr>
                      <w:rFonts w:ascii="Times New Roman" w:hAnsi="Times New Roman"/>
                      <w:color w:val="auto"/>
                    </w:rPr>
                    <w:t>NH</w:t>
                  </w:r>
                  <w:r>
                    <w:rPr>
                      <w:rFonts w:ascii="Times New Roman" w:hAnsi="Times New Roman"/>
                      <w:color w:val="auto"/>
                      <w:vertAlign w:val="subscript"/>
                    </w:rPr>
                    <w:t>3</w:t>
                  </w:r>
                  <w:r>
                    <w:rPr>
                      <w:rFonts w:ascii="Times New Roman" w:hAnsi="Times New Roman"/>
                      <w:color w:val="auto"/>
                    </w:rPr>
                    <w:t>-N</w:t>
                  </w:r>
                </w:p>
              </w:tc>
              <w:tc>
                <w:tcPr>
                  <w:tcW w:w="444" w:type="pct"/>
                  <w:vAlign w:val="center"/>
                </w:tcPr>
                <w:p w14:paraId="19280103">
                  <w:pPr>
                    <w:pStyle w:val="71"/>
                    <w:adjustRightInd/>
                    <w:rPr>
                      <w:rFonts w:ascii="Times New Roman" w:hAnsi="Times New Roman"/>
                      <w:b/>
                      <w:color w:val="auto"/>
                    </w:rPr>
                  </w:pPr>
                  <w:r>
                    <w:rPr>
                      <w:rFonts w:ascii="Times New Roman" w:hAnsi="Times New Roman"/>
                      <w:color w:val="auto"/>
                    </w:rPr>
                    <w:t>TP</w:t>
                  </w:r>
                </w:p>
              </w:tc>
              <w:tc>
                <w:tcPr>
                  <w:tcW w:w="420" w:type="pct"/>
                  <w:vAlign w:val="center"/>
                </w:tcPr>
                <w:p w14:paraId="24268DB0">
                  <w:pPr>
                    <w:pStyle w:val="71"/>
                    <w:adjustRightInd/>
                    <w:rPr>
                      <w:rFonts w:ascii="Times New Roman" w:hAnsi="Times New Roman"/>
                      <w:color w:val="auto"/>
                    </w:rPr>
                  </w:pPr>
                  <w:r>
                    <w:rPr>
                      <w:rFonts w:hint="eastAsia" w:ascii="Times New Roman" w:hAnsi="Times New Roman"/>
                      <w:color w:val="auto"/>
                    </w:rPr>
                    <w:t>T</w:t>
                  </w:r>
                  <w:r>
                    <w:rPr>
                      <w:rFonts w:ascii="Times New Roman" w:hAnsi="Times New Roman"/>
                      <w:color w:val="auto"/>
                    </w:rPr>
                    <w:t>N</w:t>
                  </w:r>
                </w:p>
              </w:tc>
            </w:tr>
            <w:tr w14:paraId="1293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919" w:type="pct"/>
                  <w:vAlign w:val="center"/>
                </w:tcPr>
                <w:p w14:paraId="4BC4EB2E">
                  <w:pPr>
                    <w:pStyle w:val="71"/>
                    <w:adjustRightInd/>
                    <w:rPr>
                      <w:rFonts w:ascii="Times New Roman" w:hAnsi="Times New Roman"/>
                      <w:color w:val="auto"/>
                    </w:rPr>
                  </w:pPr>
                  <w:r>
                    <w:rPr>
                      <w:rFonts w:hint="eastAsia"/>
                      <w:color w:val="auto"/>
                    </w:rPr>
                    <w:t>大榄坪污水处理厂进水水质标准</w:t>
                  </w:r>
                </w:p>
              </w:tc>
              <w:tc>
                <w:tcPr>
                  <w:tcW w:w="689" w:type="pct"/>
                  <w:vAlign w:val="center"/>
                </w:tcPr>
                <w:p w14:paraId="47AE6C26">
                  <w:pPr>
                    <w:pStyle w:val="71"/>
                    <w:adjustRightInd/>
                    <w:rPr>
                      <w:rFonts w:ascii="Times New Roman" w:hAnsi="Times New Roman"/>
                      <w:color w:val="auto"/>
                    </w:rPr>
                  </w:pPr>
                  <w:r>
                    <w:rPr>
                      <w:rFonts w:ascii="Times New Roman" w:hAnsi="Times New Roman"/>
                      <w:color w:val="auto"/>
                    </w:rPr>
                    <w:t>500</w:t>
                  </w:r>
                </w:p>
              </w:tc>
              <w:tc>
                <w:tcPr>
                  <w:tcW w:w="571" w:type="pct"/>
                  <w:vAlign w:val="center"/>
                </w:tcPr>
                <w:p w14:paraId="5C6071D1">
                  <w:pPr>
                    <w:pStyle w:val="71"/>
                    <w:adjustRightInd/>
                    <w:rPr>
                      <w:rFonts w:ascii="Times New Roman" w:hAnsi="Times New Roman"/>
                      <w:color w:val="auto"/>
                    </w:rPr>
                  </w:pPr>
                  <w:r>
                    <w:rPr>
                      <w:rFonts w:ascii="Times New Roman" w:hAnsi="Times New Roman"/>
                      <w:color w:val="auto"/>
                    </w:rPr>
                    <w:t>200</w:t>
                  </w:r>
                </w:p>
              </w:tc>
              <w:tc>
                <w:tcPr>
                  <w:tcW w:w="435" w:type="pct"/>
                  <w:vAlign w:val="center"/>
                </w:tcPr>
                <w:p w14:paraId="68F10F76">
                  <w:pPr>
                    <w:pStyle w:val="71"/>
                    <w:adjustRightInd/>
                    <w:rPr>
                      <w:rFonts w:ascii="Times New Roman" w:hAnsi="Times New Roman"/>
                      <w:color w:val="auto"/>
                    </w:rPr>
                  </w:pPr>
                  <w:r>
                    <w:rPr>
                      <w:rFonts w:ascii="Times New Roman" w:hAnsi="Times New Roman"/>
                      <w:color w:val="auto"/>
                    </w:rPr>
                    <w:t>300</w:t>
                  </w:r>
                </w:p>
              </w:tc>
              <w:tc>
                <w:tcPr>
                  <w:tcW w:w="517" w:type="pct"/>
                  <w:vAlign w:val="center"/>
                </w:tcPr>
                <w:p w14:paraId="7DB245C8">
                  <w:pPr>
                    <w:pStyle w:val="71"/>
                    <w:adjustRightInd/>
                    <w:rPr>
                      <w:rFonts w:ascii="Times New Roman" w:hAnsi="Times New Roman"/>
                      <w:color w:val="auto"/>
                    </w:rPr>
                  </w:pPr>
                  <w:r>
                    <w:rPr>
                      <w:rFonts w:hint="eastAsia" w:ascii="Times New Roman" w:hAnsi="Times New Roman"/>
                      <w:color w:val="auto"/>
                    </w:rPr>
                    <w:t>45</w:t>
                  </w:r>
                </w:p>
              </w:tc>
              <w:tc>
                <w:tcPr>
                  <w:tcW w:w="444" w:type="pct"/>
                  <w:vAlign w:val="center"/>
                </w:tcPr>
                <w:p w14:paraId="25F0D0B9">
                  <w:pPr>
                    <w:pStyle w:val="71"/>
                    <w:adjustRightInd/>
                    <w:rPr>
                      <w:rFonts w:ascii="Times New Roman" w:hAnsi="Times New Roman"/>
                      <w:color w:val="auto"/>
                    </w:rPr>
                  </w:pPr>
                  <w:r>
                    <w:rPr>
                      <w:rFonts w:hint="eastAsia" w:ascii="Times New Roman" w:hAnsi="Times New Roman"/>
                      <w:color w:val="auto"/>
                    </w:rPr>
                    <w:t>8</w:t>
                  </w:r>
                </w:p>
              </w:tc>
              <w:tc>
                <w:tcPr>
                  <w:tcW w:w="420" w:type="pct"/>
                  <w:vAlign w:val="center"/>
                </w:tcPr>
                <w:p w14:paraId="63A8C880">
                  <w:pPr>
                    <w:pStyle w:val="71"/>
                    <w:adjustRightInd/>
                    <w:rPr>
                      <w:rFonts w:ascii="Times New Roman" w:hAnsi="Times New Roman"/>
                      <w:color w:val="auto"/>
                    </w:rPr>
                  </w:pPr>
                  <w:r>
                    <w:rPr>
                      <w:rFonts w:hint="eastAsia" w:ascii="Times New Roman" w:hAnsi="Times New Roman"/>
                      <w:color w:val="auto"/>
                    </w:rPr>
                    <w:t>45</w:t>
                  </w:r>
                </w:p>
              </w:tc>
            </w:tr>
          </w:tbl>
          <w:p w14:paraId="63DA123F">
            <w:pPr>
              <w:spacing w:line="240" w:lineRule="auto"/>
              <w:jc w:val="center"/>
              <w:rPr>
                <w:b/>
                <w:bCs/>
                <w:color w:val="auto"/>
                <w:sz w:val="21"/>
                <w:szCs w:val="21"/>
              </w:rPr>
            </w:pPr>
            <w:r>
              <w:rPr>
                <w:b/>
                <w:bCs/>
                <w:color w:val="auto"/>
                <w:sz w:val="21"/>
                <w:szCs w:val="21"/>
              </w:rPr>
              <w:t>表</w:t>
            </w:r>
            <w:r>
              <w:rPr>
                <w:rFonts w:hint="eastAsia"/>
                <w:b/>
                <w:bCs/>
                <w:color w:val="auto"/>
                <w:sz w:val="21"/>
                <w:szCs w:val="21"/>
              </w:rPr>
              <w:t>3-</w:t>
            </w:r>
            <w:r>
              <w:rPr>
                <w:rFonts w:hint="eastAsia"/>
                <w:b/>
                <w:bCs/>
                <w:color w:val="auto"/>
                <w:sz w:val="21"/>
                <w:szCs w:val="21"/>
                <w:lang w:val="en-US" w:eastAsia="zh-CN"/>
              </w:rPr>
              <w:t>11</w:t>
            </w:r>
            <w:r>
              <w:rPr>
                <w:b/>
                <w:bCs/>
                <w:color w:val="auto"/>
                <w:sz w:val="21"/>
                <w:szCs w:val="21"/>
              </w:rPr>
              <w:t xml:space="preserve">   </w:t>
            </w:r>
            <w:r>
              <w:rPr>
                <w:rFonts w:hint="eastAsia"/>
                <w:b/>
                <w:bCs/>
                <w:color w:val="auto"/>
                <w:sz w:val="21"/>
                <w:szCs w:val="21"/>
              </w:rPr>
              <w:t>《污水综合排放标准》表</w:t>
            </w:r>
            <w:r>
              <w:rPr>
                <w:b/>
                <w:bCs/>
                <w:color w:val="auto"/>
                <w:sz w:val="21"/>
                <w:szCs w:val="21"/>
              </w:rPr>
              <w:t>4</w:t>
            </w:r>
            <w:r>
              <w:rPr>
                <w:rFonts w:hint="eastAsia"/>
                <w:b/>
                <w:bCs/>
                <w:color w:val="auto"/>
                <w:sz w:val="21"/>
                <w:szCs w:val="21"/>
              </w:rPr>
              <w:t>中的三级标准要求</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5"/>
              <w:gridCol w:w="1041"/>
              <w:gridCol w:w="1041"/>
              <w:gridCol w:w="910"/>
              <w:gridCol w:w="1004"/>
              <w:gridCol w:w="1198"/>
              <w:gridCol w:w="1027"/>
              <w:gridCol w:w="1027"/>
            </w:tblGrid>
            <w:tr w14:paraId="04FBEE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1" w:type="pct"/>
                  <w:vMerge w:val="restart"/>
                  <w:tcBorders>
                    <w:top w:val="single" w:color="auto" w:sz="2" w:space="0"/>
                    <w:left w:val="single" w:color="auto" w:sz="0" w:space="0"/>
                    <w:bottom w:val="single" w:color="auto" w:sz="4" w:space="0"/>
                    <w:right w:val="single" w:color="auto" w:sz="4" w:space="0"/>
                  </w:tcBorders>
                  <w:vAlign w:val="center"/>
                </w:tcPr>
                <w:p w14:paraId="7E8D6A97">
                  <w:pPr>
                    <w:snapToGrid w:val="0"/>
                    <w:spacing w:line="240" w:lineRule="auto"/>
                    <w:jc w:val="center"/>
                    <w:rPr>
                      <w:rFonts w:hint="eastAsia" w:ascii="宋体" w:hAnsi="宋体" w:cs="宋体"/>
                      <w:color w:val="auto"/>
                      <w:sz w:val="21"/>
                      <w:szCs w:val="21"/>
                    </w:rPr>
                  </w:pPr>
                  <w:r>
                    <w:rPr>
                      <w:rFonts w:hint="eastAsia" w:ascii="宋体" w:hAnsi="宋体" w:cs="宋体"/>
                      <w:color w:val="auto"/>
                      <w:sz w:val="21"/>
                      <w:szCs w:val="21"/>
                    </w:rPr>
                    <w:t>项目</w:t>
                  </w:r>
                </w:p>
              </w:tc>
              <w:tc>
                <w:tcPr>
                  <w:tcW w:w="621" w:type="pct"/>
                  <w:tcBorders>
                    <w:top w:val="single" w:color="auto" w:sz="2" w:space="0"/>
                    <w:left w:val="single" w:color="auto" w:sz="4" w:space="0"/>
                    <w:bottom w:val="single" w:color="auto" w:sz="4" w:space="0"/>
                    <w:right w:val="single" w:color="auto" w:sz="4" w:space="0"/>
                  </w:tcBorders>
                  <w:vAlign w:val="center"/>
                </w:tcPr>
                <w:p w14:paraId="2D823B2B">
                  <w:pPr>
                    <w:snapToGrid w:val="0"/>
                    <w:spacing w:line="240" w:lineRule="auto"/>
                    <w:jc w:val="center"/>
                    <w:rPr>
                      <w:rFonts w:hint="eastAsia" w:ascii="宋体" w:hAnsi="宋体" w:cs="宋体"/>
                      <w:color w:val="auto"/>
                      <w:sz w:val="21"/>
                      <w:szCs w:val="21"/>
                    </w:rPr>
                  </w:pPr>
                  <w:r>
                    <w:rPr>
                      <w:color w:val="auto"/>
                      <w:sz w:val="21"/>
                      <w:szCs w:val="21"/>
                    </w:rPr>
                    <w:t>COD</w:t>
                  </w:r>
                  <w:r>
                    <w:rPr>
                      <w:color w:val="auto"/>
                      <w:sz w:val="21"/>
                      <w:szCs w:val="21"/>
                      <w:vertAlign w:val="subscript"/>
                    </w:rPr>
                    <w:t>Cr</w:t>
                  </w:r>
                </w:p>
              </w:tc>
              <w:tc>
                <w:tcPr>
                  <w:tcW w:w="621" w:type="pct"/>
                  <w:tcBorders>
                    <w:top w:val="single" w:color="auto" w:sz="2" w:space="0"/>
                    <w:left w:val="single" w:color="auto" w:sz="4" w:space="0"/>
                    <w:bottom w:val="single" w:color="auto" w:sz="4" w:space="0"/>
                    <w:right w:val="single" w:color="auto" w:sz="4" w:space="0"/>
                  </w:tcBorders>
                  <w:vAlign w:val="center"/>
                </w:tcPr>
                <w:p w14:paraId="27FED55C">
                  <w:pPr>
                    <w:snapToGrid w:val="0"/>
                    <w:spacing w:line="240" w:lineRule="auto"/>
                    <w:jc w:val="center"/>
                    <w:rPr>
                      <w:rFonts w:hint="eastAsia" w:ascii="宋体" w:hAnsi="宋体" w:cs="宋体"/>
                      <w:color w:val="auto"/>
                      <w:sz w:val="21"/>
                      <w:szCs w:val="21"/>
                    </w:rPr>
                  </w:pPr>
                  <w:r>
                    <w:rPr>
                      <w:color w:val="auto"/>
                      <w:sz w:val="21"/>
                      <w:szCs w:val="21"/>
                    </w:rPr>
                    <w:t>BOD</w:t>
                  </w:r>
                  <w:r>
                    <w:rPr>
                      <w:color w:val="auto"/>
                      <w:sz w:val="21"/>
                      <w:szCs w:val="21"/>
                      <w:vertAlign w:val="subscript"/>
                    </w:rPr>
                    <w:t>5</w:t>
                  </w:r>
                </w:p>
              </w:tc>
              <w:tc>
                <w:tcPr>
                  <w:tcW w:w="543" w:type="pct"/>
                  <w:tcBorders>
                    <w:top w:val="single" w:color="auto" w:sz="2" w:space="0"/>
                    <w:left w:val="single" w:color="auto" w:sz="4" w:space="0"/>
                    <w:bottom w:val="single" w:color="auto" w:sz="4" w:space="0"/>
                    <w:right w:val="single" w:color="auto" w:sz="4" w:space="0"/>
                  </w:tcBorders>
                  <w:vAlign w:val="center"/>
                </w:tcPr>
                <w:p w14:paraId="28A3BF4E">
                  <w:pPr>
                    <w:snapToGrid w:val="0"/>
                    <w:spacing w:line="240" w:lineRule="auto"/>
                    <w:jc w:val="center"/>
                    <w:rPr>
                      <w:rFonts w:hint="eastAsia" w:ascii="宋体" w:hAnsi="宋体" w:cs="宋体"/>
                      <w:color w:val="auto"/>
                      <w:sz w:val="21"/>
                      <w:szCs w:val="21"/>
                    </w:rPr>
                  </w:pPr>
                  <w:r>
                    <w:rPr>
                      <w:color w:val="auto"/>
                      <w:sz w:val="21"/>
                      <w:szCs w:val="21"/>
                    </w:rPr>
                    <w:t>SS</w:t>
                  </w:r>
                </w:p>
              </w:tc>
              <w:tc>
                <w:tcPr>
                  <w:tcW w:w="599" w:type="pct"/>
                  <w:tcBorders>
                    <w:top w:val="single" w:color="auto" w:sz="2" w:space="0"/>
                    <w:left w:val="single" w:color="auto" w:sz="4" w:space="0"/>
                    <w:bottom w:val="single" w:color="auto" w:sz="4" w:space="0"/>
                    <w:right w:val="single" w:color="auto" w:sz="4" w:space="0"/>
                  </w:tcBorders>
                  <w:vAlign w:val="center"/>
                </w:tcPr>
                <w:p w14:paraId="511CBE09">
                  <w:pPr>
                    <w:snapToGrid w:val="0"/>
                    <w:spacing w:line="240" w:lineRule="auto"/>
                    <w:jc w:val="center"/>
                    <w:rPr>
                      <w:rFonts w:hint="eastAsia" w:ascii="宋体" w:hAnsi="宋体" w:cs="宋体"/>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715" w:type="pct"/>
                  <w:tcBorders>
                    <w:top w:val="single" w:color="auto" w:sz="2" w:space="0"/>
                    <w:left w:val="single" w:color="auto" w:sz="4" w:space="0"/>
                    <w:bottom w:val="single" w:color="auto" w:sz="4" w:space="0"/>
                    <w:right w:val="single" w:color="auto" w:sz="4" w:space="0"/>
                  </w:tcBorders>
                  <w:vAlign w:val="center"/>
                </w:tcPr>
                <w:p w14:paraId="546F139D">
                  <w:pPr>
                    <w:snapToGrid w:val="0"/>
                    <w:spacing w:line="240" w:lineRule="auto"/>
                    <w:jc w:val="center"/>
                    <w:rPr>
                      <w:rFonts w:hint="eastAsia" w:ascii="宋体" w:hAnsi="宋体" w:cs="宋体"/>
                      <w:color w:val="auto"/>
                      <w:sz w:val="21"/>
                      <w:szCs w:val="21"/>
                    </w:rPr>
                  </w:pPr>
                  <w:r>
                    <w:rPr>
                      <w:rFonts w:hint="eastAsia"/>
                      <w:color w:val="auto"/>
                      <w:sz w:val="21"/>
                      <w:szCs w:val="21"/>
                    </w:rPr>
                    <w:t>动植物油</w:t>
                  </w:r>
                </w:p>
              </w:tc>
              <w:tc>
                <w:tcPr>
                  <w:tcW w:w="613" w:type="pct"/>
                  <w:tcBorders>
                    <w:top w:val="single" w:color="auto" w:sz="2" w:space="0"/>
                    <w:left w:val="single" w:color="auto" w:sz="4" w:space="0"/>
                    <w:bottom w:val="single" w:color="auto" w:sz="4" w:space="0"/>
                    <w:right w:val="single" w:color="auto" w:sz="2" w:space="0"/>
                  </w:tcBorders>
                  <w:vAlign w:val="center"/>
                </w:tcPr>
                <w:p w14:paraId="3E826D20">
                  <w:pPr>
                    <w:snapToGrid w:val="0"/>
                    <w:spacing w:line="240" w:lineRule="auto"/>
                    <w:jc w:val="center"/>
                    <w:rPr>
                      <w:color w:val="auto"/>
                      <w:sz w:val="21"/>
                      <w:szCs w:val="21"/>
                    </w:rPr>
                  </w:pPr>
                  <w:r>
                    <w:rPr>
                      <w:rFonts w:hint="eastAsia"/>
                      <w:color w:val="auto"/>
                      <w:sz w:val="21"/>
                      <w:szCs w:val="21"/>
                    </w:rPr>
                    <w:t>TP</w:t>
                  </w:r>
                </w:p>
              </w:tc>
              <w:tc>
                <w:tcPr>
                  <w:tcW w:w="613" w:type="pct"/>
                  <w:tcBorders>
                    <w:top w:val="single" w:color="auto" w:sz="2" w:space="0"/>
                    <w:left w:val="single" w:color="auto" w:sz="4" w:space="0"/>
                    <w:bottom w:val="single" w:color="auto" w:sz="4" w:space="0"/>
                    <w:right w:val="single" w:color="auto" w:sz="2" w:space="0"/>
                  </w:tcBorders>
                  <w:vAlign w:val="center"/>
                </w:tcPr>
                <w:p w14:paraId="21C65990">
                  <w:pPr>
                    <w:snapToGrid w:val="0"/>
                    <w:spacing w:line="240" w:lineRule="auto"/>
                    <w:jc w:val="center"/>
                    <w:rPr>
                      <w:rFonts w:hint="eastAsia" w:ascii="宋体" w:hAnsi="宋体" w:cs="宋体"/>
                      <w:color w:val="auto"/>
                      <w:sz w:val="21"/>
                      <w:szCs w:val="21"/>
                    </w:rPr>
                  </w:pPr>
                  <w:r>
                    <w:rPr>
                      <w:color w:val="auto"/>
                      <w:sz w:val="21"/>
                      <w:szCs w:val="21"/>
                    </w:rPr>
                    <w:t>pH</w:t>
                  </w:r>
                </w:p>
              </w:tc>
            </w:tr>
            <w:tr w14:paraId="260277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1" w:type="pct"/>
                  <w:vMerge w:val="continue"/>
                  <w:tcBorders>
                    <w:top w:val="single" w:color="auto" w:sz="4" w:space="0"/>
                    <w:left w:val="single" w:color="auto" w:sz="4" w:space="0"/>
                    <w:bottom w:val="single" w:color="auto" w:sz="4" w:space="0"/>
                    <w:right w:val="single" w:color="auto" w:sz="4" w:space="0"/>
                  </w:tcBorders>
                  <w:vAlign w:val="center"/>
                </w:tcPr>
                <w:p w14:paraId="557BEFEA">
                  <w:pPr>
                    <w:widowControl/>
                    <w:spacing w:line="240" w:lineRule="auto"/>
                    <w:rPr>
                      <w:rFonts w:hint="eastAsia" w:ascii="宋体" w:hAnsi="宋体" w:cs="宋体"/>
                      <w:color w:val="auto"/>
                      <w:sz w:val="21"/>
                      <w:szCs w:val="21"/>
                    </w:rPr>
                  </w:pPr>
                </w:p>
              </w:tc>
              <w:tc>
                <w:tcPr>
                  <w:tcW w:w="621" w:type="pct"/>
                  <w:tcBorders>
                    <w:top w:val="single" w:color="auto" w:sz="4" w:space="0"/>
                    <w:left w:val="single" w:color="auto" w:sz="4" w:space="0"/>
                    <w:bottom w:val="single" w:color="auto" w:sz="4" w:space="0"/>
                    <w:right w:val="single" w:color="auto" w:sz="4" w:space="0"/>
                  </w:tcBorders>
                  <w:vAlign w:val="center"/>
                </w:tcPr>
                <w:p w14:paraId="363E82E7">
                  <w:pPr>
                    <w:snapToGrid w:val="0"/>
                    <w:spacing w:line="240" w:lineRule="auto"/>
                    <w:jc w:val="center"/>
                    <w:rPr>
                      <w:rFonts w:hint="eastAsia" w:ascii="宋体" w:hAnsi="宋体" w:cs="宋体"/>
                      <w:color w:val="auto"/>
                      <w:sz w:val="21"/>
                      <w:szCs w:val="21"/>
                    </w:rPr>
                  </w:pPr>
                  <w:r>
                    <w:rPr>
                      <w:color w:val="auto"/>
                      <w:sz w:val="21"/>
                      <w:szCs w:val="21"/>
                    </w:rPr>
                    <w:t>mg/L</w:t>
                  </w:r>
                </w:p>
              </w:tc>
              <w:tc>
                <w:tcPr>
                  <w:tcW w:w="621" w:type="pct"/>
                  <w:tcBorders>
                    <w:top w:val="single" w:color="auto" w:sz="4" w:space="0"/>
                    <w:left w:val="single" w:color="auto" w:sz="4" w:space="0"/>
                    <w:bottom w:val="single" w:color="auto" w:sz="4" w:space="0"/>
                    <w:right w:val="single" w:color="auto" w:sz="4" w:space="0"/>
                  </w:tcBorders>
                  <w:vAlign w:val="center"/>
                </w:tcPr>
                <w:p w14:paraId="4B972DA6">
                  <w:pPr>
                    <w:snapToGrid w:val="0"/>
                    <w:spacing w:line="240" w:lineRule="auto"/>
                    <w:jc w:val="center"/>
                    <w:rPr>
                      <w:rFonts w:hint="eastAsia" w:ascii="宋体" w:hAnsi="宋体" w:cs="宋体"/>
                      <w:color w:val="auto"/>
                      <w:sz w:val="21"/>
                      <w:szCs w:val="21"/>
                    </w:rPr>
                  </w:pPr>
                  <w:r>
                    <w:rPr>
                      <w:color w:val="auto"/>
                      <w:sz w:val="21"/>
                      <w:szCs w:val="21"/>
                    </w:rPr>
                    <w:t>mg/L</w:t>
                  </w:r>
                </w:p>
              </w:tc>
              <w:tc>
                <w:tcPr>
                  <w:tcW w:w="543" w:type="pct"/>
                  <w:tcBorders>
                    <w:top w:val="single" w:color="auto" w:sz="4" w:space="0"/>
                    <w:left w:val="single" w:color="auto" w:sz="4" w:space="0"/>
                    <w:bottom w:val="single" w:color="auto" w:sz="4" w:space="0"/>
                    <w:right w:val="single" w:color="auto" w:sz="4" w:space="0"/>
                  </w:tcBorders>
                  <w:vAlign w:val="center"/>
                </w:tcPr>
                <w:p w14:paraId="6C3D74F2">
                  <w:pPr>
                    <w:snapToGrid w:val="0"/>
                    <w:spacing w:line="240" w:lineRule="auto"/>
                    <w:jc w:val="center"/>
                    <w:rPr>
                      <w:rFonts w:hint="eastAsia" w:ascii="宋体" w:hAnsi="宋体" w:cs="宋体"/>
                      <w:color w:val="auto"/>
                      <w:sz w:val="21"/>
                      <w:szCs w:val="21"/>
                    </w:rPr>
                  </w:pPr>
                  <w:r>
                    <w:rPr>
                      <w:color w:val="auto"/>
                      <w:sz w:val="21"/>
                      <w:szCs w:val="21"/>
                    </w:rPr>
                    <w:t>mg/L</w:t>
                  </w:r>
                </w:p>
              </w:tc>
              <w:tc>
                <w:tcPr>
                  <w:tcW w:w="599" w:type="pct"/>
                  <w:tcBorders>
                    <w:top w:val="single" w:color="auto" w:sz="4" w:space="0"/>
                    <w:left w:val="single" w:color="auto" w:sz="4" w:space="0"/>
                    <w:bottom w:val="single" w:color="auto" w:sz="4" w:space="0"/>
                    <w:right w:val="single" w:color="auto" w:sz="4" w:space="0"/>
                  </w:tcBorders>
                  <w:vAlign w:val="center"/>
                </w:tcPr>
                <w:p w14:paraId="3C721230">
                  <w:pPr>
                    <w:snapToGrid w:val="0"/>
                    <w:spacing w:line="240" w:lineRule="auto"/>
                    <w:jc w:val="center"/>
                    <w:rPr>
                      <w:rFonts w:hint="eastAsia" w:ascii="宋体" w:hAnsi="宋体" w:cs="宋体"/>
                      <w:color w:val="auto"/>
                      <w:sz w:val="21"/>
                      <w:szCs w:val="21"/>
                    </w:rPr>
                  </w:pPr>
                  <w:r>
                    <w:rPr>
                      <w:color w:val="auto"/>
                      <w:sz w:val="21"/>
                      <w:szCs w:val="21"/>
                    </w:rPr>
                    <w:t>mg/L</w:t>
                  </w:r>
                </w:p>
              </w:tc>
              <w:tc>
                <w:tcPr>
                  <w:tcW w:w="715" w:type="pct"/>
                  <w:tcBorders>
                    <w:top w:val="single" w:color="auto" w:sz="4" w:space="0"/>
                    <w:left w:val="single" w:color="auto" w:sz="4" w:space="0"/>
                    <w:bottom w:val="single" w:color="auto" w:sz="4" w:space="0"/>
                    <w:right w:val="single" w:color="auto" w:sz="4" w:space="0"/>
                  </w:tcBorders>
                  <w:vAlign w:val="center"/>
                </w:tcPr>
                <w:p w14:paraId="0A9A97B6">
                  <w:pPr>
                    <w:snapToGrid w:val="0"/>
                    <w:spacing w:line="240" w:lineRule="auto"/>
                    <w:jc w:val="center"/>
                    <w:rPr>
                      <w:rFonts w:hint="eastAsia" w:ascii="宋体" w:hAnsi="宋体" w:cs="宋体"/>
                      <w:color w:val="auto"/>
                      <w:sz w:val="21"/>
                      <w:szCs w:val="21"/>
                    </w:rPr>
                  </w:pPr>
                  <w:r>
                    <w:rPr>
                      <w:color w:val="auto"/>
                      <w:sz w:val="21"/>
                      <w:szCs w:val="21"/>
                    </w:rPr>
                    <w:t>mg/L</w:t>
                  </w:r>
                </w:p>
              </w:tc>
              <w:tc>
                <w:tcPr>
                  <w:tcW w:w="613" w:type="pct"/>
                  <w:tcBorders>
                    <w:top w:val="single" w:color="auto" w:sz="4" w:space="0"/>
                    <w:left w:val="single" w:color="auto" w:sz="4" w:space="0"/>
                    <w:bottom w:val="single" w:color="auto" w:sz="4" w:space="0"/>
                    <w:right w:val="single" w:color="auto" w:sz="2" w:space="0"/>
                  </w:tcBorders>
                  <w:vAlign w:val="center"/>
                </w:tcPr>
                <w:p w14:paraId="54F62FAE">
                  <w:pPr>
                    <w:snapToGrid w:val="0"/>
                    <w:spacing w:line="240" w:lineRule="auto"/>
                    <w:jc w:val="center"/>
                    <w:rPr>
                      <w:color w:val="auto"/>
                      <w:sz w:val="21"/>
                      <w:szCs w:val="21"/>
                    </w:rPr>
                  </w:pPr>
                  <w:r>
                    <w:rPr>
                      <w:color w:val="auto"/>
                      <w:sz w:val="21"/>
                      <w:szCs w:val="21"/>
                    </w:rPr>
                    <w:t>mg/L</w:t>
                  </w:r>
                </w:p>
              </w:tc>
              <w:tc>
                <w:tcPr>
                  <w:tcW w:w="613" w:type="pct"/>
                  <w:tcBorders>
                    <w:top w:val="single" w:color="auto" w:sz="4" w:space="0"/>
                    <w:left w:val="single" w:color="auto" w:sz="4" w:space="0"/>
                    <w:bottom w:val="single" w:color="auto" w:sz="4" w:space="0"/>
                    <w:right w:val="single" w:color="auto" w:sz="2" w:space="0"/>
                  </w:tcBorders>
                  <w:vAlign w:val="center"/>
                </w:tcPr>
                <w:p w14:paraId="12FDB4E4">
                  <w:pPr>
                    <w:snapToGrid w:val="0"/>
                    <w:spacing w:line="240" w:lineRule="auto"/>
                    <w:jc w:val="center"/>
                    <w:rPr>
                      <w:rFonts w:hint="eastAsia" w:ascii="宋体" w:hAnsi="宋体" w:cs="宋体"/>
                      <w:color w:val="auto"/>
                      <w:sz w:val="21"/>
                      <w:szCs w:val="21"/>
                    </w:rPr>
                  </w:pPr>
                  <w:r>
                    <w:rPr>
                      <w:color w:val="auto"/>
                      <w:sz w:val="21"/>
                      <w:szCs w:val="21"/>
                    </w:rPr>
                    <w:t>/</w:t>
                  </w:r>
                </w:p>
              </w:tc>
            </w:tr>
            <w:tr w14:paraId="56E05A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671" w:type="pct"/>
                  <w:tcBorders>
                    <w:top w:val="single" w:color="auto" w:sz="4" w:space="0"/>
                    <w:left w:val="single" w:color="auto" w:sz="4" w:space="0"/>
                    <w:bottom w:val="single" w:color="auto" w:sz="2" w:space="0"/>
                    <w:right w:val="single" w:color="auto" w:sz="4" w:space="0"/>
                  </w:tcBorders>
                  <w:vAlign w:val="center"/>
                </w:tcPr>
                <w:p w14:paraId="61C9462E">
                  <w:pPr>
                    <w:snapToGrid w:val="0"/>
                    <w:spacing w:line="240" w:lineRule="auto"/>
                    <w:jc w:val="center"/>
                    <w:rPr>
                      <w:rFonts w:hint="eastAsia" w:ascii="宋体" w:hAnsi="宋体" w:cs="宋体"/>
                      <w:color w:val="auto"/>
                      <w:sz w:val="21"/>
                      <w:szCs w:val="21"/>
                    </w:rPr>
                  </w:pPr>
                  <w:r>
                    <w:rPr>
                      <w:rFonts w:hint="eastAsia" w:ascii="宋体" w:hAnsi="宋体" w:cs="宋体"/>
                      <w:color w:val="auto"/>
                      <w:sz w:val="21"/>
                      <w:szCs w:val="21"/>
                    </w:rPr>
                    <w:t>三级标准</w:t>
                  </w:r>
                </w:p>
              </w:tc>
              <w:tc>
                <w:tcPr>
                  <w:tcW w:w="621" w:type="pct"/>
                  <w:tcBorders>
                    <w:top w:val="single" w:color="auto" w:sz="4" w:space="0"/>
                    <w:left w:val="single" w:color="auto" w:sz="4" w:space="0"/>
                    <w:bottom w:val="single" w:color="auto" w:sz="2" w:space="0"/>
                    <w:right w:val="single" w:color="auto" w:sz="4" w:space="0"/>
                  </w:tcBorders>
                  <w:vAlign w:val="center"/>
                </w:tcPr>
                <w:p w14:paraId="2997F413">
                  <w:pPr>
                    <w:snapToGrid w:val="0"/>
                    <w:spacing w:line="240" w:lineRule="auto"/>
                    <w:jc w:val="center"/>
                    <w:rPr>
                      <w:rFonts w:hint="eastAsia" w:ascii="宋体" w:hAnsi="宋体" w:cs="宋体"/>
                      <w:color w:val="auto"/>
                      <w:sz w:val="21"/>
                      <w:szCs w:val="21"/>
                    </w:rPr>
                  </w:pPr>
                  <w:r>
                    <w:rPr>
                      <w:color w:val="auto"/>
                      <w:sz w:val="21"/>
                      <w:szCs w:val="21"/>
                    </w:rPr>
                    <w:t>500</w:t>
                  </w:r>
                </w:p>
              </w:tc>
              <w:tc>
                <w:tcPr>
                  <w:tcW w:w="621" w:type="pct"/>
                  <w:tcBorders>
                    <w:top w:val="single" w:color="auto" w:sz="4" w:space="0"/>
                    <w:left w:val="single" w:color="auto" w:sz="4" w:space="0"/>
                    <w:bottom w:val="single" w:color="auto" w:sz="2" w:space="0"/>
                    <w:right w:val="single" w:color="auto" w:sz="4" w:space="0"/>
                  </w:tcBorders>
                  <w:vAlign w:val="center"/>
                </w:tcPr>
                <w:p w14:paraId="67A9BF45">
                  <w:pPr>
                    <w:snapToGrid w:val="0"/>
                    <w:spacing w:line="240" w:lineRule="auto"/>
                    <w:jc w:val="center"/>
                    <w:rPr>
                      <w:rFonts w:hint="eastAsia" w:ascii="宋体" w:hAnsi="宋体" w:cs="宋体"/>
                      <w:color w:val="auto"/>
                      <w:sz w:val="21"/>
                      <w:szCs w:val="21"/>
                    </w:rPr>
                  </w:pPr>
                  <w:r>
                    <w:rPr>
                      <w:color w:val="auto"/>
                      <w:sz w:val="21"/>
                      <w:szCs w:val="21"/>
                    </w:rPr>
                    <w:t>300</w:t>
                  </w:r>
                </w:p>
              </w:tc>
              <w:tc>
                <w:tcPr>
                  <w:tcW w:w="543" w:type="pct"/>
                  <w:tcBorders>
                    <w:top w:val="single" w:color="auto" w:sz="4" w:space="0"/>
                    <w:left w:val="single" w:color="auto" w:sz="4" w:space="0"/>
                    <w:bottom w:val="single" w:color="auto" w:sz="2" w:space="0"/>
                    <w:right w:val="single" w:color="auto" w:sz="4" w:space="0"/>
                  </w:tcBorders>
                  <w:vAlign w:val="center"/>
                </w:tcPr>
                <w:p w14:paraId="41CEB524">
                  <w:pPr>
                    <w:snapToGrid w:val="0"/>
                    <w:spacing w:line="240" w:lineRule="auto"/>
                    <w:jc w:val="center"/>
                    <w:rPr>
                      <w:rFonts w:hint="eastAsia" w:ascii="宋体" w:hAnsi="宋体" w:cs="宋体"/>
                      <w:color w:val="auto"/>
                      <w:sz w:val="21"/>
                      <w:szCs w:val="21"/>
                    </w:rPr>
                  </w:pPr>
                  <w:r>
                    <w:rPr>
                      <w:color w:val="auto"/>
                      <w:sz w:val="21"/>
                      <w:szCs w:val="21"/>
                    </w:rPr>
                    <w:t>400</w:t>
                  </w:r>
                </w:p>
              </w:tc>
              <w:tc>
                <w:tcPr>
                  <w:tcW w:w="599" w:type="pct"/>
                  <w:tcBorders>
                    <w:top w:val="single" w:color="auto" w:sz="4" w:space="0"/>
                    <w:left w:val="single" w:color="auto" w:sz="4" w:space="0"/>
                    <w:bottom w:val="single" w:color="auto" w:sz="2" w:space="0"/>
                    <w:right w:val="single" w:color="auto" w:sz="4" w:space="0"/>
                  </w:tcBorders>
                  <w:vAlign w:val="center"/>
                </w:tcPr>
                <w:p w14:paraId="5ADEEC22">
                  <w:pPr>
                    <w:snapToGrid w:val="0"/>
                    <w:spacing w:line="240" w:lineRule="auto"/>
                    <w:jc w:val="center"/>
                    <w:rPr>
                      <w:rFonts w:hint="eastAsia" w:ascii="宋体" w:hAnsi="宋体" w:cs="宋体"/>
                      <w:color w:val="auto"/>
                      <w:sz w:val="21"/>
                      <w:szCs w:val="21"/>
                    </w:rPr>
                  </w:pPr>
                  <w:r>
                    <w:rPr>
                      <w:color w:val="auto"/>
                      <w:sz w:val="21"/>
                      <w:szCs w:val="21"/>
                    </w:rPr>
                    <w:t>/</w:t>
                  </w:r>
                </w:p>
              </w:tc>
              <w:tc>
                <w:tcPr>
                  <w:tcW w:w="715" w:type="pct"/>
                  <w:tcBorders>
                    <w:top w:val="single" w:color="auto" w:sz="4" w:space="0"/>
                    <w:left w:val="single" w:color="auto" w:sz="4" w:space="0"/>
                    <w:bottom w:val="single" w:color="auto" w:sz="2" w:space="0"/>
                    <w:right w:val="single" w:color="auto" w:sz="4" w:space="0"/>
                  </w:tcBorders>
                  <w:vAlign w:val="center"/>
                </w:tcPr>
                <w:p w14:paraId="499480A4">
                  <w:pPr>
                    <w:snapToGrid w:val="0"/>
                    <w:spacing w:line="240" w:lineRule="auto"/>
                    <w:jc w:val="center"/>
                    <w:rPr>
                      <w:rFonts w:hint="eastAsia" w:ascii="宋体" w:hAnsi="宋体" w:cs="宋体"/>
                      <w:color w:val="auto"/>
                      <w:sz w:val="21"/>
                      <w:szCs w:val="21"/>
                    </w:rPr>
                  </w:pPr>
                  <w:r>
                    <w:rPr>
                      <w:rFonts w:hint="eastAsia"/>
                      <w:color w:val="auto"/>
                      <w:sz w:val="21"/>
                      <w:szCs w:val="21"/>
                    </w:rPr>
                    <w:t>100</w:t>
                  </w:r>
                </w:p>
              </w:tc>
              <w:tc>
                <w:tcPr>
                  <w:tcW w:w="613" w:type="pct"/>
                  <w:tcBorders>
                    <w:top w:val="single" w:color="auto" w:sz="4" w:space="0"/>
                    <w:left w:val="single" w:color="auto" w:sz="4" w:space="0"/>
                    <w:bottom w:val="single" w:color="auto" w:sz="2" w:space="0"/>
                    <w:right w:val="single" w:color="auto" w:sz="2" w:space="0"/>
                  </w:tcBorders>
                  <w:vAlign w:val="center"/>
                </w:tcPr>
                <w:p w14:paraId="29F66EAE">
                  <w:pPr>
                    <w:snapToGrid w:val="0"/>
                    <w:spacing w:line="240" w:lineRule="auto"/>
                    <w:jc w:val="center"/>
                    <w:rPr>
                      <w:color w:val="auto"/>
                      <w:sz w:val="21"/>
                      <w:szCs w:val="21"/>
                    </w:rPr>
                  </w:pPr>
                  <w:r>
                    <w:rPr>
                      <w:rFonts w:hint="eastAsia"/>
                      <w:color w:val="auto"/>
                      <w:sz w:val="21"/>
                      <w:szCs w:val="21"/>
                    </w:rPr>
                    <w:t>/</w:t>
                  </w:r>
                </w:p>
              </w:tc>
              <w:tc>
                <w:tcPr>
                  <w:tcW w:w="613" w:type="pct"/>
                  <w:tcBorders>
                    <w:top w:val="single" w:color="auto" w:sz="4" w:space="0"/>
                    <w:left w:val="single" w:color="auto" w:sz="4" w:space="0"/>
                    <w:bottom w:val="single" w:color="auto" w:sz="2" w:space="0"/>
                    <w:right w:val="single" w:color="auto" w:sz="2" w:space="0"/>
                  </w:tcBorders>
                  <w:vAlign w:val="center"/>
                </w:tcPr>
                <w:p w14:paraId="08E03EF9">
                  <w:pPr>
                    <w:snapToGrid w:val="0"/>
                    <w:spacing w:line="240" w:lineRule="auto"/>
                    <w:jc w:val="center"/>
                    <w:rPr>
                      <w:rFonts w:hint="eastAsia" w:ascii="宋体" w:hAnsi="宋体" w:cs="宋体"/>
                      <w:color w:val="auto"/>
                      <w:sz w:val="21"/>
                      <w:szCs w:val="21"/>
                    </w:rPr>
                  </w:pPr>
                  <w:r>
                    <w:rPr>
                      <w:color w:val="auto"/>
                      <w:sz w:val="21"/>
                      <w:szCs w:val="21"/>
                    </w:rPr>
                    <w:t>6</w:t>
                  </w:r>
                  <w:r>
                    <w:rPr>
                      <w:rFonts w:hint="eastAsia" w:ascii="宋体" w:hAnsi="宋体" w:cs="宋体"/>
                      <w:color w:val="auto"/>
                      <w:sz w:val="21"/>
                      <w:szCs w:val="21"/>
                    </w:rPr>
                    <w:t>～</w:t>
                  </w:r>
                  <w:r>
                    <w:rPr>
                      <w:color w:val="auto"/>
                      <w:sz w:val="21"/>
                      <w:szCs w:val="21"/>
                    </w:rPr>
                    <w:t>9</w:t>
                  </w:r>
                </w:p>
              </w:tc>
            </w:tr>
          </w:tbl>
          <w:p w14:paraId="42C7886A">
            <w:pPr>
              <w:spacing w:line="240" w:lineRule="auto"/>
              <w:jc w:val="center"/>
              <w:rPr>
                <w:b/>
                <w:bCs/>
                <w:color w:val="auto"/>
                <w:sz w:val="21"/>
                <w:szCs w:val="21"/>
              </w:rPr>
            </w:pPr>
            <w:r>
              <w:rPr>
                <w:b/>
                <w:bCs/>
                <w:color w:val="auto"/>
                <w:sz w:val="21"/>
                <w:szCs w:val="21"/>
              </w:rPr>
              <w:t>表</w:t>
            </w:r>
            <w:r>
              <w:rPr>
                <w:rFonts w:hint="eastAsia"/>
                <w:b/>
                <w:bCs/>
                <w:color w:val="auto"/>
                <w:sz w:val="21"/>
                <w:szCs w:val="21"/>
              </w:rPr>
              <w:t>3-1</w:t>
            </w:r>
            <w:r>
              <w:rPr>
                <w:rFonts w:hint="eastAsia"/>
                <w:b/>
                <w:bCs/>
                <w:color w:val="auto"/>
                <w:sz w:val="21"/>
                <w:szCs w:val="21"/>
                <w:lang w:val="en-US" w:eastAsia="zh-CN"/>
              </w:rPr>
              <w:t>2</w:t>
            </w:r>
            <w:r>
              <w:rPr>
                <w:b/>
                <w:bCs/>
                <w:color w:val="auto"/>
                <w:sz w:val="21"/>
                <w:szCs w:val="21"/>
              </w:rPr>
              <w:t xml:space="preserve">   </w:t>
            </w:r>
            <w:r>
              <w:rPr>
                <w:rFonts w:hint="eastAsia"/>
                <w:b/>
                <w:bCs/>
                <w:color w:val="auto"/>
                <w:sz w:val="21"/>
                <w:szCs w:val="21"/>
              </w:rPr>
              <w:t>本项目执行标准取值要求表</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5"/>
              <w:gridCol w:w="1041"/>
              <w:gridCol w:w="1041"/>
              <w:gridCol w:w="910"/>
              <w:gridCol w:w="1004"/>
              <w:gridCol w:w="1198"/>
              <w:gridCol w:w="1027"/>
              <w:gridCol w:w="1027"/>
            </w:tblGrid>
            <w:tr w14:paraId="7111B6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2" w:type="pct"/>
                  <w:vMerge w:val="restart"/>
                  <w:tcBorders>
                    <w:top w:val="single" w:color="auto" w:sz="2" w:space="0"/>
                    <w:left w:val="single" w:color="auto" w:sz="0" w:space="0"/>
                    <w:bottom w:val="single" w:color="auto" w:sz="4" w:space="0"/>
                    <w:right w:val="single" w:color="auto" w:sz="4" w:space="0"/>
                  </w:tcBorders>
                  <w:vAlign w:val="center"/>
                </w:tcPr>
                <w:p w14:paraId="2F5F591A">
                  <w:pPr>
                    <w:snapToGrid w:val="0"/>
                    <w:spacing w:line="240" w:lineRule="auto"/>
                    <w:jc w:val="center"/>
                    <w:rPr>
                      <w:rFonts w:hint="eastAsia" w:ascii="宋体" w:hAnsi="宋体" w:cs="宋体"/>
                      <w:color w:val="auto"/>
                      <w:sz w:val="21"/>
                      <w:szCs w:val="21"/>
                    </w:rPr>
                  </w:pPr>
                  <w:r>
                    <w:rPr>
                      <w:rFonts w:hint="eastAsia" w:ascii="宋体" w:hAnsi="宋体" w:cs="宋体"/>
                      <w:color w:val="auto"/>
                      <w:sz w:val="21"/>
                      <w:szCs w:val="21"/>
                    </w:rPr>
                    <w:t>项目</w:t>
                  </w:r>
                </w:p>
              </w:tc>
              <w:tc>
                <w:tcPr>
                  <w:tcW w:w="621" w:type="pct"/>
                  <w:tcBorders>
                    <w:top w:val="single" w:color="auto" w:sz="2" w:space="0"/>
                    <w:left w:val="single" w:color="auto" w:sz="4" w:space="0"/>
                    <w:bottom w:val="single" w:color="auto" w:sz="4" w:space="0"/>
                    <w:right w:val="single" w:color="auto" w:sz="4" w:space="0"/>
                  </w:tcBorders>
                  <w:vAlign w:val="center"/>
                </w:tcPr>
                <w:p w14:paraId="311132F9">
                  <w:pPr>
                    <w:snapToGrid w:val="0"/>
                    <w:spacing w:line="240" w:lineRule="auto"/>
                    <w:jc w:val="center"/>
                    <w:rPr>
                      <w:rFonts w:hint="eastAsia" w:ascii="宋体" w:hAnsi="宋体" w:cs="宋体"/>
                      <w:color w:val="auto"/>
                      <w:sz w:val="21"/>
                      <w:szCs w:val="21"/>
                    </w:rPr>
                  </w:pPr>
                  <w:r>
                    <w:rPr>
                      <w:color w:val="auto"/>
                      <w:sz w:val="21"/>
                      <w:szCs w:val="21"/>
                    </w:rPr>
                    <w:t>COD</w:t>
                  </w:r>
                  <w:r>
                    <w:rPr>
                      <w:color w:val="auto"/>
                      <w:sz w:val="21"/>
                      <w:szCs w:val="21"/>
                      <w:vertAlign w:val="subscript"/>
                    </w:rPr>
                    <w:t>Cr</w:t>
                  </w:r>
                </w:p>
              </w:tc>
              <w:tc>
                <w:tcPr>
                  <w:tcW w:w="621" w:type="pct"/>
                  <w:tcBorders>
                    <w:top w:val="single" w:color="auto" w:sz="2" w:space="0"/>
                    <w:left w:val="single" w:color="auto" w:sz="4" w:space="0"/>
                    <w:bottom w:val="single" w:color="auto" w:sz="4" w:space="0"/>
                    <w:right w:val="single" w:color="auto" w:sz="4" w:space="0"/>
                  </w:tcBorders>
                  <w:vAlign w:val="center"/>
                </w:tcPr>
                <w:p w14:paraId="2DC2AEA6">
                  <w:pPr>
                    <w:snapToGrid w:val="0"/>
                    <w:spacing w:line="240" w:lineRule="auto"/>
                    <w:jc w:val="center"/>
                    <w:rPr>
                      <w:rFonts w:hint="eastAsia" w:ascii="宋体" w:hAnsi="宋体" w:cs="宋体"/>
                      <w:color w:val="auto"/>
                      <w:sz w:val="21"/>
                      <w:szCs w:val="21"/>
                    </w:rPr>
                  </w:pPr>
                  <w:r>
                    <w:rPr>
                      <w:color w:val="auto"/>
                      <w:sz w:val="21"/>
                      <w:szCs w:val="21"/>
                    </w:rPr>
                    <w:t>BOD</w:t>
                  </w:r>
                  <w:r>
                    <w:rPr>
                      <w:color w:val="auto"/>
                      <w:sz w:val="21"/>
                      <w:szCs w:val="21"/>
                      <w:vertAlign w:val="subscript"/>
                    </w:rPr>
                    <w:t>5</w:t>
                  </w:r>
                </w:p>
              </w:tc>
              <w:tc>
                <w:tcPr>
                  <w:tcW w:w="543" w:type="pct"/>
                  <w:tcBorders>
                    <w:top w:val="single" w:color="auto" w:sz="2" w:space="0"/>
                    <w:left w:val="single" w:color="auto" w:sz="4" w:space="0"/>
                    <w:bottom w:val="single" w:color="auto" w:sz="4" w:space="0"/>
                    <w:right w:val="single" w:color="auto" w:sz="4" w:space="0"/>
                  </w:tcBorders>
                  <w:vAlign w:val="center"/>
                </w:tcPr>
                <w:p w14:paraId="4CDFEB68">
                  <w:pPr>
                    <w:snapToGrid w:val="0"/>
                    <w:spacing w:line="240" w:lineRule="auto"/>
                    <w:jc w:val="center"/>
                    <w:rPr>
                      <w:rFonts w:hint="eastAsia" w:ascii="宋体" w:hAnsi="宋体" w:cs="宋体"/>
                      <w:color w:val="auto"/>
                      <w:sz w:val="21"/>
                      <w:szCs w:val="21"/>
                    </w:rPr>
                  </w:pPr>
                  <w:r>
                    <w:rPr>
                      <w:color w:val="auto"/>
                      <w:sz w:val="21"/>
                      <w:szCs w:val="21"/>
                    </w:rPr>
                    <w:t>SS</w:t>
                  </w:r>
                </w:p>
              </w:tc>
              <w:tc>
                <w:tcPr>
                  <w:tcW w:w="599" w:type="pct"/>
                  <w:tcBorders>
                    <w:top w:val="single" w:color="auto" w:sz="2" w:space="0"/>
                    <w:left w:val="single" w:color="auto" w:sz="4" w:space="0"/>
                    <w:bottom w:val="single" w:color="auto" w:sz="4" w:space="0"/>
                    <w:right w:val="single" w:color="auto" w:sz="4" w:space="0"/>
                  </w:tcBorders>
                  <w:vAlign w:val="center"/>
                </w:tcPr>
                <w:p w14:paraId="1F5FCAFE">
                  <w:pPr>
                    <w:snapToGrid w:val="0"/>
                    <w:spacing w:line="240" w:lineRule="auto"/>
                    <w:jc w:val="center"/>
                    <w:rPr>
                      <w:rFonts w:hint="eastAsia" w:ascii="宋体" w:hAnsi="宋体" w:cs="宋体"/>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715" w:type="pct"/>
                  <w:tcBorders>
                    <w:top w:val="single" w:color="auto" w:sz="2" w:space="0"/>
                    <w:left w:val="single" w:color="auto" w:sz="4" w:space="0"/>
                    <w:bottom w:val="single" w:color="auto" w:sz="4" w:space="0"/>
                    <w:right w:val="single" w:color="auto" w:sz="4" w:space="0"/>
                  </w:tcBorders>
                  <w:vAlign w:val="center"/>
                </w:tcPr>
                <w:p w14:paraId="58C1B0A9">
                  <w:pPr>
                    <w:snapToGrid w:val="0"/>
                    <w:spacing w:line="240" w:lineRule="auto"/>
                    <w:jc w:val="center"/>
                    <w:rPr>
                      <w:rFonts w:hint="eastAsia" w:ascii="宋体" w:hAnsi="宋体" w:cs="宋体"/>
                      <w:color w:val="auto"/>
                      <w:sz w:val="21"/>
                      <w:szCs w:val="21"/>
                    </w:rPr>
                  </w:pPr>
                  <w:r>
                    <w:rPr>
                      <w:rFonts w:hint="eastAsia"/>
                      <w:color w:val="auto"/>
                      <w:sz w:val="21"/>
                      <w:szCs w:val="21"/>
                    </w:rPr>
                    <w:t>动植物油</w:t>
                  </w:r>
                </w:p>
              </w:tc>
              <w:tc>
                <w:tcPr>
                  <w:tcW w:w="613" w:type="pct"/>
                  <w:tcBorders>
                    <w:top w:val="single" w:color="auto" w:sz="2" w:space="0"/>
                    <w:left w:val="single" w:color="auto" w:sz="4" w:space="0"/>
                    <w:bottom w:val="single" w:color="auto" w:sz="4" w:space="0"/>
                    <w:right w:val="single" w:color="auto" w:sz="2" w:space="0"/>
                  </w:tcBorders>
                  <w:vAlign w:val="center"/>
                </w:tcPr>
                <w:p w14:paraId="7DF2B6FD">
                  <w:pPr>
                    <w:snapToGrid w:val="0"/>
                    <w:spacing w:line="240" w:lineRule="auto"/>
                    <w:jc w:val="center"/>
                    <w:rPr>
                      <w:color w:val="auto"/>
                      <w:sz w:val="21"/>
                      <w:szCs w:val="21"/>
                    </w:rPr>
                  </w:pPr>
                  <w:r>
                    <w:rPr>
                      <w:rFonts w:hint="eastAsia"/>
                      <w:color w:val="auto"/>
                      <w:sz w:val="21"/>
                      <w:szCs w:val="21"/>
                    </w:rPr>
                    <w:t>TP</w:t>
                  </w:r>
                </w:p>
              </w:tc>
              <w:tc>
                <w:tcPr>
                  <w:tcW w:w="613" w:type="pct"/>
                  <w:tcBorders>
                    <w:top w:val="single" w:color="auto" w:sz="2" w:space="0"/>
                    <w:left w:val="single" w:color="auto" w:sz="4" w:space="0"/>
                    <w:bottom w:val="single" w:color="auto" w:sz="4" w:space="0"/>
                    <w:right w:val="single" w:color="auto" w:sz="2" w:space="0"/>
                  </w:tcBorders>
                  <w:vAlign w:val="center"/>
                </w:tcPr>
                <w:p w14:paraId="48BBB068">
                  <w:pPr>
                    <w:snapToGrid w:val="0"/>
                    <w:spacing w:line="240" w:lineRule="auto"/>
                    <w:jc w:val="center"/>
                    <w:rPr>
                      <w:rFonts w:hint="eastAsia" w:ascii="宋体" w:hAnsi="宋体" w:cs="宋体"/>
                      <w:color w:val="auto"/>
                      <w:sz w:val="21"/>
                      <w:szCs w:val="21"/>
                    </w:rPr>
                  </w:pPr>
                  <w:r>
                    <w:rPr>
                      <w:rFonts w:hint="eastAsia" w:ascii="宋体" w:hAnsi="宋体" w:cs="宋体"/>
                      <w:color w:val="auto"/>
                      <w:sz w:val="21"/>
                      <w:szCs w:val="21"/>
                    </w:rPr>
                    <w:t>TN</w:t>
                  </w:r>
                </w:p>
              </w:tc>
            </w:tr>
            <w:tr w14:paraId="0BAC8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72" w:type="pct"/>
                  <w:vMerge w:val="continue"/>
                  <w:tcBorders>
                    <w:top w:val="single" w:color="auto" w:sz="4" w:space="0"/>
                    <w:left w:val="single" w:color="auto" w:sz="4" w:space="0"/>
                    <w:bottom w:val="single" w:color="auto" w:sz="4" w:space="0"/>
                    <w:right w:val="single" w:color="auto" w:sz="4" w:space="0"/>
                  </w:tcBorders>
                  <w:vAlign w:val="center"/>
                </w:tcPr>
                <w:p w14:paraId="7021A7FD">
                  <w:pPr>
                    <w:widowControl/>
                    <w:spacing w:line="240" w:lineRule="auto"/>
                    <w:rPr>
                      <w:rFonts w:hint="eastAsia" w:ascii="宋体" w:hAnsi="宋体" w:cs="宋体"/>
                      <w:color w:val="auto"/>
                      <w:sz w:val="21"/>
                      <w:szCs w:val="21"/>
                    </w:rPr>
                  </w:pPr>
                </w:p>
              </w:tc>
              <w:tc>
                <w:tcPr>
                  <w:tcW w:w="621" w:type="pct"/>
                  <w:tcBorders>
                    <w:top w:val="single" w:color="auto" w:sz="4" w:space="0"/>
                    <w:left w:val="single" w:color="auto" w:sz="4" w:space="0"/>
                    <w:bottom w:val="single" w:color="auto" w:sz="4" w:space="0"/>
                    <w:right w:val="single" w:color="auto" w:sz="4" w:space="0"/>
                  </w:tcBorders>
                  <w:vAlign w:val="center"/>
                </w:tcPr>
                <w:p w14:paraId="4E89668B">
                  <w:pPr>
                    <w:snapToGrid w:val="0"/>
                    <w:spacing w:line="240" w:lineRule="auto"/>
                    <w:jc w:val="center"/>
                    <w:rPr>
                      <w:rFonts w:hint="eastAsia" w:ascii="宋体" w:hAnsi="宋体" w:cs="宋体"/>
                      <w:color w:val="auto"/>
                      <w:sz w:val="21"/>
                      <w:szCs w:val="21"/>
                    </w:rPr>
                  </w:pPr>
                  <w:r>
                    <w:rPr>
                      <w:color w:val="auto"/>
                      <w:sz w:val="21"/>
                      <w:szCs w:val="21"/>
                    </w:rPr>
                    <w:t>mg/L</w:t>
                  </w:r>
                </w:p>
              </w:tc>
              <w:tc>
                <w:tcPr>
                  <w:tcW w:w="621" w:type="pct"/>
                  <w:tcBorders>
                    <w:top w:val="single" w:color="auto" w:sz="4" w:space="0"/>
                    <w:left w:val="single" w:color="auto" w:sz="4" w:space="0"/>
                    <w:bottom w:val="single" w:color="auto" w:sz="4" w:space="0"/>
                    <w:right w:val="single" w:color="auto" w:sz="4" w:space="0"/>
                  </w:tcBorders>
                  <w:vAlign w:val="center"/>
                </w:tcPr>
                <w:p w14:paraId="128B1C60">
                  <w:pPr>
                    <w:snapToGrid w:val="0"/>
                    <w:spacing w:line="240" w:lineRule="auto"/>
                    <w:jc w:val="center"/>
                    <w:rPr>
                      <w:rFonts w:hint="eastAsia" w:ascii="宋体" w:hAnsi="宋体" w:cs="宋体"/>
                      <w:color w:val="auto"/>
                      <w:sz w:val="21"/>
                      <w:szCs w:val="21"/>
                    </w:rPr>
                  </w:pPr>
                  <w:r>
                    <w:rPr>
                      <w:color w:val="auto"/>
                      <w:sz w:val="21"/>
                      <w:szCs w:val="21"/>
                    </w:rPr>
                    <w:t>mg/L</w:t>
                  </w:r>
                </w:p>
              </w:tc>
              <w:tc>
                <w:tcPr>
                  <w:tcW w:w="543" w:type="pct"/>
                  <w:tcBorders>
                    <w:top w:val="single" w:color="auto" w:sz="4" w:space="0"/>
                    <w:left w:val="single" w:color="auto" w:sz="4" w:space="0"/>
                    <w:bottom w:val="single" w:color="auto" w:sz="4" w:space="0"/>
                    <w:right w:val="single" w:color="auto" w:sz="4" w:space="0"/>
                  </w:tcBorders>
                  <w:vAlign w:val="center"/>
                </w:tcPr>
                <w:p w14:paraId="5676D8FC">
                  <w:pPr>
                    <w:snapToGrid w:val="0"/>
                    <w:spacing w:line="240" w:lineRule="auto"/>
                    <w:jc w:val="center"/>
                    <w:rPr>
                      <w:rFonts w:hint="eastAsia" w:ascii="宋体" w:hAnsi="宋体" w:cs="宋体"/>
                      <w:color w:val="auto"/>
                      <w:sz w:val="21"/>
                      <w:szCs w:val="21"/>
                    </w:rPr>
                  </w:pPr>
                  <w:r>
                    <w:rPr>
                      <w:color w:val="auto"/>
                      <w:sz w:val="21"/>
                      <w:szCs w:val="21"/>
                    </w:rPr>
                    <w:t>mg/L</w:t>
                  </w:r>
                </w:p>
              </w:tc>
              <w:tc>
                <w:tcPr>
                  <w:tcW w:w="599" w:type="pct"/>
                  <w:tcBorders>
                    <w:top w:val="single" w:color="auto" w:sz="4" w:space="0"/>
                    <w:left w:val="single" w:color="auto" w:sz="4" w:space="0"/>
                    <w:bottom w:val="single" w:color="auto" w:sz="4" w:space="0"/>
                    <w:right w:val="single" w:color="auto" w:sz="4" w:space="0"/>
                  </w:tcBorders>
                  <w:vAlign w:val="center"/>
                </w:tcPr>
                <w:p w14:paraId="4F5AFD1D">
                  <w:pPr>
                    <w:snapToGrid w:val="0"/>
                    <w:spacing w:line="240" w:lineRule="auto"/>
                    <w:jc w:val="center"/>
                    <w:rPr>
                      <w:rFonts w:hint="eastAsia" w:ascii="宋体" w:hAnsi="宋体" w:cs="宋体"/>
                      <w:color w:val="auto"/>
                      <w:sz w:val="21"/>
                      <w:szCs w:val="21"/>
                    </w:rPr>
                  </w:pPr>
                  <w:r>
                    <w:rPr>
                      <w:color w:val="auto"/>
                      <w:sz w:val="21"/>
                      <w:szCs w:val="21"/>
                    </w:rPr>
                    <w:t>mg/L</w:t>
                  </w:r>
                </w:p>
              </w:tc>
              <w:tc>
                <w:tcPr>
                  <w:tcW w:w="715" w:type="pct"/>
                  <w:tcBorders>
                    <w:top w:val="single" w:color="auto" w:sz="4" w:space="0"/>
                    <w:left w:val="single" w:color="auto" w:sz="4" w:space="0"/>
                    <w:bottom w:val="single" w:color="auto" w:sz="4" w:space="0"/>
                    <w:right w:val="single" w:color="auto" w:sz="4" w:space="0"/>
                  </w:tcBorders>
                  <w:vAlign w:val="center"/>
                </w:tcPr>
                <w:p w14:paraId="20382310">
                  <w:pPr>
                    <w:snapToGrid w:val="0"/>
                    <w:spacing w:line="240" w:lineRule="auto"/>
                    <w:jc w:val="center"/>
                    <w:rPr>
                      <w:rFonts w:hint="eastAsia" w:ascii="宋体" w:hAnsi="宋体" w:cs="宋体"/>
                      <w:color w:val="auto"/>
                      <w:sz w:val="21"/>
                      <w:szCs w:val="21"/>
                    </w:rPr>
                  </w:pPr>
                  <w:r>
                    <w:rPr>
                      <w:color w:val="auto"/>
                      <w:sz w:val="21"/>
                      <w:szCs w:val="21"/>
                    </w:rPr>
                    <w:t>mg/L</w:t>
                  </w:r>
                </w:p>
              </w:tc>
              <w:tc>
                <w:tcPr>
                  <w:tcW w:w="613" w:type="pct"/>
                  <w:tcBorders>
                    <w:top w:val="single" w:color="auto" w:sz="4" w:space="0"/>
                    <w:left w:val="single" w:color="auto" w:sz="4" w:space="0"/>
                    <w:bottom w:val="single" w:color="auto" w:sz="4" w:space="0"/>
                    <w:right w:val="single" w:color="auto" w:sz="2" w:space="0"/>
                  </w:tcBorders>
                  <w:vAlign w:val="center"/>
                </w:tcPr>
                <w:p w14:paraId="1D3B5096">
                  <w:pPr>
                    <w:snapToGrid w:val="0"/>
                    <w:spacing w:line="240" w:lineRule="auto"/>
                    <w:jc w:val="center"/>
                    <w:rPr>
                      <w:color w:val="auto"/>
                      <w:sz w:val="21"/>
                      <w:szCs w:val="21"/>
                    </w:rPr>
                  </w:pPr>
                  <w:r>
                    <w:rPr>
                      <w:color w:val="auto"/>
                      <w:sz w:val="21"/>
                      <w:szCs w:val="21"/>
                    </w:rPr>
                    <w:t>mg/L</w:t>
                  </w:r>
                </w:p>
              </w:tc>
              <w:tc>
                <w:tcPr>
                  <w:tcW w:w="613" w:type="pct"/>
                  <w:tcBorders>
                    <w:top w:val="single" w:color="auto" w:sz="4" w:space="0"/>
                    <w:left w:val="single" w:color="auto" w:sz="4" w:space="0"/>
                    <w:bottom w:val="single" w:color="auto" w:sz="4" w:space="0"/>
                    <w:right w:val="single" w:color="auto" w:sz="2" w:space="0"/>
                  </w:tcBorders>
                  <w:vAlign w:val="center"/>
                </w:tcPr>
                <w:p w14:paraId="66029CA0">
                  <w:pPr>
                    <w:snapToGrid w:val="0"/>
                    <w:spacing w:line="240" w:lineRule="auto"/>
                    <w:jc w:val="center"/>
                    <w:rPr>
                      <w:rFonts w:hint="eastAsia" w:ascii="宋体" w:hAnsi="宋体" w:cs="宋体"/>
                      <w:color w:val="auto"/>
                      <w:sz w:val="21"/>
                      <w:szCs w:val="21"/>
                    </w:rPr>
                  </w:pPr>
                  <w:r>
                    <w:rPr>
                      <w:color w:val="auto"/>
                      <w:sz w:val="21"/>
                      <w:szCs w:val="21"/>
                    </w:rPr>
                    <w:t>mg/L</w:t>
                  </w:r>
                </w:p>
              </w:tc>
            </w:tr>
            <w:tr w14:paraId="7C2DEF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672" w:type="pct"/>
                  <w:tcBorders>
                    <w:top w:val="single" w:color="auto" w:sz="4" w:space="0"/>
                    <w:left w:val="single" w:color="auto" w:sz="4" w:space="0"/>
                    <w:bottom w:val="single" w:color="auto" w:sz="2" w:space="0"/>
                    <w:right w:val="single" w:color="auto" w:sz="4" w:space="0"/>
                  </w:tcBorders>
                  <w:vAlign w:val="center"/>
                </w:tcPr>
                <w:p w14:paraId="4097504F">
                  <w:pPr>
                    <w:snapToGrid w:val="0"/>
                    <w:spacing w:line="240" w:lineRule="auto"/>
                    <w:jc w:val="center"/>
                    <w:rPr>
                      <w:rFonts w:hint="eastAsia" w:ascii="宋体" w:hAnsi="宋体" w:cs="宋体"/>
                      <w:color w:val="auto"/>
                      <w:sz w:val="21"/>
                      <w:szCs w:val="21"/>
                    </w:rPr>
                  </w:pPr>
                  <w:r>
                    <w:rPr>
                      <w:rFonts w:hint="eastAsia" w:ascii="宋体" w:hAnsi="宋体" w:cs="宋体"/>
                      <w:color w:val="auto"/>
                      <w:sz w:val="21"/>
                      <w:szCs w:val="21"/>
                    </w:rPr>
                    <w:t>最严标准</w:t>
                  </w:r>
                </w:p>
              </w:tc>
              <w:tc>
                <w:tcPr>
                  <w:tcW w:w="621" w:type="pct"/>
                  <w:tcBorders>
                    <w:top w:val="single" w:color="auto" w:sz="4" w:space="0"/>
                    <w:left w:val="single" w:color="auto" w:sz="4" w:space="0"/>
                    <w:bottom w:val="single" w:color="auto" w:sz="2" w:space="0"/>
                    <w:right w:val="single" w:color="auto" w:sz="4" w:space="0"/>
                  </w:tcBorders>
                  <w:vAlign w:val="center"/>
                </w:tcPr>
                <w:p w14:paraId="014F4A8E">
                  <w:pPr>
                    <w:snapToGrid w:val="0"/>
                    <w:spacing w:line="240" w:lineRule="auto"/>
                    <w:jc w:val="center"/>
                    <w:rPr>
                      <w:rFonts w:hint="eastAsia" w:ascii="宋体" w:hAnsi="宋体" w:cs="宋体"/>
                      <w:color w:val="auto"/>
                      <w:sz w:val="21"/>
                      <w:szCs w:val="21"/>
                    </w:rPr>
                  </w:pPr>
                  <w:r>
                    <w:rPr>
                      <w:color w:val="auto"/>
                      <w:sz w:val="21"/>
                      <w:szCs w:val="21"/>
                    </w:rPr>
                    <w:t>500</w:t>
                  </w:r>
                </w:p>
              </w:tc>
              <w:tc>
                <w:tcPr>
                  <w:tcW w:w="621" w:type="pct"/>
                  <w:tcBorders>
                    <w:top w:val="single" w:color="auto" w:sz="4" w:space="0"/>
                    <w:left w:val="single" w:color="auto" w:sz="4" w:space="0"/>
                    <w:bottom w:val="single" w:color="auto" w:sz="2" w:space="0"/>
                    <w:right w:val="single" w:color="auto" w:sz="4" w:space="0"/>
                  </w:tcBorders>
                  <w:vAlign w:val="center"/>
                </w:tcPr>
                <w:p w14:paraId="227D942B">
                  <w:pPr>
                    <w:snapToGrid w:val="0"/>
                    <w:spacing w:line="240" w:lineRule="auto"/>
                    <w:jc w:val="center"/>
                    <w:rPr>
                      <w:rFonts w:hint="eastAsia" w:ascii="宋体" w:hAnsi="宋体" w:cs="宋体"/>
                      <w:color w:val="auto"/>
                      <w:sz w:val="21"/>
                      <w:szCs w:val="21"/>
                    </w:rPr>
                  </w:pPr>
                  <w:r>
                    <w:rPr>
                      <w:rFonts w:hint="eastAsia"/>
                      <w:color w:val="auto"/>
                      <w:sz w:val="21"/>
                      <w:szCs w:val="21"/>
                    </w:rPr>
                    <w:t>2</w:t>
                  </w:r>
                  <w:r>
                    <w:rPr>
                      <w:color w:val="auto"/>
                      <w:sz w:val="21"/>
                      <w:szCs w:val="21"/>
                    </w:rPr>
                    <w:t>00</w:t>
                  </w:r>
                </w:p>
              </w:tc>
              <w:tc>
                <w:tcPr>
                  <w:tcW w:w="543" w:type="pct"/>
                  <w:tcBorders>
                    <w:top w:val="single" w:color="auto" w:sz="4" w:space="0"/>
                    <w:left w:val="single" w:color="auto" w:sz="4" w:space="0"/>
                    <w:bottom w:val="single" w:color="auto" w:sz="2" w:space="0"/>
                    <w:right w:val="single" w:color="auto" w:sz="4" w:space="0"/>
                  </w:tcBorders>
                  <w:vAlign w:val="center"/>
                </w:tcPr>
                <w:p w14:paraId="192E8F08">
                  <w:pPr>
                    <w:snapToGrid w:val="0"/>
                    <w:spacing w:line="240" w:lineRule="auto"/>
                    <w:jc w:val="center"/>
                    <w:rPr>
                      <w:rFonts w:hint="eastAsia" w:ascii="宋体" w:hAnsi="宋体" w:cs="宋体"/>
                      <w:color w:val="auto"/>
                      <w:sz w:val="21"/>
                      <w:szCs w:val="21"/>
                    </w:rPr>
                  </w:pPr>
                  <w:r>
                    <w:rPr>
                      <w:rFonts w:hint="eastAsia"/>
                      <w:color w:val="auto"/>
                      <w:sz w:val="21"/>
                      <w:szCs w:val="21"/>
                    </w:rPr>
                    <w:t>3</w:t>
                  </w:r>
                  <w:r>
                    <w:rPr>
                      <w:color w:val="auto"/>
                      <w:sz w:val="21"/>
                      <w:szCs w:val="21"/>
                    </w:rPr>
                    <w:t>00</w:t>
                  </w:r>
                </w:p>
              </w:tc>
              <w:tc>
                <w:tcPr>
                  <w:tcW w:w="599" w:type="pct"/>
                  <w:tcBorders>
                    <w:top w:val="single" w:color="auto" w:sz="4" w:space="0"/>
                    <w:left w:val="single" w:color="auto" w:sz="4" w:space="0"/>
                    <w:bottom w:val="single" w:color="auto" w:sz="2" w:space="0"/>
                    <w:right w:val="single" w:color="auto" w:sz="4" w:space="0"/>
                  </w:tcBorders>
                  <w:vAlign w:val="center"/>
                </w:tcPr>
                <w:p w14:paraId="0C3E2161">
                  <w:pPr>
                    <w:snapToGrid w:val="0"/>
                    <w:spacing w:line="240" w:lineRule="auto"/>
                    <w:jc w:val="center"/>
                    <w:rPr>
                      <w:rFonts w:hint="eastAsia" w:ascii="宋体" w:hAnsi="宋体" w:cs="宋体"/>
                      <w:color w:val="auto"/>
                      <w:sz w:val="21"/>
                      <w:szCs w:val="21"/>
                    </w:rPr>
                  </w:pPr>
                  <w:r>
                    <w:rPr>
                      <w:rFonts w:hint="eastAsia"/>
                      <w:color w:val="auto"/>
                      <w:sz w:val="21"/>
                      <w:szCs w:val="21"/>
                    </w:rPr>
                    <w:t>45</w:t>
                  </w:r>
                </w:p>
              </w:tc>
              <w:tc>
                <w:tcPr>
                  <w:tcW w:w="715" w:type="pct"/>
                  <w:tcBorders>
                    <w:top w:val="single" w:color="auto" w:sz="4" w:space="0"/>
                    <w:left w:val="single" w:color="auto" w:sz="4" w:space="0"/>
                    <w:bottom w:val="single" w:color="auto" w:sz="2" w:space="0"/>
                    <w:right w:val="single" w:color="auto" w:sz="4" w:space="0"/>
                  </w:tcBorders>
                  <w:vAlign w:val="center"/>
                </w:tcPr>
                <w:p w14:paraId="3972175C">
                  <w:pPr>
                    <w:snapToGrid w:val="0"/>
                    <w:spacing w:line="240" w:lineRule="auto"/>
                    <w:jc w:val="center"/>
                    <w:rPr>
                      <w:rFonts w:hint="eastAsia" w:ascii="宋体" w:hAnsi="宋体" w:cs="宋体"/>
                      <w:color w:val="auto"/>
                      <w:sz w:val="21"/>
                      <w:szCs w:val="21"/>
                    </w:rPr>
                  </w:pPr>
                  <w:r>
                    <w:rPr>
                      <w:rFonts w:hint="eastAsia"/>
                      <w:color w:val="auto"/>
                      <w:sz w:val="21"/>
                      <w:szCs w:val="21"/>
                    </w:rPr>
                    <w:t>100</w:t>
                  </w:r>
                </w:p>
              </w:tc>
              <w:tc>
                <w:tcPr>
                  <w:tcW w:w="613" w:type="pct"/>
                  <w:tcBorders>
                    <w:top w:val="single" w:color="auto" w:sz="4" w:space="0"/>
                    <w:left w:val="single" w:color="auto" w:sz="4" w:space="0"/>
                    <w:bottom w:val="single" w:color="auto" w:sz="2" w:space="0"/>
                    <w:right w:val="single" w:color="auto" w:sz="2" w:space="0"/>
                  </w:tcBorders>
                  <w:vAlign w:val="center"/>
                </w:tcPr>
                <w:p w14:paraId="19446D9B">
                  <w:pPr>
                    <w:snapToGrid w:val="0"/>
                    <w:spacing w:line="240" w:lineRule="auto"/>
                    <w:jc w:val="center"/>
                    <w:rPr>
                      <w:color w:val="auto"/>
                      <w:sz w:val="21"/>
                      <w:szCs w:val="21"/>
                    </w:rPr>
                  </w:pPr>
                  <w:r>
                    <w:rPr>
                      <w:rFonts w:hint="eastAsia"/>
                      <w:color w:val="auto"/>
                      <w:sz w:val="21"/>
                      <w:szCs w:val="21"/>
                    </w:rPr>
                    <w:t>8</w:t>
                  </w:r>
                </w:p>
              </w:tc>
              <w:tc>
                <w:tcPr>
                  <w:tcW w:w="613" w:type="pct"/>
                  <w:tcBorders>
                    <w:top w:val="single" w:color="auto" w:sz="4" w:space="0"/>
                    <w:left w:val="single" w:color="auto" w:sz="4" w:space="0"/>
                    <w:bottom w:val="single" w:color="auto" w:sz="2" w:space="0"/>
                    <w:right w:val="single" w:color="auto" w:sz="2" w:space="0"/>
                  </w:tcBorders>
                  <w:vAlign w:val="center"/>
                </w:tcPr>
                <w:p w14:paraId="7B92F7A2">
                  <w:pPr>
                    <w:snapToGrid w:val="0"/>
                    <w:spacing w:line="240" w:lineRule="auto"/>
                    <w:jc w:val="center"/>
                    <w:rPr>
                      <w:rFonts w:hint="eastAsia" w:ascii="宋体" w:hAnsi="宋体" w:cs="宋体"/>
                      <w:color w:val="auto"/>
                      <w:sz w:val="21"/>
                      <w:szCs w:val="21"/>
                    </w:rPr>
                  </w:pPr>
                  <w:r>
                    <w:rPr>
                      <w:rFonts w:hint="eastAsia"/>
                      <w:color w:val="auto"/>
                      <w:sz w:val="21"/>
                      <w:szCs w:val="21"/>
                    </w:rPr>
                    <w:t>45</w:t>
                  </w:r>
                </w:p>
              </w:tc>
            </w:tr>
          </w:tbl>
          <w:p w14:paraId="7F8C63F0">
            <w:pPr>
              <w:adjustRightInd w:val="0"/>
              <w:snapToGrid w:val="0"/>
              <w:spacing w:line="348" w:lineRule="auto"/>
              <w:ind w:firstLine="482" w:firstLineChars="200"/>
              <w:rPr>
                <w:b/>
                <w:color w:val="auto"/>
              </w:rPr>
            </w:pPr>
            <w:r>
              <w:rPr>
                <w:rFonts w:hint="eastAsia"/>
                <w:b/>
                <w:color w:val="auto"/>
              </w:rPr>
              <w:t>3、</w:t>
            </w:r>
            <w:r>
              <w:rPr>
                <w:b/>
                <w:color w:val="auto"/>
              </w:rPr>
              <w:t>噪声排放标准</w:t>
            </w:r>
          </w:p>
          <w:p w14:paraId="72DFCB2C">
            <w:pPr>
              <w:ind w:firstLine="480" w:firstLineChars="200"/>
              <w:rPr>
                <w:color w:val="auto"/>
                <w:sz w:val="24"/>
                <w:szCs w:val="24"/>
              </w:rPr>
            </w:pPr>
            <w:r>
              <w:rPr>
                <w:rFonts w:hint="eastAsia"/>
                <w:color w:val="auto"/>
                <w:lang w:eastAsia="zh-CN"/>
              </w:rPr>
              <w:t>施工期</w:t>
            </w:r>
            <w:r>
              <w:rPr>
                <w:color w:val="auto"/>
                <w:sz w:val="24"/>
                <w:szCs w:val="24"/>
              </w:rPr>
              <w:t>噪声执行《建筑施工场界环境噪声排放标准》（GB12523-2011），见表</w:t>
            </w:r>
            <w:r>
              <w:rPr>
                <w:rFonts w:hint="eastAsia"/>
                <w:color w:val="auto"/>
                <w:sz w:val="24"/>
                <w:szCs w:val="24"/>
                <w:lang w:val="en-US" w:eastAsia="zh-CN"/>
              </w:rPr>
              <w:t>3-13</w:t>
            </w:r>
            <w:r>
              <w:rPr>
                <w:color w:val="auto"/>
                <w:sz w:val="24"/>
                <w:szCs w:val="24"/>
              </w:rPr>
              <w:t>。</w:t>
            </w:r>
          </w:p>
          <w:p w14:paraId="087FABA4">
            <w:pPr>
              <w:spacing w:line="24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3-13</w:t>
            </w:r>
            <w:r>
              <w:rPr>
                <w:rFonts w:ascii="Times New Roman" w:hAnsi="Times New Roman" w:eastAsia="宋体" w:cs="Times New Roman"/>
                <w:b/>
                <w:bCs/>
                <w:color w:val="auto"/>
                <w:sz w:val="21"/>
                <w:szCs w:val="21"/>
              </w:rPr>
              <w:t xml:space="preserve">   建筑施工场界噪声限值一览表     [dB（A）] </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0"/>
              <w:gridCol w:w="4075"/>
            </w:tblGrid>
            <w:tr w14:paraId="6FBCD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663" w:type="dxa"/>
                  <w:noWrap w:val="0"/>
                  <w:vAlign w:val="center"/>
                </w:tcPr>
                <w:p w14:paraId="5F605D34">
                  <w:pPr>
                    <w:pStyle w:val="144"/>
                    <w:rPr>
                      <w:rFonts w:eastAsia="宋体"/>
                      <w:color w:val="auto"/>
                      <w:szCs w:val="21"/>
                    </w:rPr>
                  </w:pPr>
                  <w:r>
                    <w:rPr>
                      <w:rFonts w:hAnsi="宋体" w:eastAsia="宋体"/>
                      <w:color w:val="auto"/>
                      <w:szCs w:val="21"/>
                    </w:rPr>
                    <w:t>昼间</w:t>
                  </w:r>
                </w:p>
              </w:tc>
              <w:tc>
                <w:tcPr>
                  <w:tcW w:w="4419" w:type="dxa"/>
                  <w:noWrap w:val="0"/>
                  <w:vAlign w:val="center"/>
                </w:tcPr>
                <w:p w14:paraId="64FB044D">
                  <w:pPr>
                    <w:pStyle w:val="144"/>
                    <w:rPr>
                      <w:rFonts w:eastAsia="宋体"/>
                      <w:color w:val="auto"/>
                      <w:szCs w:val="21"/>
                    </w:rPr>
                  </w:pPr>
                  <w:r>
                    <w:rPr>
                      <w:rFonts w:hAnsi="宋体" w:eastAsia="宋体"/>
                      <w:color w:val="auto"/>
                      <w:szCs w:val="21"/>
                    </w:rPr>
                    <w:t>夜间</w:t>
                  </w:r>
                </w:p>
              </w:tc>
            </w:tr>
            <w:tr w14:paraId="5BF66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663" w:type="dxa"/>
                  <w:noWrap w:val="0"/>
                  <w:vAlign w:val="center"/>
                </w:tcPr>
                <w:p w14:paraId="05A1430A">
                  <w:pPr>
                    <w:pStyle w:val="144"/>
                    <w:rPr>
                      <w:rFonts w:eastAsia="宋体"/>
                      <w:color w:val="auto"/>
                      <w:szCs w:val="21"/>
                    </w:rPr>
                  </w:pPr>
                </w:p>
              </w:tc>
              <w:tc>
                <w:tcPr>
                  <w:tcW w:w="4419" w:type="dxa"/>
                  <w:noWrap w:val="0"/>
                  <w:vAlign w:val="center"/>
                </w:tcPr>
                <w:p w14:paraId="439F6084">
                  <w:pPr>
                    <w:pStyle w:val="144"/>
                    <w:rPr>
                      <w:rFonts w:eastAsia="宋体"/>
                      <w:color w:val="auto"/>
                      <w:szCs w:val="21"/>
                    </w:rPr>
                  </w:pPr>
                </w:p>
              </w:tc>
            </w:tr>
          </w:tbl>
          <w:p w14:paraId="2AC30BF3">
            <w:pPr>
              <w:keepNext w:val="0"/>
              <w:keepLines w:val="0"/>
              <w:pageBreakBefore w:val="0"/>
              <w:widowControl w:val="0"/>
              <w:kinsoku/>
              <w:wordWrap/>
              <w:overflowPunct/>
              <w:topLinePunct w:val="0"/>
              <w:autoSpaceDE/>
              <w:autoSpaceDN/>
              <w:bidi w:val="0"/>
              <w:adjustRightInd/>
              <w:snapToGrid/>
              <w:spacing w:before="164" w:beforeLines="50" w:line="348" w:lineRule="auto"/>
              <w:ind w:firstLine="480" w:firstLineChars="200"/>
              <w:textAlignment w:val="auto"/>
              <w:rPr>
                <w:color w:val="auto"/>
              </w:rPr>
            </w:pPr>
            <w:r>
              <w:rPr>
                <w:rFonts w:hint="eastAsia"/>
                <w:color w:val="auto"/>
                <w:lang w:eastAsia="zh-CN"/>
              </w:rPr>
              <w:t>运营期</w:t>
            </w:r>
            <w:r>
              <w:rPr>
                <w:color w:val="auto"/>
              </w:rPr>
              <w:t>项目</w:t>
            </w:r>
            <w:r>
              <w:rPr>
                <w:rFonts w:hint="eastAsia"/>
                <w:color w:val="auto"/>
              </w:rPr>
              <w:t>厂界</w:t>
            </w:r>
            <w:r>
              <w:rPr>
                <w:color w:val="auto"/>
              </w:rPr>
              <w:t>噪声执行《工业企业厂界环境噪声排放标准》（GB12348-2008）中的3类标准</w:t>
            </w:r>
            <w:r>
              <w:rPr>
                <w:rFonts w:hint="eastAsia"/>
                <w:color w:val="auto"/>
              </w:rPr>
              <w:t>。</w:t>
            </w:r>
            <w:r>
              <w:rPr>
                <w:color w:val="auto"/>
              </w:rPr>
              <w:t>具体标准值见表3-1</w:t>
            </w:r>
            <w:r>
              <w:rPr>
                <w:rFonts w:hint="eastAsia"/>
                <w:color w:val="auto"/>
                <w:lang w:val="en-US" w:eastAsia="zh-CN"/>
              </w:rPr>
              <w:t>4</w:t>
            </w:r>
            <w:r>
              <w:rPr>
                <w:color w:val="auto"/>
              </w:rPr>
              <w:t>。</w:t>
            </w:r>
          </w:p>
          <w:p w14:paraId="719E1273">
            <w:pPr>
              <w:spacing w:line="240" w:lineRule="auto"/>
              <w:jc w:val="center"/>
              <w:rPr>
                <w:b/>
                <w:bCs/>
                <w:color w:val="auto"/>
                <w:sz w:val="21"/>
                <w:szCs w:val="21"/>
              </w:rPr>
            </w:pPr>
            <w:r>
              <w:rPr>
                <w:b/>
                <w:bCs/>
                <w:color w:val="auto"/>
                <w:sz w:val="21"/>
                <w:szCs w:val="21"/>
              </w:rPr>
              <w:t>表3-1</w:t>
            </w:r>
            <w:r>
              <w:rPr>
                <w:rFonts w:hint="eastAsia"/>
                <w:b/>
                <w:bCs/>
                <w:color w:val="auto"/>
                <w:sz w:val="21"/>
                <w:szCs w:val="21"/>
                <w:lang w:val="en-US" w:eastAsia="zh-CN"/>
              </w:rPr>
              <w:t>4</w:t>
            </w:r>
            <w:r>
              <w:rPr>
                <w:b/>
                <w:bCs/>
                <w:color w:val="auto"/>
                <w:sz w:val="21"/>
                <w:szCs w:val="21"/>
              </w:rPr>
              <w:t xml:space="preserve">  工业企业厂界环境噪声排放标准（GB12348-2008）（摘录）</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2"/>
              <w:gridCol w:w="2733"/>
              <w:gridCol w:w="2808"/>
            </w:tblGrid>
            <w:tr w14:paraId="5661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2602" w:type="dxa"/>
                  <w:vAlign w:val="center"/>
                </w:tcPr>
                <w:p w14:paraId="3D5ACC21">
                  <w:pPr>
                    <w:spacing w:line="240" w:lineRule="auto"/>
                    <w:jc w:val="center"/>
                    <w:rPr>
                      <w:b/>
                      <w:color w:val="auto"/>
                      <w:sz w:val="21"/>
                      <w:szCs w:val="21"/>
                    </w:rPr>
                  </w:pPr>
                  <w:r>
                    <w:rPr>
                      <w:b/>
                      <w:color w:val="auto"/>
                      <w:sz w:val="21"/>
                      <w:szCs w:val="21"/>
                    </w:rPr>
                    <w:t>级别</w:t>
                  </w:r>
                </w:p>
              </w:tc>
              <w:tc>
                <w:tcPr>
                  <w:tcW w:w="2733" w:type="dxa"/>
                  <w:vAlign w:val="center"/>
                </w:tcPr>
                <w:p w14:paraId="2F0E0A99">
                  <w:pPr>
                    <w:spacing w:line="240" w:lineRule="auto"/>
                    <w:jc w:val="center"/>
                    <w:rPr>
                      <w:b/>
                      <w:color w:val="auto"/>
                      <w:sz w:val="21"/>
                      <w:szCs w:val="21"/>
                    </w:rPr>
                  </w:pPr>
                  <w:r>
                    <w:rPr>
                      <w:b/>
                      <w:color w:val="auto"/>
                      <w:sz w:val="21"/>
                      <w:szCs w:val="21"/>
                    </w:rPr>
                    <w:t>昼间</w:t>
                  </w:r>
                </w:p>
              </w:tc>
              <w:tc>
                <w:tcPr>
                  <w:tcW w:w="2808" w:type="dxa"/>
                  <w:vAlign w:val="center"/>
                </w:tcPr>
                <w:p w14:paraId="5829A71F">
                  <w:pPr>
                    <w:spacing w:line="240" w:lineRule="auto"/>
                    <w:jc w:val="center"/>
                    <w:rPr>
                      <w:b/>
                      <w:color w:val="auto"/>
                      <w:sz w:val="21"/>
                      <w:szCs w:val="21"/>
                    </w:rPr>
                  </w:pPr>
                  <w:r>
                    <w:rPr>
                      <w:b/>
                      <w:color w:val="auto"/>
                      <w:sz w:val="21"/>
                      <w:szCs w:val="21"/>
                    </w:rPr>
                    <w:t>夜间</w:t>
                  </w:r>
                </w:p>
              </w:tc>
            </w:tr>
            <w:tr w14:paraId="6E7B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2602" w:type="dxa"/>
                  <w:vAlign w:val="center"/>
                </w:tcPr>
                <w:p w14:paraId="393A3614">
                  <w:pPr>
                    <w:spacing w:line="240" w:lineRule="auto"/>
                    <w:jc w:val="center"/>
                    <w:rPr>
                      <w:color w:val="auto"/>
                      <w:sz w:val="21"/>
                      <w:szCs w:val="21"/>
                    </w:rPr>
                  </w:pPr>
                  <w:r>
                    <w:rPr>
                      <w:color w:val="auto"/>
                      <w:sz w:val="21"/>
                      <w:szCs w:val="21"/>
                    </w:rPr>
                    <w:t>3类</w:t>
                  </w:r>
                </w:p>
              </w:tc>
              <w:tc>
                <w:tcPr>
                  <w:tcW w:w="2733" w:type="dxa"/>
                  <w:vAlign w:val="center"/>
                </w:tcPr>
                <w:p w14:paraId="6C9884CA">
                  <w:pPr>
                    <w:spacing w:line="240" w:lineRule="auto"/>
                    <w:jc w:val="center"/>
                    <w:rPr>
                      <w:color w:val="auto"/>
                      <w:sz w:val="21"/>
                      <w:szCs w:val="21"/>
                    </w:rPr>
                  </w:pPr>
                  <w:r>
                    <w:rPr>
                      <w:color w:val="auto"/>
                      <w:sz w:val="21"/>
                      <w:szCs w:val="21"/>
                    </w:rPr>
                    <w:t>65dB（A）</w:t>
                  </w:r>
                </w:p>
              </w:tc>
              <w:tc>
                <w:tcPr>
                  <w:tcW w:w="2808" w:type="dxa"/>
                  <w:vAlign w:val="center"/>
                </w:tcPr>
                <w:p w14:paraId="0F22B432">
                  <w:pPr>
                    <w:spacing w:line="240" w:lineRule="auto"/>
                    <w:jc w:val="center"/>
                    <w:rPr>
                      <w:color w:val="auto"/>
                      <w:sz w:val="21"/>
                      <w:szCs w:val="21"/>
                    </w:rPr>
                  </w:pPr>
                  <w:r>
                    <w:rPr>
                      <w:color w:val="auto"/>
                      <w:sz w:val="21"/>
                      <w:szCs w:val="21"/>
                    </w:rPr>
                    <w:t>55dB（A）</w:t>
                  </w:r>
                </w:p>
              </w:tc>
            </w:tr>
          </w:tbl>
          <w:p w14:paraId="7B7F187D">
            <w:pPr>
              <w:adjustRightInd w:val="0"/>
              <w:snapToGrid w:val="0"/>
              <w:spacing w:line="348" w:lineRule="auto"/>
              <w:ind w:firstLine="482" w:firstLineChars="200"/>
              <w:rPr>
                <w:b/>
                <w:color w:val="auto"/>
              </w:rPr>
            </w:pPr>
            <w:r>
              <w:rPr>
                <w:rFonts w:hint="eastAsia"/>
                <w:b/>
                <w:color w:val="auto"/>
              </w:rPr>
              <w:t>4、</w:t>
            </w:r>
            <w:r>
              <w:rPr>
                <w:b/>
                <w:color w:val="auto"/>
              </w:rPr>
              <w:t>固体废物</w:t>
            </w:r>
          </w:p>
          <w:p w14:paraId="728DDDB0">
            <w:pPr>
              <w:adjustRightInd w:val="0"/>
              <w:snapToGrid w:val="0"/>
              <w:spacing w:line="348" w:lineRule="auto"/>
              <w:ind w:firstLine="480" w:firstLineChars="200"/>
              <w:rPr>
                <w:color w:val="auto"/>
                <w:kern w:val="0"/>
                <w:szCs w:val="21"/>
              </w:rPr>
            </w:pPr>
            <w:r>
              <w:rPr>
                <w:color w:val="auto"/>
              </w:rPr>
              <w:t>一般固体废物</w:t>
            </w:r>
            <w:r>
              <w:rPr>
                <w:rFonts w:hint="eastAsia"/>
                <w:color w:val="auto"/>
              </w:rPr>
              <w:t>厂内暂存</w:t>
            </w:r>
            <w:r>
              <w:rPr>
                <w:color w:val="auto"/>
              </w:rPr>
              <w:t>执行《中华人民共和国固体废物污染环境防治法》</w:t>
            </w:r>
            <w:r>
              <w:rPr>
                <w:rFonts w:hint="eastAsia"/>
                <w:color w:val="auto"/>
              </w:rPr>
              <w:t>、</w:t>
            </w:r>
            <w:r>
              <w:rPr>
                <w:color w:val="auto"/>
              </w:rPr>
              <w:t>《一般工业固体废物贮存和填埋污染控制标准》（GB18599-2020）</w:t>
            </w:r>
            <w:r>
              <w:rPr>
                <w:rFonts w:hint="eastAsia"/>
                <w:color w:val="auto"/>
              </w:rPr>
              <w:t>标准要求；危险废物执行</w:t>
            </w:r>
            <w:r>
              <w:rPr>
                <w:color w:val="auto"/>
              </w:rPr>
              <w:t>《危险废物贮存污染控制标准》(GB18597-20</w:t>
            </w:r>
            <w:r>
              <w:rPr>
                <w:rFonts w:hint="eastAsia"/>
                <w:color w:val="auto"/>
              </w:rPr>
              <w:t>23</w:t>
            </w:r>
            <w:r>
              <w:rPr>
                <w:color w:val="auto"/>
              </w:rPr>
              <w:t>)</w:t>
            </w:r>
            <w:r>
              <w:rPr>
                <w:rFonts w:hint="eastAsia"/>
                <w:color w:val="auto"/>
              </w:rPr>
              <w:t>标准要求</w:t>
            </w:r>
            <w:r>
              <w:rPr>
                <w:color w:val="auto"/>
              </w:rPr>
              <w:t>。</w:t>
            </w:r>
          </w:p>
        </w:tc>
      </w:tr>
      <w:tr w14:paraId="706F3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4" w:hRule="atLeast"/>
          <w:jc w:val="center"/>
        </w:trPr>
        <w:tc>
          <w:tcPr>
            <w:tcW w:w="456" w:type="dxa"/>
            <w:tcMar>
              <w:left w:w="28" w:type="dxa"/>
              <w:right w:w="28" w:type="dxa"/>
            </w:tcMar>
            <w:vAlign w:val="center"/>
          </w:tcPr>
          <w:p w14:paraId="23FAA879">
            <w:pPr>
              <w:spacing w:line="240" w:lineRule="auto"/>
              <w:jc w:val="center"/>
              <w:rPr>
                <w:b/>
                <w:color w:val="auto"/>
                <w:szCs w:val="21"/>
              </w:rPr>
            </w:pPr>
            <w:r>
              <w:rPr>
                <w:b/>
                <w:color w:val="auto"/>
              </w:rPr>
              <w:t>总量控制指标</w:t>
            </w:r>
          </w:p>
        </w:tc>
        <w:tc>
          <w:tcPr>
            <w:tcW w:w="8591" w:type="dxa"/>
            <w:vAlign w:val="center"/>
          </w:tcPr>
          <w:p w14:paraId="6DF038C8">
            <w:pPr>
              <w:spacing w:line="324" w:lineRule="auto"/>
              <w:ind w:firstLine="480" w:firstLineChars="200"/>
              <w:jc w:val="center"/>
              <w:rPr>
                <w:color w:val="auto"/>
              </w:rPr>
            </w:pPr>
          </w:p>
          <w:p w14:paraId="49A09B05">
            <w:pPr>
              <w:spacing w:line="324" w:lineRule="auto"/>
              <w:ind w:firstLine="480" w:firstLineChars="200"/>
              <w:jc w:val="center"/>
              <w:rPr>
                <w:color w:val="auto"/>
              </w:rPr>
            </w:pPr>
          </w:p>
          <w:p w14:paraId="24C2936A">
            <w:pPr>
              <w:spacing w:line="324" w:lineRule="auto"/>
              <w:ind w:firstLine="480" w:firstLineChars="200"/>
              <w:jc w:val="center"/>
              <w:rPr>
                <w:color w:val="auto"/>
              </w:rPr>
            </w:pPr>
          </w:p>
          <w:p w14:paraId="45A16E8D">
            <w:pPr>
              <w:spacing w:line="324" w:lineRule="auto"/>
              <w:ind w:firstLine="480" w:firstLineChars="200"/>
              <w:jc w:val="center"/>
              <w:rPr>
                <w:color w:val="auto"/>
              </w:rPr>
            </w:pPr>
          </w:p>
          <w:p w14:paraId="0493523C">
            <w:pPr>
              <w:spacing w:line="324" w:lineRule="auto"/>
              <w:ind w:firstLine="480" w:firstLineChars="200"/>
              <w:jc w:val="center"/>
              <w:rPr>
                <w:color w:val="auto"/>
              </w:rPr>
            </w:pPr>
          </w:p>
          <w:p w14:paraId="4ED9F648">
            <w:pPr>
              <w:spacing w:line="324" w:lineRule="auto"/>
              <w:ind w:firstLine="480" w:firstLineChars="200"/>
              <w:jc w:val="center"/>
              <w:rPr>
                <w:color w:val="auto"/>
              </w:rPr>
            </w:pPr>
          </w:p>
          <w:p w14:paraId="3564C8E4">
            <w:pPr>
              <w:spacing w:line="324" w:lineRule="auto"/>
              <w:ind w:firstLine="480" w:firstLineChars="200"/>
              <w:jc w:val="center"/>
              <w:rPr>
                <w:color w:val="auto"/>
              </w:rPr>
            </w:pPr>
          </w:p>
          <w:p w14:paraId="37B54144">
            <w:pPr>
              <w:spacing w:line="324" w:lineRule="auto"/>
              <w:ind w:firstLine="480" w:firstLineChars="200"/>
              <w:jc w:val="center"/>
              <w:rPr>
                <w:color w:val="auto"/>
              </w:rPr>
            </w:pPr>
          </w:p>
          <w:p w14:paraId="3D328F9F">
            <w:pPr>
              <w:spacing w:line="324" w:lineRule="auto"/>
              <w:ind w:firstLine="480" w:firstLineChars="200"/>
              <w:jc w:val="center"/>
              <w:rPr>
                <w:color w:val="auto"/>
              </w:rPr>
            </w:pPr>
          </w:p>
          <w:p w14:paraId="6C9D89EA">
            <w:pPr>
              <w:spacing w:line="324" w:lineRule="auto"/>
              <w:ind w:firstLine="480" w:firstLineChars="200"/>
              <w:jc w:val="center"/>
              <w:rPr>
                <w:color w:val="auto"/>
              </w:rPr>
            </w:pPr>
          </w:p>
          <w:p w14:paraId="16DFD18F">
            <w:pPr>
              <w:spacing w:line="324" w:lineRule="auto"/>
              <w:ind w:firstLine="480" w:firstLineChars="200"/>
              <w:jc w:val="center"/>
              <w:rPr>
                <w:color w:val="auto"/>
              </w:rPr>
            </w:pPr>
          </w:p>
          <w:p w14:paraId="2621BC8B">
            <w:pPr>
              <w:spacing w:line="324" w:lineRule="auto"/>
              <w:ind w:firstLine="480" w:firstLineChars="200"/>
              <w:jc w:val="center"/>
              <w:rPr>
                <w:color w:val="auto"/>
              </w:rPr>
            </w:pPr>
          </w:p>
          <w:p w14:paraId="741218D1">
            <w:pPr>
              <w:spacing w:line="324" w:lineRule="auto"/>
              <w:ind w:firstLine="480" w:firstLineChars="200"/>
              <w:jc w:val="center"/>
              <w:rPr>
                <w:color w:val="auto"/>
              </w:rPr>
            </w:pPr>
            <w:r>
              <w:rPr>
                <w:rFonts w:hint="eastAsia"/>
                <w:color w:val="auto"/>
              </w:rPr>
              <w:t>无</w:t>
            </w:r>
          </w:p>
          <w:p w14:paraId="667CDFC2">
            <w:pPr>
              <w:spacing w:line="324" w:lineRule="auto"/>
              <w:ind w:firstLine="480" w:firstLineChars="200"/>
              <w:jc w:val="center"/>
              <w:rPr>
                <w:color w:val="auto"/>
              </w:rPr>
            </w:pPr>
          </w:p>
          <w:p w14:paraId="159715AF">
            <w:pPr>
              <w:spacing w:line="324" w:lineRule="auto"/>
              <w:ind w:firstLine="480" w:firstLineChars="200"/>
              <w:jc w:val="center"/>
              <w:rPr>
                <w:color w:val="auto"/>
              </w:rPr>
            </w:pPr>
          </w:p>
          <w:p w14:paraId="64B898B2">
            <w:pPr>
              <w:spacing w:line="324" w:lineRule="auto"/>
              <w:ind w:firstLine="480" w:firstLineChars="200"/>
              <w:jc w:val="center"/>
              <w:rPr>
                <w:color w:val="auto"/>
              </w:rPr>
            </w:pPr>
          </w:p>
          <w:p w14:paraId="286883A2">
            <w:pPr>
              <w:spacing w:line="324" w:lineRule="auto"/>
              <w:ind w:firstLine="480" w:firstLineChars="200"/>
              <w:jc w:val="center"/>
              <w:rPr>
                <w:color w:val="auto"/>
              </w:rPr>
            </w:pPr>
          </w:p>
          <w:p w14:paraId="0B09EAA1">
            <w:pPr>
              <w:spacing w:line="324" w:lineRule="auto"/>
              <w:ind w:firstLine="480" w:firstLineChars="200"/>
              <w:jc w:val="center"/>
              <w:rPr>
                <w:color w:val="auto"/>
              </w:rPr>
            </w:pPr>
          </w:p>
          <w:p w14:paraId="44AA41D6">
            <w:pPr>
              <w:spacing w:line="324" w:lineRule="auto"/>
              <w:ind w:firstLine="480" w:firstLineChars="200"/>
              <w:jc w:val="center"/>
              <w:rPr>
                <w:color w:val="auto"/>
              </w:rPr>
            </w:pPr>
          </w:p>
          <w:p w14:paraId="131B4E75">
            <w:pPr>
              <w:spacing w:line="324" w:lineRule="auto"/>
              <w:ind w:firstLine="480" w:firstLineChars="200"/>
              <w:jc w:val="center"/>
              <w:rPr>
                <w:color w:val="auto"/>
              </w:rPr>
            </w:pPr>
          </w:p>
          <w:p w14:paraId="50B8B2D8">
            <w:pPr>
              <w:spacing w:line="324" w:lineRule="auto"/>
              <w:ind w:firstLine="480" w:firstLineChars="200"/>
              <w:jc w:val="center"/>
              <w:rPr>
                <w:color w:val="auto"/>
              </w:rPr>
            </w:pPr>
          </w:p>
          <w:p w14:paraId="0464E9DB">
            <w:pPr>
              <w:spacing w:line="324" w:lineRule="auto"/>
              <w:ind w:firstLine="480" w:firstLineChars="200"/>
              <w:jc w:val="center"/>
              <w:rPr>
                <w:color w:val="auto"/>
              </w:rPr>
            </w:pPr>
          </w:p>
          <w:p w14:paraId="0B4F7036">
            <w:pPr>
              <w:spacing w:line="324" w:lineRule="auto"/>
              <w:ind w:firstLine="480" w:firstLineChars="200"/>
              <w:jc w:val="center"/>
              <w:rPr>
                <w:color w:val="auto"/>
              </w:rPr>
            </w:pPr>
          </w:p>
          <w:p w14:paraId="084C886A">
            <w:pPr>
              <w:spacing w:line="324" w:lineRule="auto"/>
              <w:ind w:firstLine="480" w:firstLineChars="200"/>
              <w:jc w:val="center"/>
              <w:rPr>
                <w:color w:val="auto"/>
              </w:rPr>
            </w:pPr>
          </w:p>
          <w:p w14:paraId="146D2E73">
            <w:pPr>
              <w:spacing w:line="324" w:lineRule="auto"/>
              <w:ind w:firstLine="480" w:firstLineChars="200"/>
              <w:jc w:val="center"/>
              <w:rPr>
                <w:color w:val="auto"/>
              </w:rPr>
            </w:pPr>
          </w:p>
        </w:tc>
      </w:tr>
    </w:tbl>
    <w:p w14:paraId="0BB79BD5">
      <w:pPr>
        <w:rPr>
          <w:color w:val="auto"/>
        </w:rPr>
      </w:pPr>
      <w:r>
        <w:rPr>
          <w:snapToGrid w:val="0"/>
          <w:color w:val="auto"/>
          <w:sz w:val="36"/>
          <w:szCs w:val="36"/>
        </w:rPr>
        <w:br w:type="page"/>
      </w:r>
    </w:p>
    <w:p w14:paraId="78E1E1DD">
      <w:pPr>
        <w:pStyle w:val="21"/>
        <w:rPr>
          <w:color w:val="auto"/>
        </w:rPr>
      </w:pPr>
      <w:bookmarkStart w:id="79" w:name="_Toc80604821"/>
      <w:r>
        <w:rPr>
          <w:snapToGrid w:val="0"/>
          <w:color w:val="auto"/>
        </w:rPr>
        <w:t>四、主要环境影响和保护措施</w:t>
      </w:r>
      <w:bookmarkEnd w:id="79"/>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685"/>
      </w:tblGrid>
      <w:tr w14:paraId="2EB9D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4" w:hRule="atLeast"/>
          <w:jc w:val="center"/>
        </w:trPr>
        <w:tc>
          <w:tcPr>
            <w:tcW w:w="166" w:type="pct"/>
            <w:tcMar>
              <w:left w:w="28" w:type="dxa"/>
              <w:right w:w="28" w:type="dxa"/>
            </w:tcMar>
            <w:vAlign w:val="center"/>
          </w:tcPr>
          <w:p w14:paraId="0A01BBF3">
            <w:pPr>
              <w:jc w:val="center"/>
              <w:rPr>
                <w:b/>
                <w:color w:val="auto"/>
              </w:rPr>
            </w:pPr>
            <w:r>
              <w:rPr>
                <w:b/>
                <w:color w:val="auto"/>
              </w:rPr>
              <w:t>施</w:t>
            </w:r>
          </w:p>
          <w:p w14:paraId="448CBEF4">
            <w:pPr>
              <w:jc w:val="center"/>
              <w:rPr>
                <w:b/>
                <w:color w:val="auto"/>
              </w:rPr>
            </w:pPr>
            <w:r>
              <w:rPr>
                <w:b/>
                <w:color w:val="auto"/>
              </w:rPr>
              <w:t>工</w:t>
            </w:r>
          </w:p>
          <w:p w14:paraId="6B41C3D7">
            <w:pPr>
              <w:jc w:val="center"/>
              <w:rPr>
                <w:b/>
                <w:color w:val="auto"/>
              </w:rPr>
            </w:pPr>
            <w:r>
              <w:rPr>
                <w:b/>
                <w:color w:val="auto"/>
              </w:rPr>
              <w:t>期</w:t>
            </w:r>
          </w:p>
          <w:p w14:paraId="6C68C5C9">
            <w:pPr>
              <w:jc w:val="center"/>
              <w:rPr>
                <w:b/>
                <w:color w:val="auto"/>
              </w:rPr>
            </w:pPr>
            <w:r>
              <w:rPr>
                <w:b/>
                <w:color w:val="auto"/>
              </w:rPr>
              <w:t>环</w:t>
            </w:r>
          </w:p>
          <w:p w14:paraId="32535C8D">
            <w:pPr>
              <w:jc w:val="center"/>
              <w:rPr>
                <w:b/>
                <w:color w:val="auto"/>
              </w:rPr>
            </w:pPr>
            <w:r>
              <w:rPr>
                <w:b/>
                <w:color w:val="auto"/>
              </w:rPr>
              <w:t>境</w:t>
            </w:r>
          </w:p>
          <w:p w14:paraId="57F774E3">
            <w:pPr>
              <w:jc w:val="center"/>
              <w:rPr>
                <w:b/>
                <w:color w:val="auto"/>
              </w:rPr>
            </w:pPr>
            <w:r>
              <w:rPr>
                <w:b/>
                <w:color w:val="auto"/>
              </w:rPr>
              <w:t>保</w:t>
            </w:r>
          </w:p>
          <w:p w14:paraId="08E77925">
            <w:pPr>
              <w:jc w:val="center"/>
              <w:rPr>
                <w:b/>
                <w:color w:val="auto"/>
              </w:rPr>
            </w:pPr>
            <w:r>
              <w:rPr>
                <w:b/>
                <w:color w:val="auto"/>
              </w:rPr>
              <w:t>护</w:t>
            </w:r>
          </w:p>
          <w:p w14:paraId="2E75F2C2">
            <w:pPr>
              <w:jc w:val="center"/>
              <w:rPr>
                <w:b/>
                <w:color w:val="auto"/>
              </w:rPr>
            </w:pPr>
            <w:r>
              <w:rPr>
                <w:b/>
                <w:color w:val="auto"/>
              </w:rPr>
              <w:t>措</w:t>
            </w:r>
          </w:p>
          <w:p w14:paraId="24F3DBE9">
            <w:pPr>
              <w:jc w:val="center"/>
              <w:rPr>
                <w:b/>
                <w:bCs/>
                <w:color w:val="auto"/>
                <w:sz w:val="21"/>
                <w:szCs w:val="21"/>
              </w:rPr>
            </w:pPr>
            <w:r>
              <w:rPr>
                <w:b/>
                <w:color w:val="auto"/>
              </w:rPr>
              <w:t>施</w:t>
            </w:r>
          </w:p>
        </w:tc>
        <w:tc>
          <w:tcPr>
            <w:tcW w:w="4834" w:type="pct"/>
            <w:vAlign w:val="center"/>
          </w:tcPr>
          <w:p w14:paraId="5DF177FD">
            <w:pPr>
              <w:adjustRightInd w:val="0"/>
              <w:snapToGrid w:val="0"/>
              <w:ind w:firstLine="480" w:firstLineChars="200"/>
              <w:rPr>
                <w:color w:val="auto"/>
              </w:rPr>
            </w:pPr>
            <w:r>
              <w:rPr>
                <w:rFonts w:hint="eastAsia"/>
                <w:color w:val="auto"/>
              </w:rPr>
              <w:t>本项目租用钦州港片区中马钦州产业园区台湾中小企业园区2＃厂房第一层进行运营生产，不进行厂房建设。施工期主要建设内容是进行设备安装和调试。设备安装期间，施工人员约5人，其产生的污染源主要为施工人员</w:t>
            </w:r>
            <w:bookmarkStart w:id="80" w:name="OLE_LINK46"/>
            <w:r>
              <w:rPr>
                <w:rFonts w:hint="eastAsia"/>
                <w:color w:val="auto"/>
              </w:rPr>
              <w:t>生活污水、生活固废、设备安装噪声、设备安装扬尘、包装固废等</w:t>
            </w:r>
            <w:bookmarkEnd w:id="80"/>
            <w:r>
              <w:rPr>
                <w:rFonts w:hint="eastAsia"/>
                <w:color w:val="auto"/>
              </w:rPr>
              <w:t>。项目施工人员生活污水经化粪池处理后排入园区污水管网，最终进入大榄坪污水处理厂进行处理达标后外排；生活垃圾及设备包装经分类后，部分外卖废旧回收站，部分由环卫部门集中清运处理；项目设备安装主要在厂房内进行，其扬尘经在厂内沉降后，对周边环境影响不大；设备安装噪声源较小，经距离衰减后，对周边环境影响不大。</w:t>
            </w:r>
          </w:p>
          <w:p w14:paraId="3487D2B1">
            <w:pPr>
              <w:ind w:firstLine="480" w:firstLineChars="200"/>
              <w:rPr>
                <w:rFonts w:hint="eastAsia"/>
                <w:color w:val="auto"/>
              </w:rPr>
            </w:pPr>
            <w:r>
              <w:rPr>
                <w:rFonts w:hint="eastAsia"/>
                <w:color w:val="auto"/>
              </w:rPr>
              <w:t>综上所述，项目施工期经采取相关措施后，对周边环境影响不大。</w:t>
            </w:r>
          </w:p>
          <w:p w14:paraId="58478834">
            <w:pPr>
              <w:pStyle w:val="5"/>
              <w:rPr>
                <w:rFonts w:hint="eastAsia"/>
                <w:color w:val="auto"/>
              </w:rPr>
            </w:pPr>
          </w:p>
          <w:p w14:paraId="67EBA9AB">
            <w:pPr>
              <w:rPr>
                <w:rFonts w:hint="eastAsia"/>
                <w:color w:val="auto"/>
              </w:rPr>
            </w:pPr>
          </w:p>
          <w:p w14:paraId="6EC913E0">
            <w:pPr>
              <w:pStyle w:val="5"/>
              <w:rPr>
                <w:rFonts w:hint="eastAsia"/>
                <w:color w:val="auto"/>
              </w:rPr>
            </w:pPr>
          </w:p>
          <w:p w14:paraId="6CB9FC99">
            <w:pPr>
              <w:rPr>
                <w:rFonts w:hint="eastAsia"/>
                <w:color w:val="auto"/>
              </w:rPr>
            </w:pPr>
          </w:p>
          <w:p w14:paraId="5C428DCB">
            <w:pPr>
              <w:pStyle w:val="5"/>
              <w:rPr>
                <w:rFonts w:hint="eastAsia"/>
                <w:color w:val="auto"/>
              </w:rPr>
            </w:pPr>
          </w:p>
          <w:p w14:paraId="53EEE009">
            <w:pPr>
              <w:rPr>
                <w:rFonts w:hint="eastAsia"/>
                <w:color w:val="auto"/>
              </w:rPr>
            </w:pPr>
          </w:p>
          <w:p w14:paraId="5E1062A8">
            <w:pPr>
              <w:pStyle w:val="5"/>
              <w:rPr>
                <w:rFonts w:hint="eastAsia"/>
                <w:color w:val="auto"/>
              </w:rPr>
            </w:pPr>
          </w:p>
          <w:p w14:paraId="4DFE00A8">
            <w:pPr>
              <w:rPr>
                <w:rFonts w:hint="eastAsia"/>
                <w:color w:val="auto"/>
              </w:rPr>
            </w:pPr>
          </w:p>
          <w:p w14:paraId="3EB374D4">
            <w:pPr>
              <w:pStyle w:val="5"/>
              <w:rPr>
                <w:rFonts w:hint="eastAsia"/>
                <w:color w:val="auto"/>
              </w:rPr>
            </w:pPr>
          </w:p>
          <w:p w14:paraId="35D1616D">
            <w:pPr>
              <w:rPr>
                <w:rFonts w:hint="eastAsia"/>
                <w:color w:val="auto"/>
              </w:rPr>
            </w:pPr>
          </w:p>
          <w:p w14:paraId="3F018F6E">
            <w:pPr>
              <w:pStyle w:val="5"/>
              <w:rPr>
                <w:rFonts w:hint="eastAsia"/>
                <w:color w:val="auto"/>
              </w:rPr>
            </w:pPr>
          </w:p>
          <w:p w14:paraId="7AB2A334">
            <w:pPr>
              <w:rPr>
                <w:rFonts w:hint="eastAsia"/>
                <w:color w:val="auto"/>
              </w:rPr>
            </w:pPr>
          </w:p>
          <w:p w14:paraId="7CBC8E31">
            <w:pPr>
              <w:pStyle w:val="5"/>
              <w:rPr>
                <w:rFonts w:hint="eastAsia"/>
                <w:color w:val="auto"/>
              </w:rPr>
            </w:pPr>
          </w:p>
          <w:p w14:paraId="3636E34A">
            <w:pPr>
              <w:rPr>
                <w:rFonts w:hint="eastAsia"/>
                <w:color w:val="auto"/>
              </w:rPr>
            </w:pPr>
          </w:p>
          <w:p w14:paraId="3010F917">
            <w:pPr>
              <w:pStyle w:val="5"/>
              <w:rPr>
                <w:rFonts w:hint="eastAsia"/>
                <w:color w:val="auto"/>
              </w:rPr>
            </w:pPr>
          </w:p>
          <w:p w14:paraId="692049C3">
            <w:pPr>
              <w:rPr>
                <w:rFonts w:hint="eastAsia"/>
                <w:color w:val="auto"/>
              </w:rPr>
            </w:pPr>
          </w:p>
          <w:p w14:paraId="6851CDA0">
            <w:pPr>
              <w:pStyle w:val="5"/>
              <w:rPr>
                <w:rFonts w:hint="eastAsia"/>
                <w:color w:val="auto"/>
              </w:rPr>
            </w:pPr>
          </w:p>
          <w:p w14:paraId="77D3BEE4">
            <w:pPr>
              <w:rPr>
                <w:rFonts w:hint="eastAsia"/>
                <w:color w:val="auto"/>
              </w:rPr>
            </w:pPr>
          </w:p>
          <w:p w14:paraId="775B6288">
            <w:pPr>
              <w:pStyle w:val="5"/>
              <w:rPr>
                <w:rFonts w:hint="eastAsia"/>
                <w:color w:val="auto"/>
              </w:rPr>
            </w:pPr>
          </w:p>
          <w:p w14:paraId="04278240">
            <w:pPr>
              <w:rPr>
                <w:color w:val="auto"/>
              </w:rPr>
            </w:pPr>
          </w:p>
        </w:tc>
      </w:tr>
      <w:tr w14:paraId="2B67E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7" w:hRule="atLeast"/>
          <w:jc w:val="center"/>
        </w:trPr>
        <w:tc>
          <w:tcPr>
            <w:tcW w:w="166" w:type="pct"/>
            <w:tcMar>
              <w:left w:w="28" w:type="dxa"/>
              <w:right w:w="28" w:type="dxa"/>
            </w:tcMar>
            <w:vAlign w:val="center"/>
          </w:tcPr>
          <w:p w14:paraId="62796873">
            <w:pPr>
              <w:jc w:val="center"/>
              <w:rPr>
                <w:b/>
                <w:color w:val="auto"/>
              </w:rPr>
            </w:pPr>
            <w:r>
              <w:rPr>
                <w:b/>
                <w:color w:val="auto"/>
              </w:rPr>
              <w:t>运</w:t>
            </w:r>
          </w:p>
          <w:p w14:paraId="716D3C0A">
            <w:pPr>
              <w:jc w:val="center"/>
              <w:rPr>
                <w:b/>
                <w:color w:val="auto"/>
              </w:rPr>
            </w:pPr>
            <w:r>
              <w:rPr>
                <w:b/>
                <w:color w:val="auto"/>
              </w:rPr>
              <w:t>营</w:t>
            </w:r>
          </w:p>
          <w:p w14:paraId="7C58EFCB">
            <w:pPr>
              <w:jc w:val="center"/>
              <w:rPr>
                <w:b/>
                <w:color w:val="auto"/>
              </w:rPr>
            </w:pPr>
            <w:r>
              <w:rPr>
                <w:b/>
                <w:color w:val="auto"/>
              </w:rPr>
              <w:t>期</w:t>
            </w:r>
          </w:p>
          <w:p w14:paraId="3C074904">
            <w:pPr>
              <w:jc w:val="center"/>
              <w:rPr>
                <w:b/>
                <w:color w:val="auto"/>
              </w:rPr>
            </w:pPr>
            <w:r>
              <w:rPr>
                <w:b/>
                <w:color w:val="auto"/>
              </w:rPr>
              <w:t>环</w:t>
            </w:r>
          </w:p>
          <w:p w14:paraId="1E717CB8">
            <w:pPr>
              <w:jc w:val="center"/>
              <w:rPr>
                <w:b/>
                <w:color w:val="auto"/>
              </w:rPr>
            </w:pPr>
            <w:r>
              <w:rPr>
                <w:b/>
                <w:color w:val="auto"/>
              </w:rPr>
              <w:t>境</w:t>
            </w:r>
          </w:p>
          <w:p w14:paraId="6CC4CB2E">
            <w:pPr>
              <w:jc w:val="center"/>
              <w:rPr>
                <w:b/>
                <w:color w:val="auto"/>
              </w:rPr>
            </w:pPr>
            <w:r>
              <w:rPr>
                <w:b/>
                <w:color w:val="auto"/>
              </w:rPr>
              <w:t>影</w:t>
            </w:r>
          </w:p>
          <w:p w14:paraId="77EB04A1">
            <w:pPr>
              <w:jc w:val="center"/>
              <w:rPr>
                <w:b/>
                <w:color w:val="auto"/>
              </w:rPr>
            </w:pPr>
            <w:r>
              <w:rPr>
                <w:b/>
                <w:color w:val="auto"/>
              </w:rPr>
              <w:t>响</w:t>
            </w:r>
          </w:p>
          <w:p w14:paraId="2699AB7A">
            <w:pPr>
              <w:jc w:val="center"/>
              <w:rPr>
                <w:b/>
                <w:color w:val="auto"/>
              </w:rPr>
            </w:pPr>
            <w:r>
              <w:rPr>
                <w:b/>
                <w:color w:val="auto"/>
              </w:rPr>
              <w:t>和</w:t>
            </w:r>
          </w:p>
          <w:p w14:paraId="34984E7E">
            <w:pPr>
              <w:jc w:val="center"/>
              <w:rPr>
                <w:b/>
                <w:color w:val="auto"/>
              </w:rPr>
            </w:pPr>
            <w:r>
              <w:rPr>
                <w:b/>
                <w:color w:val="auto"/>
              </w:rPr>
              <w:t>保</w:t>
            </w:r>
          </w:p>
          <w:p w14:paraId="4AA402A7">
            <w:pPr>
              <w:jc w:val="center"/>
              <w:rPr>
                <w:b/>
                <w:color w:val="auto"/>
              </w:rPr>
            </w:pPr>
            <w:r>
              <w:rPr>
                <w:b/>
                <w:color w:val="auto"/>
              </w:rPr>
              <w:t>护</w:t>
            </w:r>
          </w:p>
          <w:p w14:paraId="64B03889">
            <w:pPr>
              <w:jc w:val="center"/>
              <w:rPr>
                <w:b/>
                <w:color w:val="auto"/>
              </w:rPr>
            </w:pPr>
            <w:r>
              <w:rPr>
                <w:b/>
                <w:color w:val="auto"/>
              </w:rPr>
              <w:t>措</w:t>
            </w:r>
          </w:p>
          <w:p w14:paraId="1A8630E4">
            <w:pPr>
              <w:jc w:val="center"/>
              <w:rPr>
                <w:b/>
                <w:bCs/>
                <w:color w:val="auto"/>
                <w:szCs w:val="21"/>
              </w:rPr>
            </w:pPr>
            <w:r>
              <w:rPr>
                <w:b/>
                <w:color w:val="auto"/>
              </w:rPr>
              <w:t>施</w:t>
            </w:r>
          </w:p>
        </w:tc>
        <w:tc>
          <w:tcPr>
            <w:tcW w:w="4834" w:type="pct"/>
          </w:tcPr>
          <w:p w14:paraId="6730D9A9">
            <w:pPr>
              <w:ind w:firstLine="482"/>
              <w:rPr>
                <w:b/>
                <w:color w:val="auto"/>
              </w:rPr>
            </w:pPr>
            <w:r>
              <w:rPr>
                <w:rFonts w:hint="eastAsia"/>
                <w:b/>
                <w:color w:val="auto"/>
              </w:rPr>
              <w:t>一、</w:t>
            </w:r>
            <w:r>
              <w:rPr>
                <w:b/>
                <w:color w:val="auto"/>
              </w:rPr>
              <w:t>废气</w:t>
            </w:r>
            <w:r>
              <w:rPr>
                <w:rFonts w:hint="eastAsia"/>
                <w:b/>
                <w:color w:val="auto"/>
              </w:rPr>
              <w:t>影响分析和保护措施</w:t>
            </w:r>
          </w:p>
          <w:p w14:paraId="6FB716E7">
            <w:pPr>
              <w:ind w:firstLine="482" w:firstLineChars="200"/>
              <w:rPr>
                <w:b/>
                <w:bCs/>
                <w:color w:val="auto"/>
              </w:rPr>
            </w:pPr>
            <w:r>
              <w:rPr>
                <w:rFonts w:hint="eastAsia"/>
                <w:b/>
                <w:bCs/>
                <w:color w:val="auto"/>
              </w:rPr>
              <w:t>1、</w:t>
            </w:r>
            <w:bookmarkStart w:id="81" w:name="OLE_LINK63"/>
            <w:r>
              <w:rPr>
                <w:rFonts w:hint="eastAsia"/>
                <w:b/>
                <w:bCs/>
                <w:color w:val="auto"/>
              </w:rPr>
              <w:t>源强分析</w:t>
            </w:r>
            <w:bookmarkEnd w:id="81"/>
          </w:p>
          <w:p w14:paraId="60106257">
            <w:pPr>
              <w:pStyle w:val="138"/>
              <w:spacing w:line="360" w:lineRule="auto"/>
              <w:ind w:firstLine="480"/>
              <w:rPr>
                <w:color w:val="auto"/>
              </w:rPr>
            </w:pPr>
            <w:r>
              <w:rPr>
                <w:rFonts w:hint="eastAsia"/>
                <w:color w:val="auto"/>
              </w:rPr>
              <w:t>（1）</w:t>
            </w:r>
            <w:bookmarkStart w:id="82" w:name="OLE_LINK55"/>
            <w:r>
              <w:rPr>
                <w:rFonts w:hint="eastAsia"/>
                <w:color w:val="auto"/>
              </w:rPr>
              <w:t>有组织废气</w:t>
            </w:r>
            <w:bookmarkEnd w:id="82"/>
          </w:p>
          <w:p w14:paraId="208DC1B8">
            <w:pPr>
              <w:pStyle w:val="138"/>
              <w:spacing w:line="360" w:lineRule="auto"/>
              <w:ind w:firstLine="480"/>
              <w:rPr>
                <w:rFonts w:hint="eastAsia" w:eastAsia="宋体"/>
                <w:color w:val="auto"/>
                <w:u w:val="single"/>
                <w:lang w:eastAsia="zh-CN"/>
              </w:rPr>
            </w:pPr>
            <w:r>
              <w:rPr>
                <w:rFonts w:hint="eastAsia"/>
                <w:color w:val="auto"/>
                <w:u w:val="single"/>
                <w:lang w:eastAsia="zh-CN"/>
              </w:rPr>
              <w:t>项目不合格产品不在厂区内破碎，均收集后作为外售给废品回收公司进行回收利用，不涉及破碎粉尘。</w:t>
            </w:r>
          </w:p>
          <w:p w14:paraId="305EC2A1">
            <w:pPr>
              <w:pStyle w:val="138"/>
              <w:spacing w:line="360" w:lineRule="auto"/>
              <w:ind w:firstLine="480"/>
              <w:rPr>
                <w:rFonts w:hint="eastAsia" w:eastAsia="宋体"/>
                <w:color w:val="auto"/>
                <w:u w:val="single"/>
                <w:lang w:eastAsia="zh-CN"/>
              </w:rPr>
            </w:pPr>
            <w:r>
              <w:rPr>
                <w:rFonts w:hint="eastAsia"/>
                <w:color w:val="auto"/>
              </w:rPr>
              <w:t>本项目的注塑工序采用的塑料原材料主要是P</w:t>
            </w:r>
            <w:r>
              <w:rPr>
                <w:rFonts w:hint="eastAsia"/>
                <w:color w:val="auto"/>
                <w:lang w:val="en-US" w:eastAsia="zh-CN"/>
              </w:rPr>
              <w:t>E</w:t>
            </w:r>
            <w:r>
              <w:rPr>
                <w:rFonts w:hint="eastAsia"/>
                <w:color w:val="auto"/>
              </w:rPr>
              <w:t>T和PE塑料，注塑工序塑料颗粒在注塑成型过程中会有一定量有机废气产生。</w:t>
            </w:r>
            <w:r>
              <w:rPr>
                <w:rFonts w:hint="eastAsia"/>
                <w:color w:val="auto"/>
                <w:u w:val="single"/>
                <w:lang w:eastAsia="zh-CN"/>
              </w:rPr>
              <w:t>注塑机主要根据注射成型工艺要求设计的一个机电一体化很强的机种，主要由加料装置、控制系统、加热系统、液压系统、注射部件、合模部件、冷却系统组成，其中加热系统为封闭式，通过对原料加热熔融后，通过液压系统对热熔的原料推到注射部件，经注射进入合模部件后，由冷却系统冷却成型。期间，注塑机中注射部件至合模部件的位置易产生有机废气。</w:t>
            </w:r>
          </w:p>
          <w:p w14:paraId="73481AE4">
            <w:pPr>
              <w:pStyle w:val="138"/>
              <w:spacing w:line="360" w:lineRule="auto"/>
              <w:ind w:firstLine="480"/>
              <w:rPr>
                <w:rFonts w:hint="eastAsia"/>
                <w:color w:val="auto"/>
              </w:rPr>
            </w:pPr>
            <w:r>
              <w:rPr>
                <w:rFonts w:hint="eastAsia"/>
                <w:color w:val="auto"/>
              </w:rPr>
              <w:t>根据相关资料可知，项目使用的P</w:t>
            </w:r>
            <w:r>
              <w:rPr>
                <w:rFonts w:hint="eastAsia"/>
                <w:color w:val="auto"/>
                <w:lang w:val="en-US" w:eastAsia="zh-CN"/>
              </w:rPr>
              <w:t>E</w:t>
            </w:r>
            <w:r>
              <w:rPr>
                <w:rFonts w:hint="eastAsia"/>
                <w:color w:val="auto"/>
              </w:rPr>
              <w:t>T原料熔点为250-255℃，分解温度为300℃左右；</w:t>
            </w:r>
            <w:bookmarkStart w:id="83" w:name="OLE_LINK53"/>
            <w:r>
              <w:rPr>
                <w:rFonts w:hint="eastAsia"/>
                <w:color w:val="auto"/>
              </w:rPr>
              <w:t>PE</w:t>
            </w:r>
            <w:bookmarkEnd w:id="83"/>
            <w:r>
              <w:rPr>
                <w:rFonts w:hint="eastAsia"/>
                <w:color w:val="auto"/>
              </w:rPr>
              <w:t>原料熔点为100-130℃，化学稳定性好，分解温度高；项目</w:t>
            </w:r>
            <w:r>
              <w:rPr>
                <w:rFonts w:hint="eastAsia"/>
                <w:color w:val="auto"/>
                <w:lang w:eastAsia="zh-CN"/>
              </w:rPr>
              <w:t>瓶坯</w:t>
            </w:r>
            <w:r>
              <w:rPr>
                <w:rFonts w:hint="eastAsia"/>
                <w:color w:val="auto"/>
              </w:rPr>
              <w:t>注塑工序热熔过程中控制温度为250-255℃</w:t>
            </w:r>
            <w:r>
              <w:rPr>
                <w:rFonts w:hint="eastAsia"/>
                <w:color w:val="auto"/>
                <w:lang w:eastAsia="zh-CN"/>
              </w:rPr>
              <w:t>，盖提注塑工序</w:t>
            </w:r>
            <w:r>
              <w:rPr>
                <w:rFonts w:hint="eastAsia"/>
                <w:color w:val="auto"/>
              </w:rPr>
              <w:t>热熔过程中控制温度为100-130℃，低于原材料的热分解温度，故本项目产生的有机单体废气主要为芳香烃，以非甲烷总烃计。</w:t>
            </w:r>
            <w:r>
              <w:rPr>
                <w:color w:val="auto"/>
              </w:rPr>
              <w:t>根据《第二次全国污染源普查工业污染源产排污系数手册》</w:t>
            </w:r>
            <w:r>
              <w:rPr>
                <w:rFonts w:hint="eastAsia"/>
                <w:color w:val="auto"/>
              </w:rPr>
              <w:t>“292</w:t>
            </w:r>
            <w:r>
              <w:rPr>
                <w:color w:val="auto"/>
              </w:rPr>
              <w:t>塑料制品行业系数手册</w:t>
            </w:r>
            <w:r>
              <w:rPr>
                <w:rFonts w:hint="eastAsia"/>
                <w:color w:val="auto"/>
              </w:rPr>
              <w:t>”中“2929 塑料零件及其他塑料制品制造行业系数表”</w:t>
            </w:r>
            <w:r>
              <w:rPr>
                <w:color w:val="auto"/>
              </w:rPr>
              <w:t>可知</w:t>
            </w:r>
            <w:r>
              <w:rPr>
                <w:rFonts w:hint="eastAsia"/>
                <w:color w:val="auto"/>
              </w:rPr>
              <w:t>项目塑料注塑挥发性有机物的产污系数为2.70千克/吨-产品。项目产品年产总量约为2880t（PET瓶坯2400吨、PE盖提480吨），故项目注塑工序挥发性有机物（以非甲烷总烃计）的产生量7.776t/a。</w:t>
            </w:r>
          </w:p>
          <w:p w14:paraId="702AD242">
            <w:pPr>
              <w:pStyle w:val="138"/>
              <w:spacing w:line="360" w:lineRule="auto"/>
              <w:ind w:firstLine="480"/>
              <w:rPr>
                <w:color w:val="auto"/>
              </w:rPr>
            </w:pPr>
            <w:r>
              <w:rPr>
                <w:rFonts w:hint="eastAsia"/>
                <w:color w:val="auto"/>
                <w:highlight w:val="none"/>
                <w:u w:val="single"/>
                <w:lang w:eastAsia="zh-CN"/>
              </w:rPr>
              <w:t>项目</w:t>
            </w:r>
            <w:r>
              <w:rPr>
                <w:rFonts w:hint="eastAsia"/>
                <w:color w:val="auto"/>
                <w:highlight w:val="none"/>
                <w:u w:val="single"/>
              </w:rPr>
              <w:t>在每台注塑机</w:t>
            </w:r>
            <w:r>
              <w:rPr>
                <w:rFonts w:hint="eastAsia"/>
                <w:color w:val="auto"/>
                <w:highlight w:val="none"/>
                <w:u w:val="single"/>
                <w:lang w:eastAsia="zh-CN"/>
              </w:rPr>
              <w:t>喷射部件出口处</w:t>
            </w:r>
            <w:r>
              <w:rPr>
                <w:rFonts w:hint="eastAsia"/>
                <w:color w:val="auto"/>
                <w:highlight w:val="none"/>
                <w:u w:val="single"/>
              </w:rPr>
              <w:t>均设置</w:t>
            </w:r>
            <w:r>
              <w:rPr>
                <w:rFonts w:hint="eastAsia"/>
                <w:color w:val="auto"/>
                <w:highlight w:val="none"/>
                <w:u w:val="single"/>
                <w:lang w:eastAsia="zh-CN"/>
              </w:rPr>
              <w:t>三面围合的</w:t>
            </w:r>
            <w:r>
              <w:rPr>
                <w:rFonts w:hint="eastAsia"/>
                <w:color w:val="auto"/>
                <w:highlight w:val="none"/>
                <w:u w:val="single"/>
              </w:rPr>
              <w:t>集气罩</w:t>
            </w:r>
            <w:r>
              <w:rPr>
                <w:rFonts w:hint="eastAsia"/>
                <w:color w:val="auto"/>
                <w:highlight w:val="none"/>
                <w:u w:val="single"/>
                <w:lang w:eastAsia="zh-CN"/>
              </w:rPr>
              <w:t>，集气罩收集后通过管道</w:t>
            </w:r>
            <w:r>
              <w:rPr>
                <w:rFonts w:hint="eastAsia"/>
                <w:color w:val="auto"/>
                <w:highlight w:val="none"/>
                <w:u w:val="single"/>
              </w:rPr>
              <w:t>（管道设置为密闭）</w:t>
            </w:r>
            <w:r>
              <w:rPr>
                <w:rFonts w:hint="eastAsia"/>
                <w:color w:val="auto"/>
                <w:highlight w:val="none"/>
                <w:u w:val="single"/>
                <w:lang w:eastAsia="zh-CN"/>
              </w:rPr>
              <w:t>输送至</w:t>
            </w:r>
            <w:r>
              <w:rPr>
                <w:rFonts w:hint="eastAsia"/>
                <w:color w:val="auto"/>
                <w:u w:val="single"/>
              </w:rPr>
              <w:t>二级活性炭吸附装置</w:t>
            </w:r>
            <w:r>
              <w:rPr>
                <w:rFonts w:hint="eastAsia"/>
                <w:color w:val="auto"/>
                <w:u w:val="single"/>
                <w:lang w:eastAsia="zh-CN"/>
              </w:rPr>
              <w:t>进行处理。根据环办综合函〔2022〕350号关于印发《主要污染物总量减排核算技术指南（2022年修订）》的通知“表2-3 VOCs废气收集率和治理设施去除率通过系数”密闭空间（含密闭式集气罩）负压状态时废气收集率为90%”</w:t>
            </w:r>
            <w:r>
              <w:rPr>
                <w:rFonts w:hint="eastAsia"/>
                <w:color w:val="auto"/>
                <w:highlight w:val="none"/>
                <w:u w:val="single"/>
              </w:rPr>
              <w:t>本</w:t>
            </w:r>
            <w:r>
              <w:rPr>
                <w:rFonts w:hint="eastAsia"/>
                <w:color w:val="auto"/>
                <w:highlight w:val="none"/>
                <w:u w:val="single"/>
                <w:lang w:eastAsia="zh-CN"/>
              </w:rPr>
              <w:t>项目注塑机射部件出口处设置三面围合的集气罩，但注塑机合模冷却部位为半敞开式，考虑项目有机废气没有全密闭式收集的情况下，按收集效率</w:t>
            </w:r>
            <w:r>
              <w:rPr>
                <w:rFonts w:hint="eastAsia"/>
                <w:color w:val="auto"/>
                <w:highlight w:val="none"/>
                <w:u w:val="single"/>
                <w:lang w:val="en-US" w:eastAsia="zh-CN"/>
              </w:rPr>
              <w:t>70%计算</w:t>
            </w:r>
            <w:r>
              <w:rPr>
                <w:rFonts w:hint="eastAsia"/>
                <w:color w:val="auto"/>
                <w:highlight w:val="none"/>
                <w:u w:val="single"/>
              </w:rPr>
              <w:t>，</w:t>
            </w:r>
            <w:r>
              <w:rPr>
                <w:rFonts w:hint="eastAsia"/>
                <w:color w:val="auto"/>
              </w:rPr>
              <w:t>由风机提供动力负压运行（风机风量设置为15000m</w:t>
            </w:r>
            <w:r>
              <w:rPr>
                <w:rFonts w:hint="eastAsia"/>
                <w:color w:val="auto"/>
                <w:vertAlign w:val="superscript"/>
              </w:rPr>
              <w:t>3</w:t>
            </w:r>
            <w:r>
              <w:rPr>
                <w:rFonts w:hint="eastAsia"/>
                <w:color w:val="auto"/>
              </w:rPr>
              <w:t>/h），注塑废气经收集由二级活性炭吸附装置（有机废气处理效率为90%）进行处理后经DA001排气筒进行排放。</w:t>
            </w:r>
            <w:r>
              <w:rPr>
                <w:rFonts w:hint="eastAsia"/>
                <w:color w:val="auto"/>
                <w:u w:val="single"/>
              </w:rPr>
              <w:t>故注塑工序非甲烷总烃收集量为</w:t>
            </w:r>
            <w:r>
              <w:rPr>
                <w:rFonts w:hint="eastAsia"/>
                <w:color w:val="auto"/>
                <w:u w:val="single"/>
                <w:lang w:val="en-US" w:eastAsia="zh-CN"/>
              </w:rPr>
              <w:t>5.443</w:t>
            </w:r>
            <w:r>
              <w:rPr>
                <w:rFonts w:hint="eastAsia"/>
                <w:color w:val="auto"/>
                <w:u w:val="single"/>
              </w:rPr>
              <w:t>t/a，非甲烷总烃有组织排放量为0.</w:t>
            </w:r>
            <w:r>
              <w:rPr>
                <w:rFonts w:hint="eastAsia"/>
                <w:color w:val="auto"/>
                <w:u w:val="single"/>
                <w:lang w:val="en-US" w:eastAsia="zh-CN"/>
              </w:rPr>
              <w:t>544</w:t>
            </w:r>
            <w:r>
              <w:rPr>
                <w:rFonts w:hint="eastAsia"/>
                <w:color w:val="auto"/>
                <w:u w:val="single"/>
              </w:rPr>
              <w:t>t/a，0.</w:t>
            </w:r>
            <w:r>
              <w:rPr>
                <w:rFonts w:hint="eastAsia"/>
                <w:color w:val="auto"/>
                <w:u w:val="single"/>
                <w:lang w:val="en-US" w:eastAsia="zh-CN"/>
              </w:rPr>
              <w:t>076</w:t>
            </w:r>
            <w:r>
              <w:rPr>
                <w:rFonts w:hint="eastAsia"/>
                <w:color w:val="auto"/>
                <w:u w:val="single"/>
              </w:rPr>
              <w:t>kg/h，排放浓度为</w:t>
            </w:r>
            <w:r>
              <w:rPr>
                <w:rFonts w:hint="eastAsia"/>
                <w:color w:val="auto"/>
                <w:u w:val="single"/>
                <w:lang w:val="en-US" w:eastAsia="zh-CN"/>
              </w:rPr>
              <w:t>5.04</w:t>
            </w:r>
            <w:r>
              <w:rPr>
                <w:rFonts w:hint="eastAsia"/>
                <w:color w:val="auto"/>
                <w:u w:val="single"/>
              </w:rPr>
              <w:t>mg/m</w:t>
            </w:r>
            <w:r>
              <w:rPr>
                <w:rFonts w:hint="eastAsia"/>
                <w:color w:val="auto"/>
                <w:u w:val="single"/>
                <w:vertAlign w:val="superscript"/>
              </w:rPr>
              <w:t>3</w:t>
            </w:r>
            <w:r>
              <w:rPr>
                <w:rFonts w:hint="eastAsia"/>
                <w:color w:val="auto"/>
                <w:u w:val="single"/>
              </w:rPr>
              <w:t>，</w:t>
            </w:r>
            <w:r>
              <w:rPr>
                <w:rFonts w:hint="eastAsia"/>
                <w:color w:val="auto"/>
              </w:rPr>
              <w:t>满足《合成树脂工业污染物排放标准》（GB31572-2015）</w:t>
            </w:r>
            <w:r>
              <w:rPr>
                <w:rFonts w:hint="eastAsia"/>
                <w:color w:val="auto"/>
                <w:szCs w:val="20"/>
              </w:rPr>
              <w:t>（含2024修改单）表</w:t>
            </w:r>
            <w:r>
              <w:rPr>
                <w:rFonts w:hint="eastAsia"/>
                <w:color w:val="auto"/>
              </w:rPr>
              <w:t>4中的排放浓度标准限值。</w:t>
            </w:r>
          </w:p>
          <w:p w14:paraId="7161B20C">
            <w:pPr>
              <w:ind w:firstLine="480" w:firstLineChars="200"/>
              <w:rPr>
                <w:color w:val="auto"/>
              </w:rPr>
            </w:pPr>
            <w:r>
              <w:rPr>
                <w:rFonts w:hint="eastAsia"/>
                <w:color w:val="auto"/>
              </w:rPr>
              <w:t>（2）无组织废气</w:t>
            </w:r>
          </w:p>
          <w:p w14:paraId="14C02382">
            <w:pPr>
              <w:ind w:firstLine="480" w:firstLineChars="200"/>
              <w:rPr>
                <w:rFonts w:hint="eastAsia" w:ascii="Times New Roman" w:hAnsi="Times New Roman" w:eastAsia="宋体" w:cs="Times New Roman"/>
                <w:color w:val="auto"/>
                <w:lang w:eastAsia="zh-CN"/>
              </w:rPr>
            </w:pPr>
            <w:r>
              <w:rPr>
                <w:rFonts w:hint="default" w:ascii="Times New Roman" w:hAnsi="Times New Roman" w:cs="Times New Roman"/>
                <w:color w:val="auto"/>
              </w:rPr>
              <w:t>①</w:t>
            </w:r>
            <w:r>
              <w:rPr>
                <w:rFonts w:hint="eastAsia" w:ascii="Times New Roman" w:hAnsi="Times New Roman" w:cs="Times New Roman"/>
                <w:color w:val="auto"/>
                <w:lang w:eastAsia="zh-CN"/>
              </w:rPr>
              <w:t>集气罩未能收集的废气</w:t>
            </w:r>
          </w:p>
          <w:p w14:paraId="5AA28B54">
            <w:pPr>
              <w:ind w:firstLine="480" w:firstLineChars="200"/>
              <w:rPr>
                <w:rFonts w:hint="eastAsia"/>
                <w:color w:val="auto"/>
              </w:rPr>
            </w:pPr>
            <w:r>
              <w:rPr>
                <w:rFonts w:hint="eastAsia"/>
                <w:color w:val="auto"/>
              </w:rPr>
              <w:t>项目在注塑机安装的集气罩收集效率为</w:t>
            </w:r>
            <w:r>
              <w:rPr>
                <w:rFonts w:hint="eastAsia"/>
                <w:color w:val="auto"/>
                <w:lang w:val="en-US" w:eastAsia="zh-CN"/>
              </w:rPr>
              <w:t>70</w:t>
            </w:r>
            <w:r>
              <w:rPr>
                <w:rFonts w:hint="eastAsia"/>
                <w:color w:val="auto"/>
              </w:rPr>
              <w:t>%，因此有</w:t>
            </w:r>
            <w:r>
              <w:rPr>
                <w:rFonts w:hint="eastAsia"/>
                <w:color w:val="auto"/>
                <w:lang w:val="en-US" w:eastAsia="zh-CN"/>
              </w:rPr>
              <w:t>30</w:t>
            </w:r>
            <w:r>
              <w:rPr>
                <w:rFonts w:hint="eastAsia"/>
                <w:color w:val="auto"/>
              </w:rPr>
              <w:t>%的有机废气未能收集，为无组织排放，项目注塑工序未完全收集的非甲烷总烃为</w:t>
            </w:r>
            <w:r>
              <w:rPr>
                <w:rFonts w:hint="eastAsia"/>
                <w:color w:val="auto"/>
                <w:u w:val="single"/>
                <w:lang w:val="en-US" w:eastAsia="zh-CN"/>
              </w:rPr>
              <w:t>2.333</w:t>
            </w:r>
            <w:r>
              <w:rPr>
                <w:rFonts w:hint="eastAsia"/>
                <w:color w:val="auto"/>
                <w:u w:val="single"/>
              </w:rPr>
              <w:t>t/a，</w:t>
            </w:r>
            <w:r>
              <w:rPr>
                <w:rFonts w:hint="eastAsia"/>
                <w:color w:val="auto"/>
                <w:u w:val="single"/>
                <w:lang w:val="en-US" w:eastAsia="zh-CN"/>
              </w:rPr>
              <w:t>0.324</w:t>
            </w:r>
            <w:r>
              <w:rPr>
                <w:rFonts w:hint="eastAsia"/>
                <w:color w:val="auto"/>
                <w:u w:val="single"/>
              </w:rPr>
              <w:t>kg/h。</w:t>
            </w:r>
          </w:p>
          <w:p w14:paraId="389CC8F5">
            <w:pPr>
              <w:ind w:firstLine="480" w:firstLineChars="200"/>
              <w:rPr>
                <w:rFonts w:hint="eastAsia" w:ascii="Times New Roman" w:hAnsi="Times New Roman" w:eastAsia="宋体" w:cs="Times New Roman"/>
                <w:color w:val="auto"/>
                <w:u w:val="single"/>
                <w:lang w:eastAsia="zh-CN"/>
              </w:rPr>
            </w:pPr>
            <w:r>
              <w:rPr>
                <w:rFonts w:hint="default" w:ascii="Times New Roman" w:hAnsi="Times New Roman" w:cs="Times New Roman"/>
                <w:color w:val="auto"/>
                <w:u w:val="single"/>
              </w:rPr>
              <w:t>②</w:t>
            </w:r>
            <w:r>
              <w:rPr>
                <w:rFonts w:hint="eastAsia" w:ascii="Times New Roman" w:hAnsi="Times New Roman" w:cs="Times New Roman"/>
                <w:color w:val="auto"/>
                <w:u w:val="single"/>
                <w:lang w:eastAsia="zh-CN"/>
              </w:rPr>
              <w:t>投料粉尘</w:t>
            </w:r>
          </w:p>
          <w:p w14:paraId="12E0F66B">
            <w:pPr>
              <w:ind w:firstLine="480" w:firstLineChars="200"/>
              <w:rPr>
                <w:rFonts w:hint="eastAsia"/>
                <w:color w:val="auto"/>
                <w:u w:val="single"/>
              </w:rPr>
            </w:pPr>
            <w:r>
              <w:rPr>
                <w:rFonts w:hint="eastAsia"/>
                <w:color w:val="auto"/>
                <w:u w:val="single"/>
              </w:rPr>
              <w:t>干燥P</w:t>
            </w:r>
            <w:r>
              <w:rPr>
                <w:rFonts w:hint="eastAsia"/>
                <w:color w:val="auto"/>
                <w:u w:val="single"/>
                <w:lang w:val="en-US" w:eastAsia="zh-CN"/>
              </w:rPr>
              <w:t>E</w:t>
            </w:r>
            <w:r>
              <w:rPr>
                <w:rFonts w:hint="eastAsia"/>
                <w:color w:val="auto"/>
                <w:u w:val="single"/>
              </w:rPr>
              <w:t>T原料为片状</w:t>
            </w:r>
            <w:r>
              <w:rPr>
                <w:rFonts w:hint="eastAsia"/>
                <w:color w:val="auto"/>
                <w:u w:val="single"/>
                <w:lang w:eastAsia="zh-CN"/>
              </w:rPr>
              <w:t>、</w:t>
            </w:r>
            <w:r>
              <w:rPr>
                <w:rFonts w:hint="eastAsia"/>
                <w:color w:val="auto"/>
                <w:u w:val="single"/>
                <w:lang w:val="en-US" w:eastAsia="zh-CN"/>
              </w:rPr>
              <w:t>PE和和色母粒粒径为0.5~0.8cm大小的颗粒物</w:t>
            </w:r>
            <w:r>
              <w:rPr>
                <w:rFonts w:hint="eastAsia"/>
                <w:color w:val="auto"/>
                <w:u w:val="single"/>
              </w:rPr>
              <w:t>，</w:t>
            </w:r>
            <w:r>
              <w:rPr>
                <w:rFonts w:hint="eastAsia"/>
                <w:color w:val="auto"/>
                <w:u w:val="single"/>
                <w:lang w:eastAsia="zh-CN"/>
              </w:rPr>
              <w:t>且采用负压管吸入；干燥桶为封闭式，且干燥过程无扰动现象，因此，原料投入干燥筒及原料干燥过程颗粒物产生量极小，本项目不做定量分析，建设单位需在投料过程中规范操作，定期检查设备，减少颗粒物非正常排放情况产生。</w:t>
            </w:r>
          </w:p>
          <w:p w14:paraId="4C79FE6C">
            <w:pPr>
              <w:ind w:firstLine="480" w:firstLineChars="200"/>
              <w:rPr>
                <w:rFonts w:hint="eastAsia" w:ascii="Times New Roman" w:hAnsi="Times New Roman" w:eastAsia="宋体" w:cs="Times New Roman"/>
                <w:color w:val="auto"/>
                <w:u w:val="single"/>
                <w:lang w:eastAsia="zh-CN"/>
              </w:rPr>
            </w:pPr>
            <w:r>
              <w:rPr>
                <w:rFonts w:hint="default" w:ascii="Times New Roman" w:hAnsi="Times New Roman" w:cs="Times New Roman"/>
                <w:color w:val="auto"/>
                <w:u w:val="single"/>
              </w:rPr>
              <w:t>③</w:t>
            </w:r>
            <w:r>
              <w:rPr>
                <w:rFonts w:hint="eastAsia" w:ascii="Times New Roman" w:hAnsi="Times New Roman" w:cs="Times New Roman"/>
                <w:color w:val="auto"/>
                <w:u w:val="single"/>
                <w:lang w:eastAsia="zh-CN"/>
              </w:rPr>
              <w:t>输送粉尘</w:t>
            </w:r>
          </w:p>
          <w:p w14:paraId="2E1D4B46">
            <w:pPr>
              <w:pStyle w:val="5"/>
              <w:ind w:firstLine="480"/>
              <w:rPr>
                <w:rFonts w:hint="eastAsia"/>
                <w:color w:val="auto"/>
                <w:sz w:val="24"/>
                <w:szCs w:val="24"/>
                <w:u w:val="single"/>
              </w:rPr>
            </w:pPr>
            <w:r>
              <w:rPr>
                <w:rFonts w:hint="eastAsia"/>
                <w:color w:val="auto"/>
                <w:sz w:val="24"/>
                <w:szCs w:val="24"/>
                <w:u w:val="single"/>
                <w:lang w:eastAsia="zh-CN"/>
              </w:rPr>
              <w:t>干燥后的</w:t>
            </w:r>
            <w:r>
              <w:rPr>
                <w:rFonts w:hint="default" w:ascii="Times New Roman" w:hAnsi="Times New Roman" w:cs="Times New Roman"/>
                <w:color w:val="auto"/>
                <w:sz w:val="24"/>
                <w:szCs w:val="24"/>
                <w:u w:val="single"/>
                <w:lang w:val="en-US" w:eastAsia="zh-CN"/>
              </w:rPr>
              <w:t>PET</w:t>
            </w:r>
            <w:r>
              <w:rPr>
                <w:rFonts w:hint="eastAsia"/>
                <w:color w:val="auto"/>
                <w:sz w:val="24"/>
                <w:szCs w:val="24"/>
                <w:u w:val="single"/>
                <w:lang w:eastAsia="zh-CN"/>
              </w:rPr>
              <w:t>原料从干燥筒中通过软管吸入注塑机进行熔融</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lang w:val="en-US" w:eastAsia="zh-CN"/>
              </w:rPr>
              <w:t>PE和母</w:t>
            </w:r>
            <w:r>
              <w:rPr>
                <w:rFonts w:hint="eastAsia"/>
                <w:color w:val="auto"/>
                <w:sz w:val="24"/>
                <w:szCs w:val="24"/>
                <w:u w:val="single"/>
                <w:lang w:val="en-US" w:eastAsia="zh-CN"/>
              </w:rPr>
              <w:t>粒</w:t>
            </w:r>
            <w:r>
              <w:rPr>
                <w:rFonts w:hint="eastAsia"/>
                <w:color w:val="auto"/>
                <w:sz w:val="24"/>
                <w:szCs w:val="24"/>
                <w:u w:val="single"/>
                <w:lang w:eastAsia="zh-CN"/>
              </w:rPr>
              <w:t>通过软管吸入注塑机进行熔融，原料运输过程为封闭式，本项目对运输粉尘不做定量分析。</w:t>
            </w:r>
          </w:p>
          <w:p w14:paraId="308BF529">
            <w:pPr>
              <w:pStyle w:val="5"/>
              <w:ind w:firstLine="480"/>
              <w:rPr>
                <w:color w:val="auto"/>
                <w:sz w:val="24"/>
                <w:szCs w:val="24"/>
              </w:rPr>
            </w:pPr>
            <w:r>
              <w:rPr>
                <w:rFonts w:hint="eastAsia"/>
                <w:color w:val="auto"/>
                <w:sz w:val="24"/>
                <w:szCs w:val="24"/>
              </w:rPr>
              <w:t>项目</w:t>
            </w:r>
            <w:bookmarkStart w:id="84" w:name="OLE_LINK56"/>
            <w:r>
              <w:rPr>
                <w:rFonts w:hint="eastAsia"/>
                <w:color w:val="auto"/>
                <w:sz w:val="24"/>
                <w:szCs w:val="24"/>
              </w:rPr>
              <w:t>注塑废气有组织和无组织产排放情况</w:t>
            </w:r>
            <w:bookmarkEnd w:id="84"/>
            <w:r>
              <w:rPr>
                <w:rFonts w:hint="eastAsia"/>
                <w:color w:val="auto"/>
                <w:sz w:val="24"/>
                <w:szCs w:val="24"/>
              </w:rPr>
              <w:t>，见</w:t>
            </w:r>
            <w:r>
              <w:rPr>
                <w:rFonts w:ascii="Times New Roman" w:hAnsi="Times New Roman"/>
                <w:color w:val="auto"/>
                <w:sz w:val="24"/>
                <w:szCs w:val="24"/>
              </w:rPr>
              <w:t>表4-4。</w:t>
            </w:r>
          </w:p>
          <w:p w14:paraId="5F224939">
            <w:pPr>
              <w:pStyle w:val="140"/>
              <w:rPr>
                <w:color w:val="auto"/>
              </w:rPr>
            </w:pPr>
            <w:r>
              <w:rPr>
                <w:rFonts w:hint="eastAsia"/>
                <w:color w:val="auto"/>
              </w:rPr>
              <w:t>表4-1  项目注塑废气有组织和无组织产排放情况一览表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4"/>
              <w:gridCol w:w="2835"/>
              <w:gridCol w:w="2627"/>
            </w:tblGrid>
            <w:tr w14:paraId="6C0E7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475608EB">
                  <w:pPr>
                    <w:pStyle w:val="139"/>
                    <w:rPr>
                      <w:color w:val="auto"/>
                    </w:rPr>
                  </w:pPr>
                  <w:r>
                    <w:rPr>
                      <w:rFonts w:hint="eastAsia"/>
                      <w:color w:val="auto"/>
                    </w:rPr>
                    <w:t>工序</w:t>
                  </w:r>
                </w:p>
              </w:tc>
              <w:tc>
                <w:tcPr>
                  <w:tcW w:w="3225" w:type="pct"/>
                  <w:gridSpan w:val="2"/>
                  <w:vAlign w:val="center"/>
                </w:tcPr>
                <w:p w14:paraId="6F0CEF0C">
                  <w:pPr>
                    <w:pStyle w:val="139"/>
                    <w:rPr>
                      <w:color w:val="auto"/>
                    </w:rPr>
                  </w:pPr>
                  <w:r>
                    <w:rPr>
                      <w:rFonts w:hint="eastAsia"/>
                      <w:color w:val="auto"/>
                    </w:rPr>
                    <w:t>注塑</w:t>
                  </w:r>
                </w:p>
              </w:tc>
            </w:tr>
            <w:tr w14:paraId="5FC36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0FE8BE8C">
                  <w:pPr>
                    <w:pStyle w:val="139"/>
                    <w:rPr>
                      <w:color w:val="auto"/>
                    </w:rPr>
                  </w:pPr>
                  <w:r>
                    <w:rPr>
                      <w:rFonts w:hint="eastAsia"/>
                      <w:color w:val="auto"/>
                    </w:rPr>
                    <w:t>污染物名称</w:t>
                  </w:r>
                </w:p>
              </w:tc>
              <w:tc>
                <w:tcPr>
                  <w:tcW w:w="3225" w:type="pct"/>
                  <w:gridSpan w:val="2"/>
                  <w:vAlign w:val="center"/>
                </w:tcPr>
                <w:p w14:paraId="29EEC489">
                  <w:pPr>
                    <w:pStyle w:val="139"/>
                    <w:rPr>
                      <w:color w:val="auto"/>
                    </w:rPr>
                  </w:pPr>
                  <w:r>
                    <w:rPr>
                      <w:rFonts w:hint="eastAsia"/>
                      <w:color w:val="auto"/>
                    </w:rPr>
                    <w:t>非甲烷总烃</w:t>
                  </w:r>
                </w:p>
              </w:tc>
            </w:tr>
            <w:tr w14:paraId="6495E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60D59725">
                  <w:pPr>
                    <w:pStyle w:val="139"/>
                    <w:rPr>
                      <w:color w:val="auto"/>
                    </w:rPr>
                  </w:pPr>
                  <w:r>
                    <w:rPr>
                      <w:rFonts w:hint="eastAsia"/>
                      <w:color w:val="auto"/>
                    </w:rPr>
                    <w:t>产生量t/a</w:t>
                  </w:r>
                </w:p>
              </w:tc>
              <w:tc>
                <w:tcPr>
                  <w:tcW w:w="3225" w:type="pct"/>
                  <w:gridSpan w:val="2"/>
                  <w:vAlign w:val="center"/>
                </w:tcPr>
                <w:p w14:paraId="38DABAB5">
                  <w:pPr>
                    <w:pStyle w:val="139"/>
                    <w:rPr>
                      <w:color w:val="auto"/>
                    </w:rPr>
                  </w:pPr>
                  <w:r>
                    <w:rPr>
                      <w:rFonts w:hint="eastAsia"/>
                      <w:color w:val="auto"/>
                    </w:rPr>
                    <w:t>7.776</w:t>
                  </w:r>
                </w:p>
              </w:tc>
            </w:tr>
            <w:tr w14:paraId="45D3D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693B4292">
                  <w:pPr>
                    <w:pStyle w:val="139"/>
                    <w:rPr>
                      <w:color w:val="auto"/>
                    </w:rPr>
                  </w:pPr>
                  <w:r>
                    <w:rPr>
                      <w:rFonts w:hint="eastAsia"/>
                      <w:color w:val="auto"/>
                    </w:rPr>
                    <w:t>收集废气效率%</w:t>
                  </w:r>
                </w:p>
              </w:tc>
              <w:tc>
                <w:tcPr>
                  <w:tcW w:w="3225" w:type="pct"/>
                  <w:gridSpan w:val="2"/>
                  <w:vAlign w:val="center"/>
                </w:tcPr>
                <w:p w14:paraId="13CA21A0">
                  <w:pPr>
                    <w:pStyle w:val="139"/>
                    <w:rPr>
                      <w:rFonts w:hint="default" w:eastAsia="宋体"/>
                      <w:color w:val="auto"/>
                      <w:lang w:val="en-US" w:eastAsia="zh-CN"/>
                    </w:rPr>
                  </w:pPr>
                  <w:r>
                    <w:rPr>
                      <w:rFonts w:hint="eastAsia"/>
                      <w:color w:val="auto"/>
                      <w:u w:val="single"/>
                      <w:lang w:val="en-US" w:eastAsia="zh-CN"/>
                    </w:rPr>
                    <w:t>70</w:t>
                  </w:r>
                </w:p>
              </w:tc>
            </w:tr>
            <w:tr w14:paraId="0C0B6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6663AFA3">
                  <w:pPr>
                    <w:pStyle w:val="139"/>
                    <w:rPr>
                      <w:color w:val="auto"/>
                    </w:rPr>
                  </w:pPr>
                  <w:r>
                    <w:rPr>
                      <w:rFonts w:hint="eastAsia"/>
                      <w:color w:val="auto"/>
                    </w:rPr>
                    <w:t>工作时长h</w:t>
                  </w:r>
                </w:p>
              </w:tc>
              <w:tc>
                <w:tcPr>
                  <w:tcW w:w="3225" w:type="pct"/>
                  <w:gridSpan w:val="2"/>
                  <w:vAlign w:val="center"/>
                </w:tcPr>
                <w:p w14:paraId="03B97DE3">
                  <w:pPr>
                    <w:pStyle w:val="139"/>
                    <w:rPr>
                      <w:color w:val="auto"/>
                    </w:rPr>
                  </w:pPr>
                  <w:r>
                    <w:rPr>
                      <w:rFonts w:hint="eastAsia"/>
                      <w:color w:val="auto"/>
                    </w:rPr>
                    <w:t>7200</w:t>
                  </w:r>
                </w:p>
              </w:tc>
            </w:tr>
            <w:tr w14:paraId="5C53A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47526E65">
                  <w:pPr>
                    <w:pStyle w:val="139"/>
                    <w:rPr>
                      <w:color w:val="auto"/>
                    </w:rPr>
                  </w:pPr>
                  <w:r>
                    <w:rPr>
                      <w:rFonts w:hint="eastAsia"/>
                      <w:color w:val="auto"/>
                    </w:rPr>
                    <w:t>排放方式</w:t>
                  </w:r>
                </w:p>
              </w:tc>
              <w:tc>
                <w:tcPr>
                  <w:tcW w:w="1674" w:type="pct"/>
                  <w:vAlign w:val="center"/>
                </w:tcPr>
                <w:p w14:paraId="521529EF">
                  <w:pPr>
                    <w:pStyle w:val="139"/>
                    <w:rPr>
                      <w:color w:val="auto"/>
                    </w:rPr>
                  </w:pPr>
                  <w:r>
                    <w:rPr>
                      <w:rFonts w:hint="eastAsia"/>
                      <w:color w:val="auto"/>
                    </w:rPr>
                    <w:t>有组织</w:t>
                  </w:r>
                </w:p>
              </w:tc>
              <w:tc>
                <w:tcPr>
                  <w:tcW w:w="1551" w:type="pct"/>
                  <w:vAlign w:val="center"/>
                </w:tcPr>
                <w:p w14:paraId="05739AD8">
                  <w:pPr>
                    <w:pStyle w:val="139"/>
                    <w:rPr>
                      <w:color w:val="auto"/>
                    </w:rPr>
                  </w:pPr>
                  <w:r>
                    <w:rPr>
                      <w:rFonts w:hint="eastAsia"/>
                      <w:color w:val="auto"/>
                    </w:rPr>
                    <w:t>无组织</w:t>
                  </w:r>
                </w:p>
              </w:tc>
            </w:tr>
            <w:tr w14:paraId="576B0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6E9500E1">
                  <w:pPr>
                    <w:pStyle w:val="139"/>
                    <w:rPr>
                      <w:color w:val="auto"/>
                    </w:rPr>
                  </w:pPr>
                  <w:r>
                    <w:rPr>
                      <w:rFonts w:hint="eastAsia"/>
                      <w:color w:val="auto"/>
                    </w:rPr>
                    <w:t>产生量t/a</w:t>
                  </w:r>
                </w:p>
              </w:tc>
              <w:tc>
                <w:tcPr>
                  <w:tcW w:w="1674" w:type="pct"/>
                  <w:vAlign w:val="center"/>
                </w:tcPr>
                <w:p w14:paraId="3AFB7E95">
                  <w:pPr>
                    <w:pStyle w:val="139"/>
                    <w:rPr>
                      <w:rFonts w:hint="default" w:eastAsia="宋体"/>
                      <w:color w:val="auto"/>
                      <w:u w:val="single"/>
                      <w:lang w:val="en-US" w:eastAsia="zh-CN"/>
                    </w:rPr>
                  </w:pPr>
                  <w:r>
                    <w:rPr>
                      <w:rFonts w:hint="eastAsia"/>
                      <w:color w:val="auto"/>
                      <w:u w:val="single"/>
                      <w:lang w:val="en-US" w:eastAsia="zh-CN"/>
                    </w:rPr>
                    <w:t>5.443</w:t>
                  </w:r>
                </w:p>
              </w:tc>
              <w:tc>
                <w:tcPr>
                  <w:tcW w:w="1551" w:type="pct"/>
                  <w:vAlign w:val="center"/>
                </w:tcPr>
                <w:p w14:paraId="310C1A77">
                  <w:pPr>
                    <w:pStyle w:val="139"/>
                    <w:rPr>
                      <w:rFonts w:hint="default" w:eastAsia="宋体"/>
                      <w:color w:val="auto"/>
                      <w:u w:val="single"/>
                      <w:lang w:val="en-US" w:eastAsia="zh-CN"/>
                    </w:rPr>
                  </w:pPr>
                  <w:r>
                    <w:rPr>
                      <w:rFonts w:hint="eastAsia"/>
                      <w:color w:val="auto"/>
                      <w:u w:val="single"/>
                      <w:lang w:val="en-US" w:eastAsia="zh-CN"/>
                    </w:rPr>
                    <w:t>2.333</w:t>
                  </w:r>
                </w:p>
              </w:tc>
            </w:tr>
            <w:tr w14:paraId="5EB45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695D4104">
                  <w:pPr>
                    <w:pStyle w:val="139"/>
                    <w:rPr>
                      <w:color w:val="auto"/>
                    </w:rPr>
                  </w:pPr>
                  <w:r>
                    <w:rPr>
                      <w:rFonts w:hint="eastAsia"/>
                      <w:color w:val="auto"/>
                    </w:rPr>
                    <w:t>产生速率kg/h</w:t>
                  </w:r>
                </w:p>
              </w:tc>
              <w:tc>
                <w:tcPr>
                  <w:tcW w:w="1674" w:type="pct"/>
                  <w:vAlign w:val="center"/>
                </w:tcPr>
                <w:p w14:paraId="3C6C20F8">
                  <w:pPr>
                    <w:pStyle w:val="139"/>
                    <w:rPr>
                      <w:rFonts w:hint="default" w:eastAsia="宋体"/>
                      <w:color w:val="auto"/>
                      <w:u w:val="single"/>
                      <w:lang w:val="en-US" w:eastAsia="zh-CN"/>
                    </w:rPr>
                  </w:pPr>
                  <w:r>
                    <w:rPr>
                      <w:rFonts w:hint="eastAsia"/>
                      <w:color w:val="auto"/>
                      <w:u w:val="single"/>
                      <w:lang w:val="en-US" w:eastAsia="zh-CN"/>
                    </w:rPr>
                    <w:t>0.756</w:t>
                  </w:r>
                </w:p>
              </w:tc>
              <w:tc>
                <w:tcPr>
                  <w:tcW w:w="1551" w:type="pct"/>
                  <w:vAlign w:val="center"/>
                </w:tcPr>
                <w:p w14:paraId="0629C72C">
                  <w:pPr>
                    <w:pStyle w:val="139"/>
                    <w:rPr>
                      <w:rFonts w:hint="default" w:eastAsia="宋体"/>
                      <w:color w:val="auto"/>
                      <w:u w:val="single"/>
                      <w:lang w:val="en-US" w:eastAsia="zh-CN"/>
                    </w:rPr>
                  </w:pPr>
                  <w:r>
                    <w:rPr>
                      <w:rFonts w:hint="eastAsia"/>
                      <w:color w:val="auto"/>
                      <w:u w:val="single"/>
                      <w:lang w:val="en-US" w:eastAsia="zh-CN"/>
                    </w:rPr>
                    <w:t>0.324</w:t>
                  </w:r>
                </w:p>
              </w:tc>
            </w:tr>
            <w:tr w14:paraId="3E156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0F315065">
                  <w:pPr>
                    <w:pStyle w:val="139"/>
                    <w:rPr>
                      <w:color w:val="auto"/>
                    </w:rPr>
                  </w:pPr>
                  <w:r>
                    <w:rPr>
                      <w:rFonts w:hint="eastAsia"/>
                      <w:color w:val="auto"/>
                    </w:rPr>
                    <w:t>处理措施</w:t>
                  </w:r>
                </w:p>
              </w:tc>
              <w:tc>
                <w:tcPr>
                  <w:tcW w:w="1674" w:type="pct"/>
                  <w:vAlign w:val="center"/>
                </w:tcPr>
                <w:p w14:paraId="135C361D">
                  <w:pPr>
                    <w:pStyle w:val="139"/>
                    <w:rPr>
                      <w:color w:val="auto"/>
                    </w:rPr>
                  </w:pPr>
                  <w:r>
                    <w:rPr>
                      <w:rFonts w:hint="eastAsia"/>
                      <w:color w:val="auto"/>
                    </w:rPr>
                    <w:t>二级活性炭吸附装置</w:t>
                  </w:r>
                </w:p>
              </w:tc>
              <w:tc>
                <w:tcPr>
                  <w:tcW w:w="1551" w:type="pct"/>
                  <w:vAlign w:val="center"/>
                </w:tcPr>
                <w:p w14:paraId="07859C13">
                  <w:pPr>
                    <w:pStyle w:val="139"/>
                    <w:rPr>
                      <w:color w:val="auto"/>
                    </w:rPr>
                  </w:pPr>
                  <w:r>
                    <w:rPr>
                      <w:rFonts w:hint="eastAsia"/>
                      <w:color w:val="auto"/>
                    </w:rPr>
                    <w:t>无</w:t>
                  </w:r>
                </w:p>
              </w:tc>
            </w:tr>
            <w:tr w14:paraId="4BD2D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65391E6C">
                  <w:pPr>
                    <w:pStyle w:val="139"/>
                    <w:rPr>
                      <w:color w:val="auto"/>
                    </w:rPr>
                  </w:pPr>
                  <w:r>
                    <w:rPr>
                      <w:rFonts w:hint="eastAsia"/>
                      <w:color w:val="auto"/>
                    </w:rPr>
                    <w:t>处理效率%</w:t>
                  </w:r>
                </w:p>
              </w:tc>
              <w:tc>
                <w:tcPr>
                  <w:tcW w:w="1674" w:type="pct"/>
                  <w:vAlign w:val="center"/>
                </w:tcPr>
                <w:p w14:paraId="15105C39">
                  <w:pPr>
                    <w:pStyle w:val="139"/>
                    <w:rPr>
                      <w:color w:val="auto"/>
                      <w:u w:val="single"/>
                    </w:rPr>
                  </w:pPr>
                  <w:r>
                    <w:rPr>
                      <w:rFonts w:hint="eastAsia"/>
                      <w:color w:val="auto"/>
                      <w:u w:val="single"/>
                    </w:rPr>
                    <w:t>90</w:t>
                  </w:r>
                </w:p>
              </w:tc>
              <w:tc>
                <w:tcPr>
                  <w:tcW w:w="1551" w:type="pct"/>
                  <w:vAlign w:val="center"/>
                </w:tcPr>
                <w:p w14:paraId="4A8996B7">
                  <w:pPr>
                    <w:pStyle w:val="139"/>
                    <w:rPr>
                      <w:color w:val="auto"/>
                      <w:u w:val="single"/>
                    </w:rPr>
                  </w:pPr>
                  <w:r>
                    <w:rPr>
                      <w:rFonts w:hint="eastAsia"/>
                      <w:color w:val="auto"/>
                      <w:u w:val="single"/>
                    </w:rPr>
                    <w:t>/</w:t>
                  </w:r>
                </w:p>
              </w:tc>
            </w:tr>
            <w:tr w14:paraId="75329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774" w:type="pct"/>
                  <w:vAlign w:val="center"/>
                </w:tcPr>
                <w:p w14:paraId="44E3FBFE">
                  <w:pPr>
                    <w:pStyle w:val="139"/>
                    <w:rPr>
                      <w:color w:val="auto"/>
                    </w:rPr>
                  </w:pPr>
                  <w:r>
                    <w:rPr>
                      <w:rFonts w:hint="eastAsia"/>
                      <w:color w:val="auto"/>
                    </w:rPr>
                    <w:t>排放量t/a</w:t>
                  </w:r>
                </w:p>
              </w:tc>
              <w:tc>
                <w:tcPr>
                  <w:tcW w:w="1674" w:type="pct"/>
                  <w:vAlign w:val="center"/>
                </w:tcPr>
                <w:p w14:paraId="74096012">
                  <w:pPr>
                    <w:pStyle w:val="139"/>
                    <w:rPr>
                      <w:rFonts w:hint="default" w:eastAsia="宋体"/>
                      <w:color w:val="auto"/>
                      <w:u w:val="single"/>
                      <w:lang w:val="en-US" w:eastAsia="zh-CN"/>
                    </w:rPr>
                  </w:pPr>
                  <w:r>
                    <w:rPr>
                      <w:rFonts w:hint="eastAsia"/>
                      <w:color w:val="auto"/>
                      <w:u w:val="single"/>
                      <w:lang w:val="en-US" w:eastAsia="zh-CN"/>
                    </w:rPr>
                    <w:t>0.544</w:t>
                  </w:r>
                </w:p>
              </w:tc>
              <w:tc>
                <w:tcPr>
                  <w:tcW w:w="1551" w:type="pct"/>
                  <w:shd w:val="clear" w:color="auto" w:fill="auto"/>
                  <w:vAlign w:val="center"/>
                </w:tcPr>
                <w:p w14:paraId="2A24B8AD">
                  <w:pPr>
                    <w:pStyle w:val="139"/>
                    <w:rPr>
                      <w:rFonts w:hint="default" w:ascii="Times New Roman" w:hAnsi="Times New Roman" w:eastAsia="宋体" w:cs="宋体"/>
                      <w:color w:val="auto"/>
                      <w:sz w:val="21"/>
                      <w:szCs w:val="24"/>
                      <w:u w:val="single"/>
                      <w:lang w:val="en-US" w:eastAsia="zh-CN" w:bidi="ar-SA"/>
                    </w:rPr>
                  </w:pPr>
                  <w:r>
                    <w:rPr>
                      <w:rFonts w:hint="eastAsia"/>
                      <w:color w:val="auto"/>
                      <w:u w:val="single"/>
                      <w:lang w:val="en-US" w:eastAsia="zh-CN"/>
                    </w:rPr>
                    <w:t>2.333</w:t>
                  </w:r>
                </w:p>
              </w:tc>
            </w:tr>
            <w:tr w14:paraId="7536A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6A31DEBE">
                  <w:pPr>
                    <w:pStyle w:val="139"/>
                    <w:rPr>
                      <w:color w:val="auto"/>
                    </w:rPr>
                  </w:pPr>
                  <w:r>
                    <w:rPr>
                      <w:rFonts w:hint="eastAsia"/>
                      <w:color w:val="auto"/>
                    </w:rPr>
                    <w:t>排放速率kg/h</w:t>
                  </w:r>
                </w:p>
              </w:tc>
              <w:tc>
                <w:tcPr>
                  <w:tcW w:w="1674" w:type="pct"/>
                  <w:vAlign w:val="center"/>
                </w:tcPr>
                <w:p w14:paraId="7FA2833F">
                  <w:pPr>
                    <w:pStyle w:val="139"/>
                    <w:rPr>
                      <w:rFonts w:hint="default" w:eastAsia="宋体"/>
                      <w:color w:val="auto"/>
                      <w:u w:val="single"/>
                      <w:lang w:val="en-US" w:eastAsia="zh-CN"/>
                    </w:rPr>
                  </w:pPr>
                  <w:r>
                    <w:rPr>
                      <w:rFonts w:hint="eastAsia"/>
                      <w:color w:val="auto"/>
                      <w:u w:val="single"/>
                      <w:lang w:val="en-US" w:eastAsia="zh-CN"/>
                    </w:rPr>
                    <w:t>0.076</w:t>
                  </w:r>
                </w:p>
              </w:tc>
              <w:tc>
                <w:tcPr>
                  <w:tcW w:w="1551" w:type="pct"/>
                  <w:shd w:val="clear" w:color="auto" w:fill="auto"/>
                  <w:vAlign w:val="center"/>
                </w:tcPr>
                <w:p w14:paraId="4A4FF14D">
                  <w:pPr>
                    <w:pStyle w:val="139"/>
                    <w:rPr>
                      <w:rFonts w:hint="default" w:ascii="Times New Roman" w:hAnsi="Times New Roman" w:eastAsia="宋体" w:cs="宋体"/>
                      <w:color w:val="auto"/>
                      <w:sz w:val="21"/>
                      <w:szCs w:val="24"/>
                      <w:u w:val="single"/>
                      <w:lang w:val="en-US" w:eastAsia="zh-CN" w:bidi="ar-SA"/>
                    </w:rPr>
                  </w:pPr>
                  <w:r>
                    <w:rPr>
                      <w:rFonts w:hint="eastAsia"/>
                      <w:color w:val="auto"/>
                      <w:u w:val="single"/>
                      <w:lang w:val="en-US" w:eastAsia="zh-CN"/>
                    </w:rPr>
                    <w:t>0.324</w:t>
                  </w:r>
                </w:p>
              </w:tc>
            </w:tr>
            <w:tr w14:paraId="474EF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5AB31431">
                  <w:pPr>
                    <w:pStyle w:val="139"/>
                    <w:rPr>
                      <w:color w:val="auto"/>
                    </w:rPr>
                  </w:pPr>
                  <w:r>
                    <w:rPr>
                      <w:rFonts w:hint="eastAsia"/>
                      <w:color w:val="auto"/>
                    </w:rPr>
                    <w:t>排放浓度mg/m</w:t>
                  </w:r>
                  <w:r>
                    <w:rPr>
                      <w:rFonts w:hint="eastAsia"/>
                      <w:color w:val="auto"/>
                      <w:vertAlign w:val="superscript"/>
                    </w:rPr>
                    <w:t>3</w:t>
                  </w:r>
                </w:p>
              </w:tc>
              <w:tc>
                <w:tcPr>
                  <w:tcW w:w="1674" w:type="pct"/>
                  <w:vAlign w:val="center"/>
                </w:tcPr>
                <w:p w14:paraId="02DEE400">
                  <w:pPr>
                    <w:pStyle w:val="139"/>
                    <w:rPr>
                      <w:rFonts w:hint="default" w:eastAsia="宋体"/>
                      <w:color w:val="auto"/>
                      <w:u w:val="single"/>
                      <w:lang w:val="en-US" w:eastAsia="zh-CN"/>
                    </w:rPr>
                  </w:pPr>
                  <w:r>
                    <w:rPr>
                      <w:rFonts w:hint="eastAsia"/>
                      <w:color w:val="auto"/>
                      <w:u w:val="single"/>
                      <w:lang w:val="en-US" w:eastAsia="zh-CN"/>
                    </w:rPr>
                    <w:t>5.04</w:t>
                  </w:r>
                </w:p>
              </w:tc>
              <w:tc>
                <w:tcPr>
                  <w:tcW w:w="1551" w:type="pct"/>
                  <w:vAlign w:val="center"/>
                </w:tcPr>
                <w:p w14:paraId="2AE892B7">
                  <w:pPr>
                    <w:pStyle w:val="139"/>
                    <w:rPr>
                      <w:color w:val="auto"/>
                      <w:u w:val="single"/>
                    </w:rPr>
                  </w:pPr>
                  <w:r>
                    <w:rPr>
                      <w:color w:val="auto"/>
                      <w:u w:val="single"/>
                    </w:rPr>
                    <w:t>/</w:t>
                  </w:r>
                </w:p>
              </w:tc>
            </w:tr>
            <w:tr w14:paraId="6D4C7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pct"/>
                  <w:vAlign w:val="center"/>
                </w:tcPr>
                <w:p w14:paraId="025BCF3F">
                  <w:pPr>
                    <w:pStyle w:val="139"/>
                    <w:rPr>
                      <w:color w:val="auto"/>
                    </w:rPr>
                  </w:pPr>
                  <w:r>
                    <w:rPr>
                      <w:rFonts w:hint="eastAsia"/>
                      <w:color w:val="auto"/>
                    </w:rPr>
                    <w:t>合计排放量t/a</w:t>
                  </w:r>
                </w:p>
              </w:tc>
              <w:tc>
                <w:tcPr>
                  <w:tcW w:w="3225" w:type="pct"/>
                  <w:gridSpan w:val="2"/>
                  <w:vAlign w:val="center"/>
                </w:tcPr>
                <w:p w14:paraId="6B617DCC">
                  <w:pPr>
                    <w:pStyle w:val="139"/>
                    <w:rPr>
                      <w:rFonts w:hint="default" w:eastAsia="宋体"/>
                      <w:color w:val="auto"/>
                      <w:u w:val="single"/>
                      <w:lang w:val="en-US" w:eastAsia="zh-CN"/>
                    </w:rPr>
                  </w:pPr>
                  <w:r>
                    <w:rPr>
                      <w:rFonts w:hint="eastAsia"/>
                      <w:color w:val="auto"/>
                      <w:u w:val="single"/>
                      <w:lang w:val="en-US" w:eastAsia="zh-CN"/>
                    </w:rPr>
                    <w:t>2.877</w:t>
                  </w:r>
                </w:p>
              </w:tc>
            </w:tr>
          </w:tbl>
          <w:p w14:paraId="017B06C6">
            <w:pPr>
              <w:pStyle w:val="138"/>
              <w:ind w:firstLine="480"/>
              <w:rPr>
                <w:color w:val="auto"/>
              </w:rPr>
            </w:pPr>
            <w:r>
              <w:rPr>
                <w:rFonts w:hint="eastAsia"/>
                <w:color w:val="auto"/>
              </w:rPr>
              <w:t>项目注塑废气采用活性炭吸附装置处理后通过</w:t>
            </w:r>
            <w:r>
              <w:rPr>
                <w:rFonts w:hint="eastAsia"/>
                <w:color w:val="auto"/>
                <w:lang w:eastAsia="zh-CN"/>
              </w:rPr>
              <w:t>20m</w:t>
            </w:r>
            <w:r>
              <w:rPr>
                <w:rFonts w:hint="eastAsia"/>
                <w:color w:val="auto"/>
              </w:rPr>
              <w:t>高DA001排气筒排放，项目废气排放口基本情况详见表4-2。</w:t>
            </w:r>
          </w:p>
          <w:p w14:paraId="09A13ECF">
            <w:pPr>
              <w:adjustRightInd w:val="0"/>
              <w:snapToGrid w:val="0"/>
              <w:spacing w:line="240" w:lineRule="auto"/>
              <w:ind w:firstLine="422" w:firstLineChars="200"/>
              <w:jc w:val="center"/>
              <w:rPr>
                <w:b/>
                <w:bCs/>
                <w:color w:val="auto"/>
                <w:sz w:val="21"/>
                <w:szCs w:val="21"/>
              </w:rPr>
            </w:pPr>
            <w:r>
              <w:rPr>
                <w:b/>
                <w:bCs/>
                <w:color w:val="auto"/>
                <w:sz w:val="21"/>
                <w:szCs w:val="21"/>
              </w:rPr>
              <w:t>表4-</w:t>
            </w:r>
            <w:r>
              <w:rPr>
                <w:rFonts w:hint="eastAsia"/>
                <w:b/>
                <w:bCs/>
                <w:color w:val="auto"/>
                <w:sz w:val="21"/>
                <w:szCs w:val="21"/>
              </w:rPr>
              <w:t>2</w:t>
            </w:r>
            <w:r>
              <w:rPr>
                <w:b/>
                <w:bCs/>
                <w:color w:val="auto"/>
                <w:sz w:val="21"/>
                <w:szCs w:val="21"/>
              </w:rPr>
              <w:t xml:space="preserve">  项目废气排气口一览表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900"/>
              <w:gridCol w:w="675"/>
              <w:gridCol w:w="924"/>
              <w:gridCol w:w="922"/>
              <w:gridCol w:w="767"/>
              <w:gridCol w:w="619"/>
              <w:gridCol w:w="462"/>
              <w:gridCol w:w="657"/>
              <w:gridCol w:w="1895"/>
            </w:tblGrid>
            <w:tr w14:paraId="2473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vMerge w:val="restart"/>
                  <w:tcMar>
                    <w:top w:w="0" w:type="dxa"/>
                    <w:left w:w="0" w:type="dxa"/>
                    <w:bottom w:w="0" w:type="dxa"/>
                    <w:right w:w="0" w:type="dxa"/>
                  </w:tcMar>
                  <w:vAlign w:val="center"/>
                </w:tcPr>
                <w:p w14:paraId="16A5162E">
                  <w:pPr>
                    <w:pStyle w:val="111"/>
                    <w:adjustRightInd w:val="0"/>
                    <w:snapToGrid w:val="0"/>
                    <w:spacing w:line="260" w:lineRule="exact"/>
                    <w:rPr>
                      <w:b/>
                      <w:bCs/>
                      <w:color w:val="auto"/>
                      <w:szCs w:val="21"/>
                    </w:rPr>
                  </w:pPr>
                  <w:r>
                    <w:rPr>
                      <w:b/>
                      <w:bCs/>
                      <w:color w:val="auto"/>
                      <w:szCs w:val="21"/>
                    </w:rPr>
                    <w:t>名称</w:t>
                  </w:r>
                </w:p>
              </w:tc>
              <w:tc>
                <w:tcPr>
                  <w:tcW w:w="532" w:type="pct"/>
                  <w:vMerge w:val="restart"/>
                  <w:tcMar>
                    <w:top w:w="0" w:type="dxa"/>
                    <w:left w:w="0" w:type="dxa"/>
                    <w:bottom w:w="0" w:type="dxa"/>
                    <w:right w:w="0" w:type="dxa"/>
                  </w:tcMar>
                  <w:vAlign w:val="center"/>
                </w:tcPr>
                <w:p w14:paraId="1479D715">
                  <w:pPr>
                    <w:pStyle w:val="111"/>
                    <w:adjustRightInd w:val="0"/>
                    <w:snapToGrid w:val="0"/>
                    <w:spacing w:line="260" w:lineRule="exact"/>
                    <w:rPr>
                      <w:b/>
                      <w:bCs/>
                      <w:color w:val="auto"/>
                      <w:szCs w:val="21"/>
                    </w:rPr>
                  </w:pPr>
                  <w:r>
                    <w:rPr>
                      <w:b/>
                      <w:bCs/>
                      <w:color w:val="auto"/>
                      <w:szCs w:val="21"/>
                    </w:rPr>
                    <w:t>污染物</w:t>
                  </w:r>
                </w:p>
              </w:tc>
              <w:tc>
                <w:tcPr>
                  <w:tcW w:w="399" w:type="pct"/>
                  <w:vMerge w:val="restart"/>
                  <w:tcMar>
                    <w:top w:w="0" w:type="dxa"/>
                    <w:left w:w="0" w:type="dxa"/>
                    <w:bottom w:w="0" w:type="dxa"/>
                    <w:right w:w="0" w:type="dxa"/>
                  </w:tcMar>
                  <w:vAlign w:val="center"/>
                </w:tcPr>
                <w:p w14:paraId="7F8EB290">
                  <w:pPr>
                    <w:pStyle w:val="111"/>
                    <w:adjustRightInd w:val="0"/>
                    <w:snapToGrid w:val="0"/>
                    <w:spacing w:line="260" w:lineRule="exact"/>
                    <w:rPr>
                      <w:b/>
                      <w:bCs/>
                      <w:color w:val="auto"/>
                      <w:szCs w:val="21"/>
                    </w:rPr>
                  </w:pPr>
                  <w:r>
                    <w:rPr>
                      <w:b/>
                      <w:bCs/>
                      <w:color w:val="auto"/>
                      <w:szCs w:val="21"/>
                    </w:rPr>
                    <w:t>治理措施</w:t>
                  </w:r>
                </w:p>
              </w:tc>
              <w:tc>
                <w:tcPr>
                  <w:tcW w:w="546" w:type="pct"/>
                  <w:vMerge w:val="restart"/>
                  <w:tcMar>
                    <w:top w:w="0" w:type="dxa"/>
                    <w:left w:w="0" w:type="dxa"/>
                    <w:bottom w:w="0" w:type="dxa"/>
                    <w:right w:w="0" w:type="dxa"/>
                  </w:tcMar>
                  <w:vAlign w:val="center"/>
                </w:tcPr>
                <w:p w14:paraId="14D26DBF">
                  <w:pPr>
                    <w:pStyle w:val="111"/>
                    <w:adjustRightInd w:val="0"/>
                    <w:snapToGrid w:val="0"/>
                    <w:spacing w:line="260" w:lineRule="exact"/>
                    <w:rPr>
                      <w:b/>
                      <w:bCs/>
                      <w:color w:val="auto"/>
                      <w:szCs w:val="21"/>
                    </w:rPr>
                  </w:pPr>
                  <w:r>
                    <w:rPr>
                      <w:rFonts w:hint="eastAsia"/>
                      <w:b/>
                      <w:bCs/>
                      <w:color w:val="auto"/>
                      <w:szCs w:val="21"/>
                    </w:rPr>
                    <w:t>风机风量（m</w:t>
                  </w:r>
                  <w:r>
                    <w:rPr>
                      <w:rFonts w:hint="eastAsia"/>
                      <w:b/>
                      <w:bCs/>
                      <w:color w:val="auto"/>
                      <w:szCs w:val="21"/>
                      <w:vertAlign w:val="superscript"/>
                    </w:rPr>
                    <w:t>3</w:t>
                  </w:r>
                  <w:r>
                    <w:rPr>
                      <w:rFonts w:hint="eastAsia"/>
                      <w:b/>
                      <w:bCs/>
                      <w:color w:val="auto"/>
                      <w:szCs w:val="21"/>
                    </w:rPr>
                    <w:t>/h）</w:t>
                  </w:r>
                </w:p>
              </w:tc>
              <w:tc>
                <w:tcPr>
                  <w:tcW w:w="998" w:type="pct"/>
                  <w:gridSpan w:val="2"/>
                  <w:tcMar>
                    <w:top w:w="0" w:type="dxa"/>
                    <w:left w:w="0" w:type="dxa"/>
                    <w:bottom w:w="0" w:type="dxa"/>
                    <w:right w:w="0" w:type="dxa"/>
                  </w:tcMar>
                  <w:vAlign w:val="center"/>
                </w:tcPr>
                <w:p w14:paraId="17E9B0DF">
                  <w:pPr>
                    <w:pStyle w:val="111"/>
                    <w:adjustRightInd w:val="0"/>
                    <w:snapToGrid w:val="0"/>
                    <w:spacing w:line="260" w:lineRule="exact"/>
                    <w:rPr>
                      <w:b/>
                      <w:bCs/>
                      <w:color w:val="auto"/>
                      <w:szCs w:val="21"/>
                    </w:rPr>
                  </w:pPr>
                  <w:r>
                    <w:rPr>
                      <w:b/>
                      <w:bCs/>
                      <w:color w:val="auto"/>
                      <w:szCs w:val="21"/>
                    </w:rPr>
                    <w:t>排放口地理坐标</w:t>
                  </w:r>
                </w:p>
              </w:tc>
              <w:tc>
                <w:tcPr>
                  <w:tcW w:w="366" w:type="pct"/>
                  <w:vMerge w:val="restart"/>
                  <w:tcMar>
                    <w:top w:w="0" w:type="dxa"/>
                    <w:left w:w="0" w:type="dxa"/>
                    <w:bottom w:w="0" w:type="dxa"/>
                    <w:right w:w="0" w:type="dxa"/>
                  </w:tcMar>
                  <w:vAlign w:val="center"/>
                </w:tcPr>
                <w:p w14:paraId="290C8665">
                  <w:pPr>
                    <w:pStyle w:val="111"/>
                    <w:adjustRightInd w:val="0"/>
                    <w:snapToGrid w:val="0"/>
                    <w:spacing w:line="260" w:lineRule="exact"/>
                    <w:rPr>
                      <w:b/>
                      <w:bCs/>
                      <w:color w:val="auto"/>
                      <w:szCs w:val="21"/>
                    </w:rPr>
                  </w:pPr>
                  <w:r>
                    <w:rPr>
                      <w:b/>
                      <w:bCs/>
                      <w:color w:val="auto"/>
                      <w:szCs w:val="21"/>
                    </w:rPr>
                    <w:t>高度</w:t>
                  </w:r>
                  <w:r>
                    <w:rPr>
                      <w:rFonts w:hint="eastAsia"/>
                      <w:b/>
                      <w:bCs/>
                      <w:color w:val="auto"/>
                      <w:szCs w:val="21"/>
                    </w:rPr>
                    <w:t>（m）</w:t>
                  </w:r>
                </w:p>
              </w:tc>
              <w:tc>
                <w:tcPr>
                  <w:tcW w:w="273" w:type="pct"/>
                  <w:vMerge w:val="restart"/>
                  <w:tcMar>
                    <w:top w:w="0" w:type="dxa"/>
                    <w:left w:w="0" w:type="dxa"/>
                    <w:bottom w:w="0" w:type="dxa"/>
                    <w:right w:w="0" w:type="dxa"/>
                  </w:tcMar>
                  <w:vAlign w:val="center"/>
                </w:tcPr>
                <w:p w14:paraId="2E112679">
                  <w:pPr>
                    <w:pStyle w:val="111"/>
                    <w:adjustRightInd w:val="0"/>
                    <w:snapToGrid w:val="0"/>
                    <w:spacing w:line="260" w:lineRule="exact"/>
                    <w:rPr>
                      <w:b/>
                      <w:bCs/>
                      <w:color w:val="auto"/>
                      <w:szCs w:val="21"/>
                    </w:rPr>
                  </w:pPr>
                  <w:r>
                    <w:rPr>
                      <w:b/>
                      <w:bCs/>
                      <w:color w:val="auto"/>
                      <w:szCs w:val="21"/>
                    </w:rPr>
                    <w:t>内径</w:t>
                  </w:r>
                  <w:r>
                    <w:rPr>
                      <w:rStyle w:val="31"/>
                      <w:rFonts w:hint="eastAsia"/>
                      <w:b/>
                      <w:bCs/>
                      <w:color w:val="auto"/>
                      <w:szCs w:val="21"/>
                    </w:rPr>
                    <w:t>(m)</w:t>
                  </w:r>
                </w:p>
              </w:tc>
              <w:tc>
                <w:tcPr>
                  <w:tcW w:w="388" w:type="pct"/>
                  <w:vMerge w:val="restart"/>
                  <w:tcMar>
                    <w:top w:w="0" w:type="dxa"/>
                    <w:left w:w="0" w:type="dxa"/>
                    <w:bottom w:w="0" w:type="dxa"/>
                    <w:right w:w="0" w:type="dxa"/>
                  </w:tcMar>
                  <w:vAlign w:val="center"/>
                </w:tcPr>
                <w:p w14:paraId="57D98B57">
                  <w:pPr>
                    <w:pStyle w:val="111"/>
                    <w:adjustRightInd w:val="0"/>
                    <w:snapToGrid w:val="0"/>
                    <w:spacing w:line="260" w:lineRule="exact"/>
                    <w:rPr>
                      <w:b/>
                      <w:bCs/>
                      <w:color w:val="auto"/>
                      <w:szCs w:val="21"/>
                    </w:rPr>
                  </w:pPr>
                  <w:r>
                    <w:rPr>
                      <w:b/>
                      <w:bCs/>
                      <w:color w:val="auto"/>
                      <w:szCs w:val="21"/>
                    </w:rPr>
                    <w:t>温度</w:t>
                  </w:r>
                  <w:r>
                    <w:rPr>
                      <w:rFonts w:hint="eastAsia"/>
                      <w:b/>
                      <w:bCs/>
                      <w:color w:val="auto"/>
                      <w:szCs w:val="21"/>
                    </w:rPr>
                    <w:t>（</w:t>
                  </w:r>
                  <w:r>
                    <w:rPr>
                      <w:rFonts w:hint="eastAsia" w:ascii="宋体" w:hAnsi="宋体" w:cs="宋体"/>
                      <w:b/>
                      <w:bCs/>
                      <w:color w:val="auto"/>
                      <w:szCs w:val="21"/>
                    </w:rPr>
                    <w:t>℃）</w:t>
                  </w:r>
                </w:p>
              </w:tc>
              <w:tc>
                <w:tcPr>
                  <w:tcW w:w="1120" w:type="pct"/>
                  <w:vMerge w:val="restart"/>
                  <w:tcMar>
                    <w:top w:w="0" w:type="dxa"/>
                    <w:left w:w="0" w:type="dxa"/>
                    <w:bottom w:w="0" w:type="dxa"/>
                    <w:right w:w="0" w:type="dxa"/>
                  </w:tcMar>
                  <w:vAlign w:val="center"/>
                </w:tcPr>
                <w:p w14:paraId="5F6DA7A8">
                  <w:pPr>
                    <w:pStyle w:val="111"/>
                    <w:adjustRightInd w:val="0"/>
                    <w:snapToGrid w:val="0"/>
                    <w:spacing w:line="260" w:lineRule="exact"/>
                    <w:rPr>
                      <w:b/>
                      <w:bCs/>
                      <w:color w:val="auto"/>
                      <w:szCs w:val="21"/>
                    </w:rPr>
                  </w:pPr>
                  <w:r>
                    <w:rPr>
                      <w:b/>
                      <w:bCs/>
                      <w:color w:val="auto"/>
                      <w:szCs w:val="21"/>
                    </w:rPr>
                    <w:t>排放标准</w:t>
                  </w:r>
                </w:p>
              </w:tc>
            </w:tr>
            <w:tr w14:paraId="5DC9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vMerge w:val="continue"/>
                  <w:tcMar>
                    <w:top w:w="0" w:type="dxa"/>
                    <w:left w:w="0" w:type="dxa"/>
                    <w:bottom w:w="0" w:type="dxa"/>
                    <w:right w:w="0" w:type="dxa"/>
                  </w:tcMar>
                  <w:vAlign w:val="center"/>
                </w:tcPr>
                <w:p w14:paraId="783C5D43">
                  <w:pPr>
                    <w:pStyle w:val="111"/>
                    <w:adjustRightInd w:val="0"/>
                    <w:snapToGrid w:val="0"/>
                    <w:spacing w:line="260" w:lineRule="exact"/>
                    <w:rPr>
                      <w:b/>
                      <w:bCs/>
                      <w:color w:val="auto"/>
                      <w:szCs w:val="21"/>
                    </w:rPr>
                  </w:pPr>
                </w:p>
              </w:tc>
              <w:tc>
                <w:tcPr>
                  <w:tcW w:w="532" w:type="pct"/>
                  <w:vMerge w:val="continue"/>
                  <w:tcMar>
                    <w:top w:w="0" w:type="dxa"/>
                    <w:left w:w="0" w:type="dxa"/>
                    <w:bottom w:w="0" w:type="dxa"/>
                    <w:right w:w="0" w:type="dxa"/>
                  </w:tcMar>
                  <w:vAlign w:val="center"/>
                </w:tcPr>
                <w:p w14:paraId="3F8ABF10">
                  <w:pPr>
                    <w:pStyle w:val="111"/>
                    <w:adjustRightInd w:val="0"/>
                    <w:snapToGrid w:val="0"/>
                    <w:spacing w:line="260" w:lineRule="exact"/>
                    <w:rPr>
                      <w:b/>
                      <w:bCs/>
                      <w:color w:val="auto"/>
                      <w:szCs w:val="21"/>
                    </w:rPr>
                  </w:pPr>
                </w:p>
              </w:tc>
              <w:tc>
                <w:tcPr>
                  <w:tcW w:w="399" w:type="pct"/>
                  <w:vMerge w:val="continue"/>
                  <w:tcMar>
                    <w:top w:w="0" w:type="dxa"/>
                    <w:left w:w="0" w:type="dxa"/>
                    <w:bottom w:w="0" w:type="dxa"/>
                    <w:right w:w="0" w:type="dxa"/>
                  </w:tcMar>
                  <w:vAlign w:val="center"/>
                </w:tcPr>
                <w:p w14:paraId="55A0E287">
                  <w:pPr>
                    <w:pStyle w:val="111"/>
                    <w:adjustRightInd w:val="0"/>
                    <w:snapToGrid w:val="0"/>
                    <w:spacing w:line="260" w:lineRule="exact"/>
                    <w:rPr>
                      <w:b/>
                      <w:bCs/>
                      <w:color w:val="auto"/>
                      <w:szCs w:val="21"/>
                    </w:rPr>
                  </w:pPr>
                </w:p>
              </w:tc>
              <w:tc>
                <w:tcPr>
                  <w:tcW w:w="546" w:type="pct"/>
                  <w:vMerge w:val="continue"/>
                  <w:tcMar>
                    <w:top w:w="0" w:type="dxa"/>
                    <w:left w:w="0" w:type="dxa"/>
                    <w:bottom w:w="0" w:type="dxa"/>
                    <w:right w:w="0" w:type="dxa"/>
                  </w:tcMar>
                  <w:vAlign w:val="center"/>
                </w:tcPr>
                <w:p w14:paraId="270A48AC">
                  <w:pPr>
                    <w:pStyle w:val="111"/>
                    <w:adjustRightInd w:val="0"/>
                    <w:snapToGrid w:val="0"/>
                    <w:spacing w:line="260" w:lineRule="exact"/>
                    <w:rPr>
                      <w:b/>
                      <w:bCs/>
                      <w:color w:val="auto"/>
                      <w:szCs w:val="21"/>
                    </w:rPr>
                  </w:pPr>
                </w:p>
              </w:tc>
              <w:tc>
                <w:tcPr>
                  <w:tcW w:w="545" w:type="pct"/>
                  <w:tcMar>
                    <w:top w:w="0" w:type="dxa"/>
                    <w:left w:w="0" w:type="dxa"/>
                    <w:bottom w:w="0" w:type="dxa"/>
                    <w:right w:w="0" w:type="dxa"/>
                  </w:tcMar>
                  <w:vAlign w:val="center"/>
                </w:tcPr>
                <w:p w14:paraId="55386281">
                  <w:pPr>
                    <w:pStyle w:val="111"/>
                    <w:adjustRightInd w:val="0"/>
                    <w:snapToGrid w:val="0"/>
                    <w:spacing w:line="260" w:lineRule="exact"/>
                    <w:rPr>
                      <w:b/>
                      <w:bCs/>
                      <w:color w:val="auto"/>
                      <w:szCs w:val="21"/>
                    </w:rPr>
                  </w:pPr>
                  <w:r>
                    <w:rPr>
                      <w:b/>
                      <w:bCs/>
                      <w:color w:val="auto"/>
                      <w:szCs w:val="21"/>
                    </w:rPr>
                    <w:t>经度</w:t>
                  </w:r>
                </w:p>
              </w:tc>
              <w:tc>
                <w:tcPr>
                  <w:tcW w:w="453" w:type="pct"/>
                  <w:tcMar>
                    <w:top w:w="0" w:type="dxa"/>
                    <w:left w:w="0" w:type="dxa"/>
                    <w:bottom w:w="0" w:type="dxa"/>
                    <w:right w:w="0" w:type="dxa"/>
                  </w:tcMar>
                  <w:vAlign w:val="center"/>
                </w:tcPr>
                <w:p w14:paraId="16D5E275">
                  <w:pPr>
                    <w:pStyle w:val="111"/>
                    <w:adjustRightInd w:val="0"/>
                    <w:snapToGrid w:val="0"/>
                    <w:spacing w:line="260" w:lineRule="exact"/>
                    <w:rPr>
                      <w:b/>
                      <w:bCs/>
                      <w:color w:val="auto"/>
                      <w:szCs w:val="21"/>
                    </w:rPr>
                  </w:pPr>
                  <w:r>
                    <w:rPr>
                      <w:b/>
                      <w:bCs/>
                      <w:color w:val="auto"/>
                      <w:szCs w:val="21"/>
                    </w:rPr>
                    <w:t>纬度</w:t>
                  </w:r>
                </w:p>
              </w:tc>
              <w:tc>
                <w:tcPr>
                  <w:tcW w:w="366" w:type="pct"/>
                  <w:vMerge w:val="continue"/>
                  <w:tcMar>
                    <w:top w:w="0" w:type="dxa"/>
                    <w:left w:w="0" w:type="dxa"/>
                    <w:bottom w:w="0" w:type="dxa"/>
                    <w:right w:w="0" w:type="dxa"/>
                  </w:tcMar>
                  <w:vAlign w:val="center"/>
                </w:tcPr>
                <w:p w14:paraId="07E520B8">
                  <w:pPr>
                    <w:pStyle w:val="111"/>
                    <w:adjustRightInd w:val="0"/>
                    <w:snapToGrid w:val="0"/>
                    <w:spacing w:line="260" w:lineRule="exact"/>
                    <w:rPr>
                      <w:b/>
                      <w:bCs/>
                      <w:color w:val="auto"/>
                      <w:szCs w:val="21"/>
                    </w:rPr>
                  </w:pPr>
                </w:p>
              </w:tc>
              <w:tc>
                <w:tcPr>
                  <w:tcW w:w="273" w:type="pct"/>
                  <w:vMerge w:val="continue"/>
                  <w:tcMar>
                    <w:top w:w="0" w:type="dxa"/>
                    <w:left w:w="0" w:type="dxa"/>
                    <w:bottom w:w="0" w:type="dxa"/>
                    <w:right w:w="0" w:type="dxa"/>
                  </w:tcMar>
                  <w:vAlign w:val="center"/>
                </w:tcPr>
                <w:p w14:paraId="5D85DF34">
                  <w:pPr>
                    <w:pStyle w:val="111"/>
                    <w:adjustRightInd w:val="0"/>
                    <w:snapToGrid w:val="0"/>
                    <w:spacing w:line="260" w:lineRule="exact"/>
                    <w:rPr>
                      <w:b/>
                      <w:bCs/>
                      <w:color w:val="auto"/>
                      <w:szCs w:val="21"/>
                    </w:rPr>
                  </w:pPr>
                </w:p>
              </w:tc>
              <w:tc>
                <w:tcPr>
                  <w:tcW w:w="388" w:type="pct"/>
                  <w:vMerge w:val="continue"/>
                  <w:tcMar>
                    <w:top w:w="0" w:type="dxa"/>
                    <w:left w:w="0" w:type="dxa"/>
                    <w:bottom w:w="0" w:type="dxa"/>
                    <w:right w:w="0" w:type="dxa"/>
                  </w:tcMar>
                  <w:vAlign w:val="center"/>
                </w:tcPr>
                <w:p w14:paraId="6258CC31">
                  <w:pPr>
                    <w:pStyle w:val="111"/>
                    <w:adjustRightInd w:val="0"/>
                    <w:snapToGrid w:val="0"/>
                    <w:spacing w:line="260" w:lineRule="exact"/>
                    <w:rPr>
                      <w:b/>
                      <w:bCs/>
                      <w:color w:val="auto"/>
                      <w:szCs w:val="21"/>
                    </w:rPr>
                  </w:pPr>
                </w:p>
              </w:tc>
              <w:tc>
                <w:tcPr>
                  <w:tcW w:w="1120" w:type="pct"/>
                  <w:vMerge w:val="continue"/>
                  <w:tcMar>
                    <w:top w:w="0" w:type="dxa"/>
                    <w:left w:w="0" w:type="dxa"/>
                    <w:bottom w:w="0" w:type="dxa"/>
                    <w:right w:w="0" w:type="dxa"/>
                  </w:tcMar>
                  <w:vAlign w:val="center"/>
                </w:tcPr>
                <w:p w14:paraId="4432B9C5">
                  <w:pPr>
                    <w:adjustRightInd w:val="0"/>
                    <w:snapToGrid w:val="0"/>
                    <w:spacing w:line="260" w:lineRule="exact"/>
                    <w:rPr>
                      <w:b/>
                      <w:bCs/>
                      <w:color w:val="auto"/>
                      <w:sz w:val="21"/>
                      <w:szCs w:val="21"/>
                    </w:rPr>
                  </w:pPr>
                </w:p>
              </w:tc>
            </w:tr>
            <w:tr w14:paraId="5ACC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74" w:type="pct"/>
                  <w:tcMar>
                    <w:top w:w="0" w:type="dxa"/>
                    <w:left w:w="0" w:type="dxa"/>
                    <w:bottom w:w="0" w:type="dxa"/>
                    <w:right w:w="0" w:type="dxa"/>
                  </w:tcMar>
                  <w:vAlign w:val="center"/>
                </w:tcPr>
                <w:p w14:paraId="4DAB7BF0">
                  <w:pPr>
                    <w:pStyle w:val="111"/>
                    <w:adjustRightInd w:val="0"/>
                    <w:snapToGrid w:val="0"/>
                    <w:spacing w:line="260" w:lineRule="exact"/>
                    <w:rPr>
                      <w:color w:val="auto"/>
                      <w:szCs w:val="21"/>
                    </w:rPr>
                  </w:pPr>
                  <w:r>
                    <w:rPr>
                      <w:rFonts w:hint="eastAsia"/>
                      <w:color w:val="auto"/>
                      <w:szCs w:val="21"/>
                    </w:rPr>
                    <w:t>D</w:t>
                  </w:r>
                  <w:r>
                    <w:rPr>
                      <w:color w:val="auto"/>
                      <w:szCs w:val="21"/>
                    </w:rPr>
                    <w:t>A001</w:t>
                  </w:r>
                  <w:r>
                    <w:rPr>
                      <w:rFonts w:hint="eastAsia"/>
                      <w:color w:val="auto"/>
                      <w:szCs w:val="21"/>
                    </w:rPr>
                    <w:t>排气筒</w:t>
                  </w:r>
                </w:p>
              </w:tc>
              <w:tc>
                <w:tcPr>
                  <w:tcW w:w="532" w:type="pct"/>
                  <w:tcMar>
                    <w:top w:w="0" w:type="dxa"/>
                    <w:left w:w="0" w:type="dxa"/>
                    <w:bottom w:w="0" w:type="dxa"/>
                    <w:right w:w="0" w:type="dxa"/>
                  </w:tcMar>
                  <w:vAlign w:val="center"/>
                </w:tcPr>
                <w:p w14:paraId="7D858C78">
                  <w:pPr>
                    <w:pStyle w:val="111"/>
                    <w:adjustRightInd w:val="0"/>
                    <w:snapToGrid w:val="0"/>
                    <w:spacing w:line="260" w:lineRule="exact"/>
                    <w:rPr>
                      <w:color w:val="auto"/>
                      <w:szCs w:val="21"/>
                    </w:rPr>
                  </w:pPr>
                  <w:r>
                    <w:rPr>
                      <w:rFonts w:hint="eastAsia"/>
                      <w:color w:val="auto"/>
                      <w:szCs w:val="21"/>
                    </w:rPr>
                    <w:t>非甲烷总烃</w:t>
                  </w:r>
                </w:p>
              </w:tc>
              <w:tc>
                <w:tcPr>
                  <w:tcW w:w="399" w:type="pct"/>
                  <w:tcMar>
                    <w:top w:w="0" w:type="dxa"/>
                    <w:left w:w="0" w:type="dxa"/>
                    <w:bottom w:w="0" w:type="dxa"/>
                    <w:right w:w="0" w:type="dxa"/>
                  </w:tcMar>
                  <w:vAlign w:val="center"/>
                </w:tcPr>
                <w:p w14:paraId="4154A2AB">
                  <w:pPr>
                    <w:widowControl/>
                    <w:adjustRightInd w:val="0"/>
                    <w:snapToGrid w:val="0"/>
                    <w:spacing w:line="260" w:lineRule="exact"/>
                    <w:jc w:val="center"/>
                    <w:textAlignment w:val="center"/>
                    <w:rPr>
                      <w:color w:val="auto"/>
                      <w:kern w:val="0"/>
                      <w:sz w:val="21"/>
                      <w:szCs w:val="21"/>
                      <w:lang w:bidi="ar"/>
                    </w:rPr>
                  </w:pPr>
                  <w:r>
                    <w:rPr>
                      <w:rFonts w:hint="eastAsia"/>
                      <w:color w:val="auto"/>
                      <w:kern w:val="0"/>
                      <w:sz w:val="21"/>
                      <w:szCs w:val="21"/>
                      <w:lang w:bidi="ar"/>
                    </w:rPr>
                    <w:t>二级活性炭</w:t>
                  </w:r>
                </w:p>
              </w:tc>
              <w:tc>
                <w:tcPr>
                  <w:tcW w:w="546" w:type="pct"/>
                  <w:tcMar>
                    <w:top w:w="0" w:type="dxa"/>
                    <w:left w:w="0" w:type="dxa"/>
                    <w:bottom w:w="0" w:type="dxa"/>
                    <w:right w:w="0" w:type="dxa"/>
                  </w:tcMar>
                  <w:vAlign w:val="center"/>
                </w:tcPr>
                <w:p w14:paraId="05F5215F">
                  <w:pPr>
                    <w:widowControl/>
                    <w:spacing w:line="260" w:lineRule="exact"/>
                    <w:jc w:val="center"/>
                    <w:textAlignment w:val="center"/>
                    <w:rPr>
                      <w:color w:val="auto"/>
                      <w:kern w:val="0"/>
                      <w:sz w:val="21"/>
                      <w:szCs w:val="21"/>
                      <w:lang w:bidi="ar"/>
                    </w:rPr>
                  </w:pPr>
                  <w:r>
                    <w:rPr>
                      <w:rFonts w:hint="eastAsia"/>
                      <w:color w:val="auto"/>
                      <w:kern w:val="0"/>
                      <w:sz w:val="21"/>
                      <w:szCs w:val="21"/>
                      <w:lang w:bidi="ar"/>
                    </w:rPr>
                    <w:t>15000</w:t>
                  </w:r>
                </w:p>
              </w:tc>
              <w:tc>
                <w:tcPr>
                  <w:tcW w:w="545" w:type="pct"/>
                  <w:tcMar>
                    <w:top w:w="0" w:type="dxa"/>
                    <w:left w:w="0" w:type="dxa"/>
                    <w:bottom w:w="0" w:type="dxa"/>
                    <w:right w:w="0" w:type="dxa"/>
                  </w:tcMar>
                  <w:vAlign w:val="center"/>
                </w:tcPr>
                <w:p w14:paraId="54217AB4">
                  <w:pPr>
                    <w:widowControl/>
                    <w:adjustRightInd w:val="0"/>
                    <w:snapToGrid w:val="0"/>
                    <w:spacing w:line="260" w:lineRule="exact"/>
                    <w:jc w:val="center"/>
                    <w:textAlignment w:val="center"/>
                    <w:rPr>
                      <w:color w:val="auto"/>
                      <w:kern w:val="0"/>
                      <w:sz w:val="21"/>
                      <w:szCs w:val="21"/>
                      <w:lang w:bidi="ar"/>
                    </w:rPr>
                  </w:pPr>
                  <w:r>
                    <w:rPr>
                      <w:rFonts w:hint="eastAsia"/>
                      <w:color w:val="auto"/>
                      <w:kern w:val="0"/>
                      <w:sz w:val="21"/>
                      <w:szCs w:val="21"/>
                      <w:lang w:bidi="ar"/>
                    </w:rPr>
                    <w:t>108.6852</w:t>
                  </w:r>
                </w:p>
              </w:tc>
              <w:tc>
                <w:tcPr>
                  <w:tcW w:w="453" w:type="pct"/>
                  <w:tcMar>
                    <w:top w:w="0" w:type="dxa"/>
                    <w:left w:w="0" w:type="dxa"/>
                    <w:bottom w:w="0" w:type="dxa"/>
                    <w:right w:w="0" w:type="dxa"/>
                  </w:tcMar>
                  <w:vAlign w:val="center"/>
                </w:tcPr>
                <w:p w14:paraId="16238958">
                  <w:pPr>
                    <w:widowControl/>
                    <w:adjustRightInd w:val="0"/>
                    <w:snapToGrid w:val="0"/>
                    <w:spacing w:line="260" w:lineRule="exact"/>
                    <w:jc w:val="center"/>
                    <w:textAlignment w:val="center"/>
                    <w:rPr>
                      <w:color w:val="auto"/>
                      <w:kern w:val="0"/>
                      <w:sz w:val="21"/>
                      <w:szCs w:val="21"/>
                      <w:lang w:bidi="ar"/>
                    </w:rPr>
                  </w:pPr>
                  <w:r>
                    <w:rPr>
                      <w:rFonts w:hint="eastAsia"/>
                      <w:color w:val="auto"/>
                      <w:kern w:val="0"/>
                      <w:sz w:val="21"/>
                      <w:szCs w:val="21"/>
                      <w:lang w:bidi="ar"/>
                    </w:rPr>
                    <w:t>21.7880</w:t>
                  </w:r>
                </w:p>
              </w:tc>
              <w:tc>
                <w:tcPr>
                  <w:tcW w:w="366" w:type="pct"/>
                  <w:tcMar>
                    <w:top w:w="0" w:type="dxa"/>
                    <w:left w:w="0" w:type="dxa"/>
                    <w:bottom w:w="0" w:type="dxa"/>
                    <w:right w:w="0" w:type="dxa"/>
                  </w:tcMar>
                  <w:vAlign w:val="center"/>
                </w:tcPr>
                <w:p w14:paraId="3E3EDCEE">
                  <w:pPr>
                    <w:pStyle w:val="111"/>
                    <w:adjustRightInd w:val="0"/>
                    <w:snapToGrid w:val="0"/>
                    <w:spacing w:line="260" w:lineRule="exact"/>
                    <w:rPr>
                      <w:color w:val="auto"/>
                      <w:szCs w:val="21"/>
                    </w:rPr>
                  </w:pPr>
                  <w:r>
                    <w:rPr>
                      <w:rFonts w:hint="eastAsia"/>
                      <w:color w:val="auto"/>
                      <w:szCs w:val="21"/>
                    </w:rPr>
                    <w:t>15</w:t>
                  </w:r>
                </w:p>
              </w:tc>
              <w:tc>
                <w:tcPr>
                  <w:tcW w:w="273" w:type="pct"/>
                  <w:tcMar>
                    <w:top w:w="0" w:type="dxa"/>
                    <w:left w:w="0" w:type="dxa"/>
                    <w:bottom w:w="0" w:type="dxa"/>
                    <w:right w:w="0" w:type="dxa"/>
                  </w:tcMar>
                  <w:vAlign w:val="center"/>
                </w:tcPr>
                <w:p w14:paraId="08F850C1">
                  <w:pPr>
                    <w:pStyle w:val="111"/>
                    <w:adjustRightInd w:val="0"/>
                    <w:snapToGrid w:val="0"/>
                    <w:spacing w:line="260" w:lineRule="exact"/>
                    <w:rPr>
                      <w:color w:val="auto"/>
                      <w:szCs w:val="21"/>
                    </w:rPr>
                  </w:pPr>
                  <w:r>
                    <w:rPr>
                      <w:rFonts w:hint="eastAsia"/>
                      <w:color w:val="auto"/>
                      <w:szCs w:val="21"/>
                    </w:rPr>
                    <w:t>0.6</w:t>
                  </w:r>
                </w:p>
              </w:tc>
              <w:tc>
                <w:tcPr>
                  <w:tcW w:w="388" w:type="pct"/>
                  <w:tcMar>
                    <w:top w:w="0" w:type="dxa"/>
                    <w:left w:w="0" w:type="dxa"/>
                    <w:bottom w:w="0" w:type="dxa"/>
                    <w:right w:w="0" w:type="dxa"/>
                  </w:tcMar>
                  <w:vAlign w:val="center"/>
                </w:tcPr>
                <w:p w14:paraId="17465315">
                  <w:pPr>
                    <w:adjustRightInd w:val="0"/>
                    <w:snapToGrid w:val="0"/>
                    <w:spacing w:line="260" w:lineRule="exact"/>
                    <w:jc w:val="center"/>
                    <w:rPr>
                      <w:color w:val="auto"/>
                      <w:sz w:val="21"/>
                      <w:szCs w:val="21"/>
                    </w:rPr>
                  </w:pPr>
                  <w:r>
                    <w:rPr>
                      <w:rFonts w:hint="eastAsia"/>
                      <w:color w:val="auto"/>
                      <w:sz w:val="21"/>
                      <w:szCs w:val="21"/>
                    </w:rPr>
                    <w:t>4</w:t>
                  </w:r>
                  <w:r>
                    <w:rPr>
                      <w:color w:val="auto"/>
                      <w:sz w:val="21"/>
                      <w:szCs w:val="21"/>
                    </w:rPr>
                    <w:t>0</w:t>
                  </w:r>
                </w:p>
              </w:tc>
              <w:tc>
                <w:tcPr>
                  <w:tcW w:w="1120" w:type="pct"/>
                  <w:tcMar>
                    <w:top w:w="0" w:type="dxa"/>
                    <w:left w:w="0" w:type="dxa"/>
                    <w:bottom w:w="0" w:type="dxa"/>
                    <w:right w:w="0" w:type="dxa"/>
                  </w:tcMar>
                  <w:vAlign w:val="center"/>
                </w:tcPr>
                <w:p w14:paraId="7A7D6C94">
                  <w:pPr>
                    <w:adjustRightInd w:val="0"/>
                    <w:snapToGrid w:val="0"/>
                    <w:spacing w:line="260" w:lineRule="exact"/>
                    <w:ind w:firstLine="2"/>
                    <w:jc w:val="left"/>
                    <w:rPr>
                      <w:color w:val="auto"/>
                      <w:spacing w:val="7"/>
                      <w:sz w:val="21"/>
                      <w:szCs w:val="21"/>
                    </w:rPr>
                  </w:pPr>
                  <w:r>
                    <w:rPr>
                      <w:color w:val="auto"/>
                      <w:spacing w:val="7"/>
                      <w:sz w:val="21"/>
                      <w:szCs w:val="21"/>
                    </w:rPr>
                    <w:t>《合成树脂工业污染物排放标准》(GB31572-2015)</w:t>
                  </w:r>
                  <w:r>
                    <w:rPr>
                      <w:rFonts w:hint="eastAsia"/>
                      <w:color w:val="auto"/>
                      <w:spacing w:val="7"/>
                      <w:sz w:val="21"/>
                      <w:szCs w:val="21"/>
                    </w:rPr>
                    <w:t>（含2024修改单）</w:t>
                  </w:r>
                </w:p>
              </w:tc>
            </w:tr>
          </w:tbl>
          <w:p w14:paraId="7DDA373B">
            <w:pPr>
              <w:pStyle w:val="138"/>
              <w:ind w:firstLine="480"/>
              <w:rPr>
                <w:rFonts w:hint="eastAsia" w:ascii="Times New Roman" w:hAnsi="Times New Roman"/>
                <w:b w:val="0"/>
                <w:bCs/>
                <w:color w:val="auto"/>
                <w:u w:val="single"/>
                <w:lang w:val="en-US" w:eastAsia="zh-CN"/>
              </w:rPr>
            </w:pPr>
            <w:r>
              <w:rPr>
                <w:rFonts w:hint="eastAsia" w:ascii="Times New Roman" w:hAnsi="Times New Roman"/>
                <w:b w:val="0"/>
                <w:bCs/>
                <w:color w:val="auto"/>
                <w:u w:val="single"/>
                <w:lang w:val="en-US" w:eastAsia="zh-CN"/>
              </w:rPr>
              <w:t>（3）</w:t>
            </w:r>
            <w:r>
              <w:rPr>
                <w:rFonts w:hint="eastAsia"/>
                <w:b w:val="0"/>
                <w:bCs/>
                <w:color w:val="auto"/>
                <w:u w:val="single"/>
                <w:lang w:val="en-US" w:eastAsia="zh-CN"/>
              </w:rPr>
              <w:t>恶臭</w:t>
            </w:r>
          </w:p>
          <w:p w14:paraId="44DA5989">
            <w:pPr>
              <w:pStyle w:val="138"/>
              <w:keepNext w:val="0"/>
              <w:keepLines w:val="0"/>
              <w:pageBreakBefore w:val="0"/>
              <w:kinsoku/>
              <w:wordWrap/>
              <w:overflowPunct/>
              <w:topLinePunct w:val="0"/>
              <w:autoSpaceDE/>
              <w:autoSpaceDN/>
              <w:bidi w:val="0"/>
              <w:spacing w:line="360" w:lineRule="auto"/>
              <w:ind w:firstLine="480"/>
              <w:textAlignment w:val="auto"/>
              <w:rPr>
                <w:rFonts w:hint="eastAsia"/>
                <w:color w:val="auto"/>
                <w:u w:val="single"/>
              </w:rPr>
            </w:pPr>
            <w:r>
              <w:rPr>
                <w:rFonts w:hint="eastAsia"/>
                <w:color w:val="auto"/>
                <w:u w:val="single"/>
              </w:rPr>
              <w:t>本项目在注塑过程中，会有少量</w:t>
            </w:r>
            <w:r>
              <w:rPr>
                <w:rFonts w:hint="eastAsia"/>
                <w:color w:val="auto"/>
                <w:u w:val="single"/>
                <w:lang w:eastAsia="zh-CN"/>
              </w:rPr>
              <w:t>异味</w:t>
            </w:r>
            <w:r>
              <w:rPr>
                <w:rFonts w:hint="eastAsia"/>
                <w:color w:val="auto"/>
                <w:u w:val="single"/>
              </w:rPr>
              <w:t>产生，此类物质含量较小，以臭气浓度为表征。</w:t>
            </w:r>
            <w:r>
              <w:rPr>
                <w:rFonts w:hint="eastAsia"/>
                <w:color w:val="auto"/>
                <w:u w:val="single"/>
                <w:lang w:eastAsia="zh-CN"/>
              </w:rPr>
              <w:t>该异味</w:t>
            </w:r>
            <w:r>
              <w:rPr>
                <w:rFonts w:hint="eastAsia"/>
                <w:color w:val="auto"/>
                <w:u w:val="single"/>
              </w:rPr>
              <w:t>聚集</w:t>
            </w:r>
            <w:r>
              <w:rPr>
                <w:rFonts w:hint="eastAsia"/>
                <w:color w:val="auto"/>
                <w:u w:val="single"/>
                <w:lang w:eastAsia="zh-CN"/>
              </w:rPr>
              <w:t>可能</w:t>
            </w:r>
            <w:r>
              <w:rPr>
                <w:rFonts w:hint="eastAsia"/>
                <w:color w:val="auto"/>
                <w:u w:val="single"/>
              </w:rPr>
              <w:t>会使人产生不愉快的感受，</w:t>
            </w:r>
            <w:r>
              <w:rPr>
                <w:rFonts w:hint="eastAsia"/>
                <w:color w:val="auto"/>
                <w:u w:val="single"/>
                <w:lang w:eastAsia="zh-CN"/>
              </w:rPr>
              <w:t>其逸出和扩散机理复杂，其异味可通过</w:t>
            </w:r>
            <w:r>
              <w:rPr>
                <w:rFonts w:hint="eastAsia"/>
                <w:color w:val="auto"/>
                <w:u w:val="single"/>
              </w:rPr>
              <w:t>加强车间通风换气</w:t>
            </w:r>
            <w:r>
              <w:rPr>
                <w:rFonts w:hint="eastAsia"/>
                <w:color w:val="auto"/>
                <w:u w:val="single"/>
                <w:lang w:eastAsia="zh-CN"/>
              </w:rPr>
              <w:t>有效处理；项目周边较为空阔，且绿化植被叫多，经有效扩散和植被吸附后，对环境影响不大</w:t>
            </w:r>
            <w:r>
              <w:rPr>
                <w:rFonts w:hint="eastAsia"/>
                <w:color w:val="auto"/>
                <w:u w:val="single"/>
              </w:rPr>
              <w:t>。</w:t>
            </w:r>
          </w:p>
          <w:p w14:paraId="4BA49325">
            <w:pPr>
              <w:pStyle w:val="141"/>
              <w:keepNext w:val="0"/>
              <w:keepLines w:val="0"/>
              <w:pageBreakBefore w:val="0"/>
              <w:kinsoku/>
              <w:wordWrap/>
              <w:overflowPunct/>
              <w:topLinePunct w:val="0"/>
              <w:autoSpaceDE/>
              <w:autoSpaceDN/>
              <w:bidi w:val="0"/>
              <w:spacing w:before="0" w:beforeLines="0" w:line="360" w:lineRule="auto"/>
              <w:textAlignment w:val="auto"/>
              <w:rPr>
                <w:rFonts w:hint="eastAsia"/>
                <w:color w:val="auto"/>
              </w:rPr>
            </w:pPr>
            <w:r>
              <w:rPr>
                <w:rFonts w:hint="eastAsia" w:ascii="Times New Roman" w:hAnsi="Times New Roman"/>
                <w:color w:val="auto"/>
                <w:lang w:val="en-US" w:eastAsia="zh-CN"/>
              </w:rPr>
              <w:t>2</w:t>
            </w:r>
            <w:r>
              <w:rPr>
                <w:rFonts w:ascii="Times New Roman" w:hAnsi="Times New Roman"/>
                <w:color w:val="auto"/>
              </w:rPr>
              <w:t>、</w:t>
            </w:r>
            <w:r>
              <w:rPr>
                <w:rFonts w:hint="eastAsia"/>
                <w:color w:val="auto"/>
              </w:rPr>
              <w:t>项目非正常排放分析</w:t>
            </w:r>
          </w:p>
          <w:p w14:paraId="6CCC5D3E">
            <w:pPr>
              <w:pStyle w:val="138"/>
              <w:spacing w:line="360" w:lineRule="auto"/>
              <w:ind w:firstLine="480"/>
              <w:rPr>
                <w:color w:val="auto"/>
              </w:rPr>
            </w:pPr>
            <w:r>
              <w:rPr>
                <w:color w:val="auto"/>
              </w:rPr>
              <w:t>项目在生产过程中，遇到停车、检修等生产故障时，会出现生产线停止运行，但并不会因此造成废气的异常排放。</w:t>
            </w:r>
          </w:p>
          <w:p w14:paraId="48A4BCC6">
            <w:pPr>
              <w:pStyle w:val="138"/>
              <w:spacing w:line="360" w:lineRule="auto"/>
              <w:ind w:firstLine="480"/>
              <w:rPr>
                <w:color w:val="auto"/>
              </w:rPr>
            </w:pPr>
            <w:r>
              <w:rPr>
                <w:color w:val="auto"/>
              </w:rPr>
              <w:t>废气非正常排放情况：对于本项目的非正常排放情况，主要</w:t>
            </w:r>
            <w:r>
              <w:rPr>
                <w:rFonts w:hint="eastAsia"/>
                <w:color w:val="auto"/>
              </w:rPr>
              <w:t>注塑废气产生设备</w:t>
            </w:r>
            <w:r>
              <w:rPr>
                <w:color w:val="auto"/>
              </w:rPr>
              <w:t>正常运行时处理措施故障使去除效率降低，废气污染物浓度未能达标排放。按</w:t>
            </w:r>
            <w:r>
              <w:rPr>
                <w:rFonts w:hint="eastAsia"/>
                <w:color w:val="auto"/>
              </w:rPr>
              <w:t>活性炭吸附装置对非甲烷总烃的</w:t>
            </w:r>
            <w:r>
              <w:rPr>
                <w:color w:val="auto"/>
              </w:rPr>
              <w:t>去除效率</w:t>
            </w:r>
            <w:r>
              <w:rPr>
                <w:rFonts w:hint="eastAsia"/>
                <w:color w:val="auto"/>
              </w:rPr>
              <w:t>均</w:t>
            </w:r>
            <w:r>
              <w:rPr>
                <w:color w:val="auto"/>
              </w:rPr>
              <w:t>降为20%</w:t>
            </w:r>
            <w:r>
              <w:rPr>
                <w:rFonts w:hint="eastAsia"/>
                <w:color w:val="auto"/>
              </w:rPr>
              <w:t>时考虑</w:t>
            </w:r>
            <w:r>
              <w:rPr>
                <w:color w:val="auto"/>
              </w:rPr>
              <w:t>，项目运营后项目非正常排放情况见表4-</w:t>
            </w:r>
            <w:r>
              <w:rPr>
                <w:rFonts w:hint="eastAsia"/>
                <w:color w:val="auto"/>
              </w:rPr>
              <w:t>3</w:t>
            </w:r>
            <w:r>
              <w:rPr>
                <w:color w:val="auto"/>
              </w:rPr>
              <w:t>。</w:t>
            </w:r>
          </w:p>
          <w:p w14:paraId="252400A1">
            <w:pPr>
              <w:pStyle w:val="140"/>
              <w:spacing w:line="240" w:lineRule="auto"/>
              <w:rPr>
                <w:color w:val="auto"/>
              </w:rPr>
            </w:pPr>
            <w:r>
              <w:rPr>
                <w:rFonts w:hint="eastAsia"/>
                <w:color w:val="auto"/>
              </w:rPr>
              <w:t>表4-3  项目非正常工况下废气排放情况一览表</w:t>
            </w:r>
          </w:p>
          <w:tbl>
            <w:tblPr>
              <w:tblStyle w:val="25"/>
              <w:tblW w:w="4997" w:type="pct"/>
              <w:jc w:val="center"/>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075"/>
              <w:gridCol w:w="828"/>
              <w:gridCol w:w="1063"/>
              <w:gridCol w:w="1221"/>
              <w:gridCol w:w="1124"/>
              <w:gridCol w:w="829"/>
              <w:gridCol w:w="705"/>
              <w:gridCol w:w="761"/>
            </w:tblGrid>
            <w:tr w14:paraId="7178E78D">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tcBorders>
                    <w:top w:val="single" w:color="auto" w:sz="2" w:space="0"/>
                    <w:left w:val="single" w:color="auto" w:sz="0" w:space="0"/>
                    <w:bottom w:val="single" w:color="auto" w:sz="2" w:space="0"/>
                    <w:right w:val="single" w:color="auto" w:sz="2" w:space="0"/>
                  </w:tcBorders>
                  <w:vAlign w:val="center"/>
                </w:tcPr>
                <w:p w14:paraId="4F827B65">
                  <w:pPr>
                    <w:pStyle w:val="139"/>
                    <w:rPr>
                      <w:color w:val="auto"/>
                      <w:lang w:bidi="ar"/>
                    </w:rPr>
                  </w:pPr>
                  <w:r>
                    <w:rPr>
                      <w:rFonts w:hint="eastAsia" w:ascii="宋体" w:hAnsi="宋体"/>
                      <w:color w:val="auto"/>
                      <w:lang w:bidi="ar"/>
                    </w:rPr>
                    <w:t>序号</w:t>
                  </w:r>
                </w:p>
              </w:tc>
              <w:tc>
                <w:tcPr>
                  <w:tcW w:w="635" w:type="pct"/>
                  <w:tcBorders>
                    <w:top w:val="single" w:color="auto" w:sz="2" w:space="0"/>
                    <w:left w:val="single" w:color="auto" w:sz="2" w:space="0"/>
                    <w:bottom w:val="single" w:color="auto" w:sz="2" w:space="0"/>
                    <w:right w:val="single" w:color="auto" w:sz="2" w:space="0"/>
                  </w:tcBorders>
                  <w:vAlign w:val="center"/>
                </w:tcPr>
                <w:p w14:paraId="224CDF1D">
                  <w:pPr>
                    <w:pStyle w:val="139"/>
                    <w:rPr>
                      <w:color w:val="auto"/>
                      <w:lang w:bidi="ar"/>
                    </w:rPr>
                  </w:pPr>
                  <w:r>
                    <w:rPr>
                      <w:rFonts w:hint="eastAsia" w:ascii="宋体" w:hAnsi="宋体"/>
                      <w:color w:val="auto"/>
                      <w:lang w:bidi="ar"/>
                    </w:rPr>
                    <w:t>污染源</w:t>
                  </w:r>
                </w:p>
              </w:tc>
              <w:tc>
                <w:tcPr>
                  <w:tcW w:w="489" w:type="pct"/>
                  <w:tcBorders>
                    <w:top w:val="single" w:color="auto" w:sz="2" w:space="0"/>
                    <w:left w:val="single" w:color="auto" w:sz="2" w:space="0"/>
                    <w:bottom w:val="single" w:color="auto" w:sz="2" w:space="0"/>
                    <w:right w:val="single" w:color="auto" w:sz="2" w:space="0"/>
                  </w:tcBorders>
                  <w:vAlign w:val="center"/>
                </w:tcPr>
                <w:p w14:paraId="2BFC410F">
                  <w:pPr>
                    <w:pStyle w:val="139"/>
                    <w:rPr>
                      <w:color w:val="auto"/>
                      <w:lang w:bidi="ar"/>
                    </w:rPr>
                  </w:pPr>
                  <w:r>
                    <w:rPr>
                      <w:rFonts w:hint="eastAsia" w:ascii="宋体" w:hAnsi="宋体"/>
                      <w:color w:val="auto"/>
                      <w:lang w:bidi="ar"/>
                    </w:rPr>
                    <w:t>非正常排放原因</w:t>
                  </w:r>
                </w:p>
              </w:tc>
              <w:tc>
                <w:tcPr>
                  <w:tcW w:w="628" w:type="pct"/>
                  <w:tcBorders>
                    <w:top w:val="single" w:color="auto" w:sz="2" w:space="0"/>
                    <w:left w:val="single" w:color="auto" w:sz="2" w:space="0"/>
                    <w:bottom w:val="single" w:color="auto" w:sz="2" w:space="0"/>
                    <w:right w:val="single" w:color="auto" w:sz="2" w:space="0"/>
                  </w:tcBorders>
                  <w:vAlign w:val="center"/>
                </w:tcPr>
                <w:p w14:paraId="24BEA191">
                  <w:pPr>
                    <w:pStyle w:val="139"/>
                    <w:rPr>
                      <w:color w:val="auto"/>
                      <w:lang w:bidi="ar"/>
                    </w:rPr>
                  </w:pPr>
                  <w:r>
                    <w:rPr>
                      <w:rFonts w:hint="eastAsia" w:ascii="宋体" w:hAnsi="宋体"/>
                      <w:color w:val="auto"/>
                      <w:lang w:bidi="ar"/>
                    </w:rPr>
                    <w:t>污染物</w:t>
                  </w:r>
                </w:p>
              </w:tc>
              <w:tc>
                <w:tcPr>
                  <w:tcW w:w="721" w:type="pct"/>
                  <w:tcBorders>
                    <w:top w:val="single" w:color="auto" w:sz="2" w:space="0"/>
                    <w:left w:val="single" w:color="auto" w:sz="2" w:space="0"/>
                    <w:bottom w:val="single" w:color="auto" w:sz="2" w:space="0"/>
                    <w:right w:val="single" w:color="auto" w:sz="2" w:space="0"/>
                  </w:tcBorders>
                  <w:vAlign w:val="center"/>
                </w:tcPr>
                <w:p w14:paraId="1D5ACC54">
                  <w:pPr>
                    <w:pStyle w:val="139"/>
                    <w:rPr>
                      <w:color w:val="auto"/>
                      <w:lang w:bidi="ar"/>
                    </w:rPr>
                  </w:pPr>
                  <w:r>
                    <w:rPr>
                      <w:rFonts w:hint="eastAsia" w:ascii="宋体" w:hAnsi="宋体"/>
                      <w:color w:val="auto"/>
                      <w:lang w:bidi="ar"/>
                    </w:rPr>
                    <w:t>非正常排放浓度</w:t>
                  </w:r>
                  <w:r>
                    <w:rPr>
                      <w:color w:val="auto"/>
                      <w:lang w:bidi="ar"/>
                    </w:rPr>
                    <w:t>/</w:t>
                  </w:r>
                  <w:r>
                    <w:rPr>
                      <w:rFonts w:hint="eastAsia" w:ascii="宋体" w:hAnsi="宋体"/>
                      <w:color w:val="auto"/>
                    </w:rPr>
                    <w:t>（</w:t>
                  </w:r>
                  <w:r>
                    <w:rPr>
                      <w:color w:val="auto"/>
                      <w:lang w:bidi="ar"/>
                    </w:rPr>
                    <w:t>m</w:t>
                  </w:r>
                  <w:r>
                    <w:rPr>
                      <w:color w:val="auto"/>
                    </w:rPr>
                    <w:t>g/m</w:t>
                  </w:r>
                  <w:r>
                    <w:rPr>
                      <w:color w:val="auto"/>
                      <w:vertAlign w:val="superscript"/>
                    </w:rPr>
                    <w:t>3</w:t>
                  </w:r>
                  <w:r>
                    <w:rPr>
                      <w:rFonts w:hint="eastAsia" w:ascii="宋体" w:hAnsi="宋体"/>
                      <w:color w:val="auto"/>
                    </w:rPr>
                    <w:t>）</w:t>
                  </w:r>
                </w:p>
              </w:tc>
              <w:tc>
                <w:tcPr>
                  <w:tcW w:w="664" w:type="pct"/>
                  <w:tcBorders>
                    <w:top w:val="single" w:color="auto" w:sz="2" w:space="0"/>
                    <w:left w:val="single" w:color="auto" w:sz="2" w:space="0"/>
                    <w:bottom w:val="single" w:color="auto" w:sz="2" w:space="0"/>
                    <w:right w:val="single" w:color="auto" w:sz="2" w:space="0"/>
                  </w:tcBorders>
                  <w:vAlign w:val="center"/>
                </w:tcPr>
                <w:p w14:paraId="62E2BD19">
                  <w:pPr>
                    <w:pStyle w:val="139"/>
                    <w:rPr>
                      <w:color w:val="auto"/>
                      <w:lang w:bidi="ar"/>
                    </w:rPr>
                  </w:pPr>
                  <w:r>
                    <w:rPr>
                      <w:rFonts w:hint="eastAsia" w:ascii="宋体" w:hAnsi="宋体"/>
                      <w:color w:val="auto"/>
                      <w:lang w:bidi="ar"/>
                    </w:rPr>
                    <w:t>非正常排放速率</w:t>
                  </w:r>
                  <w:r>
                    <w:rPr>
                      <w:color w:val="auto"/>
                      <w:lang w:bidi="ar"/>
                    </w:rPr>
                    <w:t>/</w:t>
                  </w:r>
                  <w:r>
                    <w:rPr>
                      <w:rFonts w:hint="eastAsia" w:ascii="宋体" w:hAnsi="宋体"/>
                      <w:color w:val="auto"/>
                    </w:rPr>
                    <w:t>（</w:t>
                  </w:r>
                  <w:r>
                    <w:rPr>
                      <w:color w:val="auto"/>
                    </w:rPr>
                    <w:t>kg/h</w:t>
                  </w:r>
                  <w:r>
                    <w:rPr>
                      <w:rFonts w:hint="eastAsia" w:ascii="宋体" w:hAnsi="宋体"/>
                      <w:color w:val="auto"/>
                    </w:rPr>
                    <w:t>）</w:t>
                  </w:r>
                </w:p>
              </w:tc>
              <w:tc>
                <w:tcPr>
                  <w:tcW w:w="489" w:type="pct"/>
                  <w:tcBorders>
                    <w:top w:val="single" w:color="auto" w:sz="2" w:space="0"/>
                    <w:left w:val="single" w:color="auto" w:sz="2" w:space="0"/>
                    <w:bottom w:val="single" w:color="auto" w:sz="2" w:space="0"/>
                    <w:right w:val="single" w:color="auto" w:sz="2" w:space="0"/>
                  </w:tcBorders>
                  <w:vAlign w:val="center"/>
                </w:tcPr>
                <w:p w14:paraId="6C0FCC94">
                  <w:pPr>
                    <w:pStyle w:val="139"/>
                    <w:rPr>
                      <w:color w:val="auto"/>
                      <w:lang w:bidi="ar"/>
                    </w:rPr>
                  </w:pPr>
                  <w:r>
                    <w:rPr>
                      <w:rFonts w:hint="eastAsia" w:ascii="宋体" w:hAnsi="宋体"/>
                      <w:color w:val="auto"/>
                      <w:lang w:bidi="ar"/>
                    </w:rPr>
                    <w:t>单次持续时间</w:t>
                  </w:r>
                  <w:r>
                    <w:rPr>
                      <w:color w:val="auto"/>
                      <w:lang w:bidi="ar"/>
                    </w:rPr>
                    <w:t>/h</w:t>
                  </w:r>
                </w:p>
              </w:tc>
              <w:tc>
                <w:tcPr>
                  <w:tcW w:w="416" w:type="pct"/>
                  <w:tcBorders>
                    <w:top w:val="single" w:color="auto" w:sz="2" w:space="0"/>
                    <w:left w:val="single" w:color="auto" w:sz="2" w:space="0"/>
                    <w:bottom w:val="single" w:color="auto" w:sz="2" w:space="0"/>
                    <w:right w:val="single" w:color="auto" w:sz="2" w:space="0"/>
                  </w:tcBorders>
                  <w:vAlign w:val="center"/>
                </w:tcPr>
                <w:p w14:paraId="50194FE1">
                  <w:pPr>
                    <w:pStyle w:val="139"/>
                    <w:rPr>
                      <w:color w:val="auto"/>
                      <w:lang w:bidi="ar"/>
                    </w:rPr>
                  </w:pPr>
                  <w:r>
                    <w:rPr>
                      <w:rFonts w:hint="eastAsia" w:ascii="宋体" w:hAnsi="宋体"/>
                      <w:color w:val="auto"/>
                      <w:lang w:bidi="ar"/>
                    </w:rPr>
                    <w:t>年发生频次</w:t>
                  </w:r>
                  <w:r>
                    <w:rPr>
                      <w:color w:val="auto"/>
                      <w:lang w:bidi="ar"/>
                    </w:rPr>
                    <w:t>/</w:t>
                  </w:r>
                  <w:r>
                    <w:rPr>
                      <w:rFonts w:hint="eastAsia" w:ascii="宋体" w:hAnsi="宋体"/>
                      <w:color w:val="auto"/>
                      <w:lang w:bidi="ar"/>
                    </w:rPr>
                    <w:t>次</w:t>
                  </w:r>
                </w:p>
              </w:tc>
              <w:tc>
                <w:tcPr>
                  <w:tcW w:w="449" w:type="pct"/>
                  <w:tcBorders>
                    <w:top w:val="single" w:color="auto" w:sz="2" w:space="0"/>
                    <w:left w:val="single" w:color="auto" w:sz="2" w:space="0"/>
                    <w:bottom w:val="single" w:color="auto" w:sz="2" w:space="0"/>
                    <w:right w:val="single" w:color="auto" w:sz="2" w:space="0"/>
                  </w:tcBorders>
                  <w:vAlign w:val="center"/>
                </w:tcPr>
                <w:p w14:paraId="28FC7C17">
                  <w:pPr>
                    <w:pStyle w:val="139"/>
                    <w:rPr>
                      <w:color w:val="auto"/>
                      <w:lang w:bidi="ar"/>
                    </w:rPr>
                  </w:pPr>
                  <w:r>
                    <w:rPr>
                      <w:rFonts w:hint="eastAsia" w:ascii="宋体" w:hAnsi="宋体"/>
                      <w:color w:val="auto"/>
                      <w:lang w:bidi="ar"/>
                    </w:rPr>
                    <w:t>应对措施</w:t>
                  </w:r>
                </w:p>
              </w:tc>
            </w:tr>
            <w:tr w14:paraId="10C1C1A1">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04" w:type="pct"/>
                  <w:tcBorders>
                    <w:top w:val="single" w:color="auto" w:sz="2" w:space="0"/>
                    <w:left w:val="single" w:color="auto" w:sz="4" w:space="0"/>
                    <w:bottom w:val="single" w:color="auto" w:sz="2" w:space="0"/>
                    <w:right w:val="single" w:color="auto" w:sz="2" w:space="0"/>
                  </w:tcBorders>
                  <w:vAlign w:val="center"/>
                </w:tcPr>
                <w:p w14:paraId="0CF272A4">
                  <w:pPr>
                    <w:pStyle w:val="139"/>
                    <w:rPr>
                      <w:color w:val="auto"/>
                      <w:lang w:bidi="ar"/>
                    </w:rPr>
                  </w:pPr>
                  <w:r>
                    <w:rPr>
                      <w:color w:val="auto"/>
                      <w:lang w:bidi="ar"/>
                    </w:rPr>
                    <w:t>DA00</w:t>
                  </w:r>
                  <w:r>
                    <w:rPr>
                      <w:rFonts w:hint="eastAsia"/>
                      <w:color w:val="auto"/>
                      <w:lang w:bidi="ar"/>
                    </w:rPr>
                    <w:t>1</w:t>
                  </w:r>
                </w:p>
              </w:tc>
              <w:tc>
                <w:tcPr>
                  <w:tcW w:w="635" w:type="pct"/>
                  <w:tcBorders>
                    <w:top w:val="single" w:color="auto" w:sz="2" w:space="0"/>
                    <w:left w:val="single" w:color="auto" w:sz="2" w:space="0"/>
                    <w:bottom w:val="single" w:color="auto" w:sz="2" w:space="0"/>
                    <w:right w:val="single" w:color="auto" w:sz="2" w:space="0"/>
                  </w:tcBorders>
                  <w:vAlign w:val="center"/>
                </w:tcPr>
                <w:p w14:paraId="12515672">
                  <w:pPr>
                    <w:pStyle w:val="139"/>
                    <w:rPr>
                      <w:bCs/>
                      <w:color w:val="auto"/>
                    </w:rPr>
                  </w:pPr>
                  <w:r>
                    <w:rPr>
                      <w:rFonts w:hint="eastAsia"/>
                      <w:bCs/>
                      <w:color w:val="auto"/>
                    </w:rPr>
                    <w:t>注塑</w:t>
                  </w:r>
                </w:p>
              </w:tc>
              <w:tc>
                <w:tcPr>
                  <w:tcW w:w="489" w:type="pct"/>
                  <w:tcBorders>
                    <w:top w:val="single" w:color="auto" w:sz="2" w:space="0"/>
                    <w:left w:val="single" w:color="auto" w:sz="2" w:space="0"/>
                    <w:bottom w:val="single" w:color="auto" w:sz="2" w:space="0"/>
                    <w:right w:val="single" w:color="auto" w:sz="2" w:space="0"/>
                  </w:tcBorders>
                  <w:vAlign w:val="center"/>
                </w:tcPr>
                <w:p w14:paraId="24E9AB47">
                  <w:pPr>
                    <w:pStyle w:val="139"/>
                    <w:rPr>
                      <w:color w:val="auto"/>
                      <w:lang w:bidi="ar"/>
                    </w:rPr>
                  </w:pPr>
                  <w:r>
                    <w:rPr>
                      <w:rFonts w:hint="eastAsia"/>
                      <w:color w:val="auto"/>
                      <w:lang w:bidi="ar"/>
                    </w:rPr>
                    <w:t>废气处理措施故障</w:t>
                  </w:r>
                </w:p>
              </w:tc>
              <w:tc>
                <w:tcPr>
                  <w:tcW w:w="628" w:type="pct"/>
                  <w:tcBorders>
                    <w:top w:val="single" w:color="auto" w:sz="2" w:space="0"/>
                    <w:left w:val="single" w:color="auto" w:sz="2" w:space="0"/>
                    <w:bottom w:val="single" w:color="auto" w:sz="2" w:space="0"/>
                    <w:right w:val="single" w:color="auto" w:sz="2" w:space="0"/>
                  </w:tcBorders>
                  <w:vAlign w:val="center"/>
                </w:tcPr>
                <w:p w14:paraId="1524E244">
                  <w:pPr>
                    <w:pStyle w:val="139"/>
                    <w:rPr>
                      <w:rFonts w:hint="eastAsia" w:ascii="宋体" w:hAnsi="宋体"/>
                      <w:color w:val="auto"/>
                    </w:rPr>
                  </w:pPr>
                  <w:r>
                    <w:rPr>
                      <w:rFonts w:hint="eastAsia" w:ascii="宋体" w:hAnsi="宋体"/>
                      <w:color w:val="auto"/>
                    </w:rPr>
                    <w:t>非甲烷总烃</w:t>
                  </w:r>
                </w:p>
              </w:tc>
              <w:tc>
                <w:tcPr>
                  <w:tcW w:w="721" w:type="pct"/>
                  <w:tcBorders>
                    <w:top w:val="single" w:color="auto" w:sz="2" w:space="0"/>
                    <w:left w:val="single" w:color="auto" w:sz="2" w:space="0"/>
                    <w:bottom w:val="single" w:color="auto" w:sz="2" w:space="0"/>
                    <w:right w:val="single" w:color="auto" w:sz="2" w:space="0"/>
                  </w:tcBorders>
                  <w:vAlign w:val="center"/>
                </w:tcPr>
                <w:p w14:paraId="1E1C80A0">
                  <w:pPr>
                    <w:pStyle w:val="139"/>
                    <w:rPr>
                      <w:color w:val="auto"/>
                      <w:lang w:bidi="ar"/>
                    </w:rPr>
                  </w:pPr>
                  <w:r>
                    <w:rPr>
                      <w:rFonts w:hint="eastAsia"/>
                      <w:color w:val="auto"/>
                      <w:lang w:bidi="ar"/>
                    </w:rPr>
                    <w:t>51.837</w:t>
                  </w:r>
                </w:p>
              </w:tc>
              <w:tc>
                <w:tcPr>
                  <w:tcW w:w="664" w:type="pct"/>
                  <w:tcBorders>
                    <w:top w:val="single" w:color="auto" w:sz="2" w:space="0"/>
                    <w:left w:val="single" w:color="auto" w:sz="2" w:space="0"/>
                    <w:bottom w:val="single" w:color="auto" w:sz="2" w:space="0"/>
                    <w:right w:val="single" w:color="auto" w:sz="2" w:space="0"/>
                  </w:tcBorders>
                  <w:vAlign w:val="center"/>
                </w:tcPr>
                <w:p w14:paraId="45CF9AD7">
                  <w:pPr>
                    <w:pStyle w:val="139"/>
                    <w:rPr>
                      <w:bCs/>
                      <w:color w:val="auto"/>
                    </w:rPr>
                  </w:pPr>
                  <w:r>
                    <w:rPr>
                      <w:rFonts w:hint="eastAsia"/>
                      <w:bCs/>
                      <w:color w:val="auto"/>
                    </w:rPr>
                    <w:t>0.778</w:t>
                  </w:r>
                </w:p>
              </w:tc>
              <w:tc>
                <w:tcPr>
                  <w:tcW w:w="489" w:type="pct"/>
                  <w:tcBorders>
                    <w:top w:val="single" w:color="auto" w:sz="2" w:space="0"/>
                    <w:left w:val="single" w:color="auto" w:sz="2" w:space="0"/>
                    <w:bottom w:val="single" w:color="auto" w:sz="2" w:space="0"/>
                    <w:right w:val="single" w:color="auto" w:sz="2" w:space="0"/>
                  </w:tcBorders>
                  <w:vAlign w:val="center"/>
                </w:tcPr>
                <w:p w14:paraId="4DC98E53">
                  <w:pPr>
                    <w:pStyle w:val="139"/>
                    <w:rPr>
                      <w:color w:val="auto"/>
                      <w:lang w:bidi="ar"/>
                    </w:rPr>
                  </w:pPr>
                  <w:r>
                    <w:rPr>
                      <w:color w:val="auto"/>
                      <w:lang w:bidi="ar"/>
                    </w:rPr>
                    <w:t>1</w:t>
                  </w:r>
                </w:p>
              </w:tc>
              <w:tc>
                <w:tcPr>
                  <w:tcW w:w="416" w:type="pct"/>
                  <w:tcBorders>
                    <w:top w:val="single" w:color="auto" w:sz="2" w:space="0"/>
                    <w:left w:val="single" w:color="auto" w:sz="2" w:space="0"/>
                    <w:bottom w:val="single" w:color="auto" w:sz="2" w:space="0"/>
                    <w:right w:val="single" w:color="auto" w:sz="2" w:space="0"/>
                  </w:tcBorders>
                  <w:vAlign w:val="center"/>
                </w:tcPr>
                <w:p w14:paraId="0025F914">
                  <w:pPr>
                    <w:pStyle w:val="139"/>
                    <w:rPr>
                      <w:color w:val="auto"/>
                      <w:lang w:bidi="ar"/>
                    </w:rPr>
                  </w:pPr>
                  <w:r>
                    <w:rPr>
                      <w:color w:val="auto"/>
                      <w:lang w:bidi="ar"/>
                    </w:rPr>
                    <w:t>1</w:t>
                  </w:r>
                </w:p>
              </w:tc>
              <w:tc>
                <w:tcPr>
                  <w:tcW w:w="449" w:type="pct"/>
                  <w:tcBorders>
                    <w:top w:val="single" w:color="auto" w:sz="2" w:space="0"/>
                    <w:left w:val="single" w:color="auto" w:sz="2" w:space="0"/>
                    <w:bottom w:val="single" w:color="auto" w:sz="2" w:space="0"/>
                    <w:right w:val="single" w:color="auto" w:sz="2" w:space="0"/>
                  </w:tcBorders>
                  <w:vAlign w:val="center"/>
                </w:tcPr>
                <w:p w14:paraId="42449496">
                  <w:pPr>
                    <w:pStyle w:val="139"/>
                    <w:rPr>
                      <w:color w:val="auto"/>
                      <w:lang w:bidi="ar"/>
                    </w:rPr>
                  </w:pPr>
                  <w:r>
                    <w:rPr>
                      <w:rFonts w:hint="eastAsia" w:ascii="宋体" w:hAnsi="宋体"/>
                      <w:color w:val="auto"/>
                      <w:lang w:bidi="ar"/>
                    </w:rPr>
                    <w:t>停产</w:t>
                  </w:r>
                </w:p>
              </w:tc>
            </w:tr>
          </w:tbl>
          <w:p w14:paraId="2C4C9313">
            <w:pPr>
              <w:pStyle w:val="141"/>
              <w:rPr>
                <w:rFonts w:ascii="Times New Roman" w:hAnsi="Times New Roman"/>
                <w:color w:val="auto"/>
              </w:rPr>
            </w:pPr>
            <w:r>
              <w:rPr>
                <w:rFonts w:hint="eastAsia" w:ascii="Times New Roman" w:hAnsi="Times New Roman"/>
                <w:color w:val="auto"/>
                <w:lang w:val="en-US" w:eastAsia="zh-CN"/>
              </w:rPr>
              <w:t>3</w:t>
            </w:r>
            <w:r>
              <w:rPr>
                <w:rFonts w:ascii="Times New Roman" w:hAnsi="Times New Roman"/>
                <w:color w:val="auto"/>
              </w:rPr>
              <w:t>、项目废气治理可行性分析</w:t>
            </w:r>
          </w:p>
          <w:p w14:paraId="4044762B">
            <w:pPr>
              <w:pStyle w:val="138"/>
              <w:spacing w:line="360" w:lineRule="auto"/>
              <w:ind w:firstLine="480"/>
              <w:rPr>
                <w:color w:val="auto"/>
              </w:rPr>
            </w:pPr>
            <w:r>
              <w:rPr>
                <w:color w:val="auto"/>
              </w:rPr>
              <w:t>（1）与排污许可证申请与核发技术规范可行性分析</w:t>
            </w:r>
          </w:p>
          <w:p w14:paraId="717A4AFA">
            <w:pPr>
              <w:pStyle w:val="138"/>
              <w:spacing w:line="360" w:lineRule="auto"/>
              <w:ind w:firstLine="480"/>
              <w:rPr>
                <w:color w:val="auto"/>
              </w:rPr>
            </w:pPr>
            <w:r>
              <w:rPr>
                <w:color w:val="auto"/>
              </w:rPr>
              <w:t>由《排污许可证申请与核发技</w:t>
            </w:r>
            <w:r>
              <w:rPr>
                <w:rFonts w:hint="eastAsia" w:ascii="宋体" w:hAnsi="宋体" w:cs="宋体"/>
                <w:color w:val="auto"/>
              </w:rPr>
              <w:t>术规范 橡胶和塑料制品工业》</w:t>
            </w:r>
            <w:r>
              <w:rPr>
                <w:color w:val="auto"/>
              </w:rPr>
              <w:t>表A.2</w:t>
            </w:r>
            <w:r>
              <w:rPr>
                <w:rFonts w:hint="eastAsia" w:ascii="宋体" w:hAnsi="宋体" w:cs="宋体"/>
                <w:color w:val="auto"/>
              </w:rPr>
              <w:t>塑料制品工业排污单位废气污染防治可行技术参考表可知“塑料零件及其他塑料制品制造”废气中非甲烷总烃处理的可行性技术有“喷淋；吸附；吸附浓缩+热力燃烧/催化燃烧”；项目注塑废气采用二级活性炭吸附装置进行处理属于可行性技术中的“吸附”，故本项</w:t>
            </w:r>
            <w:r>
              <w:rPr>
                <w:color w:val="auto"/>
              </w:rPr>
              <w:t>目注塑废气处理措施符合《排污许可证申请与核发技术规范 橡胶和塑料制品工业》的要求。</w:t>
            </w:r>
          </w:p>
          <w:p w14:paraId="3AF764BB">
            <w:pPr>
              <w:pStyle w:val="138"/>
              <w:spacing w:line="360" w:lineRule="auto"/>
              <w:ind w:firstLine="480"/>
              <w:rPr>
                <w:color w:val="auto"/>
              </w:rPr>
            </w:pPr>
            <w:r>
              <w:rPr>
                <w:color w:val="auto"/>
              </w:rPr>
              <w:t>活性炭吸附原理是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房气与大表面的多礼性活性炭吸附剂相接触，废气中的污染物被吸附在活性炭表面上，使其与气体混合物分离，净化后的气体高空排放，国内外一致认为该法是最为成熟和可靠的技术。</w:t>
            </w:r>
            <w:r>
              <w:rPr>
                <w:color w:val="auto"/>
                <w:u w:val="single"/>
              </w:rPr>
              <w:t>根据《挥发性有机废气治理技术的现状与进展》（汪涵，《化工进展》2009年第28卷第10期），目前在采用吸附法治理有机废气中，活性炭的性能最好，去除率高，物流中有机物浓度在1000×10</w:t>
            </w:r>
            <w:r>
              <w:rPr>
                <w:color w:val="auto"/>
                <w:u w:val="single"/>
                <w:vertAlign w:val="superscript"/>
              </w:rPr>
              <w:t>-6</w:t>
            </w:r>
            <w:r>
              <w:rPr>
                <w:color w:val="auto"/>
                <w:u w:val="single"/>
              </w:rPr>
              <w:t>以上，吸附率可达95%以上，本环评取90%可行。</w:t>
            </w:r>
          </w:p>
          <w:p w14:paraId="1A9F191B">
            <w:pPr>
              <w:pStyle w:val="138"/>
              <w:spacing w:line="360" w:lineRule="auto"/>
              <w:ind w:firstLine="480"/>
              <w:rPr>
                <w:color w:val="auto"/>
              </w:rPr>
            </w:pPr>
            <w:r>
              <w:rPr>
                <w:rFonts w:hint="eastAsia"/>
                <w:color w:val="auto"/>
              </w:rPr>
              <w:t>（2）项目与《挥发性有机物无组织排放控制标准》（GB37822-2019）符合性分析</w:t>
            </w:r>
          </w:p>
          <w:p w14:paraId="7C1E8802">
            <w:pPr>
              <w:pStyle w:val="138"/>
              <w:spacing w:line="360" w:lineRule="auto"/>
              <w:ind w:firstLine="480"/>
              <w:rPr>
                <w:color w:val="auto"/>
              </w:rPr>
            </w:pPr>
            <w:r>
              <w:rPr>
                <w:rFonts w:hint="eastAsia"/>
                <w:color w:val="auto"/>
              </w:rPr>
              <w:t>项目每台注塑机</w:t>
            </w:r>
            <w:r>
              <w:rPr>
                <w:rFonts w:hint="eastAsia"/>
                <w:color w:val="auto"/>
                <w:highlight w:val="none"/>
                <w:u w:val="single"/>
                <w:lang w:eastAsia="zh-CN"/>
              </w:rPr>
              <w:t>喷射部件出口处</w:t>
            </w:r>
            <w:r>
              <w:rPr>
                <w:rFonts w:hint="eastAsia"/>
                <w:color w:val="auto"/>
                <w:u w:val="single"/>
              </w:rPr>
              <w:t>均安装</w:t>
            </w:r>
            <w:r>
              <w:rPr>
                <w:rFonts w:hint="eastAsia"/>
                <w:color w:val="auto"/>
                <w:highlight w:val="none"/>
                <w:u w:val="single"/>
                <w:lang w:eastAsia="zh-CN"/>
              </w:rPr>
              <w:t>三面围合的</w:t>
            </w:r>
            <w:r>
              <w:rPr>
                <w:rFonts w:hint="eastAsia"/>
                <w:color w:val="auto"/>
              </w:rPr>
              <w:t>集气罩收集有机废气，在风机负压作用下，废气通过集气管道输送至</w:t>
            </w:r>
            <w:r>
              <w:rPr>
                <w:rFonts w:hint="eastAsia"/>
                <w:color w:val="auto"/>
                <w:lang w:eastAsia="zh-CN"/>
              </w:rPr>
              <w:t>二级</w:t>
            </w:r>
            <w:r>
              <w:rPr>
                <w:rFonts w:hint="eastAsia"/>
                <w:color w:val="auto"/>
              </w:rPr>
              <w:t>活性炭吸附装置，有机废气经</w:t>
            </w:r>
            <w:r>
              <w:rPr>
                <w:rFonts w:hint="eastAsia"/>
                <w:color w:val="auto"/>
                <w:lang w:eastAsia="zh-CN"/>
              </w:rPr>
              <w:t>二级</w:t>
            </w:r>
            <w:r>
              <w:rPr>
                <w:rFonts w:hint="eastAsia"/>
                <w:color w:val="auto"/>
              </w:rPr>
              <w:t>活性炭吸附装置处理后再通过</w:t>
            </w:r>
            <w:r>
              <w:rPr>
                <w:rFonts w:hint="eastAsia"/>
                <w:color w:val="auto"/>
                <w:lang w:eastAsia="zh-CN"/>
              </w:rPr>
              <w:t>20m</w:t>
            </w:r>
            <w:r>
              <w:rPr>
                <w:rFonts w:hint="eastAsia"/>
                <w:color w:val="auto"/>
              </w:rPr>
              <w:t>高排气筒进行排放，项目生产工序均在封闭厂房内进行，符合工艺过程VOCs无组织排放控制要求。</w:t>
            </w:r>
          </w:p>
          <w:p w14:paraId="5DCB6A04">
            <w:pPr>
              <w:pStyle w:val="138"/>
              <w:spacing w:line="360" w:lineRule="auto"/>
              <w:ind w:firstLine="480"/>
              <w:rPr>
                <w:color w:val="auto"/>
              </w:rPr>
            </w:pPr>
            <w:r>
              <w:rPr>
                <w:rFonts w:hint="eastAsia"/>
                <w:color w:val="auto"/>
              </w:rPr>
              <w:t>另外，建设单位运营期按照《挥发性有机物无组织排放控制标准》（GB37822-2019）要求，采用低VOCs原料，通风生产设备、操作工位、车间厂房等在符合安全生产、职业卫生相关规定的前提下，根据行业作业规程与标准、工业建筑及洁净厂房通风设计规范等的要求，采用合理的通风量。项目注塑工序活性炭吸附装置系统应与生产工艺设备同步运行，活性炭吸附装置发生故障或检修时，注塑机等应停止运行，待检修完毕后同步投入使用。</w:t>
            </w:r>
          </w:p>
          <w:p w14:paraId="4BEEB832">
            <w:pPr>
              <w:pStyle w:val="138"/>
              <w:spacing w:line="360" w:lineRule="auto"/>
              <w:ind w:firstLine="480"/>
              <w:rPr>
                <w:rFonts w:hint="eastAsia" w:eastAsia="宋体"/>
                <w:color w:val="auto"/>
                <w:u w:val="single"/>
                <w:lang w:eastAsia="zh-CN"/>
              </w:rPr>
            </w:pPr>
            <w:r>
              <w:rPr>
                <w:rFonts w:hint="eastAsia"/>
                <w:color w:val="auto"/>
                <w:u w:val="single"/>
                <w:lang w:eastAsia="zh-CN"/>
              </w:rPr>
              <w:t>（</w:t>
            </w:r>
            <w:r>
              <w:rPr>
                <w:rFonts w:hint="eastAsia"/>
                <w:color w:val="auto"/>
                <w:u w:val="single"/>
                <w:lang w:val="en-US" w:eastAsia="zh-CN"/>
              </w:rPr>
              <w:t>3</w:t>
            </w:r>
            <w:r>
              <w:rPr>
                <w:rFonts w:hint="eastAsia"/>
                <w:color w:val="auto"/>
                <w:u w:val="single"/>
                <w:lang w:eastAsia="zh-CN"/>
              </w:rPr>
              <w:t>）实例分析</w:t>
            </w:r>
          </w:p>
          <w:p w14:paraId="227EB734">
            <w:pPr>
              <w:pStyle w:val="138"/>
              <w:spacing w:line="360" w:lineRule="auto"/>
              <w:ind w:firstLine="480"/>
              <w:rPr>
                <w:rFonts w:hint="eastAsia"/>
                <w:color w:val="auto"/>
                <w:u w:val="single"/>
                <w:lang w:eastAsia="zh-CN"/>
              </w:rPr>
            </w:pPr>
            <w:r>
              <w:rPr>
                <w:rFonts w:hint="eastAsia"/>
                <w:color w:val="auto"/>
                <w:u w:val="single"/>
                <w:lang w:eastAsia="zh-CN"/>
              </w:rPr>
              <w:t>项目注塑</w:t>
            </w:r>
            <w:r>
              <w:rPr>
                <w:rFonts w:hint="eastAsia"/>
                <w:color w:val="auto"/>
                <w:highlight w:val="none"/>
                <w:u w:val="single"/>
                <w:lang w:eastAsia="zh-CN"/>
              </w:rPr>
              <w:t>喷射部件出口处</w:t>
            </w:r>
            <w:r>
              <w:rPr>
                <w:rFonts w:hint="eastAsia"/>
                <w:color w:val="auto"/>
                <w:highlight w:val="none"/>
                <w:u w:val="single"/>
              </w:rPr>
              <w:t>均设置</w:t>
            </w:r>
            <w:r>
              <w:rPr>
                <w:rFonts w:hint="eastAsia"/>
                <w:color w:val="auto"/>
                <w:highlight w:val="none"/>
                <w:u w:val="single"/>
                <w:lang w:eastAsia="zh-CN"/>
              </w:rPr>
              <w:t>三面围合的</w:t>
            </w:r>
            <w:r>
              <w:rPr>
                <w:rFonts w:hint="eastAsia"/>
                <w:color w:val="auto"/>
                <w:highlight w:val="none"/>
                <w:u w:val="single"/>
              </w:rPr>
              <w:t>集气罩</w:t>
            </w:r>
            <w:r>
              <w:rPr>
                <w:rFonts w:hint="eastAsia"/>
                <w:color w:val="auto"/>
                <w:highlight w:val="none"/>
                <w:u w:val="single"/>
                <w:lang w:eastAsia="zh-CN"/>
              </w:rPr>
              <w:t>，集气罩收集后通过密闭管道输送至</w:t>
            </w:r>
            <w:r>
              <w:rPr>
                <w:rFonts w:hint="eastAsia"/>
                <w:color w:val="auto"/>
                <w:u w:val="single"/>
              </w:rPr>
              <w:t>二级活性炭吸附装置</w:t>
            </w:r>
            <w:r>
              <w:rPr>
                <w:rFonts w:hint="eastAsia"/>
                <w:color w:val="auto"/>
                <w:u w:val="single"/>
                <w:lang w:eastAsia="zh-CN"/>
              </w:rPr>
              <w:t>进行处理后作有组织排放。类比《</w:t>
            </w:r>
            <w:r>
              <w:rPr>
                <w:rFonts w:hint="eastAsia"/>
                <w:color w:val="auto"/>
                <w:u w:val="single"/>
                <w:lang w:val="en-US" w:eastAsia="zh-CN"/>
              </w:rPr>
              <w:t>年产PET瓶坯 7500吨、PE盖提1000吨、PP盒1000吨项目竣工环境保护验收监测报告</w:t>
            </w:r>
            <w:r>
              <w:rPr>
                <w:rFonts w:hint="eastAsia"/>
                <w:color w:val="auto"/>
                <w:u w:val="single"/>
                <w:lang w:eastAsia="zh-CN"/>
              </w:rPr>
              <w:t>》，该项目</w:t>
            </w:r>
            <w:r>
              <w:rPr>
                <w:rFonts w:hint="eastAsia"/>
                <w:color w:val="auto"/>
                <w:u w:val="single"/>
                <w:lang w:val="en-US" w:eastAsia="zh-CN"/>
              </w:rPr>
              <w:t>年产PET瓶坯7500吨、PE盖提1000吨、PP盒1000吨，生产时间为300d/a、24h/d，生产工序为负压投料、干燥、热熔注塑、冷却成型，产生的有机废气经三面围合集气罩+两级活性炭措施处理后，经排气筒15m排放，未能收集的废气做无组织排放。根据类比项目监测结果，活性炭措施进口前有机废气为0.603kg/h、18.5mg/m</w:t>
            </w:r>
            <w:r>
              <w:rPr>
                <w:rFonts w:hint="eastAsia"/>
                <w:color w:val="auto"/>
                <w:u w:val="single"/>
                <w:vertAlign w:val="superscript"/>
                <w:lang w:val="en-US" w:eastAsia="zh-CN"/>
              </w:rPr>
              <w:t>3</w:t>
            </w:r>
            <w:r>
              <w:rPr>
                <w:rFonts w:hint="eastAsia"/>
                <w:color w:val="auto"/>
                <w:u w:val="single"/>
                <w:lang w:val="en-US" w:eastAsia="zh-CN"/>
              </w:rPr>
              <w:t>，排气筒出口有机废气为0.0067kg/h、1.48mg/m</w:t>
            </w:r>
            <w:r>
              <w:rPr>
                <w:rFonts w:hint="eastAsia"/>
                <w:color w:val="auto"/>
                <w:u w:val="single"/>
                <w:vertAlign w:val="superscript"/>
                <w:lang w:val="en-US" w:eastAsia="zh-CN"/>
              </w:rPr>
              <w:t>3</w:t>
            </w:r>
            <w:r>
              <w:rPr>
                <w:rFonts w:hint="eastAsia"/>
                <w:color w:val="auto"/>
                <w:u w:val="single"/>
                <w:lang w:val="en-US" w:eastAsia="zh-CN"/>
              </w:rPr>
              <w:t>，厂界有机废气无组织排放浓度0.23mg/m</w:t>
            </w:r>
            <w:r>
              <w:rPr>
                <w:rFonts w:hint="eastAsia"/>
                <w:color w:val="auto"/>
                <w:u w:val="single"/>
                <w:vertAlign w:val="superscript"/>
                <w:lang w:val="en-US" w:eastAsia="zh-CN"/>
              </w:rPr>
              <w:t>3</w:t>
            </w:r>
            <w:r>
              <w:rPr>
                <w:rFonts w:hint="eastAsia"/>
                <w:color w:val="auto"/>
                <w:u w:val="single"/>
                <w:lang w:val="en-US" w:eastAsia="zh-CN"/>
              </w:rPr>
              <w:t>，满足</w:t>
            </w:r>
            <w:r>
              <w:rPr>
                <w:color w:val="auto"/>
                <w:u w:val="single"/>
              </w:rPr>
              <w:t>《合成树脂工业污染物排放标准》（GB31572-2015）</w:t>
            </w:r>
            <w:r>
              <w:rPr>
                <w:rFonts w:hint="eastAsia"/>
                <w:color w:val="auto"/>
                <w:u w:val="single"/>
              </w:rPr>
              <w:t>（含2024修改单）</w:t>
            </w:r>
            <w:r>
              <w:rPr>
                <w:rFonts w:hint="eastAsia"/>
                <w:color w:val="auto"/>
                <w:u w:val="single"/>
                <w:lang w:eastAsia="zh-CN"/>
              </w:rPr>
              <w:t>标准；根据类比项目进出口浓度比，可知二级活性艳处理效率高达</w:t>
            </w:r>
            <w:r>
              <w:rPr>
                <w:rFonts w:hint="eastAsia"/>
                <w:color w:val="auto"/>
                <w:u w:val="single"/>
                <w:lang w:val="en-US" w:eastAsia="zh-CN"/>
              </w:rPr>
              <w:t>92%</w:t>
            </w:r>
            <w:r>
              <w:rPr>
                <w:rFonts w:hint="eastAsia" w:ascii="微软雅黑" w:hAnsi="微软雅黑" w:eastAsia="微软雅黑" w:cs="微软雅黑"/>
                <w:color w:val="auto"/>
                <w:u w:val="single"/>
                <w:lang w:val="en-US" w:eastAsia="zh-CN"/>
              </w:rPr>
              <w:t>&gt;</w:t>
            </w:r>
            <w:r>
              <w:rPr>
                <w:rFonts w:hint="eastAsia"/>
                <w:color w:val="auto"/>
                <w:u w:val="single"/>
                <w:lang w:val="en-US" w:eastAsia="zh-CN"/>
              </w:rPr>
              <w:t>90%。</w:t>
            </w:r>
            <w:r>
              <w:rPr>
                <w:rFonts w:hint="eastAsia"/>
                <w:color w:val="auto"/>
                <w:u w:val="single"/>
                <w:lang w:eastAsia="zh-CN"/>
              </w:rPr>
              <w:t>本项目年产PET瓶坯2400吨和PE瓶盖和提手480吨，</w:t>
            </w:r>
            <w:r>
              <w:rPr>
                <w:rFonts w:hint="eastAsia"/>
                <w:color w:val="auto"/>
                <w:u w:val="single"/>
                <w:lang w:val="en-US" w:eastAsia="zh-CN"/>
              </w:rPr>
              <w:t>生产工艺和采用的废气治理措施与本项目一致，且其规模比本项目规模大，因此类比</w:t>
            </w:r>
            <w:r>
              <w:rPr>
                <w:rFonts w:hint="eastAsia"/>
                <w:color w:val="auto"/>
                <w:u w:val="single"/>
                <w:lang w:eastAsia="zh-CN"/>
              </w:rPr>
              <w:t>《</w:t>
            </w:r>
            <w:r>
              <w:rPr>
                <w:rFonts w:hint="eastAsia"/>
                <w:color w:val="auto"/>
                <w:u w:val="single"/>
                <w:lang w:val="en-US" w:eastAsia="zh-CN"/>
              </w:rPr>
              <w:t>年产PET瓶坯7500吨、PE盖提1000吨、PP盒1000吨项目竣工环境保护验收监测报告</w:t>
            </w:r>
            <w:r>
              <w:rPr>
                <w:rFonts w:hint="eastAsia"/>
                <w:color w:val="auto"/>
                <w:u w:val="single"/>
                <w:lang w:eastAsia="zh-CN"/>
              </w:rPr>
              <w:t>》是可行的，本项目二级活性炭处理效率按</w:t>
            </w:r>
            <w:r>
              <w:rPr>
                <w:rFonts w:hint="eastAsia"/>
                <w:color w:val="auto"/>
                <w:u w:val="single"/>
                <w:lang w:val="en-US" w:eastAsia="zh-CN"/>
              </w:rPr>
              <w:t>90%计算是可行的，</w:t>
            </w:r>
            <w:r>
              <w:rPr>
                <w:rFonts w:hint="eastAsia"/>
                <w:color w:val="auto"/>
                <w:u w:val="single"/>
                <w:lang w:eastAsia="zh-CN"/>
              </w:rPr>
              <w:t>说明本项目采取措施可行。</w:t>
            </w:r>
          </w:p>
          <w:p w14:paraId="255652E7">
            <w:pPr>
              <w:pStyle w:val="138"/>
              <w:spacing w:line="360" w:lineRule="auto"/>
              <w:ind w:firstLine="480"/>
              <w:rPr>
                <w:color w:val="auto"/>
              </w:rPr>
            </w:pPr>
            <w:r>
              <w:rPr>
                <w:rFonts w:hint="eastAsia"/>
                <w:color w:val="auto"/>
              </w:rPr>
              <w:t>（</w:t>
            </w:r>
            <w:r>
              <w:rPr>
                <w:rFonts w:hint="eastAsia"/>
                <w:color w:val="auto"/>
                <w:lang w:val="en-US" w:eastAsia="zh-CN"/>
              </w:rPr>
              <w:t>4</w:t>
            </w:r>
            <w:r>
              <w:rPr>
                <w:rFonts w:hint="eastAsia"/>
                <w:color w:val="auto"/>
              </w:rPr>
              <w:t>）排气筒设置合理分析</w:t>
            </w:r>
          </w:p>
          <w:p w14:paraId="210EAD55">
            <w:pPr>
              <w:pStyle w:val="138"/>
              <w:spacing w:line="360" w:lineRule="auto"/>
              <w:ind w:firstLine="480"/>
              <w:rPr>
                <w:color w:val="auto"/>
                <w:u w:val="single"/>
              </w:rPr>
            </w:pPr>
            <w:r>
              <w:rPr>
                <w:color w:val="auto"/>
                <w:u w:val="single"/>
              </w:rPr>
              <w:t>根据《合成树脂工业污染物排放标准》（GB31572-2015）</w:t>
            </w:r>
            <w:r>
              <w:rPr>
                <w:rFonts w:hint="eastAsia"/>
                <w:color w:val="auto"/>
                <w:u w:val="single"/>
              </w:rPr>
              <w:t>及其修改单</w:t>
            </w:r>
            <w:r>
              <w:rPr>
                <w:color w:val="auto"/>
                <w:u w:val="single"/>
              </w:rPr>
              <w:t>可知</w:t>
            </w:r>
            <w:r>
              <w:rPr>
                <w:rFonts w:hint="eastAsia"/>
                <w:color w:val="auto"/>
                <w:u w:val="single"/>
              </w:rPr>
              <w:t>“排气筒高度应按环境影响评价要求确定，且至少不低于 15m。”</w:t>
            </w:r>
            <w:r>
              <w:rPr>
                <w:rFonts w:hint="eastAsia"/>
                <w:color w:val="auto"/>
                <w:u w:val="single"/>
                <w:lang w:eastAsia="zh-CN"/>
              </w:rPr>
              <w:t>项目所在楼栋高</w:t>
            </w:r>
            <w:r>
              <w:rPr>
                <w:rFonts w:hint="eastAsia"/>
                <w:color w:val="auto"/>
                <w:u w:val="single"/>
                <w:lang w:val="en-US" w:eastAsia="zh-CN"/>
              </w:rPr>
              <w:t>18.5m，为减少</w:t>
            </w:r>
            <w:r>
              <w:rPr>
                <w:rFonts w:hint="eastAsia"/>
                <w:color w:val="auto"/>
                <w:u w:val="single"/>
              </w:rPr>
              <w:t>项目注塑废气</w:t>
            </w:r>
            <w:r>
              <w:rPr>
                <w:rFonts w:hint="eastAsia"/>
                <w:color w:val="auto"/>
                <w:u w:val="single"/>
                <w:lang w:eastAsia="zh-CN"/>
              </w:rPr>
              <w:t>对该楼栋所经营企业的影响，项目设置</w:t>
            </w:r>
            <w:r>
              <w:rPr>
                <w:rFonts w:hint="eastAsia"/>
                <w:color w:val="auto"/>
                <w:u w:val="single"/>
              </w:rPr>
              <w:t>排气筒高度为</w:t>
            </w:r>
            <w:r>
              <w:rPr>
                <w:rFonts w:hint="eastAsia"/>
                <w:color w:val="auto"/>
                <w:u w:val="single"/>
                <w:lang w:eastAsia="zh-CN"/>
              </w:rPr>
              <w:t>20m</w:t>
            </w:r>
            <w:r>
              <w:rPr>
                <w:rFonts w:hint="eastAsia"/>
                <w:color w:val="auto"/>
                <w:u w:val="single"/>
              </w:rPr>
              <w:t>，满足《合成树脂工业污染物排放标准》（GB31572-2015）及其修改单的要求。</w:t>
            </w:r>
          </w:p>
          <w:p w14:paraId="26871024">
            <w:pPr>
              <w:ind w:firstLine="482" w:firstLineChars="200"/>
              <w:rPr>
                <w:b/>
                <w:bCs/>
                <w:color w:val="auto"/>
              </w:rPr>
            </w:pPr>
            <w:r>
              <w:rPr>
                <w:rFonts w:hint="eastAsia"/>
                <w:b/>
                <w:bCs/>
                <w:color w:val="auto"/>
                <w:lang w:val="en-US" w:eastAsia="zh-CN"/>
              </w:rPr>
              <w:t>4</w:t>
            </w:r>
            <w:r>
              <w:rPr>
                <w:rFonts w:hint="eastAsia"/>
                <w:b/>
                <w:bCs/>
                <w:color w:val="auto"/>
              </w:rPr>
              <w:t>、大气环境影响分析</w:t>
            </w:r>
          </w:p>
          <w:p w14:paraId="38613945">
            <w:pPr>
              <w:ind w:firstLine="480" w:firstLineChars="200"/>
              <w:rPr>
                <w:color w:val="auto"/>
              </w:rPr>
            </w:pPr>
            <w:r>
              <w:rPr>
                <w:rFonts w:hint="eastAsia"/>
                <w:color w:val="auto"/>
              </w:rPr>
              <w:t>项目注塑废气经</w:t>
            </w:r>
            <w:r>
              <w:rPr>
                <w:rFonts w:hint="eastAsia"/>
                <w:color w:val="auto"/>
                <w:lang w:eastAsia="zh-CN"/>
              </w:rPr>
              <w:t>集气罩收集后，通过</w:t>
            </w:r>
            <w:r>
              <w:rPr>
                <w:rFonts w:hint="eastAsia"/>
                <w:color w:val="auto"/>
              </w:rPr>
              <w:t>活性炭吸附装置处理后，非甲烷总烃排放浓度可满足《合成树脂工业污染物排放标准》（GB31572-2015）（含2024年修改单）表4中的排放限值；且</w:t>
            </w:r>
            <w:r>
              <w:rPr>
                <w:rFonts w:hint="eastAsia"/>
                <w:color w:val="auto"/>
                <w:lang w:eastAsia="zh-CN"/>
              </w:rPr>
              <w:t>项目位于工业园，周边</w:t>
            </w:r>
            <w:r>
              <w:rPr>
                <w:color w:val="auto"/>
                <w:sz w:val="24"/>
              </w:rPr>
              <w:t>200</w:t>
            </w:r>
            <w:r>
              <w:rPr>
                <w:rFonts w:hint="eastAsia"/>
                <w:color w:val="auto"/>
                <w:sz w:val="24"/>
              </w:rPr>
              <w:t>m</w:t>
            </w:r>
            <w:r>
              <w:rPr>
                <w:color w:val="auto"/>
                <w:sz w:val="24"/>
              </w:rPr>
              <w:t>范围内无环境敏感点，</w:t>
            </w:r>
            <w:r>
              <w:rPr>
                <w:rFonts w:hint="eastAsia"/>
                <w:color w:val="auto"/>
              </w:rPr>
              <w:t>根据钦州市生态环境局网站公布的《钦州市生态环境局关于2023年环境空气质量的通报》可知，项目所在区域为达标区，大气环境质量现状良好，因此本项目对周边环境影响不大。</w:t>
            </w:r>
          </w:p>
          <w:p w14:paraId="46F133EE">
            <w:pPr>
              <w:pStyle w:val="132"/>
              <w:ind w:firstLine="482"/>
              <w:rPr>
                <w:b/>
                <w:bCs/>
                <w:color w:val="auto"/>
              </w:rPr>
            </w:pPr>
            <w:r>
              <w:rPr>
                <w:rFonts w:hint="eastAsia"/>
                <w:b/>
                <w:color w:val="auto"/>
                <w:lang w:val="en-US" w:eastAsia="zh-CN"/>
              </w:rPr>
              <w:t>5</w:t>
            </w:r>
            <w:r>
              <w:rPr>
                <w:rFonts w:hint="eastAsia"/>
                <w:b/>
                <w:color w:val="auto"/>
              </w:rPr>
              <w:t>、</w:t>
            </w:r>
            <w:r>
              <w:rPr>
                <w:rFonts w:hint="eastAsia"/>
                <w:b/>
                <w:bCs/>
                <w:color w:val="auto"/>
              </w:rPr>
              <w:t>大气污染物排放量核算</w:t>
            </w:r>
          </w:p>
          <w:p w14:paraId="47FEB3FC">
            <w:pPr>
              <w:pStyle w:val="20"/>
              <w:widowControl w:val="0"/>
              <w:autoSpaceDE w:val="0"/>
              <w:autoSpaceDN w:val="0"/>
              <w:adjustRightInd w:val="0"/>
              <w:spacing w:before="0" w:beforeAutospacing="0" w:after="0" w:afterAutospacing="0"/>
              <w:ind w:firstLine="480" w:firstLineChars="200"/>
              <w:jc w:val="both"/>
              <w:rPr>
                <w:rFonts w:ascii="Times New Roman" w:hAnsi="Times New Roman"/>
                <w:bCs/>
                <w:color w:val="auto"/>
                <w:szCs w:val="24"/>
                <w:lang w:bidi="ar"/>
              </w:rPr>
            </w:pPr>
            <w:r>
              <w:rPr>
                <w:rFonts w:ascii="Times New Roman" w:hAnsi="Times New Roman"/>
                <w:bCs/>
                <w:color w:val="auto"/>
                <w:szCs w:val="24"/>
                <w:lang w:bidi="ar"/>
              </w:rPr>
              <w:t>项目有组织排放量核算情况详见表4-</w:t>
            </w:r>
            <w:r>
              <w:rPr>
                <w:rFonts w:hint="eastAsia" w:ascii="Times New Roman" w:hAnsi="Times New Roman"/>
                <w:bCs/>
                <w:color w:val="auto"/>
                <w:szCs w:val="24"/>
                <w:lang w:bidi="ar"/>
              </w:rPr>
              <w:t>4，无组织排放量核算情况详见表4-5，年排放核算详见表4-6</w:t>
            </w:r>
            <w:r>
              <w:rPr>
                <w:rFonts w:ascii="Times New Roman" w:hAnsi="Times New Roman"/>
                <w:bCs/>
                <w:color w:val="auto"/>
                <w:szCs w:val="24"/>
                <w:lang w:bidi="ar"/>
              </w:rPr>
              <w:t>。</w:t>
            </w:r>
          </w:p>
          <w:p w14:paraId="1AD20B67">
            <w:pPr>
              <w:pStyle w:val="133"/>
              <w:spacing w:line="240" w:lineRule="auto"/>
              <w:rPr>
                <w:color w:val="auto"/>
                <w:sz w:val="24"/>
              </w:rPr>
            </w:pPr>
            <w:r>
              <w:rPr>
                <w:rFonts w:hint="eastAsia"/>
                <w:color w:val="auto"/>
                <w:sz w:val="24"/>
              </w:rPr>
              <w:t>表</w:t>
            </w:r>
            <w:r>
              <w:rPr>
                <w:color w:val="auto"/>
                <w:sz w:val="24"/>
              </w:rPr>
              <w:t>4-</w:t>
            </w:r>
            <w:r>
              <w:rPr>
                <w:rFonts w:hint="eastAsia"/>
                <w:color w:val="auto"/>
                <w:sz w:val="24"/>
              </w:rPr>
              <w:t>4 项目大气污染物有组织排放核算表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195"/>
              <w:gridCol w:w="1311"/>
              <w:gridCol w:w="1378"/>
              <w:gridCol w:w="1551"/>
              <w:gridCol w:w="2078"/>
            </w:tblGrid>
            <w:tr w14:paraId="0921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9" w:type="dxa"/>
                  <w:tcBorders>
                    <w:tl2br w:val="nil"/>
                    <w:tr2bl w:val="nil"/>
                  </w:tcBorders>
                  <w:vAlign w:val="center"/>
                </w:tcPr>
                <w:p w14:paraId="48FB91ED">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序号</w:t>
                  </w:r>
                </w:p>
              </w:tc>
              <w:tc>
                <w:tcPr>
                  <w:tcW w:w="1195" w:type="dxa"/>
                  <w:tcBorders>
                    <w:tl2br w:val="nil"/>
                    <w:tr2bl w:val="nil"/>
                  </w:tcBorders>
                  <w:tcMar>
                    <w:top w:w="0" w:type="dxa"/>
                    <w:left w:w="0" w:type="dxa"/>
                    <w:bottom w:w="0" w:type="dxa"/>
                    <w:right w:w="0" w:type="dxa"/>
                  </w:tcMar>
                  <w:vAlign w:val="center"/>
                </w:tcPr>
                <w:p w14:paraId="0AAF7858">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排放口编号</w:t>
                  </w:r>
                </w:p>
              </w:tc>
              <w:tc>
                <w:tcPr>
                  <w:tcW w:w="1311" w:type="dxa"/>
                  <w:tcBorders>
                    <w:tl2br w:val="nil"/>
                    <w:tr2bl w:val="nil"/>
                  </w:tcBorders>
                  <w:vAlign w:val="center"/>
                </w:tcPr>
                <w:p w14:paraId="48EF6241">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污染物</w:t>
                  </w:r>
                </w:p>
              </w:tc>
              <w:tc>
                <w:tcPr>
                  <w:tcW w:w="1378" w:type="dxa"/>
                  <w:tcBorders>
                    <w:tl2br w:val="nil"/>
                    <w:tr2bl w:val="nil"/>
                  </w:tcBorders>
                  <w:vAlign w:val="center"/>
                </w:tcPr>
                <w:p w14:paraId="1BBA6924">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核算排放浓度（</w:t>
                  </w:r>
                  <w:r>
                    <w:rPr>
                      <w:rFonts w:ascii="Times New Roman" w:hAnsi="Times New Roman" w:cs="Times New Roman"/>
                      <w:color w:val="auto"/>
                      <w:szCs w:val="21"/>
                    </w:rPr>
                    <w:t>mg/m</w:t>
                  </w:r>
                  <w:r>
                    <w:rPr>
                      <w:rFonts w:ascii="Times New Roman" w:hAnsi="Times New Roman" w:cs="Times New Roman"/>
                      <w:color w:val="auto"/>
                      <w:szCs w:val="21"/>
                      <w:vertAlign w:val="superscript"/>
                    </w:rPr>
                    <w:t>3</w:t>
                  </w:r>
                  <w:r>
                    <w:rPr>
                      <w:rFonts w:hint="eastAsia" w:ascii="Times New Roman" w:hAnsi="Times New Roman" w:cs="Times New Roman"/>
                      <w:color w:val="auto"/>
                      <w:szCs w:val="21"/>
                    </w:rPr>
                    <w:t>）</w:t>
                  </w:r>
                </w:p>
              </w:tc>
              <w:tc>
                <w:tcPr>
                  <w:tcW w:w="1551" w:type="dxa"/>
                  <w:tcBorders>
                    <w:tl2br w:val="nil"/>
                    <w:tr2bl w:val="nil"/>
                  </w:tcBorders>
                  <w:vAlign w:val="center"/>
                </w:tcPr>
                <w:p w14:paraId="65BC67E8">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核算排放速率（</w:t>
                  </w:r>
                  <w:r>
                    <w:rPr>
                      <w:rFonts w:ascii="Times New Roman" w:hAnsi="Times New Roman" w:cs="Times New Roman"/>
                      <w:color w:val="auto"/>
                      <w:szCs w:val="21"/>
                    </w:rPr>
                    <w:t>kg/h</w:t>
                  </w:r>
                  <w:r>
                    <w:rPr>
                      <w:rFonts w:hint="eastAsia" w:ascii="Times New Roman" w:hAnsi="Times New Roman" w:cs="Times New Roman"/>
                      <w:color w:val="auto"/>
                      <w:szCs w:val="21"/>
                    </w:rPr>
                    <w:t>）</w:t>
                  </w:r>
                </w:p>
              </w:tc>
              <w:tc>
                <w:tcPr>
                  <w:tcW w:w="2078" w:type="dxa"/>
                  <w:tcBorders>
                    <w:tl2br w:val="nil"/>
                    <w:tr2bl w:val="nil"/>
                  </w:tcBorders>
                  <w:vAlign w:val="center"/>
                </w:tcPr>
                <w:p w14:paraId="34540E14">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核算年排放量（</w:t>
                  </w:r>
                  <w:r>
                    <w:rPr>
                      <w:rFonts w:ascii="Times New Roman" w:hAnsi="Times New Roman" w:cs="Times New Roman"/>
                      <w:color w:val="auto"/>
                      <w:szCs w:val="21"/>
                    </w:rPr>
                    <w:t>t/a</w:t>
                  </w:r>
                  <w:r>
                    <w:rPr>
                      <w:rFonts w:hint="eastAsia" w:ascii="Times New Roman" w:hAnsi="Times New Roman" w:cs="Times New Roman"/>
                      <w:color w:val="auto"/>
                      <w:szCs w:val="21"/>
                    </w:rPr>
                    <w:t>）</w:t>
                  </w:r>
                </w:p>
              </w:tc>
            </w:tr>
            <w:tr w14:paraId="7A1E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9" w:type="dxa"/>
                  <w:tcBorders>
                    <w:tl2br w:val="nil"/>
                    <w:tr2bl w:val="nil"/>
                  </w:tcBorders>
                  <w:vAlign w:val="center"/>
                </w:tcPr>
                <w:p w14:paraId="01673C2D">
                  <w:pPr>
                    <w:pStyle w:val="71"/>
                    <w:spacing w:line="240" w:lineRule="exact"/>
                    <w:rPr>
                      <w:rFonts w:ascii="Times New Roman" w:hAnsi="Times New Roman" w:cs="Times New Roman"/>
                      <w:color w:val="auto"/>
                      <w:szCs w:val="21"/>
                    </w:rPr>
                  </w:pPr>
                  <w:r>
                    <w:rPr>
                      <w:rFonts w:ascii="Times New Roman" w:hAnsi="Times New Roman" w:cs="Times New Roman"/>
                      <w:color w:val="auto"/>
                      <w:szCs w:val="21"/>
                    </w:rPr>
                    <w:t>1</w:t>
                  </w:r>
                </w:p>
              </w:tc>
              <w:tc>
                <w:tcPr>
                  <w:tcW w:w="1195" w:type="dxa"/>
                  <w:tcBorders>
                    <w:tl2br w:val="nil"/>
                    <w:tr2bl w:val="nil"/>
                  </w:tcBorders>
                  <w:vAlign w:val="center"/>
                </w:tcPr>
                <w:p w14:paraId="034825D0">
                  <w:pPr>
                    <w:pStyle w:val="71"/>
                    <w:spacing w:line="240" w:lineRule="exact"/>
                    <w:rPr>
                      <w:rFonts w:ascii="Times New Roman" w:hAnsi="Times New Roman" w:cs="Times New Roman"/>
                      <w:color w:val="auto"/>
                      <w:szCs w:val="21"/>
                    </w:rPr>
                  </w:pPr>
                  <w:r>
                    <w:rPr>
                      <w:rFonts w:ascii="Times New Roman" w:hAnsi="Times New Roman" w:cs="Times New Roman"/>
                      <w:color w:val="auto"/>
                      <w:szCs w:val="21"/>
                    </w:rPr>
                    <w:t>DA001</w:t>
                  </w:r>
                </w:p>
              </w:tc>
              <w:tc>
                <w:tcPr>
                  <w:tcW w:w="1311" w:type="dxa"/>
                  <w:tcBorders>
                    <w:tl2br w:val="nil"/>
                    <w:tr2bl w:val="nil"/>
                  </w:tcBorders>
                  <w:vAlign w:val="center"/>
                </w:tcPr>
                <w:p w14:paraId="2DA820B8">
                  <w:pPr>
                    <w:spacing w:line="240" w:lineRule="auto"/>
                    <w:jc w:val="center"/>
                    <w:rPr>
                      <w:color w:val="auto"/>
                      <w:sz w:val="21"/>
                      <w:szCs w:val="21"/>
                    </w:rPr>
                  </w:pPr>
                  <w:r>
                    <w:rPr>
                      <w:rFonts w:hint="eastAsia"/>
                      <w:color w:val="auto"/>
                      <w:sz w:val="21"/>
                      <w:szCs w:val="21"/>
                    </w:rPr>
                    <w:t>NMHC</w:t>
                  </w:r>
                </w:p>
              </w:tc>
              <w:tc>
                <w:tcPr>
                  <w:tcW w:w="1378" w:type="dxa"/>
                  <w:tcBorders>
                    <w:tl2br w:val="nil"/>
                    <w:tr2bl w:val="nil"/>
                  </w:tcBorders>
                  <w:vAlign w:val="center"/>
                </w:tcPr>
                <w:p w14:paraId="20088DA9">
                  <w:pPr>
                    <w:spacing w:line="240" w:lineRule="auto"/>
                    <w:jc w:val="center"/>
                    <w:rPr>
                      <w:color w:val="auto"/>
                      <w:kern w:val="0"/>
                      <w:sz w:val="21"/>
                      <w:szCs w:val="21"/>
                    </w:rPr>
                  </w:pPr>
                  <w:r>
                    <w:rPr>
                      <w:rFonts w:hint="eastAsia"/>
                      <w:color w:val="auto"/>
                      <w:kern w:val="0"/>
                      <w:sz w:val="21"/>
                      <w:szCs w:val="21"/>
                    </w:rPr>
                    <w:t>6.48</w:t>
                  </w:r>
                </w:p>
              </w:tc>
              <w:tc>
                <w:tcPr>
                  <w:tcW w:w="1551" w:type="dxa"/>
                  <w:tcBorders>
                    <w:tl2br w:val="nil"/>
                    <w:tr2bl w:val="nil"/>
                  </w:tcBorders>
                  <w:vAlign w:val="center"/>
                </w:tcPr>
                <w:p w14:paraId="324020D6">
                  <w:pPr>
                    <w:spacing w:line="240" w:lineRule="auto"/>
                    <w:jc w:val="center"/>
                    <w:rPr>
                      <w:color w:val="auto"/>
                      <w:kern w:val="0"/>
                      <w:sz w:val="21"/>
                      <w:szCs w:val="21"/>
                    </w:rPr>
                  </w:pPr>
                  <w:r>
                    <w:rPr>
                      <w:rFonts w:hint="eastAsia"/>
                      <w:color w:val="auto"/>
                      <w:kern w:val="0"/>
                      <w:sz w:val="21"/>
                      <w:szCs w:val="21"/>
                    </w:rPr>
                    <w:t>0.097</w:t>
                  </w:r>
                </w:p>
              </w:tc>
              <w:tc>
                <w:tcPr>
                  <w:tcW w:w="2078" w:type="dxa"/>
                  <w:tcBorders>
                    <w:tl2br w:val="nil"/>
                    <w:tr2bl w:val="nil"/>
                  </w:tcBorders>
                  <w:vAlign w:val="center"/>
                </w:tcPr>
                <w:p w14:paraId="30EE1941">
                  <w:pPr>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0.544</w:t>
                  </w:r>
                </w:p>
              </w:tc>
            </w:tr>
            <w:tr w14:paraId="59C2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82" w:type="dxa"/>
                  <w:gridSpan w:val="6"/>
                  <w:tcBorders>
                    <w:tl2br w:val="nil"/>
                    <w:tr2bl w:val="nil"/>
                  </w:tcBorders>
                  <w:vAlign w:val="center"/>
                </w:tcPr>
                <w:p w14:paraId="009DF854">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有组织排放合计</w:t>
                  </w:r>
                </w:p>
              </w:tc>
            </w:tr>
            <w:tr w14:paraId="5DC6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64" w:type="dxa"/>
                  <w:gridSpan w:val="2"/>
                  <w:tcBorders>
                    <w:tl2br w:val="nil"/>
                    <w:tr2bl w:val="nil"/>
                  </w:tcBorders>
                  <w:vAlign w:val="center"/>
                </w:tcPr>
                <w:p w14:paraId="0F716869">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有组织排放合计</w:t>
                  </w:r>
                </w:p>
              </w:tc>
              <w:tc>
                <w:tcPr>
                  <w:tcW w:w="4240" w:type="dxa"/>
                  <w:gridSpan w:val="3"/>
                  <w:tcBorders>
                    <w:tl2br w:val="nil"/>
                    <w:tr2bl w:val="nil"/>
                  </w:tcBorders>
                  <w:vAlign w:val="center"/>
                </w:tcPr>
                <w:p w14:paraId="7FD13553">
                  <w:pPr>
                    <w:spacing w:line="240" w:lineRule="auto"/>
                    <w:jc w:val="center"/>
                    <w:rPr>
                      <w:color w:val="auto"/>
                      <w:sz w:val="21"/>
                      <w:szCs w:val="21"/>
                    </w:rPr>
                  </w:pPr>
                  <w:r>
                    <w:rPr>
                      <w:rFonts w:hint="eastAsia"/>
                      <w:color w:val="auto"/>
                      <w:sz w:val="21"/>
                      <w:szCs w:val="21"/>
                    </w:rPr>
                    <w:t>NMHC</w:t>
                  </w:r>
                </w:p>
              </w:tc>
              <w:tc>
                <w:tcPr>
                  <w:tcW w:w="2078" w:type="dxa"/>
                  <w:tcBorders>
                    <w:tl2br w:val="nil"/>
                    <w:tr2bl w:val="nil"/>
                  </w:tcBorders>
                  <w:vAlign w:val="center"/>
                </w:tcPr>
                <w:p w14:paraId="23AB71B2">
                  <w:pPr>
                    <w:pStyle w:val="71"/>
                    <w:spacing w:line="240" w:lineRule="exac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0.544</w:t>
                  </w:r>
                </w:p>
              </w:tc>
            </w:tr>
          </w:tbl>
          <w:p w14:paraId="0CAB51A8">
            <w:pPr>
              <w:pStyle w:val="133"/>
              <w:pageBreakBefore/>
              <w:spacing w:line="240" w:lineRule="auto"/>
              <w:rPr>
                <w:color w:val="auto"/>
                <w:sz w:val="24"/>
              </w:rPr>
            </w:pPr>
            <w:r>
              <w:rPr>
                <w:rFonts w:hint="eastAsia"/>
                <w:color w:val="auto"/>
                <w:sz w:val="24"/>
              </w:rPr>
              <w:t>表4-5 项目大气污染物无组织排放量核算表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723"/>
              <w:gridCol w:w="978"/>
              <w:gridCol w:w="822"/>
              <w:gridCol w:w="1322"/>
              <w:gridCol w:w="1836"/>
              <w:gridCol w:w="1169"/>
              <w:gridCol w:w="884"/>
            </w:tblGrid>
            <w:tr w14:paraId="33F0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51" w:type="dxa"/>
                  <w:vMerge w:val="restart"/>
                  <w:tcBorders>
                    <w:tl2br w:val="nil"/>
                    <w:tr2bl w:val="nil"/>
                  </w:tcBorders>
                  <w:tcMar>
                    <w:left w:w="0" w:type="dxa"/>
                    <w:right w:w="0" w:type="dxa"/>
                  </w:tcMar>
                  <w:vAlign w:val="center"/>
                </w:tcPr>
                <w:p w14:paraId="384FC1A8">
                  <w:pPr>
                    <w:pStyle w:val="71"/>
                    <w:spacing w:line="240" w:lineRule="exact"/>
                    <w:rPr>
                      <w:rFonts w:ascii="Times New Roman" w:hAnsi="Times New Roman" w:cs="Times New Roman"/>
                      <w:color w:val="auto"/>
                    </w:rPr>
                  </w:pPr>
                  <w:r>
                    <w:rPr>
                      <w:rFonts w:ascii="Times New Roman" w:hAnsi="Times New Roman" w:cs="Times New Roman"/>
                      <w:color w:val="auto"/>
                    </w:rPr>
                    <w:t>序号</w:t>
                  </w:r>
                </w:p>
              </w:tc>
              <w:tc>
                <w:tcPr>
                  <w:tcW w:w="723" w:type="dxa"/>
                  <w:vMerge w:val="restart"/>
                  <w:tcBorders>
                    <w:tl2br w:val="nil"/>
                    <w:tr2bl w:val="nil"/>
                  </w:tcBorders>
                  <w:tcMar>
                    <w:top w:w="0" w:type="dxa"/>
                    <w:left w:w="0" w:type="dxa"/>
                    <w:bottom w:w="0" w:type="dxa"/>
                    <w:right w:w="0" w:type="dxa"/>
                  </w:tcMar>
                  <w:vAlign w:val="center"/>
                </w:tcPr>
                <w:p w14:paraId="7BE5E659">
                  <w:pPr>
                    <w:pStyle w:val="71"/>
                    <w:spacing w:line="240" w:lineRule="exact"/>
                    <w:rPr>
                      <w:rFonts w:ascii="Times New Roman" w:hAnsi="Times New Roman" w:cs="Times New Roman"/>
                      <w:color w:val="auto"/>
                    </w:rPr>
                  </w:pPr>
                  <w:r>
                    <w:rPr>
                      <w:rFonts w:ascii="Times New Roman" w:hAnsi="Times New Roman" w:cs="Times New Roman"/>
                      <w:color w:val="auto"/>
                    </w:rPr>
                    <w:t>排放口编号</w:t>
                  </w:r>
                </w:p>
              </w:tc>
              <w:tc>
                <w:tcPr>
                  <w:tcW w:w="978" w:type="dxa"/>
                  <w:vMerge w:val="restart"/>
                  <w:tcBorders>
                    <w:tl2br w:val="nil"/>
                    <w:tr2bl w:val="nil"/>
                  </w:tcBorders>
                  <w:tcMar>
                    <w:top w:w="0" w:type="dxa"/>
                    <w:left w:w="0" w:type="dxa"/>
                    <w:bottom w:w="0" w:type="dxa"/>
                    <w:right w:w="0" w:type="dxa"/>
                  </w:tcMar>
                  <w:vAlign w:val="center"/>
                </w:tcPr>
                <w:p w14:paraId="645F5224">
                  <w:pPr>
                    <w:pStyle w:val="71"/>
                    <w:spacing w:line="240" w:lineRule="exact"/>
                    <w:rPr>
                      <w:rFonts w:ascii="Times New Roman" w:hAnsi="Times New Roman" w:cs="Times New Roman"/>
                      <w:color w:val="auto"/>
                    </w:rPr>
                  </w:pPr>
                  <w:r>
                    <w:rPr>
                      <w:rFonts w:ascii="Times New Roman" w:hAnsi="Times New Roman" w:cs="Times New Roman"/>
                      <w:color w:val="auto"/>
                    </w:rPr>
                    <w:t>产污环节</w:t>
                  </w:r>
                </w:p>
              </w:tc>
              <w:tc>
                <w:tcPr>
                  <w:tcW w:w="822" w:type="dxa"/>
                  <w:vMerge w:val="restart"/>
                  <w:tcBorders>
                    <w:tl2br w:val="nil"/>
                    <w:tr2bl w:val="nil"/>
                  </w:tcBorders>
                  <w:tcMar>
                    <w:left w:w="0" w:type="dxa"/>
                    <w:right w:w="0" w:type="dxa"/>
                  </w:tcMar>
                  <w:vAlign w:val="center"/>
                </w:tcPr>
                <w:p w14:paraId="263CB138">
                  <w:pPr>
                    <w:pStyle w:val="71"/>
                    <w:spacing w:line="240" w:lineRule="exact"/>
                    <w:rPr>
                      <w:color w:val="auto"/>
                    </w:rPr>
                  </w:pPr>
                  <w:r>
                    <w:rPr>
                      <w:rFonts w:hint="eastAsia"/>
                      <w:color w:val="auto"/>
                    </w:rPr>
                    <w:t>污染物</w:t>
                  </w:r>
                </w:p>
              </w:tc>
              <w:tc>
                <w:tcPr>
                  <w:tcW w:w="1322" w:type="dxa"/>
                  <w:vMerge w:val="restart"/>
                  <w:tcBorders>
                    <w:tl2br w:val="nil"/>
                    <w:tr2bl w:val="nil"/>
                  </w:tcBorders>
                  <w:tcMar>
                    <w:left w:w="0" w:type="dxa"/>
                    <w:right w:w="0" w:type="dxa"/>
                  </w:tcMar>
                  <w:vAlign w:val="center"/>
                </w:tcPr>
                <w:p w14:paraId="2B8C56D3">
                  <w:pPr>
                    <w:pStyle w:val="71"/>
                    <w:spacing w:line="240" w:lineRule="exact"/>
                    <w:rPr>
                      <w:color w:val="auto"/>
                    </w:rPr>
                  </w:pPr>
                  <w:r>
                    <w:rPr>
                      <w:rFonts w:hint="eastAsia"/>
                      <w:color w:val="auto"/>
                    </w:rPr>
                    <w:t>主要污染防治措施</w:t>
                  </w:r>
                </w:p>
              </w:tc>
              <w:tc>
                <w:tcPr>
                  <w:tcW w:w="3005" w:type="dxa"/>
                  <w:gridSpan w:val="2"/>
                  <w:tcBorders>
                    <w:tl2br w:val="nil"/>
                    <w:tr2bl w:val="nil"/>
                  </w:tcBorders>
                  <w:tcMar>
                    <w:left w:w="0" w:type="dxa"/>
                    <w:right w:w="0" w:type="dxa"/>
                  </w:tcMar>
                  <w:vAlign w:val="center"/>
                </w:tcPr>
                <w:p w14:paraId="69203DD7">
                  <w:pPr>
                    <w:pStyle w:val="71"/>
                    <w:spacing w:line="240" w:lineRule="exact"/>
                    <w:rPr>
                      <w:color w:val="auto"/>
                    </w:rPr>
                  </w:pPr>
                  <w:r>
                    <w:rPr>
                      <w:rFonts w:hint="eastAsia"/>
                      <w:color w:val="auto"/>
                    </w:rPr>
                    <w:t>国家或地方污染物排放标准</w:t>
                  </w:r>
                </w:p>
              </w:tc>
              <w:tc>
                <w:tcPr>
                  <w:tcW w:w="884" w:type="dxa"/>
                  <w:vMerge w:val="restart"/>
                  <w:tcBorders>
                    <w:tl2br w:val="nil"/>
                    <w:tr2bl w:val="nil"/>
                  </w:tcBorders>
                  <w:tcMar>
                    <w:left w:w="0" w:type="dxa"/>
                    <w:right w:w="0" w:type="dxa"/>
                  </w:tcMar>
                  <w:vAlign w:val="center"/>
                </w:tcPr>
                <w:p w14:paraId="62D5913C">
                  <w:pPr>
                    <w:pStyle w:val="71"/>
                    <w:spacing w:line="240" w:lineRule="exact"/>
                    <w:rPr>
                      <w:color w:val="auto"/>
                    </w:rPr>
                  </w:pPr>
                  <w:r>
                    <w:rPr>
                      <w:rFonts w:ascii="Times New Roman" w:hAnsi="Times New Roman" w:cs="Times New Roman"/>
                      <w:color w:val="auto"/>
                    </w:rPr>
                    <w:t>年排放量（t/a）</w:t>
                  </w:r>
                </w:p>
              </w:tc>
            </w:tr>
            <w:tr w14:paraId="0572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51" w:type="dxa"/>
                  <w:vMerge w:val="continue"/>
                  <w:tcBorders>
                    <w:tl2br w:val="nil"/>
                    <w:tr2bl w:val="nil"/>
                  </w:tcBorders>
                  <w:tcMar>
                    <w:left w:w="0" w:type="dxa"/>
                    <w:right w:w="0" w:type="dxa"/>
                  </w:tcMar>
                  <w:vAlign w:val="center"/>
                </w:tcPr>
                <w:p w14:paraId="0AF59DA3">
                  <w:pPr>
                    <w:pStyle w:val="71"/>
                    <w:spacing w:line="240" w:lineRule="exact"/>
                    <w:rPr>
                      <w:rFonts w:ascii="Times New Roman" w:hAnsi="Times New Roman" w:cs="Times New Roman"/>
                      <w:color w:val="auto"/>
                    </w:rPr>
                  </w:pPr>
                </w:p>
              </w:tc>
              <w:tc>
                <w:tcPr>
                  <w:tcW w:w="723" w:type="dxa"/>
                  <w:vMerge w:val="continue"/>
                  <w:tcBorders>
                    <w:tl2br w:val="nil"/>
                    <w:tr2bl w:val="nil"/>
                  </w:tcBorders>
                  <w:tcMar>
                    <w:left w:w="0" w:type="dxa"/>
                    <w:right w:w="0" w:type="dxa"/>
                  </w:tcMar>
                  <w:vAlign w:val="center"/>
                </w:tcPr>
                <w:p w14:paraId="556DE17C">
                  <w:pPr>
                    <w:pStyle w:val="71"/>
                    <w:spacing w:line="240" w:lineRule="exact"/>
                    <w:rPr>
                      <w:rFonts w:ascii="Times New Roman" w:hAnsi="Times New Roman" w:cs="Times New Roman"/>
                      <w:color w:val="auto"/>
                    </w:rPr>
                  </w:pPr>
                </w:p>
              </w:tc>
              <w:tc>
                <w:tcPr>
                  <w:tcW w:w="978" w:type="dxa"/>
                  <w:vMerge w:val="continue"/>
                  <w:tcBorders>
                    <w:tl2br w:val="nil"/>
                    <w:tr2bl w:val="nil"/>
                  </w:tcBorders>
                  <w:tcMar>
                    <w:top w:w="0" w:type="dxa"/>
                    <w:left w:w="0" w:type="dxa"/>
                    <w:bottom w:w="0" w:type="dxa"/>
                    <w:right w:w="0" w:type="dxa"/>
                  </w:tcMar>
                  <w:vAlign w:val="center"/>
                </w:tcPr>
                <w:p w14:paraId="75779C1D">
                  <w:pPr>
                    <w:pStyle w:val="71"/>
                    <w:spacing w:line="240" w:lineRule="exact"/>
                    <w:rPr>
                      <w:rFonts w:ascii="Times New Roman" w:hAnsi="Times New Roman" w:cs="Times New Roman"/>
                      <w:color w:val="auto"/>
                    </w:rPr>
                  </w:pPr>
                </w:p>
              </w:tc>
              <w:tc>
                <w:tcPr>
                  <w:tcW w:w="822" w:type="dxa"/>
                  <w:vMerge w:val="continue"/>
                  <w:tcBorders>
                    <w:tl2br w:val="nil"/>
                    <w:tr2bl w:val="nil"/>
                  </w:tcBorders>
                  <w:tcMar>
                    <w:left w:w="0" w:type="dxa"/>
                    <w:right w:w="0" w:type="dxa"/>
                  </w:tcMar>
                  <w:vAlign w:val="center"/>
                </w:tcPr>
                <w:p w14:paraId="3B65869F">
                  <w:pPr>
                    <w:pStyle w:val="71"/>
                    <w:spacing w:line="240" w:lineRule="exact"/>
                    <w:rPr>
                      <w:color w:val="auto"/>
                    </w:rPr>
                  </w:pPr>
                </w:p>
              </w:tc>
              <w:tc>
                <w:tcPr>
                  <w:tcW w:w="1322" w:type="dxa"/>
                  <w:vMerge w:val="continue"/>
                  <w:tcBorders>
                    <w:tl2br w:val="nil"/>
                    <w:tr2bl w:val="nil"/>
                  </w:tcBorders>
                  <w:tcMar>
                    <w:left w:w="0" w:type="dxa"/>
                    <w:right w:w="0" w:type="dxa"/>
                  </w:tcMar>
                  <w:vAlign w:val="center"/>
                </w:tcPr>
                <w:p w14:paraId="35D3CA8D">
                  <w:pPr>
                    <w:pStyle w:val="71"/>
                    <w:spacing w:line="240" w:lineRule="exact"/>
                    <w:rPr>
                      <w:color w:val="auto"/>
                    </w:rPr>
                  </w:pPr>
                </w:p>
              </w:tc>
              <w:tc>
                <w:tcPr>
                  <w:tcW w:w="1836" w:type="dxa"/>
                  <w:tcBorders>
                    <w:tl2br w:val="nil"/>
                    <w:tr2bl w:val="nil"/>
                  </w:tcBorders>
                  <w:tcMar>
                    <w:left w:w="0" w:type="dxa"/>
                    <w:right w:w="0" w:type="dxa"/>
                  </w:tcMar>
                  <w:vAlign w:val="center"/>
                </w:tcPr>
                <w:p w14:paraId="74DD10B0">
                  <w:pPr>
                    <w:pStyle w:val="71"/>
                    <w:spacing w:line="240" w:lineRule="exact"/>
                    <w:rPr>
                      <w:color w:val="auto"/>
                    </w:rPr>
                  </w:pPr>
                  <w:r>
                    <w:rPr>
                      <w:rFonts w:hint="eastAsia"/>
                      <w:color w:val="auto"/>
                    </w:rPr>
                    <w:t>标准名称</w:t>
                  </w:r>
                </w:p>
              </w:tc>
              <w:tc>
                <w:tcPr>
                  <w:tcW w:w="1169" w:type="dxa"/>
                  <w:tcBorders>
                    <w:tl2br w:val="nil"/>
                    <w:tr2bl w:val="nil"/>
                  </w:tcBorders>
                  <w:tcMar>
                    <w:left w:w="0" w:type="dxa"/>
                    <w:right w:w="0" w:type="dxa"/>
                  </w:tcMar>
                  <w:vAlign w:val="center"/>
                </w:tcPr>
                <w:p w14:paraId="184822D8">
                  <w:pPr>
                    <w:pStyle w:val="71"/>
                    <w:spacing w:line="240" w:lineRule="exact"/>
                    <w:rPr>
                      <w:color w:val="auto"/>
                    </w:rPr>
                  </w:pPr>
                  <w:r>
                    <w:rPr>
                      <w:rFonts w:hint="eastAsia"/>
                      <w:color w:val="auto"/>
                    </w:rPr>
                    <w:t>污染物排放标准</w:t>
                  </w:r>
                </w:p>
              </w:tc>
              <w:tc>
                <w:tcPr>
                  <w:tcW w:w="884" w:type="dxa"/>
                  <w:vMerge w:val="continue"/>
                  <w:tcBorders>
                    <w:tl2br w:val="nil"/>
                    <w:tr2bl w:val="nil"/>
                  </w:tcBorders>
                  <w:tcMar>
                    <w:left w:w="0" w:type="dxa"/>
                    <w:right w:w="0" w:type="dxa"/>
                  </w:tcMar>
                  <w:vAlign w:val="center"/>
                </w:tcPr>
                <w:p w14:paraId="18C0B01F">
                  <w:pPr>
                    <w:pStyle w:val="71"/>
                    <w:spacing w:line="240" w:lineRule="exact"/>
                    <w:rPr>
                      <w:color w:val="auto"/>
                    </w:rPr>
                  </w:pPr>
                </w:p>
              </w:tc>
            </w:tr>
            <w:tr w14:paraId="2189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51" w:type="dxa"/>
                  <w:tcBorders>
                    <w:tl2br w:val="nil"/>
                    <w:tr2bl w:val="nil"/>
                  </w:tcBorders>
                  <w:tcMar>
                    <w:left w:w="0" w:type="dxa"/>
                    <w:right w:w="0" w:type="dxa"/>
                  </w:tcMar>
                  <w:vAlign w:val="center"/>
                </w:tcPr>
                <w:p w14:paraId="2D150F97">
                  <w:pPr>
                    <w:pStyle w:val="71"/>
                    <w:spacing w:line="240" w:lineRule="exact"/>
                    <w:rPr>
                      <w:rFonts w:ascii="Times New Roman" w:hAnsi="Times New Roman" w:cs="Times New Roman"/>
                      <w:color w:val="auto"/>
                    </w:rPr>
                  </w:pPr>
                  <w:r>
                    <w:rPr>
                      <w:rFonts w:ascii="Times New Roman" w:hAnsi="Times New Roman" w:cs="Times New Roman"/>
                      <w:color w:val="auto"/>
                    </w:rPr>
                    <w:t>1</w:t>
                  </w:r>
                </w:p>
              </w:tc>
              <w:tc>
                <w:tcPr>
                  <w:tcW w:w="723" w:type="dxa"/>
                  <w:tcBorders>
                    <w:tl2br w:val="nil"/>
                    <w:tr2bl w:val="nil"/>
                  </w:tcBorders>
                  <w:tcMar>
                    <w:left w:w="0" w:type="dxa"/>
                    <w:right w:w="0" w:type="dxa"/>
                  </w:tcMar>
                  <w:vAlign w:val="center"/>
                </w:tcPr>
                <w:p w14:paraId="02A4317E">
                  <w:pPr>
                    <w:pStyle w:val="71"/>
                    <w:spacing w:line="240" w:lineRule="exact"/>
                    <w:rPr>
                      <w:rFonts w:ascii="Times New Roman" w:hAnsi="Times New Roman" w:cs="Times New Roman"/>
                      <w:color w:val="auto"/>
                    </w:rPr>
                  </w:pPr>
                  <w:r>
                    <w:rPr>
                      <w:rFonts w:ascii="Times New Roman" w:hAnsi="Times New Roman" w:cs="Times New Roman"/>
                      <w:color w:val="auto"/>
                    </w:rPr>
                    <w:t>/</w:t>
                  </w:r>
                </w:p>
              </w:tc>
              <w:tc>
                <w:tcPr>
                  <w:tcW w:w="978" w:type="dxa"/>
                  <w:tcBorders>
                    <w:tl2br w:val="nil"/>
                    <w:tr2bl w:val="nil"/>
                  </w:tcBorders>
                  <w:tcMar>
                    <w:top w:w="0" w:type="dxa"/>
                    <w:left w:w="0" w:type="dxa"/>
                    <w:bottom w:w="0" w:type="dxa"/>
                    <w:right w:w="0" w:type="dxa"/>
                  </w:tcMar>
                  <w:vAlign w:val="center"/>
                </w:tcPr>
                <w:p w14:paraId="4BEFEF56">
                  <w:pPr>
                    <w:spacing w:line="240" w:lineRule="auto"/>
                    <w:jc w:val="center"/>
                    <w:rPr>
                      <w:color w:val="auto"/>
                      <w:sz w:val="21"/>
                      <w:szCs w:val="21"/>
                    </w:rPr>
                  </w:pPr>
                  <w:r>
                    <w:rPr>
                      <w:rFonts w:hint="eastAsia"/>
                      <w:color w:val="auto"/>
                      <w:sz w:val="21"/>
                      <w:szCs w:val="21"/>
                    </w:rPr>
                    <w:t>注塑废气</w:t>
                  </w:r>
                </w:p>
              </w:tc>
              <w:tc>
                <w:tcPr>
                  <w:tcW w:w="822" w:type="dxa"/>
                  <w:tcBorders>
                    <w:tl2br w:val="nil"/>
                    <w:tr2bl w:val="nil"/>
                  </w:tcBorders>
                  <w:tcMar>
                    <w:left w:w="0" w:type="dxa"/>
                    <w:right w:w="0" w:type="dxa"/>
                  </w:tcMar>
                  <w:vAlign w:val="center"/>
                </w:tcPr>
                <w:p w14:paraId="448F2E35">
                  <w:pPr>
                    <w:spacing w:line="240" w:lineRule="auto"/>
                    <w:jc w:val="center"/>
                    <w:rPr>
                      <w:color w:val="auto"/>
                      <w:sz w:val="21"/>
                      <w:szCs w:val="21"/>
                    </w:rPr>
                  </w:pPr>
                  <w:r>
                    <w:rPr>
                      <w:rFonts w:hint="eastAsia"/>
                      <w:color w:val="auto"/>
                      <w:sz w:val="21"/>
                      <w:szCs w:val="21"/>
                    </w:rPr>
                    <w:t>NMHC</w:t>
                  </w:r>
                </w:p>
              </w:tc>
              <w:tc>
                <w:tcPr>
                  <w:tcW w:w="1322" w:type="dxa"/>
                  <w:tcBorders>
                    <w:tl2br w:val="nil"/>
                    <w:tr2bl w:val="nil"/>
                  </w:tcBorders>
                  <w:tcMar>
                    <w:left w:w="0" w:type="dxa"/>
                    <w:right w:w="0" w:type="dxa"/>
                  </w:tcMar>
                  <w:vAlign w:val="center"/>
                </w:tcPr>
                <w:p w14:paraId="2CCE4C9F">
                  <w:pPr>
                    <w:pStyle w:val="71"/>
                    <w:spacing w:line="240" w:lineRule="exact"/>
                    <w:rPr>
                      <w:color w:val="auto"/>
                      <w:szCs w:val="21"/>
                    </w:rPr>
                  </w:pPr>
                  <w:r>
                    <w:rPr>
                      <w:rFonts w:hint="eastAsia" w:ascii="Times New Roman" w:hAnsi="Times New Roman" w:cs="Times New Roman"/>
                      <w:color w:val="auto"/>
                      <w:szCs w:val="21"/>
                    </w:rPr>
                    <w:t>/</w:t>
                  </w:r>
                </w:p>
              </w:tc>
              <w:tc>
                <w:tcPr>
                  <w:tcW w:w="1836" w:type="dxa"/>
                  <w:tcBorders>
                    <w:tl2br w:val="nil"/>
                    <w:tr2bl w:val="nil"/>
                  </w:tcBorders>
                  <w:tcMar>
                    <w:left w:w="0" w:type="dxa"/>
                    <w:right w:w="0" w:type="dxa"/>
                  </w:tcMar>
                  <w:vAlign w:val="center"/>
                </w:tcPr>
                <w:p w14:paraId="0A20096B">
                  <w:pPr>
                    <w:pStyle w:val="71"/>
                    <w:spacing w:line="240" w:lineRule="exact"/>
                    <w:rPr>
                      <w:color w:val="auto"/>
                      <w:szCs w:val="21"/>
                    </w:rPr>
                  </w:pPr>
                  <w:r>
                    <w:rPr>
                      <w:rFonts w:hint="eastAsia"/>
                      <w:color w:val="auto"/>
                      <w:szCs w:val="21"/>
                    </w:rPr>
                    <w:t>GB31572-2015</w:t>
                  </w:r>
                </w:p>
              </w:tc>
              <w:tc>
                <w:tcPr>
                  <w:tcW w:w="1169" w:type="dxa"/>
                  <w:tcBorders>
                    <w:tl2br w:val="nil"/>
                    <w:tr2bl w:val="nil"/>
                  </w:tcBorders>
                  <w:tcMar>
                    <w:left w:w="0" w:type="dxa"/>
                    <w:right w:w="0" w:type="dxa"/>
                  </w:tcMar>
                  <w:vAlign w:val="center"/>
                </w:tcPr>
                <w:p w14:paraId="62C84CDD">
                  <w:pPr>
                    <w:pStyle w:val="71"/>
                    <w:spacing w:line="240" w:lineRule="exact"/>
                    <w:rPr>
                      <w:rFonts w:ascii="Times New Roman" w:hAnsi="Times New Roman" w:cs="Times New Roman"/>
                      <w:color w:val="auto"/>
                      <w:szCs w:val="21"/>
                    </w:rPr>
                  </w:pPr>
                  <w:r>
                    <w:rPr>
                      <w:rFonts w:hint="eastAsia" w:ascii="Times New Roman" w:hAnsi="Times New Roman" w:cs="Times New Roman"/>
                      <w:color w:val="auto"/>
                      <w:szCs w:val="21"/>
                    </w:rPr>
                    <w:t>4.0mg/m</w:t>
                  </w:r>
                  <w:r>
                    <w:rPr>
                      <w:rFonts w:hint="eastAsia" w:ascii="Times New Roman" w:hAnsi="Times New Roman" w:cs="Times New Roman"/>
                      <w:color w:val="auto"/>
                      <w:szCs w:val="21"/>
                      <w:vertAlign w:val="superscript"/>
                    </w:rPr>
                    <w:t>3</w:t>
                  </w:r>
                </w:p>
              </w:tc>
              <w:tc>
                <w:tcPr>
                  <w:tcW w:w="884" w:type="dxa"/>
                  <w:tcBorders>
                    <w:tl2br w:val="nil"/>
                    <w:tr2bl w:val="nil"/>
                  </w:tcBorders>
                  <w:tcMar>
                    <w:left w:w="0" w:type="dxa"/>
                    <w:right w:w="0" w:type="dxa"/>
                  </w:tcMar>
                  <w:vAlign w:val="center"/>
                </w:tcPr>
                <w:p w14:paraId="7AF16C14">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2.333</w:t>
                  </w:r>
                </w:p>
              </w:tc>
            </w:tr>
            <w:tr w14:paraId="6E6A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185" w:type="dxa"/>
                  <w:gridSpan w:val="8"/>
                  <w:tcBorders>
                    <w:tl2br w:val="nil"/>
                    <w:tr2bl w:val="nil"/>
                  </w:tcBorders>
                  <w:tcMar>
                    <w:left w:w="0" w:type="dxa"/>
                    <w:right w:w="0" w:type="dxa"/>
                  </w:tcMar>
                  <w:vAlign w:val="center"/>
                </w:tcPr>
                <w:p w14:paraId="79D0A74C">
                  <w:pPr>
                    <w:pStyle w:val="71"/>
                    <w:spacing w:line="240" w:lineRule="exact"/>
                    <w:rPr>
                      <w:color w:val="auto"/>
                      <w:szCs w:val="21"/>
                    </w:rPr>
                  </w:pPr>
                  <w:r>
                    <w:rPr>
                      <w:rFonts w:hint="eastAsia"/>
                      <w:color w:val="auto"/>
                      <w:szCs w:val="21"/>
                    </w:rPr>
                    <w:t>无组织排放总计</w:t>
                  </w:r>
                </w:p>
              </w:tc>
            </w:tr>
            <w:tr w14:paraId="3FC4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52" w:type="dxa"/>
                  <w:gridSpan w:val="3"/>
                  <w:tcBorders>
                    <w:tl2br w:val="nil"/>
                    <w:tr2bl w:val="nil"/>
                  </w:tcBorders>
                  <w:tcMar>
                    <w:left w:w="0" w:type="dxa"/>
                    <w:right w:w="0" w:type="dxa"/>
                  </w:tcMar>
                  <w:vAlign w:val="center"/>
                </w:tcPr>
                <w:p w14:paraId="0A2E5A21">
                  <w:pPr>
                    <w:pStyle w:val="71"/>
                    <w:spacing w:line="240" w:lineRule="exact"/>
                    <w:rPr>
                      <w:color w:val="auto"/>
                      <w:szCs w:val="21"/>
                    </w:rPr>
                  </w:pPr>
                  <w:r>
                    <w:rPr>
                      <w:rFonts w:hint="eastAsia"/>
                      <w:color w:val="auto"/>
                      <w:szCs w:val="21"/>
                    </w:rPr>
                    <w:t>无组织排放总计</w:t>
                  </w:r>
                </w:p>
              </w:tc>
              <w:tc>
                <w:tcPr>
                  <w:tcW w:w="3980" w:type="dxa"/>
                  <w:gridSpan w:val="3"/>
                  <w:tcBorders>
                    <w:tl2br w:val="nil"/>
                    <w:tr2bl w:val="nil"/>
                  </w:tcBorders>
                  <w:tcMar>
                    <w:left w:w="0" w:type="dxa"/>
                    <w:right w:w="0" w:type="dxa"/>
                  </w:tcMar>
                  <w:vAlign w:val="center"/>
                </w:tcPr>
                <w:p w14:paraId="4152A668">
                  <w:pPr>
                    <w:spacing w:line="240" w:lineRule="auto"/>
                    <w:jc w:val="center"/>
                    <w:rPr>
                      <w:color w:val="auto"/>
                      <w:sz w:val="21"/>
                      <w:szCs w:val="21"/>
                    </w:rPr>
                  </w:pPr>
                  <w:bookmarkStart w:id="85" w:name="OLE_LINK59"/>
                  <w:r>
                    <w:rPr>
                      <w:rFonts w:hint="eastAsia"/>
                      <w:color w:val="auto"/>
                      <w:sz w:val="21"/>
                      <w:szCs w:val="21"/>
                    </w:rPr>
                    <w:t>NMHC</w:t>
                  </w:r>
                  <w:bookmarkEnd w:id="85"/>
                </w:p>
              </w:tc>
              <w:tc>
                <w:tcPr>
                  <w:tcW w:w="2053" w:type="dxa"/>
                  <w:gridSpan w:val="2"/>
                  <w:tcBorders>
                    <w:tl2br w:val="nil"/>
                    <w:tr2bl w:val="nil"/>
                  </w:tcBorders>
                  <w:tcMar>
                    <w:left w:w="0" w:type="dxa"/>
                    <w:right w:w="0" w:type="dxa"/>
                  </w:tcMar>
                  <w:vAlign w:val="center"/>
                </w:tcPr>
                <w:p w14:paraId="773A32E9">
                  <w:pPr>
                    <w:pStyle w:val="71"/>
                    <w:spacing w:line="240" w:lineRule="exact"/>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2.333</w:t>
                  </w:r>
                </w:p>
              </w:tc>
            </w:tr>
          </w:tbl>
          <w:p w14:paraId="2F4B7215">
            <w:pPr>
              <w:widowControl/>
              <w:adjustRightInd w:val="0"/>
              <w:snapToGrid w:val="0"/>
              <w:spacing w:line="240" w:lineRule="auto"/>
              <w:jc w:val="center"/>
              <w:rPr>
                <w:bCs/>
                <w:color w:val="auto"/>
              </w:rPr>
            </w:pPr>
            <w:r>
              <w:rPr>
                <w:b/>
                <w:bCs/>
                <w:color w:val="auto"/>
              </w:rPr>
              <w:t>表4-</w:t>
            </w:r>
            <w:r>
              <w:rPr>
                <w:rFonts w:hint="eastAsia"/>
                <w:b/>
                <w:bCs/>
                <w:color w:val="auto"/>
              </w:rPr>
              <w:t xml:space="preserve">6 </w:t>
            </w:r>
            <w:r>
              <w:rPr>
                <w:b/>
                <w:bCs/>
                <w:color w:val="auto"/>
              </w:rPr>
              <w:t>大气污染物年排放量核算表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3423"/>
              <w:gridCol w:w="3254"/>
            </w:tblGrid>
            <w:tr w14:paraId="187B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13" w:type="dxa"/>
                  <w:tcBorders>
                    <w:tl2br w:val="nil"/>
                    <w:tr2bl w:val="nil"/>
                  </w:tcBorders>
                  <w:vAlign w:val="center"/>
                </w:tcPr>
                <w:p w14:paraId="1E14CE98">
                  <w:pPr>
                    <w:spacing w:line="240" w:lineRule="exact"/>
                    <w:jc w:val="center"/>
                    <w:rPr>
                      <w:color w:val="auto"/>
                      <w:sz w:val="21"/>
                      <w:szCs w:val="21"/>
                    </w:rPr>
                  </w:pPr>
                  <w:r>
                    <w:rPr>
                      <w:color w:val="auto"/>
                      <w:sz w:val="21"/>
                      <w:szCs w:val="21"/>
                    </w:rPr>
                    <w:t>序号</w:t>
                  </w:r>
                </w:p>
              </w:tc>
              <w:tc>
                <w:tcPr>
                  <w:tcW w:w="3423" w:type="dxa"/>
                  <w:tcBorders>
                    <w:tl2br w:val="nil"/>
                    <w:tr2bl w:val="nil"/>
                  </w:tcBorders>
                  <w:vAlign w:val="center"/>
                </w:tcPr>
                <w:p w14:paraId="184740B6">
                  <w:pPr>
                    <w:spacing w:line="240" w:lineRule="exact"/>
                    <w:jc w:val="center"/>
                    <w:rPr>
                      <w:color w:val="auto"/>
                      <w:sz w:val="21"/>
                      <w:szCs w:val="21"/>
                    </w:rPr>
                  </w:pPr>
                  <w:r>
                    <w:rPr>
                      <w:color w:val="auto"/>
                      <w:sz w:val="21"/>
                      <w:szCs w:val="21"/>
                    </w:rPr>
                    <w:t>污染物</w:t>
                  </w:r>
                </w:p>
              </w:tc>
              <w:tc>
                <w:tcPr>
                  <w:tcW w:w="3254" w:type="dxa"/>
                  <w:tcBorders>
                    <w:tl2br w:val="nil"/>
                    <w:tr2bl w:val="nil"/>
                  </w:tcBorders>
                  <w:vAlign w:val="center"/>
                </w:tcPr>
                <w:p w14:paraId="679829F4">
                  <w:pPr>
                    <w:spacing w:line="240" w:lineRule="exact"/>
                    <w:jc w:val="center"/>
                    <w:rPr>
                      <w:color w:val="auto"/>
                      <w:sz w:val="21"/>
                      <w:szCs w:val="21"/>
                    </w:rPr>
                  </w:pPr>
                  <w:r>
                    <w:rPr>
                      <w:color w:val="auto"/>
                      <w:sz w:val="21"/>
                      <w:szCs w:val="21"/>
                    </w:rPr>
                    <w:t>年排放量/（t/a）</w:t>
                  </w:r>
                </w:p>
              </w:tc>
            </w:tr>
            <w:tr w14:paraId="37D5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13" w:type="dxa"/>
                  <w:tcBorders>
                    <w:tl2br w:val="nil"/>
                    <w:tr2bl w:val="nil"/>
                  </w:tcBorders>
                  <w:vAlign w:val="center"/>
                </w:tcPr>
                <w:p w14:paraId="5456210F">
                  <w:pPr>
                    <w:spacing w:line="240" w:lineRule="exact"/>
                    <w:jc w:val="center"/>
                    <w:rPr>
                      <w:color w:val="auto"/>
                      <w:sz w:val="21"/>
                      <w:szCs w:val="21"/>
                    </w:rPr>
                  </w:pPr>
                  <w:r>
                    <w:rPr>
                      <w:color w:val="auto"/>
                      <w:sz w:val="21"/>
                      <w:szCs w:val="21"/>
                    </w:rPr>
                    <w:t>1</w:t>
                  </w:r>
                </w:p>
              </w:tc>
              <w:tc>
                <w:tcPr>
                  <w:tcW w:w="3423" w:type="dxa"/>
                  <w:tcBorders>
                    <w:tl2br w:val="nil"/>
                    <w:tr2bl w:val="nil"/>
                  </w:tcBorders>
                  <w:vAlign w:val="center"/>
                </w:tcPr>
                <w:p w14:paraId="1085BB40">
                  <w:pPr>
                    <w:spacing w:line="240" w:lineRule="auto"/>
                    <w:jc w:val="center"/>
                    <w:rPr>
                      <w:color w:val="auto"/>
                      <w:sz w:val="21"/>
                      <w:szCs w:val="21"/>
                    </w:rPr>
                  </w:pPr>
                  <w:r>
                    <w:rPr>
                      <w:rFonts w:hint="eastAsia"/>
                      <w:color w:val="auto"/>
                      <w:sz w:val="21"/>
                      <w:szCs w:val="21"/>
                    </w:rPr>
                    <w:t>NMHC</w:t>
                  </w:r>
                </w:p>
              </w:tc>
              <w:tc>
                <w:tcPr>
                  <w:tcW w:w="3254" w:type="dxa"/>
                  <w:tcBorders>
                    <w:tl2br w:val="nil"/>
                    <w:tr2bl w:val="nil"/>
                  </w:tcBorders>
                  <w:vAlign w:val="center"/>
                </w:tcPr>
                <w:p w14:paraId="411F4FF3">
                  <w:pPr>
                    <w:widowControl/>
                    <w:spacing w:line="24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2.877</w:t>
                  </w:r>
                </w:p>
              </w:tc>
            </w:tr>
          </w:tbl>
          <w:p w14:paraId="3536AEC7">
            <w:pPr>
              <w:ind w:firstLine="482" w:firstLineChars="200"/>
              <w:rPr>
                <w:b/>
                <w:color w:val="auto"/>
              </w:rPr>
            </w:pPr>
            <w:r>
              <w:rPr>
                <w:rFonts w:hint="eastAsia"/>
                <w:b/>
                <w:color w:val="auto"/>
              </w:rPr>
              <w:t>二、</w:t>
            </w:r>
            <w:r>
              <w:rPr>
                <w:b/>
                <w:color w:val="auto"/>
              </w:rPr>
              <w:t>废水</w:t>
            </w:r>
          </w:p>
          <w:p w14:paraId="133F4078">
            <w:pPr>
              <w:pStyle w:val="4"/>
              <w:spacing w:line="360" w:lineRule="auto"/>
              <w:ind w:firstLine="482" w:firstLineChars="200"/>
              <w:rPr>
                <w:rFonts w:hAnsi="Times New Roman" w:eastAsia="宋体"/>
                <w:bCs/>
                <w:color w:val="auto"/>
                <w:lang w:val="en-US"/>
              </w:rPr>
            </w:pPr>
            <w:r>
              <w:rPr>
                <w:rFonts w:hint="eastAsia" w:hAnsi="Times New Roman" w:eastAsia="宋体"/>
                <w:bCs/>
                <w:color w:val="auto"/>
                <w:lang w:val="en-US"/>
              </w:rPr>
              <w:t>1、源强分析</w:t>
            </w:r>
          </w:p>
          <w:p w14:paraId="79894609">
            <w:pPr>
              <w:pStyle w:val="4"/>
              <w:spacing w:line="360" w:lineRule="auto"/>
              <w:ind w:firstLine="480" w:firstLineChars="200"/>
              <w:rPr>
                <w:rFonts w:hAnsi="Times New Roman" w:eastAsia="宋体"/>
                <w:b w:val="0"/>
                <w:color w:val="auto"/>
              </w:rPr>
            </w:pPr>
            <w:r>
              <w:rPr>
                <w:rFonts w:hint="eastAsia" w:hAnsi="Times New Roman" w:eastAsia="宋体"/>
                <w:b w:val="0"/>
                <w:color w:val="auto"/>
                <w:lang w:val="en-US"/>
              </w:rPr>
              <w:t>项目冷却水循环使用，不外排。项目生活污水产生量为</w:t>
            </w:r>
            <w:r>
              <w:rPr>
                <w:rFonts w:hint="eastAsia"/>
                <w:b w:val="0"/>
                <w:color w:val="auto"/>
                <w:lang w:val="en-US"/>
              </w:rPr>
              <w:t>0</w:t>
            </w:r>
            <w:r>
              <w:rPr>
                <w:rFonts w:hAnsi="Times New Roman" w:eastAsia="宋体"/>
                <w:b w:val="0"/>
                <w:color w:val="auto"/>
                <w:lang w:val="en-US"/>
              </w:rPr>
              <w:t>.2m</w:t>
            </w:r>
            <w:r>
              <w:rPr>
                <w:rFonts w:hAnsi="Times New Roman" w:eastAsia="宋体"/>
                <w:b w:val="0"/>
                <w:color w:val="auto"/>
                <w:vertAlign w:val="superscript"/>
                <w:lang w:val="en-US"/>
              </w:rPr>
              <w:t>3</w:t>
            </w:r>
            <w:r>
              <w:rPr>
                <w:rFonts w:hAnsi="Times New Roman" w:eastAsia="宋体"/>
                <w:b w:val="0"/>
                <w:color w:val="auto"/>
                <w:lang w:val="en-US"/>
              </w:rPr>
              <w:t>/d、60m</w:t>
            </w:r>
            <w:r>
              <w:rPr>
                <w:rFonts w:hAnsi="Times New Roman" w:eastAsia="宋体"/>
                <w:b w:val="0"/>
                <w:color w:val="auto"/>
                <w:vertAlign w:val="superscript"/>
                <w:lang w:val="en-US"/>
              </w:rPr>
              <w:t>3</w:t>
            </w:r>
            <w:r>
              <w:rPr>
                <w:rFonts w:hAnsi="Times New Roman" w:eastAsia="宋体"/>
                <w:b w:val="0"/>
                <w:color w:val="auto"/>
                <w:lang w:val="en-US"/>
              </w:rPr>
              <w:t>/a</w:t>
            </w:r>
            <w:r>
              <w:rPr>
                <w:rFonts w:hint="eastAsia" w:hAnsi="Times New Roman" w:eastAsia="宋体"/>
                <w:b w:val="0"/>
                <w:color w:val="auto"/>
                <w:lang w:val="en-US"/>
              </w:rPr>
              <w:t>，经化粪池处理后排入园区污水管网，最后输送至大榄坪污水处理厂进一步处理。</w:t>
            </w:r>
            <w:r>
              <w:rPr>
                <w:rFonts w:hAnsi="Times New Roman" w:eastAsia="宋体"/>
                <w:b w:val="0"/>
                <w:color w:val="auto"/>
                <w:lang w:val="en-US"/>
              </w:rPr>
              <w:t>通过相似类型污水水质类比，确定本项目的生活污水水质中的主要污染物成分的浓度为：COD</w:t>
            </w:r>
            <w:r>
              <w:rPr>
                <w:rFonts w:hAnsi="Times New Roman" w:eastAsia="宋体"/>
                <w:b w:val="0"/>
                <w:color w:val="auto"/>
                <w:vertAlign w:val="subscript"/>
                <w:lang w:val="en-US"/>
              </w:rPr>
              <w:t xml:space="preserve">Cr </w:t>
            </w:r>
            <w:r>
              <w:rPr>
                <w:rFonts w:hAnsi="Times New Roman" w:eastAsia="宋体"/>
                <w:b w:val="0"/>
                <w:color w:val="auto"/>
                <w:lang w:val="en-US"/>
              </w:rPr>
              <w:t>250 mg/L、BOD</w:t>
            </w:r>
            <w:r>
              <w:rPr>
                <w:rFonts w:hAnsi="Times New Roman" w:eastAsia="宋体"/>
                <w:b w:val="0"/>
                <w:color w:val="auto"/>
                <w:vertAlign w:val="subscript"/>
                <w:lang w:val="en-US"/>
              </w:rPr>
              <w:t xml:space="preserve">5 </w:t>
            </w:r>
            <w:r>
              <w:rPr>
                <w:rFonts w:hAnsi="Times New Roman" w:eastAsia="宋体"/>
                <w:b w:val="0"/>
                <w:color w:val="auto"/>
                <w:lang w:val="en-US"/>
              </w:rPr>
              <w:t>150 mg/L、SS 200mg/L、NH</w:t>
            </w:r>
            <w:r>
              <w:rPr>
                <w:rFonts w:hAnsi="Times New Roman" w:eastAsia="宋体"/>
                <w:b w:val="0"/>
                <w:color w:val="auto"/>
                <w:vertAlign w:val="subscript"/>
                <w:lang w:val="en-US"/>
              </w:rPr>
              <w:t>3</w:t>
            </w:r>
            <w:r>
              <w:rPr>
                <w:rFonts w:hAnsi="Times New Roman" w:eastAsia="宋体"/>
                <w:b w:val="0"/>
                <w:color w:val="auto"/>
                <w:lang w:val="en-US"/>
              </w:rPr>
              <w:t>-N 30mg/L、Tp</w:t>
            </w:r>
            <w:r>
              <w:rPr>
                <w:rFonts w:hint="eastAsia" w:hAnsi="Times New Roman" w:eastAsia="宋体"/>
                <w:b w:val="0"/>
                <w:color w:val="auto"/>
                <w:lang w:val="en-US"/>
              </w:rPr>
              <w:t>4</w:t>
            </w:r>
            <w:r>
              <w:rPr>
                <w:rFonts w:hAnsi="Times New Roman" w:eastAsia="宋体"/>
                <w:b w:val="0"/>
                <w:color w:val="auto"/>
                <w:lang w:val="en-US"/>
              </w:rPr>
              <w:t>mg/L。</w:t>
            </w:r>
          </w:p>
          <w:p w14:paraId="75532593">
            <w:pPr>
              <w:tabs>
                <w:tab w:val="left" w:pos="2100"/>
                <w:tab w:val="center" w:pos="4663"/>
              </w:tabs>
              <w:spacing w:line="240" w:lineRule="auto"/>
              <w:jc w:val="center"/>
              <w:rPr>
                <w:b/>
                <w:bCs/>
                <w:color w:val="auto"/>
              </w:rPr>
            </w:pPr>
            <w:r>
              <w:rPr>
                <w:b/>
                <w:bCs/>
                <w:color w:val="auto"/>
              </w:rPr>
              <w:t>表</w:t>
            </w:r>
            <w:r>
              <w:rPr>
                <w:rFonts w:hint="eastAsia"/>
                <w:b/>
                <w:bCs/>
                <w:color w:val="auto"/>
              </w:rPr>
              <w:t>4-7</w:t>
            </w:r>
            <w:r>
              <w:rPr>
                <w:b/>
                <w:bCs/>
                <w:color w:val="auto"/>
              </w:rPr>
              <w:t xml:space="preserve"> 项目生活污水产生及排放情况一览表</w:t>
            </w:r>
          </w:p>
          <w:tbl>
            <w:tblPr>
              <w:tblStyle w:val="25"/>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895"/>
              <w:gridCol w:w="1768"/>
              <w:gridCol w:w="909"/>
              <w:gridCol w:w="1032"/>
              <w:gridCol w:w="880"/>
              <w:gridCol w:w="921"/>
              <w:gridCol w:w="921"/>
            </w:tblGrid>
            <w:tr w14:paraId="1A4E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89" w:type="dxa"/>
                  <w:vAlign w:val="center"/>
                </w:tcPr>
                <w:p w14:paraId="0F6FB437">
                  <w:pPr>
                    <w:widowControl/>
                    <w:adjustRightInd w:val="0"/>
                    <w:snapToGrid w:val="0"/>
                    <w:spacing w:line="360" w:lineRule="exact"/>
                    <w:jc w:val="center"/>
                    <w:rPr>
                      <w:color w:val="auto"/>
                      <w:kern w:val="0"/>
                      <w:sz w:val="21"/>
                      <w:szCs w:val="21"/>
                    </w:rPr>
                  </w:pPr>
                  <w:r>
                    <w:rPr>
                      <w:color w:val="auto"/>
                      <w:kern w:val="0"/>
                      <w:sz w:val="21"/>
                      <w:szCs w:val="21"/>
                    </w:rPr>
                    <w:t>废水总量</w:t>
                  </w:r>
                </w:p>
              </w:tc>
              <w:tc>
                <w:tcPr>
                  <w:tcW w:w="2663" w:type="dxa"/>
                  <w:gridSpan w:val="2"/>
                  <w:vAlign w:val="center"/>
                </w:tcPr>
                <w:p w14:paraId="65360C4A">
                  <w:pPr>
                    <w:widowControl/>
                    <w:adjustRightInd w:val="0"/>
                    <w:snapToGrid w:val="0"/>
                    <w:spacing w:line="360" w:lineRule="exact"/>
                    <w:ind w:right="-798"/>
                    <w:jc w:val="center"/>
                    <w:rPr>
                      <w:color w:val="auto"/>
                      <w:kern w:val="0"/>
                      <w:sz w:val="21"/>
                      <w:szCs w:val="21"/>
                    </w:rPr>
                  </w:pPr>
                  <w:r>
                    <w:rPr>
                      <w:color w:val="auto"/>
                      <w:kern w:val="0"/>
                      <w:sz w:val="21"/>
                      <w:szCs w:val="21"/>
                    </w:rPr>
                    <w:t>项目</w:t>
                  </w:r>
                </w:p>
              </w:tc>
              <w:tc>
                <w:tcPr>
                  <w:tcW w:w="909" w:type="dxa"/>
                  <w:vAlign w:val="center"/>
                </w:tcPr>
                <w:p w14:paraId="59D40E74">
                  <w:pPr>
                    <w:widowControl/>
                    <w:adjustRightInd w:val="0"/>
                    <w:snapToGrid w:val="0"/>
                    <w:spacing w:line="360" w:lineRule="exact"/>
                    <w:jc w:val="center"/>
                    <w:rPr>
                      <w:color w:val="auto"/>
                      <w:kern w:val="0"/>
                      <w:sz w:val="21"/>
                      <w:szCs w:val="21"/>
                    </w:rPr>
                  </w:pPr>
                  <w:r>
                    <w:rPr>
                      <w:color w:val="auto"/>
                      <w:kern w:val="0"/>
                      <w:sz w:val="21"/>
                      <w:szCs w:val="21"/>
                    </w:rPr>
                    <w:t>COD</w:t>
                  </w:r>
                  <w:r>
                    <w:rPr>
                      <w:color w:val="auto"/>
                      <w:kern w:val="0"/>
                      <w:sz w:val="21"/>
                      <w:szCs w:val="21"/>
                      <w:vertAlign w:val="subscript"/>
                    </w:rPr>
                    <w:t>cr</w:t>
                  </w:r>
                </w:p>
              </w:tc>
              <w:tc>
                <w:tcPr>
                  <w:tcW w:w="1032" w:type="dxa"/>
                  <w:vAlign w:val="center"/>
                </w:tcPr>
                <w:p w14:paraId="35ADEA08">
                  <w:pPr>
                    <w:widowControl/>
                    <w:adjustRightInd w:val="0"/>
                    <w:snapToGrid w:val="0"/>
                    <w:spacing w:line="360" w:lineRule="exact"/>
                    <w:jc w:val="center"/>
                    <w:rPr>
                      <w:color w:val="auto"/>
                      <w:kern w:val="0"/>
                      <w:sz w:val="21"/>
                      <w:szCs w:val="21"/>
                    </w:rPr>
                  </w:pPr>
                  <w:r>
                    <w:rPr>
                      <w:color w:val="auto"/>
                      <w:kern w:val="0"/>
                      <w:sz w:val="21"/>
                      <w:szCs w:val="21"/>
                    </w:rPr>
                    <w:t>BOD</w:t>
                  </w:r>
                  <w:r>
                    <w:rPr>
                      <w:color w:val="auto"/>
                      <w:kern w:val="0"/>
                      <w:sz w:val="21"/>
                      <w:szCs w:val="21"/>
                      <w:vertAlign w:val="subscript"/>
                    </w:rPr>
                    <w:t>5</w:t>
                  </w:r>
                </w:p>
              </w:tc>
              <w:tc>
                <w:tcPr>
                  <w:tcW w:w="880" w:type="dxa"/>
                  <w:vAlign w:val="center"/>
                </w:tcPr>
                <w:p w14:paraId="251AE321">
                  <w:pPr>
                    <w:widowControl/>
                    <w:adjustRightInd w:val="0"/>
                    <w:snapToGrid w:val="0"/>
                    <w:spacing w:line="360" w:lineRule="exact"/>
                    <w:jc w:val="center"/>
                    <w:rPr>
                      <w:color w:val="auto"/>
                      <w:kern w:val="0"/>
                      <w:sz w:val="21"/>
                      <w:szCs w:val="21"/>
                    </w:rPr>
                  </w:pPr>
                  <w:r>
                    <w:rPr>
                      <w:color w:val="auto"/>
                      <w:kern w:val="0"/>
                      <w:sz w:val="21"/>
                      <w:szCs w:val="21"/>
                    </w:rPr>
                    <w:t>SS</w:t>
                  </w:r>
                </w:p>
              </w:tc>
              <w:tc>
                <w:tcPr>
                  <w:tcW w:w="921" w:type="dxa"/>
                  <w:vAlign w:val="center"/>
                </w:tcPr>
                <w:p w14:paraId="33783B0A">
                  <w:pPr>
                    <w:widowControl/>
                    <w:adjustRightInd w:val="0"/>
                    <w:snapToGrid w:val="0"/>
                    <w:spacing w:line="360" w:lineRule="exact"/>
                    <w:jc w:val="center"/>
                    <w:rPr>
                      <w:color w:val="auto"/>
                      <w:kern w:val="0"/>
                      <w:sz w:val="21"/>
                      <w:szCs w:val="21"/>
                    </w:rPr>
                  </w:pPr>
                  <w:r>
                    <w:rPr>
                      <w:color w:val="auto"/>
                      <w:kern w:val="0"/>
                      <w:sz w:val="21"/>
                      <w:szCs w:val="21"/>
                    </w:rPr>
                    <w:t>NH</w:t>
                  </w:r>
                  <w:r>
                    <w:rPr>
                      <w:color w:val="auto"/>
                      <w:kern w:val="0"/>
                      <w:sz w:val="21"/>
                      <w:szCs w:val="21"/>
                      <w:vertAlign w:val="subscript"/>
                    </w:rPr>
                    <w:t>3</w:t>
                  </w:r>
                  <w:r>
                    <w:rPr>
                      <w:color w:val="auto"/>
                      <w:kern w:val="0"/>
                      <w:sz w:val="21"/>
                      <w:szCs w:val="21"/>
                    </w:rPr>
                    <w:t>-N</w:t>
                  </w:r>
                </w:p>
              </w:tc>
              <w:tc>
                <w:tcPr>
                  <w:tcW w:w="921" w:type="dxa"/>
                  <w:vAlign w:val="center"/>
                </w:tcPr>
                <w:p w14:paraId="28733C98">
                  <w:pPr>
                    <w:widowControl/>
                    <w:adjustRightInd w:val="0"/>
                    <w:snapToGrid w:val="0"/>
                    <w:spacing w:line="360" w:lineRule="exact"/>
                    <w:jc w:val="center"/>
                    <w:rPr>
                      <w:color w:val="auto"/>
                      <w:kern w:val="0"/>
                      <w:sz w:val="21"/>
                      <w:szCs w:val="21"/>
                    </w:rPr>
                  </w:pPr>
                  <w:r>
                    <w:rPr>
                      <w:rFonts w:hint="eastAsia"/>
                      <w:color w:val="auto"/>
                      <w:kern w:val="0"/>
                      <w:sz w:val="21"/>
                      <w:szCs w:val="21"/>
                    </w:rPr>
                    <w:t>Tp</w:t>
                  </w:r>
                </w:p>
              </w:tc>
            </w:tr>
            <w:tr w14:paraId="4FB8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89" w:type="dxa"/>
                  <w:vMerge w:val="restart"/>
                  <w:vAlign w:val="center"/>
                </w:tcPr>
                <w:p w14:paraId="09BDBD5C">
                  <w:pPr>
                    <w:widowControl/>
                    <w:adjustRightInd w:val="0"/>
                    <w:snapToGrid w:val="0"/>
                    <w:spacing w:line="360" w:lineRule="exact"/>
                    <w:jc w:val="center"/>
                    <w:rPr>
                      <w:color w:val="auto"/>
                      <w:kern w:val="0"/>
                      <w:sz w:val="21"/>
                      <w:szCs w:val="21"/>
                    </w:rPr>
                  </w:pPr>
                  <w:bookmarkStart w:id="86" w:name="OLE_LINK62" w:colFirst="3" w:colLast="7"/>
                  <w:r>
                    <w:rPr>
                      <w:rFonts w:hint="eastAsia"/>
                      <w:color w:val="auto"/>
                      <w:kern w:val="0"/>
                      <w:sz w:val="21"/>
                      <w:szCs w:val="21"/>
                    </w:rPr>
                    <w:t>60</w:t>
                  </w:r>
                  <w:r>
                    <w:rPr>
                      <w:color w:val="auto"/>
                      <w:kern w:val="0"/>
                      <w:sz w:val="21"/>
                      <w:szCs w:val="21"/>
                    </w:rPr>
                    <w:t>m</w:t>
                  </w:r>
                  <w:r>
                    <w:rPr>
                      <w:color w:val="auto"/>
                      <w:kern w:val="0"/>
                      <w:sz w:val="21"/>
                      <w:szCs w:val="21"/>
                      <w:vertAlign w:val="superscript"/>
                    </w:rPr>
                    <w:t>3</w:t>
                  </w:r>
                  <w:r>
                    <w:rPr>
                      <w:color w:val="auto"/>
                      <w:kern w:val="0"/>
                      <w:sz w:val="21"/>
                      <w:szCs w:val="21"/>
                    </w:rPr>
                    <w:t>/a</w:t>
                  </w:r>
                </w:p>
              </w:tc>
              <w:tc>
                <w:tcPr>
                  <w:tcW w:w="895" w:type="dxa"/>
                  <w:vMerge w:val="restart"/>
                  <w:vAlign w:val="center"/>
                </w:tcPr>
                <w:p w14:paraId="03F99C7E">
                  <w:pPr>
                    <w:widowControl/>
                    <w:adjustRightInd w:val="0"/>
                    <w:snapToGrid w:val="0"/>
                    <w:spacing w:line="360" w:lineRule="exact"/>
                    <w:jc w:val="center"/>
                    <w:rPr>
                      <w:color w:val="auto"/>
                      <w:kern w:val="0"/>
                      <w:sz w:val="21"/>
                      <w:szCs w:val="21"/>
                    </w:rPr>
                  </w:pPr>
                  <w:r>
                    <w:rPr>
                      <w:color w:val="auto"/>
                      <w:kern w:val="0"/>
                      <w:sz w:val="21"/>
                      <w:szCs w:val="21"/>
                    </w:rPr>
                    <w:t>处理前</w:t>
                  </w:r>
                </w:p>
              </w:tc>
              <w:tc>
                <w:tcPr>
                  <w:tcW w:w="1768" w:type="dxa"/>
                  <w:vAlign w:val="center"/>
                </w:tcPr>
                <w:p w14:paraId="1C3F6A5B">
                  <w:pPr>
                    <w:widowControl/>
                    <w:adjustRightInd w:val="0"/>
                    <w:snapToGrid w:val="0"/>
                    <w:spacing w:line="360" w:lineRule="exact"/>
                    <w:jc w:val="center"/>
                    <w:rPr>
                      <w:color w:val="auto"/>
                      <w:kern w:val="0"/>
                      <w:sz w:val="21"/>
                      <w:szCs w:val="21"/>
                    </w:rPr>
                  </w:pPr>
                  <w:r>
                    <w:rPr>
                      <w:color w:val="auto"/>
                      <w:kern w:val="0"/>
                      <w:sz w:val="21"/>
                      <w:szCs w:val="21"/>
                    </w:rPr>
                    <w:t>产生浓度（mg/L）</w:t>
                  </w:r>
                </w:p>
              </w:tc>
              <w:tc>
                <w:tcPr>
                  <w:tcW w:w="909" w:type="dxa"/>
                  <w:vAlign w:val="center"/>
                </w:tcPr>
                <w:p w14:paraId="22260B89">
                  <w:pPr>
                    <w:widowControl/>
                    <w:adjustRightInd w:val="0"/>
                    <w:snapToGrid w:val="0"/>
                    <w:spacing w:line="360" w:lineRule="exact"/>
                    <w:jc w:val="center"/>
                    <w:rPr>
                      <w:color w:val="auto"/>
                      <w:kern w:val="0"/>
                      <w:sz w:val="21"/>
                      <w:szCs w:val="21"/>
                    </w:rPr>
                  </w:pPr>
                  <w:r>
                    <w:rPr>
                      <w:rFonts w:hint="eastAsia"/>
                      <w:color w:val="auto"/>
                      <w:kern w:val="0"/>
                      <w:sz w:val="21"/>
                      <w:szCs w:val="21"/>
                    </w:rPr>
                    <w:t>250</w:t>
                  </w:r>
                </w:p>
              </w:tc>
              <w:tc>
                <w:tcPr>
                  <w:tcW w:w="1032" w:type="dxa"/>
                  <w:vAlign w:val="center"/>
                </w:tcPr>
                <w:p w14:paraId="16506726">
                  <w:pPr>
                    <w:widowControl/>
                    <w:adjustRightInd w:val="0"/>
                    <w:snapToGrid w:val="0"/>
                    <w:spacing w:line="360" w:lineRule="exact"/>
                    <w:jc w:val="center"/>
                    <w:rPr>
                      <w:color w:val="auto"/>
                      <w:kern w:val="0"/>
                      <w:sz w:val="21"/>
                      <w:szCs w:val="21"/>
                    </w:rPr>
                  </w:pPr>
                  <w:r>
                    <w:rPr>
                      <w:rFonts w:hint="eastAsia"/>
                      <w:color w:val="auto"/>
                      <w:kern w:val="0"/>
                      <w:sz w:val="21"/>
                      <w:szCs w:val="21"/>
                    </w:rPr>
                    <w:t>15</w:t>
                  </w:r>
                  <w:r>
                    <w:rPr>
                      <w:color w:val="auto"/>
                      <w:kern w:val="0"/>
                      <w:sz w:val="21"/>
                      <w:szCs w:val="21"/>
                    </w:rPr>
                    <w:t>0</w:t>
                  </w:r>
                </w:p>
              </w:tc>
              <w:tc>
                <w:tcPr>
                  <w:tcW w:w="880" w:type="dxa"/>
                  <w:vAlign w:val="center"/>
                </w:tcPr>
                <w:p w14:paraId="464F4C32">
                  <w:pPr>
                    <w:widowControl/>
                    <w:adjustRightInd w:val="0"/>
                    <w:snapToGrid w:val="0"/>
                    <w:spacing w:line="360" w:lineRule="exact"/>
                    <w:jc w:val="center"/>
                    <w:rPr>
                      <w:color w:val="auto"/>
                      <w:kern w:val="0"/>
                      <w:sz w:val="21"/>
                      <w:szCs w:val="21"/>
                    </w:rPr>
                  </w:pPr>
                  <w:r>
                    <w:rPr>
                      <w:color w:val="auto"/>
                      <w:kern w:val="0"/>
                      <w:sz w:val="21"/>
                      <w:szCs w:val="21"/>
                    </w:rPr>
                    <w:t>200</w:t>
                  </w:r>
                </w:p>
              </w:tc>
              <w:tc>
                <w:tcPr>
                  <w:tcW w:w="921" w:type="dxa"/>
                  <w:vAlign w:val="center"/>
                </w:tcPr>
                <w:p w14:paraId="48B3268F">
                  <w:pPr>
                    <w:widowControl/>
                    <w:adjustRightInd w:val="0"/>
                    <w:snapToGrid w:val="0"/>
                    <w:spacing w:line="360" w:lineRule="exact"/>
                    <w:jc w:val="center"/>
                    <w:rPr>
                      <w:color w:val="auto"/>
                      <w:kern w:val="0"/>
                      <w:sz w:val="21"/>
                      <w:szCs w:val="21"/>
                    </w:rPr>
                  </w:pPr>
                  <w:r>
                    <w:rPr>
                      <w:color w:val="auto"/>
                      <w:kern w:val="0"/>
                      <w:sz w:val="21"/>
                      <w:szCs w:val="21"/>
                    </w:rPr>
                    <w:t>30</w:t>
                  </w:r>
                </w:p>
              </w:tc>
              <w:tc>
                <w:tcPr>
                  <w:tcW w:w="921" w:type="dxa"/>
                  <w:vAlign w:val="center"/>
                </w:tcPr>
                <w:p w14:paraId="4591F412">
                  <w:pPr>
                    <w:widowControl/>
                    <w:adjustRightInd w:val="0"/>
                    <w:snapToGrid w:val="0"/>
                    <w:spacing w:line="360" w:lineRule="exact"/>
                    <w:jc w:val="center"/>
                    <w:rPr>
                      <w:color w:val="auto"/>
                      <w:kern w:val="0"/>
                      <w:sz w:val="21"/>
                      <w:szCs w:val="21"/>
                    </w:rPr>
                  </w:pPr>
                  <w:r>
                    <w:rPr>
                      <w:rFonts w:hint="eastAsia"/>
                      <w:color w:val="auto"/>
                      <w:kern w:val="0"/>
                      <w:sz w:val="21"/>
                      <w:szCs w:val="21"/>
                    </w:rPr>
                    <w:t>4</w:t>
                  </w:r>
                </w:p>
              </w:tc>
            </w:tr>
            <w:bookmarkEnd w:id="86"/>
            <w:tr w14:paraId="53C3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89" w:type="dxa"/>
                  <w:vMerge w:val="continue"/>
                  <w:vAlign w:val="center"/>
                </w:tcPr>
                <w:p w14:paraId="30860853">
                  <w:pPr>
                    <w:widowControl/>
                    <w:adjustRightInd w:val="0"/>
                    <w:snapToGrid w:val="0"/>
                    <w:spacing w:line="360" w:lineRule="exact"/>
                    <w:jc w:val="center"/>
                    <w:rPr>
                      <w:color w:val="auto"/>
                      <w:kern w:val="0"/>
                      <w:sz w:val="21"/>
                      <w:szCs w:val="21"/>
                    </w:rPr>
                  </w:pPr>
                </w:p>
              </w:tc>
              <w:tc>
                <w:tcPr>
                  <w:tcW w:w="895" w:type="dxa"/>
                  <w:vMerge w:val="continue"/>
                  <w:vAlign w:val="center"/>
                </w:tcPr>
                <w:p w14:paraId="65D9C794">
                  <w:pPr>
                    <w:widowControl/>
                    <w:adjustRightInd w:val="0"/>
                    <w:snapToGrid w:val="0"/>
                    <w:spacing w:line="360" w:lineRule="exact"/>
                    <w:jc w:val="center"/>
                    <w:rPr>
                      <w:color w:val="auto"/>
                      <w:kern w:val="0"/>
                      <w:sz w:val="21"/>
                      <w:szCs w:val="21"/>
                    </w:rPr>
                  </w:pPr>
                </w:p>
              </w:tc>
              <w:tc>
                <w:tcPr>
                  <w:tcW w:w="1768" w:type="dxa"/>
                  <w:vAlign w:val="center"/>
                </w:tcPr>
                <w:p w14:paraId="79ACA673">
                  <w:pPr>
                    <w:widowControl/>
                    <w:adjustRightInd w:val="0"/>
                    <w:snapToGrid w:val="0"/>
                    <w:spacing w:line="360" w:lineRule="exact"/>
                    <w:jc w:val="center"/>
                    <w:rPr>
                      <w:color w:val="auto"/>
                      <w:kern w:val="0"/>
                      <w:sz w:val="21"/>
                      <w:szCs w:val="21"/>
                    </w:rPr>
                  </w:pPr>
                  <w:r>
                    <w:rPr>
                      <w:color w:val="auto"/>
                      <w:kern w:val="0"/>
                      <w:sz w:val="21"/>
                      <w:szCs w:val="21"/>
                    </w:rPr>
                    <w:t>产生量（t/a）</w:t>
                  </w:r>
                </w:p>
              </w:tc>
              <w:tc>
                <w:tcPr>
                  <w:tcW w:w="909" w:type="dxa"/>
                  <w:vAlign w:val="center"/>
                </w:tcPr>
                <w:p w14:paraId="08ED28BA">
                  <w:pPr>
                    <w:widowControl/>
                    <w:adjustRightInd w:val="0"/>
                    <w:snapToGrid w:val="0"/>
                    <w:spacing w:line="360" w:lineRule="exact"/>
                    <w:jc w:val="center"/>
                    <w:textAlignment w:val="center"/>
                    <w:rPr>
                      <w:color w:val="auto"/>
                      <w:sz w:val="21"/>
                      <w:szCs w:val="21"/>
                    </w:rPr>
                  </w:pPr>
                  <w:r>
                    <w:rPr>
                      <w:rFonts w:hint="eastAsia"/>
                      <w:color w:val="auto"/>
                      <w:sz w:val="21"/>
                      <w:szCs w:val="21"/>
                    </w:rPr>
                    <w:t>0.015</w:t>
                  </w:r>
                </w:p>
              </w:tc>
              <w:tc>
                <w:tcPr>
                  <w:tcW w:w="1032" w:type="dxa"/>
                  <w:vAlign w:val="center"/>
                </w:tcPr>
                <w:p w14:paraId="292082F3">
                  <w:pPr>
                    <w:widowControl/>
                    <w:adjustRightInd w:val="0"/>
                    <w:snapToGrid w:val="0"/>
                    <w:spacing w:line="360" w:lineRule="exact"/>
                    <w:jc w:val="center"/>
                    <w:textAlignment w:val="center"/>
                    <w:rPr>
                      <w:color w:val="auto"/>
                      <w:sz w:val="21"/>
                      <w:szCs w:val="21"/>
                    </w:rPr>
                  </w:pPr>
                  <w:r>
                    <w:rPr>
                      <w:rFonts w:hint="eastAsia"/>
                      <w:color w:val="auto"/>
                      <w:sz w:val="21"/>
                      <w:szCs w:val="21"/>
                    </w:rPr>
                    <w:t>0.009</w:t>
                  </w:r>
                </w:p>
              </w:tc>
              <w:tc>
                <w:tcPr>
                  <w:tcW w:w="880" w:type="dxa"/>
                  <w:vAlign w:val="center"/>
                </w:tcPr>
                <w:p w14:paraId="651093D7">
                  <w:pPr>
                    <w:widowControl/>
                    <w:adjustRightInd w:val="0"/>
                    <w:snapToGrid w:val="0"/>
                    <w:spacing w:line="360" w:lineRule="exact"/>
                    <w:jc w:val="center"/>
                    <w:textAlignment w:val="center"/>
                    <w:rPr>
                      <w:color w:val="auto"/>
                      <w:sz w:val="21"/>
                      <w:szCs w:val="21"/>
                    </w:rPr>
                  </w:pPr>
                  <w:r>
                    <w:rPr>
                      <w:rFonts w:hint="eastAsia"/>
                      <w:color w:val="auto"/>
                      <w:sz w:val="21"/>
                      <w:szCs w:val="21"/>
                    </w:rPr>
                    <w:t>0.012</w:t>
                  </w:r>
                </w:p>
              </w:tc>
              <w:tc>
                <w:tcPr>
                  <w:tcW w:w="921" w:type="dxa"/>
                  <w:vAlign w:val="center"/>
                </w:tcPr>
                <w:p w14:paraId="68210244">
                  <w:pPr>
                    <w:widowControl/>
                    <w:adjustRightInd w:val="0"/>
                    <w:snapToGrid w:val="0"/>
                    <w:spacing w:line="360" w:lineRule="exact"/>
                    <w:jc w:val="center"/>
                    <w:textAlignment w:val="center"/>
                    <w:rPr>
                      <w:color w:val="auto"/>
                      <w:sz w:val="21"/>
                      <w:szCs w:val="21"/>
                    </w:rPr>
                  </w:pPr>
                  <w:r>
                    <w:rPr>
                      <w:rFonts w:hint="eastAsia"/>
                      <w:color w:val="auto"/>
                      <w:sz w:val="21"/>
                      <w:szCs w:val="21"/>
                    </w:rPr>
                    <w:t>0.002</w:t>
                  </w:r>
                </w:p>
              </w:tc>
              <w:tc>
                <w:tcPr>
                  <w:tcW w:w="921" w:type="dxa"/>
                  <w:vAlign w:val="center"/>
                </w:tcPr>
                <w:p w14:paraId="18E9796D">
                  <w:pPr>
                    <w:widowControl/>
                    <w:adjustRightInd w:val="0"/>
                    <w:snapToGrid w:val="0"/>
                    <w:spacing w:line="360" w:lineRule="exact"/>
                    <w:jc w:val="center"/>
                    <w:textAlignment w:val="center"/>
                    <w:rPr>
                      <w:color w:val="auto"/>
                      <w:sz w:val="21"/>
                      <w:szCs w:val="21"/>
                    </w:rPr>
                  </w:pPr>
                  <w:r>
                    <w:rPr>
                      <w:rFonts w:hint="eastAsia"/>
                      <w:color w:val="auto"/>
                      <w:sz w:val="21"/>
                      <w:szCs w:val="21"/>
                    </w:rPr>
                    <w:t>0.0002</w:t>
                  </w:r>
                </w:p>
              </w:tc>
            </w:tr>
            <w:tr w14:paraId="0882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9" w:type="dxa"/>
                  <w:vMerge w:val="continue"/>
                  <w:vAlign w:val="center"/>
                </w:tcPr>
                <w:p w14:paraId="0CD1EB49">
                  <w:pPr>
                    <w:widowControl/>
                    <w:adjustRightInd w:val="0"/>
                    <w:snapToGrid w:val="0"/>
                    <w:spacing w:line="360" w:lineRule="exact"/>
                    <w:jc w:val="center"/>
                    <w:rPr>
                      <w:color w:val="auto"/>
                      <w:kern w:val="0"/>
                      <w:sz w:val="21"/>
                      <w:szCs w:val="21"/>
                    </w:rPr>
                  </w:pPr>
                </w:p>
              </w:tc>
              <w:tc>
                <w:tcPr>
                  <w:tcW w:w="6405" w:type="dxa"/>
                  <w:gridSpan w:val="6"/>
                  <w:vAlign w:val="center"/>
                </w:tcPr>
                <w:p w14:paraId="495CFF5E">
                  <w:pPr>
                    <w:widowControl/>
                    <w:adjustRightInd w:val="0"/>
                    <w:snapToGrid w:val="0"/>
                    <w:spacing w:line="360" w:lineRule="exact"/>
                    <w:jc w:val="center"/>
                    <w:rPr>
                      <w:color w:val="auto"/>
                      <w:kern w:val="0"/>
                      <w:sz w:val="21"/>
                      <w:szCs w:val="21"/>
                    </w:rPr>
                  </w:pPr>
                  <w:r>
                    <w:rPr>
                      <w:color w:val="auto"/>
                      <w:kern w:val="0"/>
                      <w:sz w:val="21"/>
                      <w:szCs w:val="21"/>
                    </w:rPr>
                    <w:t>处理措施：化粪池处理</w:t>
                  </w:r>
                </w:p>
              </w:tc>
              <w:tc>
                <w:tcPr>
                  <w:tcW w:w="921" w:type="dxa"/>
                  <w:vAlign w:val="center"/>
                </w:tcPr>
                <w:p w14:paraId="4502FDC3">
                  <w:pPr>
                    <w:widowControl/>
                    <w:adjustRightInd w:val="0"/>
                    <w:snapToGrid w:val="0"/>
                    <w:spacing w:line="360" w:lineRule="exact"/>
                    <w:jc w:val="center"/>
                    <w:rPr>
                      <w:color w:val="auto"/>
                      <w:kern w:val="0"/>
                      <w:sz w:val="21"/>
                      <w:szCs w:val="21"/>
                    </w:rPr>
                  </w:pPr>
                </w:p>
              </w:tc>
            </w:tr>
            <w:tr w14:paraId="52F9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89" w:type="dxa"/>
                  <w:vMerge w:val="continue"/>
                  <w:vAlign w:val="center"/>
                </w:tcPr>
                <w:p w14:paraId="0CDE0022">
                  <w:pPr>
                    <w:widowControl/>
                    <w:adjustRightInd w:val="0"/>
                    <w:snapToGrid w:val="0"/>
                    <w:spacing w:line="360" w:lineRule="exact"/>
                    <w:jc w:val="center"/>
                    <w:rPr>
                      <w:color w:val="auto"/>
                      <w:kern w:val="0"/>
                      <w:sz w:val="21"/>
                      <w:szCs w:val="21"/>
                    </w:rPr>
                  </w:pPr>
                </w:p>
              </w:tc>
              <w:tc>
                <w:tcPr>
                  <w:tcW w:w="895" w:type="dxa"/>
                  <w:vMerge w:val="restart"/>
                  <w:vAlign w:val="center"/>
                </w:tcPr>
                <w:p w14:paraId="2F7D05AC">
                  <w:pPr>
                    <w:widowControl/>
                    <w:adjustRightInd w:val="0"/>
                    <w:snapToGrid w:val="0"/>
                    <w:spacing w:line="360" w:lineRule="exact"/>
                    <w:jc w:val="center"/>
                    <w:rPr>
                      <w:color w:val="auto"/>
                      <w:kern w:val="0"/>
                      <w:sz w:val="21"/>
                      <w:szCs w:val="21"/>
                    </w:rPr>
                  </w:pPr>
                  <w:r>
                    <w:rPr>
                      <w:color w:val="auto"/>
                      <w:kern w:val="0"/>
                      <w:sz w:val="21"/>
                      <w:szCs w:val="21"/>
                    </w:rPr>
                    <w:t>处理后</w:t>
                  </w:r>
                </w:p>
              </w:tc>
              <w:tc>
                <w:tcPr>
                  <w:tcW w:w="1768" w:type="dxa"/>
                  <w:vAlign w:val="center"/>
                </w:tcPr>
                <w:p w14:paraId="0E6F9BAA">
                  <w:pPr>
                    <w:widowControl/>
                    <w:adjustRightInd w:val="0"/>
                    <w:snapToGrid w:val="0"/>
                    <w:spacing w:line="360" w:lineRule="exact"/>
                    <w:jc w:val="center"/>
                    <w:rPr>
                      <w:color w:val="auto"/>
                      <w:kern w:val="0"/>
                      <w:sz w:val="21"/>
                      <w:szCs w:val="21"/>
                    </w:rPr>
                  </w:pPr>
                  <w:r>
                    <w:rPr>
                      <w:color w:val="auto"/>
                      <w:kern w:val="0"/>
                      <w:sz w:val="21"/>
                      <w:szCs w:val="21"/>
                    </w:rPr>
                    <w:t>排放浓度（mg/L）</w:t>
                  </w:r>
                </w:p>
              </w:tc>
              <w:tc>
                <w:tcPr>
                  <w:tcW w:w="909" w:type="dxa"/>
                  <w:vAlign w:val="center"/>
                </w:tcPr>
                <w:p w14:paraId="30E96A5F">
                  <w:pPr>
                    <w:widowControl/>
                    <w:adjustRightInd w:val="0"/>
                    <w:snapToGrid w:val="0"/>
                    <w:spacing w:line="360" w:lineRule="exact"/>
                    <w:jc w:val="center"/>
                    <w:rPr>
                      <w:color w:val="auto"/>
                      <w:kern w:val="0"/>
                      <w:sz w:val="21"/>
                      <w:szCs w:val="21"/>
                    </w:rPr>
                  </w:pPr>
                  <w:r>
                    <w:rPr>
                      <w:color w:val="auto"/>
                      <w:kern w:val="0"/>
                      <w:sz w:val="21"/>
                      <w:szCs w:val="21"/>
                    </w:rPr>
                    <w:t>200</w:t>
                  </w:r>
                </w:p>
              </w:tc>
              <w:tc>
                <w:tcPr>
                  <w:tcW w:w="1032" w:type="dxa"/>
                  <w:vAlign w:val="center"/>
                </w:tcPr>
                <w:p w14:paraId="661C585F">
                  <w:pPr>
                    <w:widowControl/>
                    <w:adjustRightInd w:val="0"/>
                    <w:snapToGrid w:val="0"/>
                    <w:spacing w:line="360" w:lineRule="exact"/>
                    <w:jc w:val="center"/>
                    <w:rPr>
                      <w:color w:val="auto"/>
                      <w:kern w:val="0"/>
                      <w:sz w:val="21"/>
                      <w:szCs w:val="21"/>
                    </w:rPr>
                  </w:pPr>
                  <w:r>
                    <w:rPr>
                      <w:color w:val="auto"/>
                      <w:kern w:val="0"/>
                      <w:sz w:val="21"/>
                      <w:szCs w:val="21"/>
                    </w:rPr>
                    <w:t>100</w:t>
                  </w:r>
                </w:p>
              </w:tc>
              <w:tc>
                <w:tcPr>
                  <w:tcW w:w="880" w:type="dxa"/>
                  <w:vAlign w:val="center"/>
                </w:tcPr>
                <w:p w14:paraId="4FA81371">
                  <w:pPr>
                    <w:widowControl/>
                    <w:adjustRightInd w:val="0"/>
                    <w:snapToGrid w:val="0"/>
                    <w:spacing w:line="360" w:lineRule="exact"/>
                    <w:jc w:val="center"/>
                    <w:rPr>
                      <w:color w:val="auto"/>
                      <w:kern w:val="0"/>
                      <w:sz w:val="21"/>
                      <w:szCs w:val="21"/>
                    </w:rPr>
                  </w:pPr>
                  <w:r>
                    <w:rPr>
                      <w:color w:val="auto"/>
                      <w:kern w:val="0"/>
                      <w:sz w:val="21"/>
                      <w:szCs w:val="21"/>
                    </w:rPr>
                    <w:t>100</w:t>
                  </w:r>
                </w:p>
              </w:tc>
              <w:tc>
                <w:tcPr>
                  <w:tcW w:w="921" w:type="dxa"/>
                  <w:vAlign w:val="center"/>
                </w:tcPr>
                <w:p w14:paraId="614DE47A">
                  <w:pPr>
                    <w:widowControl/>
                    <w:adjustRightInd w:val="0"/>
                    <w:snapToGrid w:val="0"/>
                    <w:spacing w:line="360" w:lineRule="exact"/>
                    <w:jc w:val="center"/>
                    <w:rPr>
                      <w:color w:val="auto"/>
                      <w:kern w:val="0"/>
                      <w:sz w:val="21"/>
                      <w:szCs w:val="21"/>
                    </w:rPr>
                  </w:pPr>
                  <w:r>
                    <w:rPr>
                      <w:rFonts w:hint="eastAsia"/>
                      <w:color w:val="auto"/>
                      <w:kern w:val="0"/>
                      <w:sz w:val="21"/>
                      <w:szCs w:val="21"/>
                    </w:rPr>
                    <w:t>25</w:t>
                  </w:r>
                </w:p>
              </w:tc>
              <w:tc>
                <w:tcPr>
                  <w:tcW w:w="921" w:type="dxa"/>
                  <w:vAlign w:val="center"/>
                </w:tcPr>
                <w:p w14:paraId="52622EDC">
                  <w:pPr>
                    <w:widowControl/>
                    <w:adjustRightInd w:val="0"/>
                    <w:snapToGrid w:val="0"/>
                    <w:spacing w:line="360" w:lineRule="exact"/>
                    <w:jc w:val="center"/>
                    <w:rPr>
                      <w:color w:val="auto"/>
                      <w:kern w:val="0"/>
                      <w:sz w:val="21"/>
                      <w:szCs w:val="21"/>
                    </w:rPr>
                  </w:pPr>
                  <w:r>
                    <w:rPr>
                      <w:rFonts w:hint="eastAsia"/>
                      <w:color w:val="auto"/>
                      <w:kern w:val="0"/>
                      <w:sz w:val="21"/>
                      <w:szCs w:val="21"/>
                    </w:rPr>
                    <w:t>4</w:t>
                  </w:r>
                </w:p>
              </w:tc>
            </w:tr>
            <w:tr w14:paraId="19C1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89" w:type="dxa"/>
                  <w:vMerge w:val="continue"/>
                  <w:vAlign w:val="center"/>
                </w:tcPr>
                <w:p w14:paraId="3E58E0A4">
                  <w:pPr>
                    <w:widowControl/>
                    <w:adjustRightInd w:val="0"/>
                    <w:snapToGrid w:val="0"/>
                    <w:spacing w:line="360" w:lineRule="exact"/>
                    <w:jc w:val="center"/>
                    <w:rPr>
                      <w:color w:val="auto"/>
                      <w:kern w:val="0"/>
                      <w:sz w:val="21"/>
                      <w:szCs w:val="21"/>
                    </w:rPr>
                  </w:pPr>
                </w:p>
              </w:tc>
              <w:tc>
                <w:tcPr>
                  <w:tcW w:w="895" w:type="dxa"/>
                  <w:vMerge w:val="continue"/>
                  <w:vAlign w:val="center"/>
                </w:tcPr>
                <w:p w14:paraId="21D70B51">
                  <w:pPr>
                    <w:widowControl/>
                    <w:adjustRightInd w:val="0"/>
                    <w:snapToGrid w:val="0"/>
                    <w:spacing w:line="360" w:lineRule="exact"/>
                    <w:jc w:val="center"/>
                    <w:rPr>
                      <w:color w:val="auto"/>
                      <w:kern w:val="0"/>
                      <w:sz w:val="21"/>
                      <w:szCs w:val="21"/>
                    </w:rPr>
                  </w:pPr>
                </w:p>
              </w:tc>
              <w:tc>
                <w:tcPr>
                  <w:tcW w:w="1768" w:type="dxa"/>
                  <w:vAlign w:val="center"/>
                </w:tcPr>
                <w:p w14:paraId="442BAAAF">
                  <w:pPr>
                    <w:widowControl/>
                    <w:adjustRightInd w:val="0"/>
                    <w:snapToGrid w:val="0"/>
                    <w:spacing w:line="360" w:lineRule="exact"/>
                    <w:jc w:val="center"/>
                    <w:rPr>
                      <w:color w:val="auto"/>
                      <w:kern w:val="0"/>
                      <w:sz w:val="21"/>
                      <w:szCs w:val="21"/>
                    </w:rPr>
                  </w:pPr>
                  <w:r>
                    <w:rPr>
                      <w:color w:val="auto"/>
                      <w:kern w:val="0"/>
                      <w:sz w:val="21"/>
                      <w:szCs w:val="21"/>
                    </w:rPr>
                    <w:t>排放量（t/a）</w:t>
                  </w:r>
                </w:p>
              </w:tc>
              <w:tc>
                <w:tcPr>
                  <w:tcW w:w="909" w:type="dxa"/>
                  <w:vAlign w:val="center"/>
                </w:tcPr>
                <w:p w14:paraId="3CF9CB72">
                  <w:pPr>
                    <w:widowControl/>
                    <w:adjustRightInd w:val="0"/>
                    <w:snapToGrid w:val="0"/>
                    <w:spacing w:line="360" w:lineRule="exact"/>
                    <w:jc w:val="center"/>
                    <w:textAlignment w:val="center"/>
                    <w:rPr>
                      <w:color w:val="auto"/>
                      <w:sz w:val="21"/>
                      <w:szCs w:val="21"/>
                    </w:rPr>
                  </w:pPr>
                  <w:r>
                    <w:rPr>
                      <w:rFonts w:hint="eastAsia"/>
                      <w:color w:val="auto"/>
                      <w:sz w:val="21"/>
                      <w:szCs w:val="21"/>
                    </w:rPr>
                    <w:t>0.012</w:t>
                  </w:r>
                </w:p>
              </w:tc>
              <w:tc>
                <w:tcPr>
                  <w:tcW w:w="1032" w:type="dxa"/>
                  <w:vAlign w:val="center"/>
                </w:tcPr>
                <w:p w14:paraId="51377E91">
                  <w:pPr>
                    <w:widowControl/>
                    <w:adjustRightInd w:val="0"/>
                    <w:snapToGrid w:val="0"/>
                    <w:spacing w:line="360" w:lineRule="exact"/>
                    <w:jc w:val="center"/>
                    <w:textAlignment w:val="center"/>
                    <w:rPr>
                      <w:color w:val="auto"/>
                      <w:sz w:val="21"/>
                      <w:szCs w:val="21"/>
                    </w:rPr>
                  </w:pPr>
                  <w:r>
                    <w:rPr>
                      <w:rFonts w:hint="eastAsia"/>
                      <w:color w:val="auto"/>
                      <w:sz w:val="21"/>
                      <w:szCs w:val="21"/>
                    </w:rPr>
                    <w:t>0.006</w:t>
                  </w:r>
                </w:p>
              </w:tc>
              <w:tc>
                <w:tcPr>
                  <w:tcW w:w="880" w:type="dxa"/>
                  <w:vAlign w:val="center"/>
                </w:tcPr>
                <w:p w14:paraId="2317DAD7">
                  <w:pPr>
                    <w:widowControl/>
                    <w:adjustRightInd w:val="0"/>
                    <w:snapToGrid w:val="0"/>
                    <w:spacing w:line="360" w:lineRule="exact"/>
                    <w:jc w:val="center"/>
                    <w:textAlignment w:val="center"/>
                    <w:rPr>
                      <w:color w:val="auto"/>
                      <w:sz w:val="21"/>
                      <w:szCs w:val="21"/>
                    </w:rPr>
                  </w:pPr>
                  <w:r>
                    <w:rPr>
                      <w:rFonts w:hint="eastAsia"/>
                      <w:color w:val="auto"/>
                      <w:sz w:val="21"/>
                      <w:szCs w:val="21"/>
                    </w:rPr>
                    <w:t>0.006</w:t>
                  </w:r>
                </w:p>
              </w:tc>
              <w:tc>
                <w:tcPr>
                  <w:tcW w:w="921" w:type="dxa"/>
                  <w:vAlign w:val="center"/>
                </w:tcPr>
                <w:p w14:paraId="0F7BC7CB">
                  <w:pPr>
                    <w:widowControl/>
                    <w:adjustRightInd w:val="0"/>
                    <w:snapToGrid w:val="0"/>
                    <w:spacing w:line="360" w:lineRule="exact"/>
                    <w:jc w:val="center"/>
                    <w:textAlignment w:val="center"/>
                    <w:rPr>
                      <w:color w:val="auto"/>
                      <w:sz w:val="21"/>
                      <w:szCs w:val="21"/>
                    </w:rPr>
                  </w:pPr>
                  <w:r>
                    <w:rPr>
                      <w:rFonts w:hint="eastAsia"/>
                      <w:color w:val="auto"/>
                      <w:sz w:val="21"/>
                      <w:szCs w:val="21"/>
                    </w:rPr>
                    <w:t>0.002</w:t>
                  </w:r>
                </w:p>
              </w:tc>
              <w:tc>
                <w:tcPr>
                  <w:tcW w:w="921" w:type="dxa"/>
                  <w:vAlign w:val="center"/>
                </w:tcPr>
                <w:p w14:paraId="07DAF583">
                  <w:pPr>
                    <w:widowControl/>
                    <w:adjustRightInd w:val="0"/>
                    <w:snapToGrid w:val="0"/>
                    <w:spacing w:line="360" w:lineRule="exact"/>
                    <w:jc w:val="center"/>
                    <w:textAlignment w:val="center"/>
                    <w:rPr>
                      <w:color w:val="auto"/>
                      <w:sz w:val="21"/>
                      <w:szCs w:val="21"/>
                    </w:rPr>
                  </w:pPr>
                  <w:r>
                    <w:rPr>
                      <w:rFonts w:hint="eastAsia"/>
                      <w:color w:val="auto"/>
                      <w:sz w:val="21"/>
                      <w:szCs w:val="21"/>
                    </w:rPr>
                    <w:t>0.0002</w:t>
                  </w:r>
                </w:p>
              </w:tc>
            </w:tr>
          </w:tbl>
          <w:p w14:paraId="7ADE0B99">
            <w:pPr>
              <w:pStyle w:val="4"/>
              <w:spacing w:before="120" w:beforeLines="50" w:line="360" w:lineRule="auto"/>
              <w:ind w:firstLine="482" w:firstLineChars="200"/>
              <w:rPr>
                <w:rFonts w:hAnsi="Times New Roman" w:eastAsia="宋体"/>
                <w:bCs/>
                <w:color w:val="auto"/>
                <w:lang w:val="en-US"/>
              </w:rPr>
            </w:pPr>
            <w:r>
              <w:rPr>
                <w:rFonts w:hAnsi="Times New Roman" w:eastAsia="宋体"/>
                <w:bCs/>
                <w:color w:val="auto"/>
                <w:lang w:val="en-US"/>
              </w:rPr>
              <w:t>2、</w:t>
            </w:r>
            <w:r>
              <w:rPr>
                <w:rFonts w:hint="eastAsia" w:hAnsi="Times New Roman" w:eastAsia="宋体"/>
                <w:bCs/>
                <w:color w:val="auto"/>
                <w:lang w:val="en-US"/>
              </w:rPr>
              <w:t>生活污水</w:t>
            </w:r>
            <w:r>
              <w:rPr>
                <w:rFonts w:hAnsi="Times New Roman" w:eastAsia="宋体"/>
                <w:bCs/>
                <w:color w:val="auto"/>
                <w:lang w:val="en-US"/>
              </w:rPr>
              <w:t>进入污水处理厂可行性分析</w:t>
            </w:r>
          </w:p>
          <w:p w14:paraId="7DAE96C8">
            <w:pPr>
              <w:ind w:firstLine="480" w:firstLineChars="200"/>
              <w:rPr>
                <w:color w:val="auto"/>
              </w:rPr>
            </w:pPr>
            <w:r>
              <w:rPr>
                <w:rFonts w:hint="eastAsia"/>
                <w:color w:val="auto"/>
              </w:rPr>
              <w:t>①</w:t>
            </w:r>
            <w:r>
              <w:rPr>
                <w:color w:val="auto"/>
              </w:rPr>
              <w:t>钦州港大榄坪污水处理厂</w:t>
            </w:r>
            <w:r>
              <w:rPr>
                <w:rFonts w:hint="eastAsia"/>
                <w:color w:val="auto"/>
              </w:rPr>
              <w:t>概况</w:t>
            </w:r>
          </w:p>
          <w:p w14:paraId="6BB6B587">
            <w:pPr>
              <w:pStyle w:val="5"/>
              <w:ind w:firstLine="480"/>
              <w:rPr>
                <w:rFonts w:ascii="Times New Roman" w:hAnsi="Times New Roman"/>
                <w:color w:val="auto"/>
                <w:sz w:val="24"/>
                <w:szCs w:val="24"/>
              </w:rPr>
            </w:pPr>
            <w:r>
              <w:rPr>
                <w:rFonts w:ascii="Times New Roman" w:hAnsi="Times New Roman"/>
                <w:color w:val="auto"/>
                <w:sz w:val="24"/>
                <w:szCs w:val="24"/>
              </w:rPr>
              <w:t>钦州港大榄坪污水处理厂位于钦州港东港区第八大街与四号路交汇处，总占地面积278.88亩，设计一期规模5万m</w:t>
            </w:r>
            <w:r>
              <w:rPr>
                <w:rFonts w:ascii="Times New Roman" w:hAnsi="Times New Roman"/>
                <w:color w:val="auto"/>
                <w:sz w:val="24"/>
                <w:szCs w:val="24"/>
                <w:vertAlign w:val="superscript"/>
              </w:rPr>
              <w:t>3</w:t>
            </w:r>
            <w:r>
              <w:rPr>
                <w:rFonts w:ascii="Times New Roman" w:hAnsi="Times New Roman"/>
                <w:color w:val="auto"/>
                <w:sz w:val="24"/>
                <w:szCs w:val="24"/>
              </w:rPr>
              <w:t>/d，二期规模20万m</w:t>
            </w:r>
            <w:r>
              <w:rPr>
                <w:rFonts w:ascii="Times New Roman" w:hAnsi="Times New Roman"/>
                <w:color w:val="auto"/>
                <w:sz w:val="24"/>
                <w:szCs w:val="24"/>
                <w:vertAlign w:val="superscript"/>
              </w:rPr>
              <w:t>3</w:t>
            </w:r>
            <w:r>
              <w:rPr>
                <w:rFonts w:ascii="Times New Roman" w:hAnsi="Times New Roman"/>
                <w:color w:val="auto"/>
                <w:sz w:val="24"/>
                <w:szCs w:val="24"/>
              </w:rPr>
              <w:t>/d。污水处理工艺及排污方案：污水经粗格栅及提升泵房提升后进入一级处理系统(细格栅及沉淀池)，再进入微曝氧化沟进行处理，氧化沟出水经二沉池沉淀，最后经紫外线消毒后深海排放。污水处理厂处理后的尾水排入大揽坪污水深海排放区，尾水排放执行《城镇污水处理厂污染物排放标准》(GB18918-2002)一级B标准。</w:t>
            </w:r>
          </w:p>
          <w:p w14:paraId="0FEEC86C">
            <w:pPr>
              <w:pStyle w:val="5"/>
              <w:ind w:firstLine="480"/>
              <w:rPr>
                <w:rFonts w:ascii="Times New Roman" w:hAnsi="Times New Roman"/>
                <w:color w:val="auto"/>
                <w:sz w:val="24"/>
                <w:szCs w:val="24"/>
              </w:rPr>
            </w:pPr>
            <w:r>
              <w:rPr>
                <w:rFonts w:ascii="Times New Roman" w:hAnsi="Times New Roman"/>
                <w:color w:val="auto"/>
                <w:sz w:val="24"/>
                <w:szCs w:val="24"/>
              </w:rPr>
              <w:t>钦州港大榄坪污水处理厂服务范围为钦州市大榄坪工业区、中马产业园区以及金窝工业园园区。一期规模5万m</w:t>
            </w:r>
            <w:r>
              <w:rPr>
                <w:rFonts w:ascii="Times New Roman" w:hAnsi="Times New Roman"/>
                <w:color w:val="auto"/>
                <w:sz w:val="24"/>
                <w:szCs w:val="24"/>
                <w:vertAlign w:val="superscript"/>
              </w:rPr>
              <w:t>3</w:t>
            </w:r>
            <w:r>
              <w:rPr>
                <w:rFonts w:ascii="Times New Roman" w:hAnsi="Times New Roman"/>
                <w:color w:val="auto"/>
                <w:sz w:val="24"/>
                <w:szCs w:val="24"/>
              </w:rPr>
              <w:t>/d，服务面积37km</w:t>
            </w:r>
            <w:r>
              <w:rPr>
                <w:rFonts w:ascii="Times New Roman" w:hAnsi="Times New Roman"/>
                <w:color w:val="auto"/>
                <w:sz w:val="24"/>
                <w:szCs w:val="24"/>
                <w:vertAlign w:val="superscript"/>
              </w:rPr>
              <w:t>2</w:t>
            </w:r>
            <w:r>
              <w:rPr>
                <w:rFonts w:ascii="Times New Roman" w:hAnsi="Times New Roman"/>
                <w:color w:val="auto"/>
                <w:sz w:val="24"/>
                <w:szCs w:val="24"/>
              </w:rPr>
              <w:t>(包括保税港区，不包括金桂浆纸业有限公司)，DN300~DN2000污水管总长67.70km；远期(2025年)规模20万m</w:t>
            </w:r>
            <w:r>
              <w:rPr>
                <w:rFonts w:ascii="Times New Roman" w:hAnsi="Times New Roman"/>
                <w:color w:val="auto"/>
                <w:sz w:val="24"/>
                <w:szCs w:val="24"/>
                <w:vertAlign w:val="superscript"/>
              </w:rPr>
              <w:t>3</w:t>
            </w:r>
            <w:r>
              <w:rPr>
                <w:rFonts w:ascii="Times New Roman" w:hAnsi="Times New Roman"/>
                <w:color w:val="auto"/>
                <w:sz w:val="24"/>
                <w:szCs w:val="24"/>
              </w:rPr>
              <w:t>/d，服务面积69km</w:t>
            </w:r>
            <w:r>
              <w:rPr>
                <w:rFonts w:ascii="Times New Roman" w:hAnsi="Times New Roman"/>
                <w:color w:val="auto"/>
                <w:sz w:val="24"/>
                <w:szCs w:val="24"/>
                <w:vertAlign w:val="superscript"/>
              </w:rPr>
              <w:t>2</w:t>
            </w:r>
            <w:r>
              <w:rPr>
                <w:rFonts w:ascii="Times New Roman" w:hAnsi="Times New Roman"/>
                <w:color w:val="auto"/>
                <w:sz w:val="24"/>
                <w:szCs w:val="24"/>
              </w:rPr>
              <w:t>。目前，钦州港大榄坪污水处理厂一期工程(5万m</w:t>
            </w:r>
            <w:r>
              <w:rPr>
                <w:rFonts w:ascii="Times New Roman" w:hAnsi="Times New Roman"/>
                <w:color w:val="auto"/>
                <w:sz w:val="24"/>
                <w:szCs w:val="24"/>
                <w:vertAlign w:val="superscript"/>
              </w:rPr>
              <w:t>3</w:t>
            </w:r>
            <w:r>
              <w:rPr>
                <w:rFonts w:ascii="Times New Roman" w:hAnsi="Times New Roman"/>
                <w:color w:val="auto"/>
                <w:sz w:val="24"/>
                <w:szCs w:val="24"/>
              </w:rPr>
              <w:t>/d)已投入营运</w:t>
            </w:r>
            <w:r>
              <w:rPr>
                <w:rFonts w:hint="eastAsia" w:ascii="Times New Roman" w:hAnsi="Times New Roman"/>
                <w:color w:val="auto"/>
                <w:sz w:val="24"/>
                <w:szCs w:val="24"/>
              </w:rPr>
              <w:t>。</w:t>
            </w:r>
          </w:p>
          <w:p w14:paraId="71EC5156">
            <w:pPr>
              <w:pStyle w:val="5"/>
              <w:ind w:firstLine="480"/>
              <w:rPr>
                <w:rFonts w:ascii="Times New Roman" w:hAnsi="Times New Roman"/>
                <w:color w:val="auto"/>
                <w:sz w:val="24"/>
                <w:szCs w:val="24"/>
              </w:rPr>
            </w:pPr>
            <w:r>
              <w:rPr>
                <w:rFonts w:hint="eastAsia" w:ascii="Times New Roman" w:hAnsi="Times New Roman"/>
                <w:color w:val="auto"/>
                <w:sz w:val="24"/>
                <w:szCs w:val="24"/>
              </w:rPr>
              <w:t>②合理性分析</w:t>
            </w:r>
          </w:p>
          <w:p w14:paraId="64F3406C">
            <w:pPr>
              <w:pStyle w:val="5"/>
              <w:ind w:firstLine="480"/>
              <w:rPr>
                <w:rFonts w:ascii="Times New Roman" w:hAnsi="Times New Roman"/>
                <w:color w:val="auto"/>
                <w:sz w:val="24"/>
                <w:szCs w:val="24"/>
              </w:rPr>
            </w:pPr>
            <w:r>
              <w:rPr>
                <w:rFonts w:hint="eastAsia" w:ascii="Times New Roman" w:hAnsi="Times New Roman"/>
                <w:color w:val="auto"/>
                <w:sz w:val="24"/>
                <w:szCs w:val="24"/>
              </w:rPr>
              <w:t>项目属于</w:t>
            </w:r>
            <w:r>
              <w:rPr>
                <w:rFonts w:ascii="Times New Roman" w:hAnsi="Times New Roman"/>
                <w:color w:val="auto"/>
                <w:sz w:val="24"/>
                <w:szCs w:val="24"/>
              </w:rPr>
              <w:t>钦州港大榄坪污水处理厂</w:t>
            </w:r>
            <w:r>
              <w:rPr>
                <w:rFonts w:hint="eastAsia"/>
                <w:color w:val="auto"/>
                <w:sz w:val="24"/>
                <w:szCs w:val="24"/>
              </w:rPr>
              <w:t>服务范围，本项目产生的污水通过产业园区路网污水管</w:t>
            </w:r>
            <w:r>
              <w:rPr>
                <w:rFonts w:hint="eastAsia"/>
                <w:color w:val="auto"/>
                <w:sz w:val="24"/>
                <w:szCs w:val="24"/>
                <w:u w:val="single"/>
              </w:rPr>
              <w:t>排入</w:t>
            </w:r>
            <w:r>
              <w:rPr>
                <w:rFonts w:hint="eastAsia" w:ascii="Times New Roman" w:hAnsi="Times New Roman"/>
                <w:color w:val="auto"/>
                <w:sz w:val="24"/>
                <w:szCs w:val="24"/>
                <w:u w:val="single"/>
              </w:rPr>
              <w:t>西面锦绣大道已建成污水管网</w:t>
            </w:r>
            <w:r>
              <w:rPr>
                <w:rFonts w:hint="eastAsia"/>
                <w:color w:val="auto"/>
                <w:sz w:val="24"/>
                <w:szCs w:val="24"/>
                <w:u w:val="single"/>
              </w:rPr>
              <w:t>，</w:t>
            </w:r>
            <w:r>
              <w:rPr>
                <w:rFonts w:hint="eastAsia"/>
                <w:color w:val="auto"/>
                <w:sz w:val="24"/>
                <w:szCs w:val="24"/>
                <w:u w:val="single"/>
                <w:lang w:eastAsia="zh-CN"/>
              </w:rPr>
              <w:t>沿着中马北二街——孔雀湾大道——滨海公路——省道</w:t>
            </w:r>
            <w:r>
              <w:rPr>
                <w:rFonts w:hint="eastAsia"/>
                <w:color w:val="auto"/>
                <w:sz w:val="24"/>
                <w:szCs w:val="24"/>
                <w:u w:val="single"/>
                <w:lang w:val="en-US" w:eastAsia="zh-CN"/>
              </w:rPr>
              <w:t>S43，</w:t>
            </w:r>
            <w:r>
              <w:rPr>
                <w:rFonts w:hint="eastAsia"/>
                <w:color w:val="auto"/>
                <w:sz w:val="24"/>
                <w:szCs w:val="24"/>
                <w:u w:val="single"/>
              </w:rPr>
              <w:t>最终排入污水处理厂进行处理</w:t>
            </w:r>
            <w:r>
              <w:rPr>
                <w:rFonts w:hint="eastAsia"/>
                <w:color w:val="auto"/>
                <w:sz w:val="24"/>
                <w:szCs w:val="24"/>
                <w:u w:val="single"/>
                <w:lang w:eastAsia="zh-CN"/>
              </w:rPr>
              <w:t>（见附图</w:t>
            </w:r>
            <w:r>
              <w:rPr>
                <w:rFonts w:hint="eastAsia"/>
                <w:color w:val="auto"/>
                <w:sz w:val="24"/>
                <w:szCs w:val="24"/>
                <w:u w:val="single"/>
                <w:lang w:val="en-US" w:eastAsia="zh-CN"/>
              </w:rPr>
              <w:t>11</w:t>
            </w:r>
            <w:r>
              <w:rPr>
                <w:rFonts w:hint="eastAsia"/>
                <w:color w:val="auto"/>
                <w:sz w:val="24"/>
                <w:szCs w:val="24"/>
                <w:u w:val="single"/>
                <w:lang w:eastAsia="zh-CN"/>
              </w:rPr>
              <w:t>）</w:t>
            </w:r>
            <w:r>
              <w:rPr>
                <w:rFonts w:hint="eastAsia"/>
                <w:color w:val="auto"/>
                <w:sz w:val="24"/>
                <w:szCs w:val="24"/>
                <w:u w:val="single"/>
              </w:rPr>
              <w:t>。</w:t>
            </w:r>
            <w:r>
              <w:rPr>
                <w:rFonts w:hint="eastAsia"/>
                <w:color w:val="auto"/>
                <w:sz w:val="24"/>
                <w:szCs w:val="24"/>
                <w:u w:val="single"/>
                <w:lang w:eastAsia="zh-CN"/>
              </w:rPr>
              <w:t>项目产业园内及厂外污水管道已经建成并可正常投入使用。</w:t>
            </w:r>
            <w:r>
              <w:rPr>
                <w:rFonts w:hint="eastAsia"/>
                <w:color w:val="auto"/>
                <w:sz w:val="24"/>
                <w:szCs w:val="24"/>
              </w:rPr>
              <w:t>目前，钦州</w:t>
            </w:r>
            <w:r>
              <w:rPr>
                <w:rFonts w:ascii="Times New Roman" w:hAnsi="Times New Roman"/>
                <w:color w:val="auto"/>
                <w:sz w:val="24"/>
                <w:szCs w:val="24"/>
              </w:rPr>
              <w:t>港大榄坪污水处理厂</w:t>
            </w:r>
            <w:r>
              <w:rPr>
                <w:rFonts w:hint="eastAsia" w:ascii="Times New Roman" w:hAnsi="Times New Roman"/>
                <w:color w:val="auto"/>
                <w:sz w:val="24"/>
                <w:szCs w:val="24"/>
              </w:rPr>
              <w:t>处理规模为3.5</w:t>
            </w:r>
            <w:r>
              <w:rPr>
                <w:rFonts w:ascii="Times New Roman" w:hAnsi="Times New Roman"/>
                <w:color w:val="auto"/>
                <w:sz w:val="24"/>
                <w:szCs w:val="24"/>
              </w:rPr>
              <w:t>万m</w:t>
            </w:r>
            <w:r>
              <w:rPr>
                <w:rFonts w:ascii="Times New Roman" w:hAnsi="Times New Roman"/>
                <w:color w:val="auto"/>
                <w:sz w:val="24"/>
                <w:szCs w:val="24"/>
                <w:vertAlign w:val="superscript"/>
              </w:rPr>
              <w:t>3</w:t>
            </w:r>
            <w:r>
              <w:rPr>
                <w:rFonts w:ascii="Times New Roman" w:hAnsi="Times New Roman"/>
                <w:color w:val="auto"/>
                <w:sz w:val="24"/>
                <w:szCs w:val="24"/>
              </w:rPr>
              <w:t>/d</w:t>
            </w:r>
            <w:r>
              <w:rPr>
                <w:rFonts w:hint="eastAsia" w:ascii="Times New Roman" w:hAnsi="Times New Roman"/>
                <w:color w:val="auto"/>
                <w:sz w:val="24"/>
                <w:szCs w:val="24"/>
              </w:rPr>
              <w:t>，仍有余量可接纳本项目污水。本</w:t>
            </w:r>
            <w:r>
              <w:rPr>
                <w:rFonts w:hint="eastAsia"/>
                <w:color w:val="auto"/>
                <w:sz w:val="24"/>
                <w:szCs w:val="24"/>
              </w:rPr>
              <w:t>项目废水总排放量为0.2</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/d，</w:t>
            </w:r>
            <w:r>
              <w:rPr>
                <w:rFonts w:hint="eastAsia"/>
                <w:color w:val="auto"/>
                <w:sz w:val="24"/>
                <w:szCs w:val="24"/>
              </w:rPr>
              <w:t>仅占污水处理厂处理规</w:t>
            </w:r>
            <w:r>
              <w:rPr>
                <w:rFonts w:ascii="Times New Roman" w:hAnsi="Times New Roman"/>
                <w:color w:val="auto"/>
                <w:sz w:val="24"/>
                <w:szCs w:val="24"/>
              </w:rPr>
              <w:t>模的</w:t>
            </w:r>
            <w:r>
              <w:rPr>
                <w:rFonts w:hint="eastAsia" w:ascii="Times New Roman" w:hAnsi="Times New Roman"/>
                <w:color w:val="auto"/>
                <w:sz w:val="24"/>
                <w:szCs w:val="24"/>
              </w:rPr>
              <w:t>0.0006</w:t>
            </w:r>
            <w:r>
              <w:rPr>
                <w:rFonts w:ascii="Times New Roman" w:hAnsi="Times New Roman"/>
                <w:color w:val="auto"/>
                <w:sz w:val="24"/>
                <w:szCs w:val="24"/>
              </w:rPr>
              <w:t>%，在污水</w:t>
            </w:r>
            <w:r>
              <w:rPr>
                <w:rFonts w:hint="eastAsia"/>
                <w:color w:val="auto"/>
                <w:sz w:val="24"/>
                <w:szCs w:val="24"/>
              </w:rPr>
              <w:t>处理厂处理能力之内；且本项目生活污水经化粪池处理后可达到</w:t>
            </w:r>
            <w:r>
              <w:rPr>
                <w:rFonts w:ascii="Times New Roman" w:hAnsi="Times New Roman"/>
                <w:color w:val="auto"/>
                <w:sz w:val="24"/>
                <w:szCs w:val="24"/>
              </w:rPr>
              <w:t>钦州港大榄坪</w:t>
            </w:r>
            <w:r>
              <w:rPr>
                <w:rFonts w:hint="eastAsia"/>
                <w:color w:val="auto"/>
                <w:sz w:val="24"/>
                <w:szCs w:val="24"/>
              </w:rPr>
              <w:t>污水处理厂的进水水质要求。</w:t>
            </w:r>
          </w:p>
          <w:p w14:paraId="71C3EEC6">
            <w:pPr>
              <w:tabs>
                <w:tab w:val="left" w:pos="8016"/>
              </w:tabs>
              <w:ind w:firstLine="480" w:firstLineChars="200"/>
              <w:rPr>
                <w:color w:val="auto"/>
              </w:rPr>
            </w:pPr>
            <w:r>
              <w:rPr>
                <w:color w:val="auto"/>
              </w:rPr>
              <w:t>综上，</w:t>
            </w:r>
            <w:r>
              <w:rPr>
                <w:rFonts w:hint="eastAsia"/>
                <w:color w:val="auto"/>
              </w:rPr>
              <w:t>本项目污水排入</w:t>
            </w:r>
            <w:r>
              <w:rPr>
                <w:color w:val="auto"/>
              </w:rPr>
              <w:t>钦州港大榄坪污水处理厂</w:t>
            </w:r>
            <w:r>
              <w:rPr>
                <w:rFonts w:hint="eastAsia"/>
                <w:color w:val="auto"/>
              </w:rPr>
              <w:t>不会对其正常运行造成冲击，产生的污水排入</w:t>
            </w:r>
            <w:r>
              <w:rPr>
                <w:color w:val="auto"/>
              </w:rPr>
              <w:t>钦州港大榄坪污水处理厂</w:t>
            </w:r>
            <w:r>
              <w:rPr>
                <w:rFonts w:hint="eastAsia"/>
                <w:color w:val="auto"/>
              </w:rPr>
              <w:t>进行后续处理是可行的，对环境影响不大。</w:t>
            </w:r>
          </w:p>
          <w:p w14:paraId="4A36FC83">
            <w:pPr>
              <w:tabs>
                <w:tab w:val="left" w:pos="8016"/>
              </w:tabs>
              <w:ind w:firstLine="482" w:firstLineChars="200"/>
              <w:rPr>
                <w:b/>
                <w:bCs/>
                <w:color w:val="auto"/>
              </w:rPr>
            </w:pPr>
            <w:r>
              <w:rPr>
                <w:rFonts w:hint="eastAsia"/>
                <w:b/>
                <w:bCs/>
                <w:color w:val="auto"/>
              </w:rPr>
              <w:t>3、建设项目污染物排放信息</w:t>
            </w:r>
          </w:p>
          <w:p w14:paraId="6C28522B">
            <w:pPr>
              <w:ind w:firstLine="480" w:firstLineChars="200"/>
              <w:jc w:val="left"/>
              <w:rPr>
                <w:color w:val="auto"/>
              </w:rPr>
            </w:pPr>
            <w:r>
              <w:rPr>
                <w:color w:val="auto"/>
              </w:rPr>
              <w:t>①</w:t>
            </w:r>
            <w:r>
              <w:rPr>
                <w:rFonts w:hAnsi="宋体"/>
                <w:bCs/>
                <w:color w:val="auto"/>
              </w:rPr>
              <w:t>废水类别、污染物及污染治理设施信息</w:t>
            </w:r>
            <w:r>
              <w:rPr>
                <w:color w:val="auto"/>
              </w:rPr>
              <w:t>，详见表</w:t>
            </w:r>
            <w:r>
              <w:rPr>
                <w:rFonts w:hint="eastAsia"/>
                <w:color w:val="auto"/>
              </w:rPr>
              <w:t>4-8</w:t>
            </w:r>
            <w:r>
              <w:rPr>
                <w:color w:val="auto"/>
              </w:rPr>
              <w:t>。</w:t>
            </w:r>
          </w:p>
          <w:p w14:paraId="31CD1BDE">
            <w:pPr>
              <w:spacing w:line="240" w:lineRule="auto"/>
              <w:jc w:val="center"/>
              <w:rPr>
                <w:b/>
                <w:bCs/>
                <w:color w:val="auto"/>
              </w:rPr>
            </w:pPr>
          </w:p>
          <w:p w14:paraId="50BA509F">
            <w:pPr>
              <w:spacing w:line="240" w:lineRule="auto"/>
              <w:jc w:val="center"/>
              <w:rPr>
                <w:b/>
                <w:bCs/>
                <w:color w:val="auto"/>
              </w:rPr>
            </w:pPr>
          </w:p>
          <w:p w14:paraId="09F4C939">
            <w:pPr>
              <w:spacing w:line="240" w:lineRule="auto"/>
              <w:jc w:val="center"/>
              <w:rPr>
                <w:color w:val="auto"/>
              </w:rPr>
            </w:pPr>
            <w:r>
              <w:rPr>
                <w:b/>
                <w:bCs/>
                <w:color w:val="auto"/>
              </w:rPr>
              <w:t>表</w:t>
            </w:r>
            <w:r>
              <w:rPr>
                <w:rFonts w:hint="eastAsia"/>
                <w:b/>
                <w:bCs/>
                <w:color w:val="auto"/>
              </w:rPr>
              <w:t>4-8</w:t>
            </w:r>
            <w:r>
              <w:rPr>
                <w:b/>
                <w:bCs/>
                <w:color w:val="auto"/>
              </w:rPr>
              <w:t xml:space="preserve">  废水类别、污染物及污染治理设施信息表</w:t>
            </w:r>
          </w:p>
          <w:tbl>
            <w:tblPr>
              <w:tblStyle w:val="25"/>
              <w:tblW w:w="8236"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447"/>
              <w:gridCol w:w="1033"/>
              <w:gridCol w:w="602"/>
              <w:gridCol w:w="761"/>
              <w:gridCol w:w="858"/>
              <w:gridCol w:w="594"/>
              <w:gridCol w:w="895"/>
              <w:gridCol w:w="881"/>
              <w:gridCol w:w="594"/>
              <w:gridCol w:w="1145"/>
            </w:tblGrid>
            <w:tr w14:paraId="3D4BD7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26" w:type="dxa"/>
                  <w:vMerge w:val="restart"/>
                  <w:vAlign w:val="center"/>
                </w:tcPr>
                <w:p w14:paraId="7127E4C0">
                  <w:pPr>
                    <w:spacing w:line="240" w:lineRule="exact"/>
                    <w:jc w:val="center"/>
                    <w:rPr>
                      <w:color w:val="auto"/>
                      <w:sz w:val="21"/>
                      <w:szCs w:val="21"/>
                    </w:rPr>
                  </w:pPr>
                  <w:r>
                    <w:rPr>
                      <w:color w:val="auto"/>
                      <w:sz w:val="21"/>
                      <w:szCs w:val="21"/>
                    </w:rPr>
                    <w:t>序号</w:t>
                  </w:r>
                </w:p>
              </w:tc>
              <w:tc>
                <w:tcPr>
                  <w:tcW w:w="447" w:type="dxa"/>
                  <w:vMerge w:val="restart"/>
                  <w:vAlign w:val="center"/>
                </w:tcPr>
                <w:p w14:paraId="36B1152C">
                  <w:pPr>
                    <w:spacing w:line="240" w:lineRule="exact"/>
                    <w:jc w:val="center"/>
                    <w:rPr>
                      <w:color w:val="auto"/>
                      <w:sz w:val="21"/>
                      <w:szCs w:val="21"/>
                    </w:rPr>
                  </w:pPr>
                  <w:r>
                    <w:rPr>
                      <w:color w:val="auto"/>
                      <w:sz w:val="21"/>
                      <w:szCs w:val="21"/>
                    </w:rPr>
                    <w:t>废水类别</w:t>
                  </w:r>
                </w:p>
              </w:tc>
              <w:tc>
                <w:tcPr>
                  <w:tcW w:w="1033" w:type="dxa"/>
                  <w:vMerge w:val="restart"/>
                  <w:vAlign w:val="center"/>
                </w:tcPr>
                <w:p w14:paraId="20C80778">
                  <w:pPr>
                    <w:spacing w:line="240" w:lineRule="exact"/>
                    <w:jc w:val="center"/>
                    <w:rPr>
                      <w:color w:val="auto"/>
                      <w:sz w:val="21"/>
                      <w:szCs w:val="21"/>
                    </w:rPr>
                  </w:pPr>
                  <w:r>
                    <w:rPr>
                      <w:color w:val="auto"/>
                      <w:sz w:val="21"/>
                      <w:szCs w:val="21"/>
                    </w:rPr>
                    <w:t>污染物种类</w:t>
                  </w:r>
                </w:p>
              </w:tc>
              <w:tc>
                <w:tcPr>
                  <w:tcW w:w="602" w:type="dxa"/>
                  <w:vMerge w:val="restart"/>
                  <w:vAlign w:val="center"/>
                </w:tcPr>
                <w:p w14:paraId="599E64C5">
                  <w:pPr>
                    <w:spacing w:line="240" w:lineRule="exact"/>
                    <w:jc w:val="center"/>
                    <w:rPr>
                      <w:color w:val="auto"/>
                      <w:sz w:val="21"/>
                      <w:szCs w:val="21"/>
                    </w:rPr>
                  </w:pPr>
                  <w:r>
                    <w:rPr>
                      <w:color w:val="auto"/>
                      <w:sz w:val="21"/>
                      <w:szCs w:val="21"/>
                    </w:rPr>
                    <w:t>排放去向</w:t>
                  </w:r>
                </w:p>
              </w:tc>
              <w:tc>
                <w:tcPr>
                  <w:tcW w:w="761" w:type="dxa"/>
                  <w:vMerge w:val="restart"/>
                  <w:vAlign w:val="center"/>
                </w:tcPr>
                <w:p w14:paraId="1CADB40B">
                  <w:pPr>
                    <w:spacing w:line="240" w:lineRule="exact"/>
                    <w:jc w:val="center"/>
                    <w:rPr>
                      <w:color w:val="auto"/>
                      <w:sz w:val="21"/>
                      <w:szCs w:val="21"/>
                    </w:rPr>
                  </w:pPr>
                  <w:r>
                    <w:rPr>
                      <w:color w:val="auto"/>
                      <w:sz w:val="21"/>
                      <w:szCs w:val="21"/>
                    </w:rPr>
                    <w:t>排放规律</w:t>
                  </w:r>
                </w:p>
              </w:tc>
              <w:tc>
                <w:tcPr>
                  <w:tcW w:w="2347" w:type="dxa"/>
                  <w:gridSpan w:val="3"/>
                  <w:vAlign w:val="center"/>
                </w:tcPr>
                <w:p w14:paraId="459A04EB">
                  <w:pPr>
                    <w:spacing w:line="240" w:lineRule="exact"/>
                    <w:jc w:val="center"/>
                    <w:rPr>
                      <w:color w:val="auto"/>
                      <w:sz w:val="21"/>
                      <w:szCs w:val="21"/>
                    </w:rPr>
                  </w:pPr>
                  <w:r>
                    <w:rPr>
                      <w:color w:val="auto"/>
                      <w:sz w:val="21"/>
                      <w:szCs w:val="21"/>
                    </w:rPr>
                    <w:t>污染治理设施</w:t>
                  </w:r>
                </w:p>
              </w:tc>
              <w:tc>
                <w:tcPr>
                  <w:tcW w:w="881" w:type="dxa"/>
                  <w:vMerge w:val="restart"/>
                  <w:vAlign w:val="center"/>
                </w:tcPr>
                <w:p w14:paraId="2DABD5C7">
                  <w:pPr>
                    <w:spacing w:line="240" w:lineRule="exact"/>
                    <w:jc w:val="center"/>
                    <w:rPr>
                      <w:color w:val="auto"/>
                      <w:sz w:val="21"/>
                      <w:szCs w:val="21"/>
                    </w:rPr>
                  </w:pPr>
                  <w:r>
                    <w:rPr>
                      <w:color w:val="auto"/>
                      <w:sz w:val="21"/>
                      <w:szCs w:val="21"/>
                    </w:rPr>
                    <w:t>排放口编号</w:t>
                  </w:r>
                </w:p>
              </w:tc>
              <w:tc>
                <w:tcPr>
                  <w:tcW w:w="594" w:type="dxa"/>
                  <w:vMerge w:val="restart"/>
                  <w:vAlign w:val="center"/>
                </w:tcPr>
                <w:p w14:paraId="29AC54FB">
                  <w:pPr>
                    <w:spacing w:line="240" w:lineRule="exact"/>
                    <w:jc w:val="center"/>
                    <w:rPr>
                      <w:color w:val="auto"/>
                      <w:sz w:val="21"/>
                      <w:szCs w:val="21"/>
                    </w:rPr>
                  </w:pPr>
                  <w:r>
                    <w:rPr>
                      <w:color w:val="auto"/>
                      <w:sz w:val="21"/>
                      <w:szCs w:val="21"/>
                    </w:rPr>
                    <w:t>排放口是否符合要求</w:t>
                  </w:r>
                </w:p>
              </w:tc>
              <w:tc>
                <w:tcPr>
                  <w:tcW w:w="1145" w:type="dxa"/>
                  <w:vMerge w:val="restart"/>
                  <w:vAlign w:val="center"/>
                </w:tcPr>
                <w:p w14:paraId="11D32028">
                  <w:pPr>
                    <w:spacing w:line="240" w:lineRule="exact"/>
                    <w:jc w:val="center"/>
                    <w:rPr>
                      <w:color w:val="auto"/>
                      <w:sz w:val="21"/>
                      <w:szCs w:val="21"/>
                    </w:rPr>
                  </w:pPr>
                  <w:r>
                    <w:rPr>
                      <w:color w:val="auto"/>
                      <w:sz w:val="21"/>
                      <w:szCs w:val="21"/>
                    </w:rPr>
                    <w:t>排放口类型</w:t>
                  </w:r>
                </w:p>
              </w:tc>
            </w:tr>
            <w:tr w14:paraId="67BC73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50" w:hRule="atLeast"/>
              </w:trPr>
              <w:tc>
                <w:tcPr>
                  <w:tcW w:w="426" w:type="dxa"/>
                  <w:vMerge w:val="continue"/>
                  <w:vAlign w:val="center"/>
                </w:tcPr>
                <w:p w14:paraId="3E5E7D3A">
                  <w:pPr>
                    <w:spacing w:line="240" w:lineRule="exact"/>
                    <w:jc w:val="center"/>
                    <w:rPr>
                      <w:color w:val="auto"/>
                      <w:sz w:val="21"/>
                      <w:szCs w:val="21"/>
                    </w:rPr>
                  </w:pPr>
                </w:p>
              </w:tc>
              <w:tc>
                <w:tcPr>
                  <w:tcW w:w="447" w:type="dxa"/>
                  <w:vMerge w:val="continue"/>
                  <w:vAlign w:val="center"/>
                </w:tcPr>
                <w:p w14:paraId="63710740">
                  <w:pPr>
                    <w:spacing w:line="240" w:lineRule="exact"/>
                    <w:jc w:val="center"/>
                    <w:rPr>
                      <w:color w:val="auto"/>
                      <w:sz w:val="21"/>
                      <w:szCs w:val="21"/>
                    </w:rPr>
                  </w:pPr>
                </w:p>
              </w:tc>
              <w:tc>
                <w:tcPr>
                  <w:tcW w:w="1033" w:type="dxa"/>
                  <w:vMerge w:val="continue"/>
                  <w:vAlign w:val="center"/>
                </w:tcPr>
                <w:p w14:paraId="3F16246A">
                  <w:pPr>
                    <w:spacing w:line="240" w:lineRule="exact"/>
                    <w:jc w:val="center"/>
                    <w:rPr>
                      <w:color w:val="auto"/>
                      <w:sz w:val="21"/>
                      <w:szCs w:val="21"/>
                    </w:rPr>
                  </w:pPr>
                </w:p>
              </w:tc>
              <w:tc>
                <w:tcPr>
                  <w:tcW w:w="602" w:type="dxa"/>
                  <w:vMerge w:val="continue"/>
                  <w:vAlign w:val="center"/>
                </w:tcPr>
                <w:p w14:paraId="19C5C98B">
                  <w:pPr>
                    <w:spacing w:line="240" w:lineRule="exact"/>
                    <w:jc w:val="center"/>
                    <w:rPr>
                      <w:color w:val="auto"/>
                      <w:sz w:val="21"/>
                      <w:szCs w:val="21"/>
                    </w:rPr>
                  </w:pPr>
                </w:p>
              </w:tc>
              <w:tc>
                <w:tcPr>
                  <w:tcW w:w="761" w:type="dxa"/>
                  <w:vMerge w:val="continue"/>
                  <w:vAlign w:val="center"/>
                </w:tcPr>
                <w:p w14:paraId="2B6CBC1B">
                  <w:pPr>
                    <w:spacing w:line="240" w:lineRule="exact"/>
                    <w:jc w:val="center"/>
                    <w:rPr>
                      <w:color w:val="auto"/>
                      <w:sz w:val="21"/>
                      <w:szCs w:val="21"/>
                    </w:rPr>
                  </w:pPr>
                </w:p>
              </w:tc>
              <w:tc>
                <w:tcPr>
                  <w:tcW w:w="858" w:type="dxa"/>
                  <w:vAlign w:val="center"/>
                </w:tcPr>
                <w:p w14:paraId="0E552AB0">
                  <w:pPr>
                    <w:spacing w:line="240" w:lineRule="exact"/>
                    <w:jc w:val="center"/>
                    <w:rPr>
                      <w:color w:val="auto"/>
                      <w:sz w:val="21"/>
                      <w:szCs w:val="21"/>
                    </w:rPr>
                  </w:pPr>
                  <w:r>
                    <w:rPr>
                      <w:color w:val="auto"/>
                      <w:sz w:val="21"/>
                      <w:szCs w:val="21"/>
                    </w:rPr>
                    <w:t>污染治理设施编号</w:t>
                  </w:r>
                </w:p>
              </w:tc>
              <w:tc>
                <w:tcPr>
                  <w:tcW w:w="594" w:type="dxa"/>
                  <w:vAlign w:val="center"/>
                </w:tcPr>
                <w:p w14:paraId="74DF005F">
                  <w:pPr>
                    <w:spacing w:line="240" w:lineRule="exact"/>
                    <w:jc w:val="center"/>
                    <w:rPr>
                      <w:color w:val="auto"/>
                      <w:sz w:val="21"/>
                      <w:szCs w:val="21"/>
                    </w:rPr>
                  </w:pPr>
                  <w:r>
                    <w:rPr>
                      <w:color w:val="auto"/>
                      <w:sz w:val="21"/>
                      <w:szCs w:val="21"/>
                    </w:rPr>
                    <w:t>污染治理设施名称</w:t>
                  </w:r>
                </w:p>
              </w:tc>
              <w:tc>
                <w:tcPr>
                  <w:tcW w:w="895" w:type="dxa"/>
                  <w:vAlign w:val="center"/>
                </w:tcPr>
                <w:p w14:paraId="131FA777">
                  <w:pPr>
                    <w:spacing w:line="240" w:lineRule="exact"/>
                    <w:jc w:val="center"/>
                    <w:rPr>
                      <w:color w:val="auto"/>
                      <w:sz w:val="21"/>
                      <w:szCs w:val="21"/>
                    </w:rPr>
                  </w:pPr>
                  <w:r>
                    <w:rPr>
                      <w:color w:val="auto"/>
                      <w:sz w:val="21"/>
                      <w:szCs w:val="21"/>
                    </w:rPr>
                    <w:t>污染治理设施工艺</w:t>
                  </w:r>
                </w:p>
              </w:tc>
              <w:tc>
                <w:tcPr>
                  <w:tcW w:w="881" w:type="dxa"/>
                  <w:vMerge w:val="continue"/>
                  <w:vAlign w:val="center"/>
                </w:tcPr>
                <w:p w14:paraId="5E64DD15">
                  <w:pPr>
                    <w:spacing w:line="240" w:lineRule="exact"/>
                    <w:jc w:val="center"/>
                    <w:rPr>
                      <w:color w:val="auto"/>
                      <w:sz w:val="21"/>
                      <w:szCs w:val="21"/>
                    </w:rPr>
                  </w:pPr>
                </w:p>
              </w:tc>
              <w:tc>
                <w:tcPr>
                  <w:tcW w:w="594" w:type="dxa"/>
                  <w:vMerge w:val="continue"/>
                  <w:vAlign w:val="center"/>
                </w:tcPr>
                <w:p w14:paraId="1E79703B">
                  <w:pPr>
                    <w:spacing w:line="240" w:lineRule="exact"/>
                    <w:jc w:val="center"/>
                    <w:rPr>
                      <w:color w:val="auto"/>
                      <w:sz w:val="21"/>
                      <w:szCs w:val="21"/>
                    </w:rPr>
                  </w:pPr>
                </w:p>
              </w:tc>
              <w:tc>
                <w:tcPr>
                  <w:tcW w:w="1145" w:type="dxa"/>
                  <w:vMerge w:val="continue"/>
                  <w:vAlign w:val="center"/>
                </w:tcPr>
                <w:p w14:paraId="3EAC33B4">
                  <w:pPr>
                    <w:spacing w:line="240" w:lineRule="exact"/>
                    <w:jc w:val="center"/>
                    <w:rPr>
                      <w:color w:val="auto"/>
                      <w:sz w:val="21"/>
                      <w:szCs w:val="21"/>
                    </w:rPr>
                  </w:pPr>
                </w:p>
              </w:tc>
            </w:tr>
            <w:tr w14:paraId="5C2F3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27" w:hRule="atLeast"/>
              </w:trPr>
              <w:tc>
                <w:tcPr>
                  <w:tcW w:w="426" w:type="dxa"/>
                  <w:vAlign w:val="center"/>
                </w:tcPr>
                <w:p w14:paraId="7395F266">
                  <w:pPr>
                    <w:spacing w:line="240" w:lineRule="exact"/>
                    <w:jc w:val="center"/>
                    <w:rPr>
                      <w:color w:val="auto"/>
                      <w:sz w:val="21"/>
                      <w:szCs w:val="21"/>
                    </w:rPr>
                  </w:pPr>
                  <w:r>
                    <w:rPr>
                      <w:rFonts w:hint="eastAsia"/>
                      <w:color w:val="auto"/>
                      <w:sz w:val="21"/>
                      <w:szCs w:val="21"/>
                    </w:rPr>
                    <w:t>1</w:t>
                  </w:r>
                </w:p>
              </w:tc>
              <w:tc>
                <w:tcPr>
                  <w:tcW w:w="447" w:type="dxa"/>
                  <w:shd w:val="clear" w:color="auto" w:fill="auto"/>
                  <w:vAlign w:val="center"/>
                </w:tcPr>
                <w:p w14:paraId="2965D702">
                  <w:pPr>
                    <w:spacing w:line="240" w:lineRule="exact"/>
                    <w:jc w:val="center"/>
                    <w:rPr>
                      <w:color w:val="auto"/>
                      <w:sz w:val="21"/>
                      <w:szCs w:val="21"/>
                    </w:rPr>
                  </w:pPr>
                  <w:r>
                    <w:rPr>
                      <w:color w:val="auto"/>
                      <w:sz w:val="21"/>
                      <w:szCs w:val="21"/>
                    </w:rPr>
                    <w:t>生活污水</w:t>
                  </w:r>
                </w:p>
              </w:tc>
              <w:tc>
                <w:tcPr>
                  <w:tcW w:w="1033" w:type="dxa"/>
                  <w:shd w:val="clear" w:color="auto" w:fill="auto"/>
                  <w:vAlign w:val="center"/>
                </w:tcPr>
                <w:p w14:paraId="7B55A72A">
                  <w:pPr>
                    <w:spacing w:line="240" w:lineRule="exact"/>
                    <w:jc w:val="center"/>
                    <w:rPr>
                      <w:color w:val="auto"/>
                      <w:sz w:val="21"/>
                      <w:szCs w:val="21"/>
                    </w:rPr>
                  </w:pPr>
                  <w:r>
                    <w:rPr>
                      <w:color w:val="auto"/>
                      <w:sz w:val="21"/>
                      <w:szCs w:val="21"/>
                    </w:rPr>
                    <w:t>CODcr、BOD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-N、TP</w:t>
                  </w:r>
                </w:p>
              </w:tc>
              <w:tc>
                <w:tcPr>
                  <w:tcW w:w="602" w:type="dxa"/>
                  <w:vAlign w:val="center"/>
                </w:tcPr>
                <w:p w14:paraId="753362B0">
                  <w:pPr>
                    <w:spacing w:line="240" w:lineRule="exact"/>
                    <w:jc w:val="center"/>
                    <w:rPr>
                      <w:color w:val="auto"/>
                      <w:sz w:val="21"/>
                      <w:szCs w:val="21"/>
                    </w:rPr>
                  </w:pPr>
                  <w:r>
                    <w:rPr>
                      <w:rFonts w:hint="eastAsia"/>
                      <w:color w:val="auto"/>
                      <w:sz w:val="21"/>
                      <w:szCs w:val="21"/>
                    </w:rPr>
                    <w:t>进入钦州港大榄坪污水处理厂</w:t>
                  </w:r>
                </w:p>
              </w:tc>
              <w:tc>
                <w:tcPr>
                  <w:tcW w:w="761" w:type="dxa"/>
                  <w:vAlign w:val="center"/>
                </w:tcPr>
                <w:p w14:paraId="483EF062">
                  <w:pPr>
                    <w:spacing w:line="240" w:lineRule="exact"/>
                    <w:jc w:val="left"/>
                    <w:rPr>
                      <w:color w:val="auto"/>
                      <w:sz w:val="21"/>
                      <w:szCs w:val="21"/>
                    </w:rPr>
                  </w:pPr>
                  <w:r>
                    <w:rPr>
                      <w:rFonts w:hint="eastAsia"/>
                      <w:color w:val="auto"/>
                      <w:sz w:val="21"/>
                      <w:szCs w:val="21"/>
                    </w:rPr>
                    <w:t>间断排放，排放期间流量稳定</w:t>
                  </w:r>
                </w:p>
              </w:tc>
              <w:tc>
                <w:tcPr>
                  <w:tcW w:w="858" w:type="dxa"/>
                  <w:vAlign w:val="center"/>
                </w:tcPr>
                <w:p w14:paraId="66549E9D">
                  <w:pPr>
                    <w:spacing w:line="240" w:lineRule="exact"/>
                    <w:jc w:val="center"/>
                    <w:rPr>
                      <w:color w:val="auto"/>
                      <w:sz w:val="21"/>
                      <w:szCs w:val="21"/>
                    </w:rPr>
                  </w:pPr>
                  <w:r>
                    <w:rPr>
                      <w:color w:val="auto"/>
                      <w:sz w:val="21"/>
                      <w:szCs w:val="21"/>
                    </w:rPr>
                    <w:t>TW001</w:t>
                  </w:r>
                </w:p>
              </w:tc>
              <w:tc>
                <w:tcPr>
                  <w:tcW w:w="594" w:type="dxa"/>
                  <w:vAlign w:val="center"/>
                </w:tcPr>
                <w:p w14:paraId="6DAEA5D7">
                  <w:pPr>
                    <w:spacing w:line="240" w:lineRule="exact"/>
                    <w:jc w:val="center"/>
                    <w:rPr>
                      <w:color w:val="auto"/>
                      <w:sz w:val="21"/>
                      <w:szCs w:val="21"/>
                    </w:rPr>
                  </w:pPr>
                  <w:r>
                    <w:rPr>
                      <w:rFonts w:hint="eastAsia"/>
                      <w:color w:val="auto"/>
                      <w:sz w:val="21"/>
                      <w:szCs w:val="21"/>
                    </w:rPr>
                    <w:t>化粪池</w:t>
                  </w:r>
                </w:p>
              </w:tc>
              <w:tc>
                <w:tcPr>
                  <w:tcW w:w="895" w:type="dxa"/>
                  <w:vAlign w:val="center"/>
                </w:tcPr>
                <w:p w14:paraId="19331E4B">
                  <w:pPr>
                    <w:spacing w:line="240" w:lineRule="exact"/>
                    <w:jc w:val="center"/>
                    <w:rPr>
                      <w:color w:val="auto"/>
                      <w:sz w:val="21"/>
                      <w:szCs w:val="21"/>
                    </w:rPr>
                  </w:pPr>
                  <w:r>
                    <w:rPr>
                      <w:rFonts w:hint="eastAsia"/>
                      <w:color w:val="auto"/>
                      <w:sz w:val="21"/>
                      <w:szCs w:val="21"/>
                    </w:rPr>
                    <w:t>沉淀、厌氧</w:t>
                  </w:r>
                </w:p>
              </w:tc>
              <w:tc>
                <w:tcPr>
                  <w:tcW w:w="881" w:type="dxa"/>
                  <w:vAlign w:val="center"/>
                </w:tcPr>
                <w:p w14:paraId="05B16FCF">
                  <w:pPr>
                    <w:spacing w:line="240" w:lineRule="exact"/>
                    <w:jc w:val="center"/>
                    <w:rPr>
                      <w:color w:val="auto"/>
                      <w:sz w:val="21"/>
                      <w:szCs w:val="21"/>
                    </w:rPr>
                  </w:pPr>
                  <w:r>
                    <w:rPr>
                      <w:rFonts w:hint="eastAsia"/>
                      <w:color w:val="auto"/>
                      <w:sz w:val="21"/>
                      <w:szCs w:val="21"/>
                    </w:rPr>
                    <w:t>DW001</w:t>
                  </w:r>
                </w:p>
              </w:tc>
              <w:tc>
                <w:tcPr>
                  <w:tcW w:w="594" w:type="dxa"/>
                  <w:vAlign w:val="center"/>
                </w:tcPr>
                <w:p w14:paraId="728E0534">
                  <w:pPr>
                    <w:spacing w:line="240" w:lineRule="exact"/>
                    <w:jc w:val="left"/>
                    <w:rPr>
                      <w:rFonts w:hint="eastAsia" w:ascii="宋体" w:hAnsi="宋体" w:cs="宋体"/>
                      <w:color w:val="auto"/>
                      <w:sz w:val="21"/>
                      <w:szCs w:val="21"/>
                    </w:rPr>
                  </w:pPr>
                  <w:r>
                    <w:rPr>
                      <w:rFonts w:hint="eastAsia" w:ascii="宋体" w:hAnsi="宋体" w:cs="宋体"/>
                      <w:color w:val="auto"/>
                      <w:sz w:val="21"/>
                      <w:szCs w:val="21"/>
                    </w:rPr>
                    <w:t>☑是</w:t>
                  </w:r>
                </w:p>
                <w:p w14:paraId="1A913EB8">
                  <w:pPr>
                    <w:spacing w:line="240" w:lineRule="exact"/>
                    <w:jc w:val="left"/>
                    <w:rPr>
                      <w:rFonts w:hint="eastAsia" w:ascii="宋体" w:hAnsi="宋体" w:cs="宋体"/>
                      <w:color w:val="auto"/>
                      <w:sz w:val="21"/>
                      <w:szCs w:val="21"/>
                    </w:rPr>
                  </w:pPr>
                  <w:r>
                    <w:rPr>
                      <w:rFonts w:hint="eastAsia" w:ascii="宋体" w:hAnsi="宋体" w:cs="宋体"/>
                      <w:color w:val="auto"/>
                      <w:sz w:val="21"/>
                      <w:szCs w:val="21"/>
                    </w:rPr>
                    <w:t>□否</w:t>
                  </w:r>
                </w:p>
              </w:tc>
              <w:tc>
                <w:tcPr>
                  <w:tcW w:w="1145" w:type="dxa"/>
                  <w:vAlign w:val="center"/>
                </w:tcPr>
                <w:p w14:paraId="7A245179">
                  <w:pPr>
                    <w:spacing w:line="240" w:lineRule="exact"/>
                    <w:jc w:val="left"/>
                    <w:rPr>
                      <w:rFonts w:hint="eastAsia" w:ascii="宋体" w:hAnsi="宋体" w:cs="宋体"/>
                      <w:color w:val="auto"/>
                      <w:sz w:val="21"/>
                      <w:szCs w:val="21"/>
                    </w:rPr>
                  </w:pPr>
                  <w:r>
                    <w:rPr>
                      <w:rFonts w:hint="eastAsia" w:ascii="宋体" w:hAnsi="宋体" w:cs="宋体"/>
                      <w:color w:val="auto"/>
                      <w:sz w:val="21"/>
                      <w:szCs w:val="21"/>
                    </w:rPr>
                    <w:t>☑企业总排</w:t>
                  </w:r>
                </w:p>
                <w:p w14:paraId="27A24741">
                  <w:pPr>
                    <w:spacing w:line="240" w:lineRule="exact"/>
                    <w:jc w:val="left"/>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zh-CN"/>
                    </w:rPr>
                    <w:t>雨水排放</w:t>
                  </w:r>
                </w:p>
                <w:p w14:paraId="634E3213">
                  <w:pPr>
                    <w:spacing w:line="240" w:lineRule="exact"/>
                    <w:jc w:val="left"/>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zh-CN"/>
                    </w:rPr>
                    <w:t>清净下水排放</w:t>
                  </w:r>
                </w:p>
                <w:p w14:paraId="14E4A63C">
                  <w:pPr>
                    <w:spacing w:line="240" w:lineRule="exact"/>
                    <w:jc w:val="left"/>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zh-CN"/>
                    </w:rPr>
                    <w:t>温排水排放</w:t>
                  </w:r>
                </w:p>
                <w:p w14:paraId="2C3EC053">
                  <w:pPr>
                    <w:spacing w:line="240" w:lineRule="exact"/>
                    <w:jc w:val="left"/>
                    <w:rPr>
                      <w:rFonts w:hint="eastAsia"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val="zh-CN"/>
                    </w:rPr>
                    <w:t>车间或车间处理设施排放</w:t>
                  </w:r>
                  <w:r>
                    <w:rPr>
                      <w:rFonts w:hint="eastAsia" w:ascii="宋体" w:hAnsi="宋体" w:cs="宋体"/>
                      <w:color w:val="auto"/>
                      <w:sz w:val="21"/>
                      <w:szCs w:val="21"/>
                    </w:rPr>
                    <w:t>口</w:t>
                  </w:r>
                </w:p>
              </w:tc>
            </w:tr>
          </w:tbl>
          <w:p w14:paraId="4434DEA4">
            <w:pPr>
              <w:tabs>
                <w:tab w:val="left" w:pos="720"/>
              </w:tabs>
              <w:ind w:firstLine="436" w:firstLineChars="182"/>
              <w:rPr>
                <w:rFonts w:hint="eastAsia" w:hAnsi="宋体"/>
                <w:color w:val="auto"/>
              </w:rPr>
            </w:pPr>
            <w:r>
              <w:rPr>
                <w:rFonts w:hint="eastAsia" w:ascii="宋体" w:hAnsi="宋体"/>
                <w:color w:val="auto"/>
              </w:rPr>
              <w:t>②</w:t>
            </w:r>
            <w:r>
              <w:rPr>
                <w:rFonts w:hint="eastAsia" w:hAnsi="宋体"/>
                <w:color w:val="auto"/>
              </w:rPr>
              <w:t>项目接排放口基本情况详见表4-9。</w:t>
            </w:r>
          </w:p>
          <w:p w14:paraId="36626EC6">
            <w:pPr>
              <w:tabs>
                <w:tab w:val="left" w:pos="720"/>
              </w:tabs>
              <w:spacing w:line="240" w:lineRule="auto"/>
              <w:ind w:firstLine="482"/>
              <w:jc w:val="center"/>
              <w:rPr>
                <w:b/>
                <w:color w:val="auto"/>
              </w:rPr>
            </w:pPr>
            <w:r>
              <w:rPr>
                <w:rFonts w:hint="eastAsia" w:hAnsi="宋体"/>
                <w:b/>
                <w:color w:val="auto"/>
              </w:rPr>
              <w:t>表</w:t>
            </w:r>
            <w:r>
              <w:rPr>
                <w:rFonts w:hint="eastAsia"/>
                <w:b/>
                <w:color w:val="auto"/>
              </w:rPr>
              <w:t>4-9  项目</w:t>
            </w:r>
            <w:r>
              <w:rPr>
                <w:rFonts w:hint="eastAsia" w:hAnsi="宋体"/>
                <w:b/>
                <w:color w:val="auto"/>
              </w:rPr>
              <w:t>间接排放口基本情况表</w:t>
            </w:r>
          </w:p>
          <w:tbl>
            <w:tblPr>
              <w:tblStyle w:val="25"/>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881"/>
              <w:gridCol w:w="1200"/>
              <w:gridCol w:w="1139"/>
              <w:gridCol w:w="1004"/>
              <w:gridCol w:w="719"/>
              <w:gridCol w:w="426"/>
              <w:gridCol w:w="426"/>
              <w:gridCol w:w="548"/>
              <w:gridCol w:w="824"/>
              <w:gridCol w:w="871"/>
            </w:tblGrid>
            <w:tr w14:paraId="414C07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9" w:hRule="atLeast"/>
              </w:trPr>
              <w:tc>
                <w:tcPr>
                  <w:tcW w:w="251" w:type="pct"/>
                  <w:vMerge w:val="restart"/>
                  <w:tcBorders>
                    <w:tl2br w:val="nil"/>
                    <w:tr2bl w:val="nil"/>
                  </w:tcBorders>
                  <w:vAlign w:val="center"/>
                </w:tcPr>
                <w:p w14:paraId="072B7135">
                  <w:pPr>
                    <w:pStyle w:val="126"/>
                    <w:tabs>
                      <w:tab w:val="left" w:pos="720"/>
                    </w:tabs>
                    <w:jc w:val="center"/>
                    <w:rPr>
                      <w:color w:val="auto"/>
                      <w:sz w:val="21"/>
                      <w:szCs w:val="21"/>
                      <w:lang w:bidi="he-IL"/>
                    </w:rPr>
                  </w:pPr>
                  <w:r>
                    <w:rPr>
                      <w:rFonts w:hint="eastAsia"/>
                      <w:color w:val="auto"/>
                      <w:sz w:val="21"/>
                      <w:szCs w:val="21"/>
                      <w:lang w:bidi="he-IL"/>
                    </w:rPr>
                    <w:t>序号</w:t>
                  </w:r>
                </w:p>
              </w:tc>
              <w:tc>
                <w:tcPr>
                  <w:tcW w:w="520" w:type="pct"/>
                  <w:vMerge w:val="restart"/>
                  <w:tcBorders>
                    <w:tl2br w:val="nil"/>
                    <w:tr2bl w:val="nil"/>
                  </w:tcBorders>
                  <w:vAlign w:val="center"/>
                </w:tcPr>
                <w:p w14:paraId="17EA8B58">
                  <w:pPr>
                    <w:pStyle w:val="126"/>
                    <w:tabs>
                      <w:tab w:val="left" w:pos="720"/>
                    </w:tabs>
                    <w:jc w:val="center"/>
                    <w:rPr>
                      <w:color w:val="auto"/>
                      <w:sz w:val="21"/>
                      <w:szCs w:val="21"/>
                      <w:lang w:bidi="he-IL"/>
                    </w:rPr>
                  </w:pPr>
                  <w:r>
                    <w:rPr>
                      <w:rFonts w:hint="eastAsia"/>
                      <w:color w:val="auto"/>
                      <w:sz w:val="21"/>
                      <w:szCs w:val="21"/>
                      <w:lang w:bidi="he-IL"/>
                    </w:rPr>
                    <w:t>排放口编号</w:t>
                  </w:r>
                </w:p>
              </w:tc>
              <w:tc>
                <w:tcPr>
                  <w:tcW w:w="1382" w:type="pct"/>
                  <w:gridSpan w:val="2"/>
                  <w:tcBorders>
                    <w:tl2br w:val="nil"/>
                    <w:tr2bl w:val="nil"/>
                  </w:tcBorders>
                  <w:vAlign w:val="center"/>
                </w:tcPr>
                <w:p w14:paraId="3FA8C7E0">
                  <w:pPr>
                    <w:pStyle w:val="126"/>
                    <w:tabs>
                      <w:tab w:val="left" w:pos="720"/>
                    </w:tabs>
                    <w:jc w:val="center"/>
                    <w:rPr>
                      <w:color w:val="auto"/>
                      <w:sz w:val="21"/>
                      <w:szCs w:val="21"/>
                      <w:lang w:bidi="he-IL"/>
                    </w:rPr>
                  </w:pPr>
                  <w:r>
                    <w:rPr>
                      <w:rFonts w:hint="eastAsia"/>
                      <w:color w:val="auto"/>
                      <w:sz w:val="21"/>
                      <w:szCs w:val="21"/>
                      <w:lang w:bidi="he-IL"/>
                    </w:rPr>
                    <w:t>排放口地理坐标</w:t>
                  </w:r>
                </w:p>
              </w:tc>
              <w:tc>
                <w:tcPr>
                  <w:tcW w:w="593" w:type="pct"/>
                  <w:vMerge w:val="restart"/>
                  <w:tcBorders>
                    <w:tl2br w:val="nil"/>
                    <w:tr2bl w:val="nil"/>
                  </w:tcBorders>
                  <w:vAlign w:val="center"/>
                </w:tcPr>
                <w:p w14:paraId="1C9DC0C4">
                  <w:pPr>
                    <w:pStyle w:val="126"/>
                    <w:tabs>
                      <w:tab w:val="left" w:pos="720"/>
                    </w:tabs>
                    <w:jc w:val="center"/>
                    <w:rPr>
                      <w:color w:val="auto"/>
                      <w:sz w:val="21"/>
                      <w:szCs w:val="21"/>
                      <w:lang w:bidi="he-IL"/>
                    </w:rPr>
                  </w:pPr>
                  <w:r>
                    <w:rPr>
                      <w:rFonts w:hint="eastAsia"/>
                      <w:color w:val="auto"/>
                      <w:sz w:val="21"/>
                      <w:szCs w:val="21"/>
                      <w:lang w:bidi="he-IL"/>
                    </w:rPr>
                    <w:t>废水排放量</w:t>
                  </w:r>
                  <w:r>
                    <w:rPr>
                      <w:color w:val="auto"/>
                      <w:sz w:val="21"/>
                      <w:szCs w:val="21"/>
                      <w:lang w:bidi="he-IL"/>
                    </w:rPr>
                    <w:t>/</w:t>
                  </w:r>
                  <w:r>
                    <w:rPr>
                      <w:rFonts w:hint="eastAsia"/>
                      <w:color w:val="auto"/>
                      <w:sz w:val="21"/>
                      <w:szCs w:val="21"/>
                      <w:lang w:bidi="he-IL"/>
                    </w:rPr>
                    <w:t>（万</w:t>
                  </w:r>
                  <w:r>
                    <w:rPr>
                      <w:color w:val="auto"/>
                      <w:sz w:val="21"/>
                      <w:szCs w:val="21"/>
                      <w:lang w:bidi="he-IL"/>
                    </w:rPr>
                    <w:t>t/a</w:t>
                  </w:r>
                  <w:r>
                    <w:rPr>
                      <w:rFonts w:hint="eastAsia"/>
                      <w:color w:val="auto"/>
                      <w:sz w:val="21"/>
                      <w:szCs w:val="21"/>
                      <w:lang w:bidi="he-IL"/>
                    </w:rPr>
                    <w:t>）</w:t>
                  </w:r>
                </w:p>
              </w:tc>
              <w:tc>
                <w:tcPr>
                  <w:tcW w:w="425" w:type="pct"/>
                  <w:vMerge w:val="restart"/>
                  <w:tcBorders>
                    <w:tl2br w:val="nil"/>
                    <w:tr2bl w:val="nil"/>
                  </w:tcBorders>
                  <w:vAlign w:val="center"/>
                </w:tcPr>
                <w:p w14:paraId="31DCFBF4">
                  <w:pPr>
                    <w:pStyle w:val="126"/>
                    <w:tabs>
                      <w:tab w:val="left" w:pos="720"/>
                    </w:tabs>
                    <w:jc w:val="center"/>
                    <w:rPr>
                      <w:color w:val="auto"/>
                      <w:sz w:val="21"/>
                      <w:szCs w:val="21"/>
                      <w:lang w:bidi="he-IL"/>
                    </w:rPr>
                  </w:pPr>
                  <w:r>
                    <w:rPr>
                      <w:rFonts w:hint="eastAsia"/>
                      <w:color w:val="auto"/>
                      <w:sz w:val="21"/>
                      <w:szCs w:val="21"/>
                      <w:lang w:bidi="he-IL"/>
                    </w:rPr>
                    <w:t>排放去向</w:t>
                  </w:r>
                </w:p>
              </w:tc>
              <w:tc>
                <w:tcPr>
                  <w:tcW w:w="251" w:type="pct"/>
                  <w:vMerge w:val="restart"/>
                  <w:tcBorders>
                    <w:tl2br w:val="nil"/>
                    <w:tr2bl w:val="nil"/>
                  </w:tcBorders>
                  <w:vAlign w:val="center"/>
                </w:tcPr>
                <w:p w14:paraId="2574500A">
                  <w:pPr>
                    <w:pStyle w:val="126"/>
                    <w:tabs>
                      <w:tab w:val="left" w:pos="720"/>
                    </w:tabs>
                    <w:jc w:val="center"/>
                    <w:rPr>
                      <w:color w:val="auto"/>
                      <w:sz w:val="21"/>
                      <w:szCs w:val="21"/>
                      <w:lang w:bidi="he-IL"/>
                    </w:rPr>
                  </w:pPr>
                  <w:r>
                    <w:rPr>
                      <w:rFonts w:hint="eastAsia"/>
                      <w:color w:val="auto"/>
                      <w:sz w:val="21"/>
                      <w:szCs w:val="21"/>
                      <w:lang w:bidi="he-IL"/>
                    </w:rPr>
                    <w:t>排放规律</w:t>
                  </w:r>
                </w:p>
              </w:tc>
              <w:tc>
                <w:tcPr>
                  <w:tcW w:w="251" w:type="pct"/>
                  <w:vMerge w:val="restart"/>
                  <w:tcBorders>
                    <w:tl2br w:val="nil"/>
                    <w:tr2bl w:val="nil"/>
                  </w:tcBorders>
                  <w:vAlign w:val="center"/>
                </w:tcPr>
                <w:p w14:paraId="08CFF272">
                  <w:pPr>
                    <w:pStyle w:val="126"/>
                    <w:tabs>
                      <w:tab w:val="left" w:pos="720"/>
                    </w:tabs>
                    <w:jc w:val="center"/>
                    <w:rPr>
                      <w:color w:val="auto"/>
                      <w:sz w:val="21"/>
                      <w:szCs w:val="21"/>
                      <w:lang w:bidi="he-IL"/>
                    </w:rPr>
                  </w:pPr>
                  <w:r>
                    <w:rPr>
                      <w:rFonts w:hint="eastAsia"/>
                      <w:color w:val="auto"/>
                      <w:sz w:val="21"/>
                      <w:szCs w:val="21"/>
                      <w:lang w:bidi="he-IL"/>
                    </w:rPr>
                    <w:t>间歇排放时段</w:t>
                  </w:r>
                </w:p>
              </w:tc>
              <w:tc>
                <w:tcPr>
                  <w:tcW w:w="1323" w:type="pct"/>
                  <w:gridSpan w:val="3"/>
                  <w:tcBorders>
                    <w:tl2br w:val="nil"/>
                    <w:tr2bl w:val="nil"/>
                  </w:tcBorders>
                  <w:vAlign w:val="center"/>
                </w:tcPr>
                <w:p w14:paraId="389AFFC2">
                  <w:pPr>
                    <w:pStyle w:val="126"/>
                    <w:tabs>
                      <w:tab w:val="left" w:pos="720"/>
                    </w:tabs>
                    <w:jc w:val="center"/>
                    <w:rPr>
                      <w:color w:val="auto"/>
                      <w:sz w:val="21"/>
                      <w:szCs w:val="21"/>
                      <w:lang w:bidi="he-IL"/>
                    </w:rPr>
                  </w:pPr>
                  <w:r>
                    <w:rPr>
                      <w:rFonts w:hint="eastAsia"/>
                      <w:color w:val="auto"/>
                      <w:sz w:val="21"/>
                      <w:szCs w:val="21"/>
                      <w:lang w:bidi="he-IL"/>
                    </w:rPr>
                    <w:t>收纳污水处理厂信息</w:t>
                  </w:r>
                </w:p>
              </w:tc>
            </w:tr>
            <w:tr w14:paraId="6D15D0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1" w:type="pct"/>
                  <w:vMerge w:val="continue"/>
                  <w:tcBorders>
                    <w:tl2br w:val="nil"/>
                    <w:tr2bl w:val="nil"/>
                  </w:tcBorders>
                  <w:vAlign w:val="center"/>
                </w:tcPr>
                <w:p w14:paraId="2498D304">
                  <w:pPr>
                    <w:widowControl/>
                    <w:tabs>
                      <w:tab w:val="left" w:pos="720"/>
                    </w:tabs>
                    <w:ind w:firstLine="480"/>
                    <w:rPr>
                      <w:color w:val="auto"/>
                      <w:kern w:val="0"/>
                      <w:szCs w:val="21"/>
                      <w:lang w:bidi="he-IL"/>
                    </w:rPr>
                  </w:pPr>
                </w:p>
              </w:tc>
              <w:tc>
                <w:tcPr>
                  <w:tcW w:w="520" w:type="pct"/>
                  <w:vMerge w:val="continue"/>
                  <w:tcBorders>
                    <w:tl2br w:val="nil"/>
                    <w:tr2bl w:val="nil"/>
                  </w:tcBorders>
                  <w:vAlign w:val="center"/>
                </w:tcPr>
                <w:p w14:paraId="4284A665">
                  <w:pPr>
                    <w:widowControl/>
                    <w:tabs>
                      <w:tab w:val="left" w:pos="720"/>
                    </w:tabs>
                    <w:ind w:firstLine="480"/>
                    <w:rPr>
                      <w:color w:val="auto"/>
                      <w:kern w:val="0"/>
                      <w:szCs w:val="21"/>
                      <w:lang w:bidi="he-IL"/>
                    </w:rPr>
                  </w:pPr>
                </w:p>
              </w:tc>
              <w:tc>
                <w:tcPr>
                  <w:tcW w:w="709" w:type="pct"/>
                  <w:tcBorders>
                    <w:tl2br w:val="nil"/>
                    <w:tr2bl w:val="nil"/>
                  </w:tcBorders>
                  <w:vAlign w:val="center"/>
                </w:tcPr>
                <w:p w14:paraId="4CFDC272">
                  <w:pPr>
                    <w:pStyle w:val="126"/>
                    <w:tabs>
                      <w:tab w:val="left" w:pos="720"/>
                    </w:tabs>
                    <w:jc w:val="center"/>
                    <w:rPr>
                      <w:color w:val="auto"/>
                      <w:sz w:val="21"/>
                      <w:szCs w:val="21"/>
                      <w:lang w:bidi="he-IL"/>
                    </w:rPr>
                  </w:pPr>
                  <w:r>
                    <w:rPr>
                      <w:rFonts w:hint="eastAsia"/>
                      <w:color w:val="auto"/>
                      <w:sz w:val="21"/>
                      <w:szCs w:val="21"/>
                      <w:lang w:bidi="he-IL"/>
                    </w:rPr>
                    <w:t>经度</w:t>
                  </w:r>
                </w:p>
              </w:tc>
              <w:tc>
                <w:tcPr>
                  <w:tcW w:w="673" w:type="pct"/>
                  <w:tcBorders>
                    <w:tl2br w:val="nil"/>
                    <w:tr2bl w:val="nil"/>
                  </w:tcBorders>
                  <w:vAlign w:val="center"/>
                </w:tcPr>
                <w:p w14:paraId="4731E0EC">
                  <w:pPr>
                    <w:pStyle w:val="126"/>
                    <w:tabs>
                      <w:tab w:val="left" w:pos="720"/>
                    </w:tabs>
                    <w:jc w:val="center"/>
                    <w:rPr>
                      <w:color w:val="auto"/>
                      <w:sz w:val="21"/>
                      <w:szCs w:val="21"/>
                      <w:lang w:bidi="he-IL"/>
                    </w:rPr>
                  </w:pPr>
                  <w:r>
                    <w:rPr>
                      <w:rFonts w:hint="eastAsia"/>
                      <w:color w:val="auto"/>
                      <w:sz w:val="21"/>
                      <w:szCs w:val="21"/>
                      <w:lang w:bidi="he-IL"/>
                    </w:rPr>
                    <w:t>纬度</w:t>
                  </w:r>
                </w:p>
              </w:tc>
              <w:tc>
                <w:tcPr>
                  <w:tcW w:w="593" w:type="pct"/>
                  <w:vMerge w:val="continue"/>
                  <w:tcBorders>
                    <w:tl2br w:val="nil"/>
                    <w:tr2bl w:val="nil"/>
                  </w:tcBorders>
                  <w:vAlign w:val="center"/>
                </w:tcPr>
                <w:p w14:paraId="35EC398A">
                  <w:pPr>
                    <w:widowControl/>
                    <w:tabs>
                      <w:tab w:val="left" w:pos="720"/>
                    </w:tabs>
                    <w:ind w:firstLine="480"/>
                    <w:rPr>
                      <w:color w:val="auto"/>
                      <w:kern w:val="0"/>
                      <w:szCs w:val="21"/>
                      <w:lang w:bidi="he-IL"/>
                    </w:rPr>
                  </w:pPr>
                </w:p>
              </w:tc>
              <w:tc>
                <w:tcPr>
                  <w:tcW w:w="425" w:type="pct"/>
                  <w:vMerge w:val="continue"/>
                  <w:tcBorders>
                    <w:tl2br w:val="nil"/>
                    <w:tr2bl w:val="nil"/>
                  </w:tcBorders>
                  <w:vAlign w:val="center"/>
                </w:tcPr>
                <w:p w14:paraId="59DDC2C2">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391DE1E3">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30C6846B">
                  <w:pPr>
                    <w:widowControl/>
                    <w:tabs>
                      <w:tab w:val="left" w:pos="720"/>
                    </w:tabs>
                    <w:ind w:firstLine="480"/>
                    <w:rPr>
                      <w:color w:val="auto"/>
                      <w:kern w:val="0"/>
                      <w:szCs w:val="21"/>
                      <w:lang w:bidi="he-IL"/>
                    </w:rPr>
                  </w:pPr>
                </w:p>
              </w:tc>
              <w:tc>
                <w:tcPr>
                  <w:tcW w:w="324" w:type="pct"/>
                  <w:tcBorders>
                    <w:tl2br w:val="nil"/>
                    <w:tr2bl w:val="nil"/>
                  </w:tcBorders>
                  <w:vAlign w:val="center"/>
                </w:tcPr>
                <w:p w14:paraId="079E9509">
                  <w:pPr>
                    <w:pStyle w:val="126"/>
                    <w:tabs>
                      <w:tab w:val="left" w:pos="720"/>
                    </w:tabs>
                    <w:jc w:val="center"/>
                    <w:rPr>
                      <w:color w:val="auto"/>
                      <w:sz w:val="21"/>
                      <w:szCs w:val="21"/>
                      <w:lang w:bidi="he-IL"/>
                    </w:rPr>
                  </w:pPr>
                  <w:r>
                    <w:rPr>
                      <w:rFonts w:hint="eastAsia"/>
                      <w:color w:val="auto"/>
                      <w:sz w:val="21"/>
                      <w:szCs w:val="21"/>
                      <w:lang w:bidi="he-IL"/>
                    </w:rPr>
                    <w:t>名称</w:t>
                  </w:r>
                </w:p>
              </w:tc>
              <w:tc>
                <w:tcPr>
                  <w:tcW w:w="485" w:type="pct"/>
                  <w:tcBorders>
                    <w:tl2br w:val="nil"/>
                    <w:tr2bl w:val="nil"/>
                  </w:tcBorders>
                  <w:vAlign w:val="center"/>
                </w:tcPr>
                <w:p w14:paraId="1D617623">
                  <w:pPr>
                    <w:pStyle w:val="126"/>
                    <w:tabs>
                      <w:tab w:val="left" w:pos="720"/>
                    </w:tabs>
                    <w:jc w:val="center"/>
                    <w:rPr>
                      <w:color w:val="auto"/>
                      <w:sz w:val="21"/>
                      <w:szCs w:val="21"/>
                      <w:lang w:bidi="he-IL"/>
                    </w:rPr>
                  </w:pPr>
                  <w:r>
                    <w:rPr>
                      <w:rFonts w:hint="eastAsia"/>
                      <w:color w:val="auto"/>
                      <w:sz w:val="21"/>
                      <w:szCs w:val="21"/>
                      <w:lang w:bidi="he-IL"/>
                    </w:rPr>
                    <w:t>污染物种类</w:t>
                  </w:r>
                </w:p>
              </w:tc>
              <w:tc>
                <w:tcPr>
                  <w:tcW w:w="513" w:type="pct"/>
                  <w:tcBorders>
                    <w:tl2br w:val="nil"/>
                    <w:tr2bl w:val="nil"/>
                  </w:tcBorders>
                  <w:vAlign w:val="center"/>
                </w:tcPr>
                <w:p w14:paraId="78113C2E">
                  <w:pPr>
                    <w:pStyle w:val="126"/>
                    <w:tabs>
                      <w:tab w:val="left" w:pos="720"/>
                    </w:tabs>
                    <w:jc w:val="center"/>
                    <w:rPr>
                      <w:color w:val="auto"/>
                      <w:sz w:val="21"/>
                      <w:szCs w:val="21"/>
                      <w:lang w:bidi="he-IL"/>
                    </w:rPr>
                  </w:pPr>
                  <w:r>
                    <w:rPr>
                      <w:rFonts w:hint="eastAsia"/>
                      <w:color w:val="auto"/>
                      <w:sz w:val="21"/>
                      <w:szCs w:val="21"/>
                      <w:lang w:bidi="he-IL"/>
                    </w:rPr>
                    <w:t>国家或地方污染物排放标准浓度限值</w:t>
                  </w:r>
                  <w:r>
                    <w:rPr>
                      <w:color w:val="auto"/>
                      <w:sz w:val="21"/>
                      <w:szCs w:val="21"/>
                      <w:lang w:bidi="he-IL"/>
                    </w:rPr>
                    <w:t>/(mg/L)</w:t>
                  </w:r>
                </w:p>
              </w:tc>
            </w:tr>
            <w:tr w14:paraId="05DCA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9" w:hRule="atLeast"/>
              </w:trPr>
              <w:tc>
                <w:tcPr>
                  <w:tcW w:w="251" w:type="pct"/>
                  <w:vMerge w:val="restart"/>
                  <w:tcBorders>
                    <w:tl2br w:val="nil"/>
                    <w:tr2bl w:val="nil"/>
                  </w:tcBorders>
                  <w:vAlign w:val="center"/>
                </w:tcPr>
                <w:p w14:paraId="6B698D0F">
                  <w:pPr>
                    <w:pStyle w:val="126"/>
                    <w:tabs>
                      <w:tab w:val="left" w:pos="720"/>
                    </w:tabs>
                    <w:jc w:val="center"/>
                    <w:rPr>
                      <w:color w:val="auto"/>
                      <w:sz w:val="21"/>
                      <w:szCs w:val="21"/>
                      <w:lang w:bidi="he-IL"/>
                    </w:rPr>
                  </w:pPr>
                  <w:r>
                    <w:rPr>
                      <w:color w:val="auto"/>
                      <w:sz w:val="21"/>
                      <w:szCs w:val="21"/>
                      <w:lang w:bidi="he-IL"/>
                    </w:rPr>
                    <w:t>1</w:t>
                  </w:r>
                </w:p>
              </w:tc>
              <w:tc>
                <w:tcPr>
                  <w:tcW w:w="520" w:type="pct"/>
                  <w:vMerge w:val="restart"/>
                  <w:tcBorders>
                    <w:tl2br w:val="nil"/>
                    <w:tr2bl w:val="nil"/>
                  </w:tcBorders>
                  <w:vAlign w:val="center"/>
                </w:tcPr>
                <w:p w14:paraId="40090336">
                  <w:pPr>
                    <w:pStyle w:val="126"/>
                    <w:tabs>
                      <w:tab w:val="left" w:pos="720"/>
                    </w:tabs>
                    <w:jc w:val="center"/>
                    <w:rPr>
                      <w:color w:val="auto"/>
                      <w:sz w:val="21"/>
                      <w:szCs w:val="21"/>
                      <w:lang w:bidi="he-IL"/>
                    </w:rPr>
                  </w:pPr>
                  <w:r>
                    <w:rPr>
                      <w:color w:val="auto"/>
                      <w:sz w:val="21"/>
                      <w:szCs w:val="21"/>
                      <w:lang w:bidi="he-IL"/>
                    </w:rPr>
                    <w:t>DW001</w:t>
                  </w:r>
                </w:p>
              </w:tc>
              <w:tc>
                <w:tcPr>
                  <w:tcW w:w="709" w:type="pct"/>
                  <w:vMerge w:val="restart"/>
                  <w:tcBorders>
                    <w:tl2br w:val="nil"/>
                    <w:tr2bl w:val="nil"/>
                  </w:tcBorders>
                  <w:vAlign w:val="center"/>
                </w:tcPr>
                <w:p w14:paraId="348FE43E">
                  <w:pPr>
                    <w:pStyle w:val="126"/>
                    <w:tabs>
                      <w:tab w:val="left" w:pos="720"/>
                    </w:tabs>
                    <w:jc w:val="center"/>
                    <w:rPr>
                      <w:color w:val="auto"/>
                      <w:sz w:val="21"/>
                      <w:szCs w:val="21"/>
                      <w:lang w:bidi="he-IL"/>
                    </w:rPr>
                  </w:pPr>
                  <w:r>
                    <w:rPr>
                      <w:rFonts w:hint="eastAsia"/>
                      <w:color w:val="auto"/>
                      <w:sz w:val="21"/>
                      <w:szCs w:val="21"/>
                      <w:lang w:bidi="he-IL"/>
                    </w:rPr>
                    <w:t>108.6847</w:t>
                  </w:r>
                </w:p>
              </w:tc>
              <w:tc>
                <w:tcPr>
                  <w:tcW w:w="673" w:type="pct"/>
                  <w:vMerge w:val="restart"/>
                  <w:tcBorders>
                    <w:tl2br w:val="nil"/>
                    <w:tr2bl w:val="nil"/>
                  </w:tcBorders>
                  <w:vAlign w:val="center"/>
                </w:tcPr>
                <w:p w14:paraId="08E8A35A">
                  <w:pPr>
                    <w:pStyle w:val="126"/>
                    <w:tabs>
                      <w:tab w:val="left" w:pos="720"/>
                    </w:tabs>
                    <w:jc w:val="center"/>
                    <w:rPr>
                      <w:color w:val="auto"/>
                      <w:sz w:val="21"/>
                      <w:szCs w:val="21"/>
                      <w:lang w:bidi="he-IL"/>
                    </w:rPr>
                  </w:pPr>
                  <w:r>
                    <w:rPr>
                      <w:rFonts w:hint="eastAsia"/>
                      <w:color w:val="auto"/>
                      <w:sz w:val="21"/>
                      <w:szCs w:val="21"/>
                      <w:lang w:bidi="he-IL"/>
                    </w:rPr>
                    <w:t>21.7883</w:t>
                  </w:r>
                </w:p>
              </w:tc>
              <w:tc>
                <w:tcPr>
                  <w:tcW w:w="593" w:type="pct"/>
                  <w:vMerge w:val="restart"/>
                  <w:tcBorders>
                    <w:tl2br w:val="nil"/>
                    <w:tr2bl w:val="nil"/>
                  </w:tcBorders>
                  <w:vAlign w:val="center"/>
                </w:tcPr>
                <w:p w14:paraId="47258CB0">
                  <w:pPr>
                    <w:pStyle w:val="126"/>
                    <w:tabs>
                      <w:tab w:val="left" w:pos="720"/>
                    </w:tabs>
                    <w:jc w:val="center"/>
                    <w:rPr>
                      <w:color w:val="auto"/>
                      <w:sz w:val="21"/>
                      <w:szCs w:val="21"/>
                      <w:lang w:bidi="he-IL"/>
                    </w:rPr>
                  </w:pPr>
                  <w:r>
                    <w:rPr>
                      <w:rFonts w:hint="eastAsia"/>
                      <w:color w:val="auto"/>
                      <w:sz w:val="21"/>
                      <w:szCs w:val="21"/>
                      <w:lang w:bidi="he-IL"/>
                    </w:rPr>
                    <w:t>0.06</w:t>
                  </w:r>
                </w:p>
              </w:tc>
              <w:tc>
                <w:tcPr>
                  <w:tcW w:w="425" w:type="pct"/>
                  <w:vMerge w:val="restart"/>
                  <w:tcBorders>
                    <w:tl2br w:val="nil"/>
                    <w:tr2bl w:val="nil"/>
                  </w:tcBorders>
                  <w:vAlign w:val="center"/>
                </w:tcPr>
                <w:p w14:paraId="0AFEDDF6">
                  <w:pPr>
                    <w:pStyle w:val="126"/>
                    <w:tabs>
                      <w:tab w:val="left" w:pos="720"/>
                    </w:tabs>
                    <w:jc w:val="center"/>
                    <w:rPr>
                      <w:color w:val="auto"/>
                      <w:sz w:val="21"/>
                      <w:szCs w:val="21"/>
                      <w:lang w:bidi="he-IL"/>
                    </w:rPr>
                  </w:pPr>
                  <w:r>
                    <w:rPr>
                      <w:rFonts w:hint="eastAsia"/>
                      <w:color w:val="auto"/>
                      <w:sz w:val="21"/>
                      <w:szCs w:val="21"/>
                      <w:lang w:bidi="he-IL"/>
                    </w:rPr>
                    <w:t>钦州港大榄坪污水处理厂</w:t>
                  </w:r>
                </w:p>
              </w:tc>
              <w:tc>
                <w:tcPr>
                  <w:tcW w:w="251" w:type="pct"/>
                  <w:vMerge w:val="restart"/>
                  <w:tcBorders>
                    <w:tl2br w:val="nil"/>
                    <w:tr2bl w:val="nil"/>
                  </w:tcBorders>
                  <w:vAlign w:val="center"/>
                </w:tcPr>
                <w:p w14:paraId="14B63165">
                  <w:pPr>
                    <w:pStyle w:val="126"/>
                    <w:tabs>
                      <w:tab w:val="left" w:pos="720"/>
                    </w:tabs>
                    <w:jc w:val="center"/>
                    <w:rPr>
                      <w:color w:val="auto"/>
                      <w:sz w:val="21"/>
                      <w:szCs w:val="21"/>
                      <w:lang w:bidi="he-IL"/>
                    </w:rPr>
                  </w:pPr>
                  <w:r>
                    <w:rPr>
                      <w:rFonts w:hint="eastAsia"/>
                      <w:color w:val="auto"/>
                      <w:sz w:val="21"/>
                      <w:szCs w:val="21"/>
                      <w:lang w:bidi="he-IL"/>
                    </w:rPr>
                    <w:t>间接排放</w:t>
                  </w:r>
                </w:p>
              </w:tc>
              <w:tc>
                <w:tcPr>
                  <w:tcW w:w="251" w:type="pct"/>
                  <w:vMerge w:val="restart"/>
                  <w:tcBorders>
                    <w:tl2br w:val="nil"/>
                    <w:tr2bl w:val="nil"/>
                  </w:tcBorders>
                  <w:vAlign w:val="center"/>
                </w:tcPr>
                <w:p w14:paraId="019AC8F1">
                  <w:pPr>
                    <w:pStyle w:val="126"/>
                    <w:tabs>
                      <w:tab w:val="left" w:pos="720"/>
                    </w:tabs>
                    <w:jc w:val="center"/>
                    <w:rPr>
                      <w:color w:val="auto"/>
                      <w:sz w:val="21"/>
                      <w:szCs w:val="21"/>
                      <w:lang w:bidi="he-IL"/>
                    </w:rPr>
                  </w:pPr>
                  <w:r>
                    <w:rPr>
                      <w:color w:val="auto"/>
                      <w:sz w:val="21"/>
                      <w:szCs w:val="21"/>
                      <w:lang w:bidi="he-IL"/>
                    </w:rPr>
                    <w:t>/</w:t>
                  </w:r>
                </w:p>
              </w:tc>
              <w:tc>
                <w:tcPr>
                  <w:tcW w:w="324" w:type="pct"/>
                  <w:vMerge w:val="restart"/>
                  <w:tcBorders>
                    <w:tl2br w:val="nil"/>
                    <w:tr2bl w:val="nil"/>
                  </w:tcBorders>
                  <w:vAlign w:val="center"/>
                </w:tcPr>
                <w:p w14:paraId="01834204">
                  <w:pPr>
                    <w:pStyle w:val="126"/>
                    <w:tabs>
                      <w:tab w:val="left" w:pos="720"/>
                    </w:tabs>
                    <w:jc w:val="center"/>
                    <w:rPr>
                      <w:color w:val="auto"/>
                      <w:sz w:val="21"/>
                      <w:szCs w:val="21"/>
                      <w:lang w:bidi="he-IL"/>
                    </w:rPr>
                  </w:pPr>
                  <w:r>
                    <w:rPr>
                      <w:rFonts w:hint="eastAsia"/>
                      <w:color w:val="auto"/>
                      <w:sz w:val="21"/>
                      <w:szCs w:val="21"/>
                      <w:lang w:bidi="he-IL"/>
                    </w:rPr>
                    <w:t>进入钦州港大榄坪水处理厂</w:t>
                  </w:r>
                </w:p>
              </w:tc>
              <w:tc>
                <w:tcPr>
                  <w:tcW w:w="485" w:type="pct"/>
                  <w:tcBorders>
                    <w:tl2br w:val="nil"/>
                    <w:tr2bl w:val="nil"/>
                  </w:tcBorders>
                  <w:vAlign w:val="center"/>
                </w:tcPr>
                <w:p w14:paraId="3D69343F">
                  <w:pPr>
                    <w:pStyle w:val="126"/>
                    <w:tabs>
                      <w:tab w:val="left" w:pos="720"/>
                    </w:tabs>
                    <w:jc w:val="center"/>
                    <w:rPr>
                      <w:color w:val="auto"/>
                      <w:sz w:val="21"/>
                      <w:szCs w:val="21"/>
                      <w:lang w:bidi="he-IL"/>
                    </w:rPr>
                  </w:pPr>
                  <w:r>
                    <w:rPr>
                      <w:color w:val="auto"/>
                      <w:sz w:val="21"/>
                      <w:szCs w:val="21"/>
                      <w:lang w:bidi="he-IL"/>
                    </w:rPr>
                    <w:t>CODcr</w:t>
                  </w:r>
                </w:p>
              </w:tc>
              <w:tc>
                <w:tcPr>
                  <w:tcW w:w="513" w:type="pct"/>
                  <w:tcBorders>
                    <w:tl2br w:val="nil"/>
                    <w:tr2bl w:val="nil"/>
                  </w:tcBorders>
                  <w:vAlign w:val="center"/>
                </w:tcPr>
                <w:p w14:paraId="0E9D094B">
                  <w:pPr>
                    <w:pStyle w:val="126"/>
                    <w:tabs>
                      <w:tab w:val="left" w:pos="720"/>
                    </w:tabs>
                    <w:jc w:val="center"/>
                    <w:rPr>
                      <w:color w:val="auto"/>
                      <w:sz w:val="21"/>
                      <w:szCs w:val="21"/>
                      <w:lang w:bidi="he-IL"/>
                    </w:rPr>
                  </w:pPr>
                  <w:r>
                    <w:rPr>
                      <w:rFonts w:hint="eastAsia"/>
                      <w:color w:val="auto"/>
                      <w:sz w:val="21"/>
                      <w:szCs w:val="21"/>
                      <w:lang w:bidi="he-IL"/>
                    </w:rPr>
                    <w:t>60</w:t>
                  </w:r>
                </w:p>
              </w:tc>
            </w:tr>
            <w:tr w14:paraId="62A996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trPr>
              <w:tc>
                <w:tcPr>
                  <w:tcW w:w="251" w:type="pct"/>
                  <w:vMerge w:val="continue"/>
                  <w:tcBorders>
                    <w:tl2br w:val="nil"/>
                    <w:tr2bl w:val="nil"/>
                  </w:tcBorders>
                  <w:vAlign w:val="center"/>
                </w:tcPr>
                <w:p w14:paraId="7EE6F19A">
                  <w:pPr>
                    <w:widowControl/>
                    <w:tabs>
                      <w:tab w:val="left" w:pos="720"/>
                    </w:tabs>
                    <w:ind w:firstLine="480"/>
                    <w:rPr>
                      <w:color w:val="auto"/>
                      <w:kern w:val="0"/>
                      <w:szCs w:val="21"/>
                      <w:lang w:bidi="he-IL"/>
                    </w:rPr>
                  </w:pPr>
                </w:p>
              </w:tc>
              <w:tc>
                <w:tcPr>
                  <w:tcW w:w="520" w:type="pct"/>
                  <w:vMerge w:val="continue"/>
                  <w:tcBorders>
                    <w:tl2br w:val="nil"/>
                    <w:tr2bl w:val="nil"/>
                  </w:tcBorders>
                  <w:vAlign w:val="center"/>
                </w:tcPr>
                <w:p w14:paraId="7E3E5CA1">
                  <w:pPr>
                    <w:widowControl/>
                    <w:tabs>
                      <w:tab w:val="left" w:pos="720"/>
                    </w:tabs>
                    <w:ind w:firstLine="480"/>
                    <w:rPr>
                      <w:color w:val="auto"/>
                      <w:kern w:val="0"/>
                      <w:szCs w:val="21"/>
                      <w:lang w:bidi="he-IL"/>
                    </w:rPr>
                  </w:pPr>
                </w:p>
              </w:tc>
              <w:tc>
                <w:tcPr>
                  <w:tcW w:w="709" w:type="pct"/>
                  <w:vMerge w:val="continue"/>
                  <w:tcBorders>
                    <w:tl2br w:val="nil"/>
                    <w:tr2bl w:val="nil"/>
                  </w:tcBorders>
                  <w:vAlign w:val="center"/>
                </w:tcPr>
                <w:p w14:paraId="1D616D55">
                  <w:pPr>
                    <w:widowControl/>
                    <w:tabs>
                      <w:tab w:val="left" w:pos="720"/>
                    </w:tabs>
                    <w:ind w:firstLine="480"/>
                    <w:rPr>
                      <w:color w:val="auto"/>
                      <w:kern w:val="0"/>
                      <w:szCs w:val="21"/>
                      <w:lang w:bidi="he-IL"/>
                    </w:rPr>
                  </w:pPr>
                </w:p>
              </w:tc>
              <w:tc>
                <w:tcPr>
                  <w:tcW w:w="673" w:type="pct"/>
                  <w:vMerge w:val="continue"/>
                  <w:tcBorders>
                    <w:tl2br w:val="nil"/>
                    <w:tr2bl w:val="nil"/>
                  </w:tcBorders>
                  <w:vAlign w:val="center"/>
                </w:tcPr>
                <w:p w14:paraId="042A9764">
                  <w:pPr>
                    <w:widowControl/>
                    <w:tabs>
                      <w:tab w:val="left" w:pos="720"/>
                    </w:tabs>
                    <w:ind w:firstLine="480"/>
                    <w:rPr>
                      <w:color w:val="auto"/>
                      <w:kern w:val="0"/>
                      <w:szCs w:val="21"/>
                      <w:lang w:bidi="he-IL"/>
                    </w:rPr>
                  </w:pPr>
                </w:p>
              </w:tc>
              <w:tc>
                <w:tcPr>
                  <w:tcW w:w="593" w:type="pct"/>
                  <w:vMerge w:val="continue"/>
                  <w:tcBorders>
                    <w:tl2br w:val="nil"/>
                    <w:tr2bl w:val="nil"/>
                  </w:tcBorders>
                  <w:vAlign w:val="center"/>
                </w:tcPr>
                <w:p w14:paraId="6B3DCEEB">
                  <w:pPr>
                    <w:widowControl/>
                    <w:tabs>
                      <w:tab w:val="left" w:pos="720"/>
                    </w:tabs>
                    <w:ind w:firstLine="480"/>
                    <w:rPr>
                      <w:color w:val="auto"/>
                      <w:kern w:val="0"/>
                      <w:szCs w:val="21"/>
                      <w:lang w:bidi="he-IL"/>
                    </w:rPr>
                  </w:pPr>
                </w:p>
              </w:tc>
              <w:tc>
                <w:tcPr>
                  <w:tcW w:w="425" w:type="pct"/>
                  <w:vMerge w:val="continue"/>
                  <w:tcBorders>
                    <w:tl2br w:val="nil"/>
                    <w:tr2bl w:val="nil"/>
                  </w:tcBorders>
                  <w:vAlign w:val="center"/>
                </w:tcPr>
                <w:p w14:paraId="61F67EE6">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6A524014">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2076CCEB">
                  <w:pPr>
                    <w:widowControl/>
                    <w:tabs>
                      <w:tab w:val="left" w:pos="720"/>
                    </w:tabs>
                    <w:ind w:firstLine="480"/>
                    <w:rPr>
                      <w:color w:val="auto"/>
                      <w:kern w:val="0"/>
                      <w:szCs w:val="21"/>
                      <w:lang w:bidi="he-IL"/>
                    </w:rPr>
                  </w:pPr>
                </w:p>
              </w:tc>
              <w:tc>
                <w:tcPr>
                  <w:tcW w:w="324" w:type="pct"/>
                  <w:vMerge w:val="continue"/>
                  <w:tcBorders>
                    <w:tl2br w:val="nil"/>
                    <w:tr2bl w:val="nil"/>
                  </w:tcBorders>
                  <w:vAlign w:val="center"/>
                </w:tcPr>
                <w:p w14:paraId="581E04F0">
                  <w:pPr>
                    <w:widowControl/>
                    <w:tabs>
                      <w:tab w:val="left" w:pos="720"/>
                    </w:tabs>
                    <w:ind w:firstLine="480"/>
                    <w:rPr>
                      <w:color w:val="auto"/>
                      <w:kern w:val="0"/>
                      <w:szCs w:val="21"/>
                      <w:lang w:bidi="he-IL"/>
                    </w:rPr>
                  </w:pPr>
                </w:p>
              </w:tc>
              <w:tc>
                <w:tcPr>
                  <w:tcW w:w="485" w:type="pct"/>
                  <w:tcBorders>
                    <w:tl2br w:val="nil"/>
                    <w:tr2bl w:val="nil"/>
                  </w:tcBorders>
                  <w:vAlign w:val="center"/>
                </w:tcPr>
                <w:p w14:paraId="169A072D">
                  <w:pPr>
                    <w:pStyle w:val="126"/>
                    <w:tabs>
                      <w:tab w:val="left" w:pos="720"/>
                    </w:tabs>
                    <w:jc w:val="center"/>
                    <w:rPr>
                      <w:color w:val="auto"/>
                      <w:sz w:val="21"/>
                      <w:szCs w:val="21"/>
                      <w:lang w:bidi="he-IL"/>
                    </w:rPr>
                  </w:pPr>
                  <w:r>
                    <w:rPr>
                      <w:color w:val="auto"/>
                      <w:sz w:val="21"/>
                      <w:szCs w:val="21"/>
                      <w:lang w:bidi="he-IL"/>
                    </w:rPr>
                    <w:t>BOD</w:t>
                  </w:r>
                  <w:r>
                    <w:rPr>
                      <w:color w:val="auto"/>
                      <w:sz w:val="21"/>
                      <w:szCs w:val="21"/>
                      <w:vertAlign w:val="subscript"/>
                      <w:lang w:bidi="he-IL"/>
                    </w:rPr>
                    <w:t>5</w:t>
                  </w:r>
                </w:p>
              </w:tc>
              <w:tc>
                <w:tcPr>
                  <w:tcW w:w="513" w:type="pct"/>
                  <w:tcBorders>
                    <w:tl2br w:val="nil"/>
                    <w:tr2bl w:val="nil"/>
                  </w:tcBorders>
                  <w:vAlign w:val="center"/>
                </w:tcPr>
                <w:p w14:paraId="264C8539">
                  <w:pPr>
                    <w:pStyle w:val="126"/>
                    <w:tabs>
                      <w:tab w:val="left" w:pos="720"/>
                    </w:tabs>
                    <w:jc w:val="center"/>
                    <w:rPr>
                      <w:color w:val="auto"/>
                      <w:sz w:val="21"/>
                      <w:szCs w:val="21"/>
                      <w:lang w:bidi="he-IL"/>
                    </w:rPr>
                  </w:pPr>
                  <w:r>
                    <w:rPr>
                      <w:rFonts w:hint="eastAsia"/>
                      <w:color w:val="auto"/>
                      <w:sz w:val="21"/>
                      <w:szCs w:val="21"/>
                      <w:lang w:bidi="he-IL"/>
                    </w:rPr>
                    <w:t>20</w:t>
                  </w:r>
                </w:p>
              </w:tc>
            </w:tr>
            <w:tr w14:paraId="2795B7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8" w:hRule="atLeast"/>
              </w:trPr>
              <w:tc>
                <w:tcPr>
                  <w:tcW w:w="251" w:type="pct"/>
                  <w:vMerge w:val="continue"/>
                  <w:tcBorders>
                    <w:tl2br w:val="nil"/>
                    <w:tr2bl w:val="nil"/>
                  </w:tcBorders>
                  <w:vAlign w:val="center"/>
                </w:tcPr>
                <w:p w14:paraId="6AE3B382">
                  <w:pPr>
                    <w:widowControl/>
                    <w:tabs>
                      <w:tab w:val="left" w:pos="720"/>
                    </w:tabs>
                    <w:ind w:firstLine="480"/>
                    <w:rPr>
                      <w:color w:val="auto"/>
                      <w:kern w:val="0"/>
                      <w:szCs w:val="21"/>
                      <w:lang w:bidi="he-IL"/>
                    </w:rPr>
                  </w:pPr>
                </w:p>
              </w:tc>
              <w:tc>
                <w:tcPr>
                  <w:tcW w:w="520" w:type="pct"/>
                  <w:vMerge w:val="continue"/>
                  <w:tcBorders>
                    <w:tl2br w:val="nil"/>
                    <w:tr2bl w:val="nil"/>
                  </w:tcBorders>
                  <w:vAlign w:val="center"/>
                </w:tcPr>
                <w:p w14:paraId="48A74973">
                  <w:pPr>
                    <w:widowControl/>
                    <w:tabs>
                      <w:tab w:val="left" w:pos="720"/>
                    </w:tabs>
                    <w:ind w:firstLine="480"/>
                    <w:rPr>
                      <w:color w:val="auto"/>
                      <w:kern w:val="0"/>
                      <w:szCs w:val="21"/>
                      <w:lang w:bidi="he-IL"/>
                    </w:rPr>
                  </w:pPr>
                </w:p>
              </w:tc>
              <w:tc>
                <w:tcPr>
                  <w:tcW w:w="709" w:type="pct"/>
                  <w:vMerge w:val="continue"/>
                  <w:tcBorders>
                    <w:tl2br w:val="nil"/>
                    <w:tr2bl w:val="nil"/>
                  </w:tcBorders>
                  <w:vAlign w:val="center"/>
                </w:tcPr>
                <w:p w14:paraId="71E2D9F5">
                  <w:pPr>
                    <w:widowControl/>
                    <w:tabs>
                      <w:tab w:val="left" w:pos="720"/>
                    </w:tabs>
                    <w:ind w:firstLine="480"/>
                    <w:rPr>
                      <w:color w:val="auto"/>
                      <w:kern w:val="0"/>
                      <w:szCs w:val="21"/>
                      <w:lang w:bidi="he-IL"/>
                    </w:rPr>
                  </w:pPr>
                </w:p>
              </w:tc>
              <w:tc>
                <w:tcPr>
                  <w:tcW w:w="673" w:type="pct"/>
                  <w:vMerge w:val="continue"/>
                  <w:tcBorders>
                    <w:tl2br w:val="nil"/>
                    <w:tr2bl w:val="nil"/>
                  </w:tcBorders>
                  <w:vAlign w:val="center"/>
                </w:tcPr>
                <w:p w14:paraId="63C5A687">
                  <w:pPr>
                    <w:widowControl/>
                    <w:tabs>
                      <w:tab w:val="left" w:pos="720"/>
                    </w:tabs>
                    <w:ind w:firstLine="480"/>
                    <w:rPr>
                      <w:color w:val="auto"/>
                      <w:kern w:val="0"/>
                      <w:szCs w:val="21"/>
                      <w:lang w:bidi="he-IL"/>
                    </w:rPr>
                  </w:pPr>
                </w:p>
              </w:tc>
              <w:tc>
                <w:tcPr>
                  <w:tcW w:w="593" w:type="pct"/>
                  <w:vMerge w:val="continue"/>
                  <w:tcBorders>
                    <w:tl2br w:val="nil"/>
                    <w:tr2bl w:val="nil"/>
                  </w:tcBorders>
                  <w:vAlign w:val="center"/>
                </w:tcPr>
                <w:p w14:paraId="1CC7C04C">
                  <w:pPr>
                    <w:widowControl/>
                    <w:tabs>
                      <w:tab w:val="left" w:pos="720"/>
                    </w:tabs>
                    <w:ind w:firstLine="480"/>
                    <w:rPr>
                      <w:color w:val="auto"/>
                      <w:kern w:val="0"/>
                      <w:szCs w:val="21"/>
                      <w:lang w:bidi="he-IL"/>
                    </w:rPr>
                  </w:pPr>
                </w:p>
              </w:tc>
              <w:tc>
                <w:tcPr>
                  <w:tcW w:w="425" w:type="pct"/>
                  <w:vMerge w:val="continue"/>
                  <w:tcBorders>
                    <w:tl2br w:val="nil"/>
                    <w:tr2bl w:val="nil"/>
                  </w:tcBorders>
                  <w:vAlign w:val="center"/>
                </w:tcPr>
                <w:p w14:paraId="42823098">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4222A2A4">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26221EE9">
                  <w:pPr>
                    <w:widowControl/>
                    <w:tabs>
                      <w:tab w:val="left" w:pos="720"/>
                    </w:tabs>
                    <w:ind w:firstLine="480"/>
                    <w:rPr>
                      <w:color w:val="auto"/>
                      <w:kern w:val="0"/>
                      <w:szCs w:val="21"/>
                      <w:lang w:bidi="he-IL"/>
                    </w:rPr>
                  </w:pPr>
                </w:p>
              </w:tc>
              <w:tc>
                <w:tcPr>
                  <w:tcW w:w="324" w:type="pct"/>
                  <w:vMerge w:val="continue"/>
                  <w:tcBorders>
                    <w:tl2br w:val="nil"/>
                    <w:tr2bl w:val="nil"/>
                  </w:tcBorders>
                  <w:vAlign w:val="center"/>
                </w:tcPr>
                <w:p w14:paraId="36812550">
                  <w:pPr>
                    <w:widowControl/>
                    <w:tabs>
                      <w:tab w:val="left" w:pos="720"/>
                    </w:tabs>
                    <w:ind w:firstLine="480"/>
                    <w:rPr>
                      <w:color w:val="auto"/>
                      <w:kern w:val="0"/>
                      <w:szCs w:val="21"/>
                      <w:lang w:bidi="he-IL"/>
                    </w:rPr>
                  </w:pPr>
                </w:p>
              </w:tc>
              <w:tc>
                <w:tcPr>
                  <w:tcW w:w="485" w:type="pct"/>
                  <w:tcBorders>
                    <w:tl2br w:val="nil"/>
                    <w:tr2bl w:val="nil"/>
                  </w:tcBorders>
                  <w:vAlign w:val="center"/>
                </w:tcPr>
                <w:p w14:paraId="1B2A76B2">
                  <w:pPr>
                    <w:pStyle w:val="126"/>
                    <w:tabs>
                      <w:tab w:val="left" w:pos="720"/>
                    </w:tabs>
                    <w:jc w:val="center"/>
                    <w:rPr>
                      <w:color w:val="auto"/>
                      <w:sz w:val="21"/>
                      <w:szCs w:val="21"/>
                      <w:lang w:bidi="he-IL"/>
                    </w:rPr>
                  </w:pPr>
                  <w:r>
                    <w:rPr>
                      <w:color w:val="auto"/>
                      <w:sz w:val="21"/>
                      <w:szCs w:val="21"/>
                      <w:lang w:bidi="he-IL"/>
                    </w:rPr>
                    <w:t>SS</w:t>
                  </w:r>
                </w:p>
              </w:tc>
              <w:tc>
                <w:tcPr>
                  <w:tcW w:w="513" w:type="pct"/>
                  <w:tcBorders>
                    <w:tl2br w:val="nil"/>
                    <w:tr2bl w:val="nil"/>
                  </w:tcBorders>
                  <w:vAlign w:val="center"/>
                </w:tcPr>
                <w:p w14:paraId="1A7A22DC">
                  <w:pPr>
                    <w:pStyle w:val="126"/>
                    <w:tabs>
                      <w:tab w:val="left" w:pos="720"/>
                    </w:tabs>
                    <w:jc w:val="center"/>
                    <w:rPr>
                      <w:color w:val="auto"/>
                      <w:sz w:val="21"/>
                      <w:szCs w:val="21"/>
                      <w:lang w:bidi="he-IL"/>
                    </w:rPr>
                  </w:pPr>
                  <w:r>
                    <w:rPr>
                      <w:rFonts w:hint="eastAsia"/>
                      <w:color w:val="auto"/>
                      <w:sz w:val="21"/>
                      <w:szCs w:val="21"/>
                      <w:lang w:bidi="he-IL"/>
                    </w:rPr>
                    <w:t>20</w:t>
                  </w:r>
                </w:p>
              </w:tc>
            </w:tr>
            <w:tr w14:paraId="5E6E6C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8" w:hRule="atLeast"/>
              </w:trPr>
              <w:tc>
                <w:tcPr>
                  <w:tcW w:w="251" w:type="pct"/>
                  <w:vMerge w:val="continue"/>
                  <w:tcBorders>
                    <w:tl2br w:val="nil"/>
                    <w:tr2bl w:val="nil"/>
                  </w:tcBorders>
                  <w:vAlign w:val="center"/>
                </w:tcPr>
                <w:p w14:paraId="32B4B192">
                  <w:pPr>
                    <w:widowControl/>
                    <w:tabs>
                      <w:tab w:val="left" w:pos="720"/>
                    </w:tabs>
                    <w:ind w:firstLine="480"/>
                    <w:rPr>
                      <w:color w:val="auto"/>
                      <w:kern w:val="0"/>
                      <w:szCs w:val="21"/>
                      <w:lang w:bidi="he-IL"/>
                    </w:rPr>
                  </w:pPr>
                </w:p>
              </w:tc>
              <w:tc>
                <w:tcPr>
                  <w:tcW w:w="520" w:type="pct"/>
                  <w:vMerge w:val="continue"/>
                  <w:tcBorders>
                    <w:tl2br w:val="nil"/>
                    <w:tr2bl w:val="nil"/>
                  </w:tcBorders>
                  <w:vAlign w:val="center"/>
                </w:tcPr>
                <w:p w14:paraId="0967E5DB">
                  <w:pPr>
                    <w:widowControl/>
                    <w:tabs>
                      <w:tab w:val="left" w:pos="720"/>
                    </w:tabs>
                    <w:ind w:firstLine="480"/>
                    <w:rPr>
                      <w:color w:val="auto"/>
                      <w:kern w:val="0"/>
                      <w:szCs w:val="21"/>
                      <w:lang w:bidi="he-IL"/>
                    </w:rPr>
                  </w:pPr>
                </w:p>
              </w:tc>
              <w:tc>
                <w:tcPr>
                  <w:tcW w:w="709" w:type="pct"/>
                  <w:vMerge w:val="continue"/>
                  <w:tcBorders>
                    <w:tl2br w:val="nil"/>
                    <w:tr2bl w:val="nil"/>
                  </w:tcBorders>
                  <w:vAlign w:val="center"/>
                </w:tcPr>
                <w:p w14:paraId="1BED9AEC">
                  <w:pPr>
                    <w:widowControl/>
                    <w:tabs>
                      <w:tab w:val="left" w:pos="720"/>
                    </w:tabs>
                    <w:ind w:firstLine="480"/>
                    <w:rPr>
                      <w:color w:val="auto"/>
                      <w:kern w:val="0"/>
                      <w:szCs w:val="21"/>
                      <w:lang w:bidi="he-IL"/>
                    </w:rPr>
                  </w:pPr>
                </w:p>
              </w:tc>
              <w:tc>
                <w:tcPr>
                  <w:tcW w:w="673" w:type="pct"/>
                  <w:vMerge w:val="continue"/>
                  <w:tcBorders>
                    <w:tl2br w:val="nil"/>
                    <w:tr2bl w:val="nil"/>
                  </w:tcBorders>
                  <w:vAlign w:val="center"/>
                </w:tcPr>
                <w:p w14:paraId="10084F41">
                  <w:pPr>
                    <w:widowControl/>
                    <w:tabs>
                      <w:tab w:val="left" w:pos="720"/>
                    </w:tabs>
                    <w:ind w:firstLine="480"/>
                    <w:rPr>
                      <w:color w:val="auto"/>
                      <w:kern w:val="0"/>
                      <w:szCs w:val="21"/>
                      <w:lang w:bidi="he-IL"/>
                    </w:rPr>
                  </w:pPr>
                </w:p>
              </w:tc>
              <w:tc>
                <w:tcPr>
                  <w:tcW w:w="593" w:type="pct"/>
                  <w:vMerge w:val="continue"/>
                  <w:tcBorders>
                    <w:tl2br w:val="nil"/>
                    <w:tr2bl w:val="nil"/>
                  </w:tcBorders>
                  <w:vAlign w:val="center"/>
                </w:tcPr>
                <w:p w14:paraId="25E1CC91">
                  <w:pPr>
                    <w:widowControl/>
                    <w:tabs>
                      <w:tab w:val="left" w:pos="720"/>
                    </w:tabs>
                    <w:ind w:firstLine="480"/>
                    <w:rPr>
                      <w:color w:val="auto"/>
                      <w:kern w:val="0"/>
                      <w:szCs w:val="21"/>
                      <w:lang w:bidi="he-IL"/>
                    </w:rPr>
                  </w:pPr>
                </w:p>
              </w:tc>
              <w:tc>
                <w:tcPr>
                  <w:tcW w:w="425" w:type="pct"/>
                  <w:vMerge w:val="continue"/>
                  <w:tcBorders>
                    <w:tl2br w:val="nil"/>
                    <w:tr2bl w:val="nil"/>
                  </w:tcBorders>
                  <w:vAlign w:val="center"/>
                </w:tcPr>
                <w:p w14:paraId="2A347B60">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562AB241">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510A9927">
                  <w:pPr>
                    <w:widowControl/>
                    <w:tabs>
                      <w:tab w:val="left" w:pos="720"/>
                    </w:tabs>
                    <w:ind w:firstLine="480"/>
                    <w:rPr>
                      <w:color w:val="auto"/>
                      <w:kern w:val="0"/>
                      <w:szCs w:val="21"/>
                      <w:lang w:bidi="he-IL"/>
                    </w:rPr>
                  </w:pPr>
                </w:p>
              </w:tc>
              <w:tc>
                <w:tcPr>
                  <w:tcW w:w="324" w:type="pct"/>
                  <w:vMerge w:val="continue"/>
                  <w:tcBorders>
                    <w:tl2br w:val="nil"/>
                    <w:tr2bl w:val="nil"/>
                  </w:tcBorders>
                  <w:vAlign w:val="center"/>
                </w:tcPr>
                <w:p w14:paraId="3F8E0765">
                  <w:pPr>
                    <w:widowControl/>
                    <w:tabs>
                      <w:tab w:val="left" w:pos="720"/>
                    </w:tabs>
                    <w:ind w:firstLine="480"/>
                    <w:rPr>
                      <w:color w:val="auto"/>
                      <w:kern w:val="0"/>
                      <w:szCs w:val="21"/>
                      <w:lang w:bidi="he-IL"/>
                    </w:rPr>
                  </w:pPr>
                </w:p>
              </w:tc>
              <w:tc>
                <w:tcPr>
                  <w:tcW w:w="485" w:type="pct"/>
                  <w:tcBorders>
                    <w:tl2br w:val="nil"/>
                    <w:tr2bl w:val="nil"/>
                  </w:tcBorders>
                  <w:vAlign w:val="center"/>
                </w:tcPr>
                <w:p w14:paraId="3EBD7530">
                  <w:pPr>
                    <w:pStyle w:val="126"/>
                    <w:tabs>
                      <w:tab w:val="left" w:pos="720"/>
                    </w:tabs>
                    <w:jc w:val="center"/>
                    <w:rPr>
                      <w:color w:val="auto"/>
                      <w:sz w:val="21"/>
                      <w:szCs w:val="21"/>
                      <w:lang w:bidi="he-IL"/>
                    </w:rPr>
                  </w:pPr>
                  <w:r>
                    <w:rPr>
                      <w:color w:val="auto"/>
                      <w:sz w:val="21"/>
                      <w:szCs w:val="21"/>
                      <w:lang w:bidi="he-IL"/>
                    </w:rPr>
                    <w:t>NH</w:t>
                  </w:r>
                  <w:r>
                    <w:rPr>
                      <w:color w:val="auto"/>
                      <w:sz w:val="21"/>
                      <w:szCs w:val="21"/>
                      <w:vertAlign w:val="subscript"/>
                      <w:lang w:bidi="he-IL"/>
                    </w:rPr>
                    <w:t>3</w:t>
                  </w:r>
                  <w:r>
                    <w:rPr>
                      <w:color w:val="auto"/>
                      <w:sz w:val="21"/>
                      <w:szCs w:val="21"/>
                      <w:lang w:bidi="he-IL"/>
                    </w:rPr>
                    <w:t>-N</w:t>
                  </w:r>
                </w:p>
              </w:tc>
              <w:tc>
                <w:tcPr>
                  <w:tcW w:w="513" w:type="pct"/>
                  <w:tcBorders>
                    <w:tl2br w:val="nil"/>
                    <w:tr2bl w:val="nil"/>
                  </w:tcBorders>
                  <w:vAlign w:val="center"/>
                </w:tcPr>
                <w:p w14:paraId="7EA6A0D4">
                  <w:pPr>
                    <w:pStyle w:val="126"/>
                    <w:tabs>
                      <w:tab w:val="left" w:pos="720"/>
                    </w:tabs>
                    <w:jc w:val="center"/>
                    <w:rPr>
                      <w:color w:val="auto"/>
                      <w:sz w:val="21"/>
                      <w:szCs w:val="21"/>
                      <w:lang w:bidi="he-IL"/>
                    </w:rPr>
                  </w:pPr>
                  <w:r>
                    <w:rPr>
                      <w:rFonts w:hint="eastAsia"/>
                      <w:color w:val="auto"/>
                      <w:sz w:val="21"/>
                      <w:szCs w:val="21"/>
                      <w:lang w:bidi="he-IL"/>
                    </w:rPr>
                    <w:t>8</w:t>
                  </w:r>
                </w:p>
              </w:tc>
            </w:tr>
            <w:tr w14:paraId="1DC962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8" w:hRule="atLeast"/>
              </w:trPr>
              <w:tc>
                <w:tcPr>
                  <w:tcW w:w="251" w:type="pct"/>
                  <w:vMerge w:val="continue"/>
                  <w:tcBorders>
                    <w:tl2br w:val="nil"/>
                    <w:tr2bl w:val="nil"/>
                  </w:tcBorders>
                  <w:vAlign w:val="center"/>
                </w:tcPr>
                <w:p w14:paraId="773E1F3C">
                  <w:pPr>
                    <w:widowControl/>
                    <w:tabs>
                      <w:tab w:val="left" w:pos="720"/>
                    </w:tabs>
                    <w:ind w:firstLine="480"/>
                    <w:rPr>
                      <w:color w:val="auto"/>
                      <w:kern w:val="0"/>
                      <w:szCs w:val="21"/>
                      <w:lang w:bidi="he-IL"/>
                    </w:rPr>
                  </w:pPr>
                </w:p>
              </w:tc>
              <w:tc>
                <w:tcPr>
                  <w:tcW w:w="520" w:type="pct"/>
                  <w:vMerge w:val="continue"/>
                  <w:tcBorders>
                    <w:tl2br w:val="nil"/>
                    <w:tr2bl w:val="nil"/>
                  </w:tcBorders>
                  <w:vAlign w:val="center"/>
                </w:tcPr>
                <w:p w14:paraId="70076950">
                  <w:pPr>
                    <w:widowControl/>
                    <w:tabs>
                      <w:tab w:val="left" w:pos="720"/>
                    </w:tabs>
                    <w:ind w:firstLine="480"/>
                    <w:rPr>
                      <w:color w:val="auto"/>
                      <w:kern w:val="0"/>
                      <w:szCs w:val="21"/>
                      <w:lang w:bidi="he-IL"/>
                    </w:rPr>
                  </w:pPr>
                </w:p>
              </w:tc>
              <w:tc>
                <w:tcPr>
                  <w:tcW w:w="709" w:type="pct"/>
                  <w:vMerge w:val="continue"/>
                  <w:tcBorders>
                    <w:tl2br w:val="nil"/>
                    <w:tr2bl w:val="nil"/>
                  </w:tcBorders>
                  <w:vAlign w:val="center"/>
                </w:tcPr>
                <w:p w14:paraId="3F672FA0">
                  <w:pPr>
                    <w:widowControl/>
                    <w:tabs>
                      <w:tab w:val="left" w:pos="720"/>
                    </w:tabs>
                    <w:ind w:firstLine="480"/>
                    <w:rPr>
                      <w:color w:val="auto"/>
                      <w:kern w:val="0"/>
                      <w:szCs w:val="21"/>
                      <w:lang w:bidi="he-IL"/>
                    </w:rPr>
                  </w:pPr>
                </w:p>
              </w:tc>
              <w:tc>
                <w:tcPr>
                  <w:tcW w:w="673" w:type="pct"/>
                  <w:vMerge w:val="continue"/>
                  <w:tcBorders>
                    <w:tl2br w:val="nil"/>
                    <w:tr2bl w:val="nil"/>
                  </w:tcBorders>
                  <w:vAlign w:val="center"/>
                </w:tcPr>
                <w:p w14:paraId="3CECF723">
                  <w:pPr>
                    <w:widowControl/>
                    <w:tabs>
                      <w:tab w:val="left" w:pos="720"/>
                    </w:tabs>
                    <w:ind w:firstLine="480"/>
                    <w:rPr>
                      <w:color w:val="auto"/>
                      <w:kern w:val="0"/>
                      <w:szCs w:val="21"/>
                      <w:lang w:bidi="he-IL"/>
                    </w:rPr>
                  </w:pPr>
                </w:p>
              </w:tc>
              <w:tc>
                <w:tcPr>
                  <w:tcW w:w="593" w:type="pct"/>
                  <w:vMerge w:val="continue"/>
                  <w:tcBorders>
                    <w:tl2br w:val="nil"/>
                    <w:tr2bl w:val="nil"/>
                  </w:tcBorders>
                  <w:vAlign w:val="center"/>
                </w:tcPr>
                <w:p w14:paraId="0B51FD31">
                  <w:pPr>
                    <w:widowControl/>
                    <w:tabs>
                      <w:tab w:val="left" w:pos="720"/>
                    </w:tabs>
                    <w:ind w:firstLine="480"/>
                    <w:rPr>
                      <w:color w:val="auto"/>
                      <w:kern w:val="0"/>
                      <w:szCs w:val="21"/>
                      <w:lang w:bidi="he-IL"/>
                    </w:rPr>
                  </w:pPr>
                </w:p>
              </w:tc>
              <w:tc>
                <w:tcPr>
                  <w:tcW w:w="425" w:type="pct"/>
                  <w:vMerge w:val="continue"/>
                  <w:tcBorders>
                    <w:tl2br w:val="nil"/>
                    <w:tr2bl w:val="nil"/>
                  </w:tcBorders>
                  <w:vAlign w:val="center"/>
                </w:tcPr>
                <w:p w14:paraId="0C851B72">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505D2322">
                  <w:pPr>
                    <w:widowControl/>
                    <w:tabs>
                      <w:tab w:val="left" w:pos="720"/>
                    </w:tabs>
                    <w:ind w:firstLine="480"/>
                    <w:rPr>
                      <w:color w:val="auto"/>
                      <w:kern w:val="0"/>
                      <w:szCs w:val="21"/>
                      <w:lang w:bidi="he-IL"/>
                    </w:rPr>
                  </w:pPr>
                </w:p>
              </w:tc>
              <w:tc>
                <w:tcPr>
                  <w:tcW w:w="251" w:type="pct"/>
                  <w:vMerge w:val="continue"/>
                  <w:tcBorders>
                    <w:tl2br w:val="nil"/>
                    <w:tr2bl w:val="nil"/>
                  </w:tcBorders>
                  <w:vAlign w:val="center"/>
                </w:tcPr>
                <w:p w14:paraId="6D298FD1">
                  <w:pPr>
                    <w:widowControl/>
                    <w:tabs>
                      <w:tab w:val="left" w:pos="720"/>
                    </w:tabs>
                    <w:ind w:firstLine="480"/>
                    <w:rPr>
                      <w:color w:val="auto"/>
                      <w:kern w:val="0"/>
                      <w:szCs w:val="21"/>
                      <w:lang w:bidi="he-IL"/>
                    </w:rPr>
                  </w:pPr>
                </w:p>
              </w:tc>
              <w:tc>
                <w:tcPr>
                  <w:tcW w:w="324" w:type="pct"/>
                  <w:vMerge w:val="continue"/>
                  <w:tcBorders>
                    <w:tl2br w:val="nil"/>
                    <w:tr2bl w:val="nil"/>
                  </w:tcBorders>
                  <w:vAlign w:val="center"/>
                </w:tcPr>
                <w:p w14:paraId="4838F733">
                  <w:pPr>
                    <w:widowControl/>
                    <w:tabs>
                      <w:tab w:val="left" w:pos="720"/>
                    </w:tabs>
                    <w:ind w:firstLine="480"/>
                    <w:rPr>
                      <w:color w:val="auto"/>
                      <w:kern w:val="0"/>
                      <w:szCs w:val="21"/>
                      <w:lang w:bidi="he-IL"/>
                    </w:rPr>
                  </w:pPr>
                </w:p>
              </w:tc>
              <w:tc>
                <w:tcPr>
                  <w:tcW w:w="485" w:type="pct"/>
                  <w:tcBorders>
                    <w:tl2br w:val="nil"/>
                    <w:tr2bl w:val="nil"/>
                  </w:tcBorders>
                  <w:vAlign w:val="center"/>
                </w:tcPr>
                <w:p w14:paraId="634BD1BF">
                  <w:pPr>
                    <w:pStyle w:val="126"/>
                    <w:tabs>
                      <w:tab w:val="left" w:pos="720"/>
                    </w:tabs>
                    <w:jc w:val="center"/>
                    <w:rPr>
                      <w:color w:val="auto"/>
                      <w:sz w:val="21"/>
                      <w:szCs w:val="21"/>
                      <w:lang w:bidi="he-IL"/>
                    </w:rPr>
                  </w:pPr>
                  <w:r>
                    <w:rPr>
                      <w:rFonts w:hint="eastAsia"/>
                      <w:color w:val="auto"/>
                      <w:sz w:val="21"/>
                      <w:szCs w:val="21"/>
                      <w:lang w:bidi="he-IL"/>
                    </w:rPr>
                    <w:t>Tp</w:t>
                  </w:r>
                </w:p>
              </w:tc>
              <w:tc>
                <w:tcPr>
                  <w:tcW w:w="513" w:type="pct"/>
                  <w:tcBorders>
                    <w:tl2br w:val="nil"/>
                    <w:tr2bl w:val="nil"/>
                  </w:tcBorders>
                  <w:vAlign w:val="center"/>
                </w:tcPr>
                <w:p w14:paraId="7496C2A7">
                  <w:pPr>
                    <w:pStyle w:val="126"/>
                    <w:tabs>
                      <w:tab w:val="left" w:pos="720"/>
                    </w:tabs>
                    <w:jc w:val="center"/>
                    <w:rPr>
                      <w:color w:val="auto"/>
                      <w:sz w:val="21"/>
                      <w:szCs w:val="21"/>
                      <w:lang w:bidi="he-IL"/>
                    </w:rPr>
                  </w:pPr>
                  <w:r>
                    <w:rPr>
                      <w:rFonts w:hint="eastAsia"/>
                      <w:color w:val="auto"/>
                      <w:sz w:val="21"/>
                      <w:szCs w:val="21"/>
                      <w:lang w:bidi="he-IL"/>
                    </w:rPr>
                    <w:t>1</w:t>
                  </w:r>
                </w:p>
              </w:tc>
            </w:tr>
          </w:tbl>
          <w:p w14:paraId="61B1A89C">
            <w:pPr>
              <w:ind w:firstLine="480" w:firstLineChars="200"/>
              <w:rPr>
                <w:color w:val="auto"/>
              </w:rPr>
            </w:pPr>
            <w:r>
              <w:rPr>
                <w:rFonts w:hint="eastAsia" w:ascii="宋体" w:hAnsi="宋体"/>
                <w:color w:val="auto"/>
              </w:rPr>
              <w:t>③项目污废水</w:t>
            </w:r>
            <w:r>
              <w:rPr>
                <w:color w:val="auto"/>
                <w:lang w:val="zh-CN"/>
              </w:rPr>
              <w:t>排放执行标准</w:t>
            </w:r>
            <w:r>
              <w:rPr>
                <w:rFonts w:hint="eastAsia"/>
                <w:color w:val="auto"/>
                <w:lang w:val="zh-CN"/>
              </w:rPr>
              <w:t>，</w:t>
            </w:r>
            <w:r>
              <w:rPr>
                <w:rFonts w:hint="eastAsia" w:ascii="宋体" w:hAnsi="宋体"/>
                <w:color w:val="auto"/>
              </w:rPr>
              <w:t>详见</w:t>
            </w:r>
            <w:r>
              <w:rPr>
                <w:rFonts w:hAnsi="宋体"/>
                <w:color w:val="auto"/>
              </w:rPr>
              <w:t>表</w:t>
            </w:r>
            <w:r>
              <w:rPr>
                <w:rFonts w:hint="eastAsia"/>
                <w:color w:val="auto"/>
              </w:rPr>
              <w:t>4-10</w:t>
            </w:r>
            <w:r>
              <w:rPr>
                <w:rFonts w:hAnsi="宋体"/>
                <w:color w:val="auto"/>
              </w:rPr>
              <w:t>。</w:t>
            </w:r>
          </w:p>
          <w:p w14:paraId="09A9B2CF">
            <w:pPr>
              <w:tabs>
                <w:tab w:val="left" w:pos="720"/>
              </w:tabs>
              <w:spacing w:line="240" w:lineRule="auto"/>
              <w:ind w:firstLine="482"/>
              <w:jc w:val="center"/>
              <w:rPr>
                <w:b/>
                <w:bCs/>
                <w:color w:val="auto"/>
              </w:rPr>
            </w:pPr>
            <w:r>
              <w:rPr>
                <w:rFonts w:hint="eastAsia"/>
                <w:b/>
                <w:bCs/>
                <w:color w:val="auto"/>
              </w:rPr>
              <w:t>表4-10</w:t>
            </w:r>
            <w:r>
              <w:rPr>
                <w:b/>
                <w:bCs/>
                <w:color w:val="auto"/>
              </w:rPr>
              <w:t xml:space="preserve">  </w:t>
            </w:r>
            <w:r>
              <w:rPr>
                <w:rFonts w:hint="eastAsia"/>
                <w:b/>
                <w:bCs/>
                <w:color w:val="auto"/>
              </w:rPr>
              <w:t>废水污染物排放执行标准表</w:t>
            </w:r>
          </w:p>
          <w:tbl>
            <w:tblPr>
              <w:tblStyle w:val="25"/>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6"/>
              <w:gridCol w:w="935"/>
              <w:gridCol w:w="1348"/>
              <w:gridCol w:w="3668"/>
              <w:gridCol w:w="1837"/>
            </w:tblGrid>
            <w:tr w14:paraId="7E17B4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9" w:type="pct"/>
                  <w:vMerge w:val="restart"/>
                  <w:tcBorders>
                    <w:tl2br w:val="nil"/>
                    <w:tr2bl w:val="nil"/>
                  </w:tcBorders>
                  <w:vAlign w:val="center"/>
                </w:tcPr>
                <w:p w14:paraId="3A58C778">
                  <w:pPr>
                    <w:pStyle w:val="126"/>
                    <w:tabs>
                      <w:tab w:val="left" w:pos="720"/>
                    </w:tabs>
                    <w:jc w:val="center"/>
                    <w:rPr>
                      <w:color w:val="auto"/>
                      <w:sz w:val="21"/>
                      <w:szCs w:val="21"/>
                      <w:lang w:bidi="he-IL"/>
                    </w:rPr>
                  </w:pPr>
                  <w:r>
                    <w:rPr>
                      <w:rFonts w:hint="eastAsia"/>
                      <w:color w:val="auto"/>
                      <w:sz w:val="21"/>
                      <w:szCs w:val="21"/>
                      <w:lang w:bidi="he-IL"/>
                    </w:rPr>
                    <w:t>序号</w:t>
                  </w:r>
                </w:p>
              </w:tc>
              <w:tc>
                <w:tcPr>
                  <w:tcW w:w="552" w:type="pct"/>
                  <w:vMerge w:val="restart"/>
                  <w:tcBorders>
                    <w:tl2br w:val="nil"/>
                    <w:tr2bl w:val="nil"/>
                  </w:tcBorders>
                  <w:vAlign w:val="center"/>
                </w:tcPr>
                <w:p w14:paraId="601CDF01">
                  <w:pPr>
                    <w:pStyle w:val="126"/>
                    <w:tabs>
                      <w:tab w:val="left" w:pos="720"/>
                    </w:tabs>
                    <w:jc w:val="center"/>
                    <w:rPr>
                      <w:color w:val="auto"/>
                      <w:sz w:val="21"/>
                      <w:szCs w:val="21"/>
                      <w:lang w:bidi="he-IL"/>
                    </w:rPr>
                  </w:pPr>
                  <w:r>
                    <w:rPr>
                      <w:rFonts w:hint="eastAsia"/>
                      <w:color w:val="auto"/>
                      <w:sz w:val="21"/>
                      <w:szCs w:val="21"/>
                      <w:lang w:bidi="he-IL"/>
                    </w:rPr>
                    <w:t>排放口编号</w:t>
                  </w:r>
                </w:p>
              </w:tc>
              <w:tc>
                <w:tcPr>
                  <w:tcW w:w="796" w:type="pct"/>
                  <w:vMerge w:val="restart"/>
                  <w:tcBorders>
                    <w:tl2br w:val="nil"/>
                    <w:tr2bl w:val="nil"/>
                  </w:tcBorders>
                  <w:vAlign w:val="center"/>
                </w:tcPr>
                <w:p w14:paraId="49B21BC5">
                  <w:pPr>
                    <w:pStyle w:val="126"/>
                    <w:tabs>
                      <w:tab w:val="left" w:pos="720"/>
                    </w:tabs>
                    <w:jc w:val="center"/>
                    <w:rPr>
                      <w:color w:val="auto"/>
                      <w:sz w:val="21"/>
                      <w:szCs w:val="21"/>
                      <w:lang w:bidi="he-IL"/>
                    </w:rPr>
                  </w:pPr>
                  <w:r>
                    <w:rPr>
                      <w:rFonts w:hint="eastAsia"/>
                      <w:color w:val="auto"/>
                      <w:sz w:val="21"/>
                      <w:szCs w:val="21"/>
                      <w:lang w:bidi="he-IL"/>
                    </w:rPr>
                    <w:t>污染物种类</w:t>
                  </w:r>
                </w:p>
              </w:tc>
              <w:tc>
                <w:tcPr>
                  <w:tcW w:w="3251" w:type="pct"/>
                  <w:gridSpan w:val="2"/>
                  <w:tcBorders>
                    <w:tl2br w:val="nil"/>
                    <w:tr2bl w:val="nil"/>
                  </w:tcBorders>
                  <w:vAlign w:val="center"/>
                </w:tcPr>
                <w:p w14:paraId="23AD6AD5">
                  <w:pPr>
                    <w:pStyle w:val="126"/>
                    <w:tabs>
                      <w:tab w:val="left" w:pos="720"/>
                    </w:tabs>
                    <w:jc w:val="center"/>
                    <w:rPr>
                      <w:color w:val="auto"/>
                      <w:sz w:val="21"/>
                      <w:szCs w:val="21"/>
                      <w:lang w:bidi="he-IL"/>
                    </w:rPr>
                  </w:pPr>
                  <w:r>
                    <w:rPr>
                      <w:rFonts w:hint="eastAsia"/>
                      <w:color w:val="auto"/>
                      <w:sz w:val="21"/>
                      <w:szCs w:val="21"/>
                      <w:lang w:bidi="he-IL"/>
                    </w:rPr>
                    <w:t>国家或地方污染物排放标准及其他按规定商定的排放协议</w:t>
                  </w:r>
                </w:p>
              </w:tc>
            </w:tr>
            <w:tr w14:paraId="237524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9" w:type="pct"/>
                  <w:vMerge w:val="continue"/>
                  <w:tcBorders>
                    <w:tl2br w:val="nil"/>
                    <w:tr2bl w:val="nil"/>
                  </w:tcBorders>
                  <w:vAlign w:val="center"/>
                </w:tcPr>
                <w:p w14:paraId="189200E6">
                  <w:pPr>
                    <w:widowControl/>
                    <w:tabs>
                      <w:tab w:val="left" w:pos="720"/>
                    </w:tabs>
                    <w:ind w:firstLine="480"/>
                    <w:rPr>
                      <w:color w:val="auto"/>
                      <w:kern w:val="0"/>
                      <w:szCs w:val="21"/>
                      <w:lang w:bidi="he-IL"/>
                    </w:rPr>
                  </w:pPr>
                </w:p>
              </w:tc>
              <w:tc>
                <w:tcPr>
                  <w:tcW w:w="552" w:type="pct"/>
                  <w:vMerge w:val="continue"/>
                  <w:tcBorders>
                    <w:tl2br w:val="nil"/>
                    <w:tr2bl w:val="nil"/>
                  </w:tcBorders>
                  <w:vAlign w:val="center"/>
                </w:tcPr>
                <w:p w14:paraId="79E76959">
                  <w:pPr>
                    <w:widowControl/>
                    <w:tabs>
                      <w:tab w:val="left" w:pos="720"/>
                    </w:tabs>
                    <w:ind w:firstLine="480"/>
                    <w:rPr>
                      <w:color w:val="auto"/>
                      <w:kern w:val="0"/>
                      <w:szCs w:val="21"/>
                      <w:lang w:bidi="he-IL"/>
                    </w:rPr>
                  </w:pPr>
                </w:p>
              </w:tc>
              <w:tc>
                <w:tcPr>
                  <w:tcW w:w="796" w:type="pct"/>
                  <w:vMerge w:val="continue"/>
                  <w:tcBorders>
                    <w:tl2br w:val="nil"/>
                    <w:tr2bl w:val="nil"/>
                  </w:tcBorders>
                  <w:vAlign w:val="center"/>
                </w:tcPr>
                <w:p w14:paraId="7503F7AC">
                  <w:pPr>
                    <w:widowControl/>
                    <w:tabs>
                      <w:tab w:val="left" w:pos="720"/>
                    </w:tabs>
                    <w:ind w:firstLine="480"/>
                    <w:rPr>
                      <w:color w:val="auto"/>
                      <w:kern w:val="0"/>
                      <w:szCs w:val="21"/>
                      <w:lang w:bidi="he-IL"/>
                    </w:rPr>
                  </w:pPr>
                </w:p>
              </w:tc>
              <w:tc>
                <w:tcPr>
                  <w:tcW w:w="2166" w:type="pct"/>
                  <w:tcBorders>
                    <w:tl2br w:val="nil"/>
                    <w:tr2bl w:val="nil"/>
                  </w:tcBorders>
                  <w:vAlign w:val="center"/>
                </w:tcPr>
                <w:p w14:paraId="64D7D920">
                  <w:pPr>
                    <w:pStyle w:val="126"/>
                    <w:tabs>
                      <w:tab w:val="left" w:pos="720"/>
                    </w:tabs>
                    <w:jc w:val="center"/>
                    <w:rPr>
                      <w:color w:val="auto"/>
                      <w:sz w:val="21"/>
                      <w:szCs w:val="21"/>
                      <w:lang w:bidi="he-IL"/>
                    </w:rPr>
                  </w:pPr>
                  <w:r>
                    <w:rPr>
                      <w:rFonts w:hint="eastAsia"/>
                      <w:color w:val="auto"/>
                      <w:sz w:val="21"/>
                      <w:szCs w:val="21"/>
                      <w:lang w:bidi="he-IL"/>
                    </w:rPr>
                    <w:t>名称</w:t>
                  </w:r>
                </w:p>
              </w:tc>
              <w:tc>
                <w:tcPr>
                  <w:tcW w:w="1085" w:type="pct"/>
                  <w:tcBorders>
                    <w:tl2br w:val="nil"/>
                    <w:tr2bl w:val="nil"/>
                  </w:tcBorders>
                  <w:vAlign w:val="center"/>
                </w:tcPr>
                <w:p w14:paraId="66461F9D">
                  <w:pPr>
                    <w:pStyle w:val="126"/>
                    <w:tabs>
                      <w:tab w:val="left" w:pos="720"/>
                    </w:tabs>
                    <w:jc w:val="center"/>
                    <w:rPr>
                      <w:color w:val="auto"/>
                      <w:sz w:val="21"/>
                      <w:szCs w:val="21"/>
                      <w:lang w:bidi="he-IL"/>
                    </w:rPr>
                  </w:pPr>
                  <w:r>
                    <w:rPr>
                      <w:rFonts w:hint="eastAsia"/>
                      <w:color w:val="auto"/>
                      <w:sz w:val="21"/>
                      <w:szCs w:val="21"/>
                      <w:lang w:bidi="he-IL"/>
                    </w:rPr>
                    <w:t>浓度限值</w:t>
                  </w:r>
                  <w:r>
                    <w:rPr>
                      <w:color w:val="auto"/>
                      <w:sz w:val="21"/>
                      <w:szCs w:val="21"/>
                      <w:lang w:bidi="he-IL"/>
                    </w:rPr>
                    <w:t>/(mg/L)</w:t>
                  </w:r>
                </w:p>
              </w:tc>
            </w:tr>
            <w:tr w14:paraId="384389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9" w:type="pct"/>
                  <w:tcBorders>
                    <w:tl2br w:val="nil"/>
                    <w:tr2bl w:val="nil"/>
                  </w:tcBorders>
                  <w:vAlign w:val="center"/>
                </w:tcPr>
                <w:p w14:paraId="31FC8176">
                  <w:pPr>
                    <w:pStyle w:val="126"/>
                    <w:tabs>
                      <w:tab w:val="left" w:pos="720"/>
                    </w:tabs>
                    <w:jc w:val="center"/>
                    <w:rPr>
                      <w:color w:val="auto"/>
                      <w:sz w:val="21"/>
                      <w:szCs w:val="21"/>
                      <w:lang w:bidi="he-IL"/>
                    </w:rPr>
                  </w:pPr>
                  <w:r>
                    <w:rPr>
                      <w:color w:val="auto"/>
                      <w:sz w:val="21"/>
                      <w:szCs w:val="21"/>
                      <w:lang w:bidi="he-IL"/>
                    </w:rPr>
                    <w:t>1</w:t>
                  </w:r>
                </w:p>
              </w:tc>
              <w:tc>
                <w:tcPr>
                  <w:tcW w:w="552" w:type="pct"/>
                  <w:vMerge w:val="restart"/>
                  <w:tcBorders>
                    <w:tl2br w:val="nil"/>
                    <w:tr2bl w:val="nil"/>
                  </w:tcBorders>
                  <w:vAlign w:val="center"/>
                </w:tcPr>
                <w:p w14:paraId="59DD6502">
                  <w:pPr>
                    <w:pStyle w:val="126"/>
                    <w:tabs>
                      <w:tab w:val="left" w:pos="720"/>
                    </w:tabs>
                    <w:jc w:val="center"/>
                    <w:rPr>
                      <w:color w:val="auto"/>
                      <w:sz w:val="21"/>
                      <w:szCs w:val="21"/>
                      <w:lang w:bidi="he-IL"/>
                    </w:rPr>
                  </w:pPr>
                  <w:r>
                    <w:rPr>
                      <w:color w:val="auto"/>
                      <w:sz w:val="21"/>
                      <w:szCs w:val="21"/>
                      <w:lang w:bidi="he-IL"/>
                    </w:rPr>
                    <w:t>DW001</w:t>
                  </w:r>
                </w:p>
              </w:tc>
              <w:tc>
                <w:tcPr>
                  <w:tcW w:w="796" w:type="pct"/>
                  <w:tcBorders>
                    <w:tl2br w:val="nil"/>
                    <w:tr2bl w:val="nil"/>
                  </w:tcBorders>
                  <w:vAlign w:val="center"/>
                </w:tcPr>
                <w:p w14:paraId="11D75C91">
                  <w:pPr>
                    <w:pStyle w:val="126"/>
                    <w:tabs>
                      <w:tab w:val="left" w:pos="720"/>
                    </w:tabs>
                    <w:jc w:val="center"/>
                    <w:rPr>
                      <w:color w:val="auto"/>
                      <w:sz w:val="21"/>
                      <w:szCs w:val="21"/>
                      <w:lang w:bidi="he-IL"/>
                    </w:rPr>
                  </w:pPr>
                  <w:r>
                    <w:rPr>
                      <w:color w:val="auto"/>
                      <w:sz w:val="21"/>
                      <w:szCs w:val="21"/>
                      <w:lang w:bidi="he-IL"/>
                    </w:rPr>
                    <w:t>CODcr</w:t>
                  </w:r>
                </w:p>
              </w:tc>
              <w:tc>
                <w:tcPr>
                  <w:tcW w:w="2166" w:type="pct"/>
                  <w:vMerge w:val="restart"/>
                  <w:tcBorders>
                    <w:tl2br w:val="nil"/>
                    <w:tr2bl w:val="nil"/>
                  </w:tcBorders>
                  <w:vAlign w:val="center"/>
                </w:tcPr>
                <w:p w14:paraId="5341F6EF">
                  <w:pPr>
                    <w:pStyle w:val="126"/>
                    <w:tabs>
                      <w:tab w:val="left" w:pos="720"/>
                    </w:tabs>
                    <w:jc w:val="center"/>
                    <w:rPr>
                      <w:color w:val="auto"/>
                      <w:sz w:val="21"/>
                      <w:szCs w:val="21"/>
                      <w:lang w:bidi="he-IL"/>
                    </w:rPr>
                  </w:pPr>
                  <w:r>
                    <w:rPr>
                      <w:rFonts w:hint="eastAsia"/>
                      <w:color w:val="auto"/>
                      <w:sz w:val="21"/>
                      <w:szCs w:val="21"/>
                      <w:lang w:bidi="he-IL"/>
                    </w:rPr>
                    <w:t>大榄坪污水处理厂进水水质标准要求和《污水综合排放标准》（GB 8978-1996）表4中的三级标准，两者取严</w:t>
                  </w:r>
                </w:p>
              </w:tc>
              <w:tc>
                <w:tcPr>
                  <w:tcW w:w="1085" w:type="pct"/>
                  <w:tcBorders>
                    <w:tl2br w:val="nil"/>
                    <w:tr2bl w:val="nil"/>
                  </w:tcBorders>
                  <w:vAlign w:val="center"/>
                </w:tcPr>
                <w:p w14:paraId="71427CE3">
                  <w:pPr>
                    <w:pStyle w:val="126"/>
                    <w:tabs>
                      <w:tab w:val="left" w:pos="720"/>
                    </w:tabs>
                    <w:jc w:val="center"/>
                    <w:rPr>
                      <w:color w:val="auto"/>
                      <w:sz w:val="21"/>
                      <w:szCs w:val="21"/>
                      <w:lang w:bidi="he-IL"/>
                    </w:rPr>
                  </w:pPr>
                  <w:r>
                    <w:rPr>
                      <w:rFonts w:hint="eastAsia"/>
                      <w:color w:val="auto"/>
                      <w:sz w:val="21"/>
                      <w:szCs w:val="21"/>
                      <w:lang w:bidi="he-IL"/>
                    </w:rPr>
                    <w:t>500</w:t>
                  </w:r>
                </w:p>
              </w:tc>
            </w:tr>
            <w:tr w14:paraId="22F6A5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9" w:type="pct"/>
                  <w:tcBorders>
                    <w:tl2br w:val="nil"/>
                    <w:tr2bl w:val="nil"/>
                  </w:tcBorders>
                  <w:vAlign w:val="center"/>
                </w:tcPr>
                <w:p w14:paraId="60F09C2C">
                  <w:pPr>
                    <w:pStyle w:val="126"/>
                    <w:tabs>
                      <w:tab w:val="left" w:pos="720"/>
                    </w:tabs>
                    <w:jc w:val="center"/>
                    <w:rPr>
                      <w:color w:val="auto"/>
                      <w:sz w:val="21"/>
                      <w:szCs w:val="21"/>
                      <w:lang w:bidi="he-IL"/>
                    </w:rPr>
                  </w:pPr>
                  <w:r>
                    <w:rPr>
                      <w:color w:val="auto"/>
                      <w:sz w:val="21"/>
                      <w:szCs w:val="21"/>
                      <w:lang w:bidi="he-IL"/>
                    </w:rPr>
                    <w:t>2</w:t>
                  </w:r>
                </w:p>
              </w:tc>
              <w:tc>
                <w:tcPr>
                  <w:tcW w:w="552" w:type="pct"/>
                  <w:vMerge w:val="continue"/>
                  <w:tcBorders>
                    <w:tl2br w:val="nil"/>
                    <w:tr2bl w:val="nil"/>
                  </w:tcBorders>
                  <w:vAlign w:val="center"/>
                </w:tcPr>
                <w:p w14:paraId="54A00C60">
                  <w:pPr>
                    <w:widowControl/>
                    <w:tabs>
                      <w:tab w:val="left" w:pos="720"/>
                    </w:tabs>
                    <w:ind w:firstLine="480"/>
                    <w:rPr>
                      <w:color w:val="auto"/>
                      <w:kern w:val="0"/>
                      <w:szCs w:val="21"/>
                      <w:lang w:bidi="he-IL"/>
                    </w:rPr>
                  </w:pPr>
                </w:p>
              </w:tc>
              <w:tc>
                <w:tcPr>
                  <w:tcW w:w="796" w:type="pct"/>
                  <w:tcBorders>
                    <w:tl2br w:val="nil"/>
                    <w:tr2bl w:val="nil"/>
                  </w:tcBorders>
                  <w:vAlign w:val="center"/>
                </w:tcPr>
                <w:p w14:paraId="7C7F80B7">
                  <w:pPr>
                    <w:pStyle w:val="126"/>
                    <w:tabs>
                      <w:tab w:val="left" w:pos="720"/>
                    </w:tabs>
                    <w:jc w:val="center"/>
                    <w:rPr>
                      <w:color w:val="auto"/>
                      <w:sz w:val="21"/>
                      <w:szCs w:val="21"/>
                      <w:lang w:bidi="he-IL"/>
                    </w:rPr>
                  </w:pPr>
                  <w:r>
                    <w:rPr>
                      <w:color w:val="auto"/>
                      <w:sz w:val="21"/>
                      <w:szCs w:val="21"/>
                      <w:lang w:bidi="he-IL"/>
                    </w:rPr>
                    <w:t>BOD</w:t>
                  </w:r>
                  <w:r>
                    <w:rPr>
                      <w:color w:val="auto"/>
                      <w:sz w:val="21"/>
                      <w:szCs w:val="21"/>
                      <w:vertAlign w:val="subscript"/>
                      <w:lang w:bidi="he-IL"/>
                    </w:rPr>
                    <w:t>5</w:t>
                  </w:r>
                </w:p>
              </w:tc>
              <w:tc>
                <w:tcPr>
                  <w:tcW w:w="2166" w:type="pct"/>
                  <w:vMerge w:val="continue"/>
                  <w:tcBorders>
                    <w:tl2br w:val="nil"/>
                    <w:tr2bl w:val="nil"/>
                  </w:tcBorders>
                  <w:vAlign w:val="center"/>
                </w:tcPr>
                <w:p w14:paraId="454A606B">
                  <w:pPr>
                    <w:widowControl/>
                    <w:tabs>
                      <w:tab w:val="left" w:pos="720"/>
                    </w:tabs>
                    <w:ind w:firstLine="480"/>
                    <w:rPr>
                      <w:color w:val="auto"/>
                      <w:kern w:val="0"/>
                      <w:szCs w:val="21"/>
                      <w:lang w:bidi="he-IL"/>
                    </w:rPr>
                  </w:pPr>
                </w:p>
              </w:tc>
              <w:tc>
                <w:tcPr>
                  <w:tcW w:w="1085" w:type="pct"/>
                  <w:tcBorders>
                    <w:tl2br w:val="nil"/>
                    <w:tr2bl w:val="nil"/>
                  </w:tcBorders>
                  <w:vAlign w:val="center"/>
                </w:tcPr>
                <w:p w14:paraId="764266BD">
                  <w:pPr>
                    <w:pStyle w:val="126"/>
                    <w:tabs>
                      <w:tab w:val="left" w:pos="720"/>
                    </w:tabs>
                    <w:jc w:val="center"/>
                    <w:rPr>
                      <w:color w:val="auto"/>
                      <w:sz w:val="21"/>
                      <w:szCs w:val="21"/>
                      <w:lang w:bidi="he-IL"/>
                    </w:rPr>
                  </w:pPr>
                  <w:r>
                    <w:rPr>
                      <w:rFonts w:hint="eastAsia"/>
                      <w:color w:val="auto"/>
                      <w:sz w:val="21"/>
                      <w:szCs w:val="21"/>
                      <w:lang w:bidi="he-IL"/>
                    </w:rPr>
                    <w:t>200</w:t>
                  </w:r>
                </w:p>
              </w:tc>
            </w:tr>
            <w:tr w14:paraId="0052EA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9" w:type="pct"/>
                  <w:tcBorders>
                    <w:tl2br w:val="nil"/>
                    <w:tr2bl w:val="nil"/>
                  </w:tcBorders>
                  <w:vAlign w:val="center"/>
                </w:tcPr>
                <w:p w14:paraId="3BAD6A03">
                  <w:pPr>
                    <w:pStyle w:val="126"/>
                    <w:tabs>
                      <w:tab w:val="left" w:pos="720"/>
                    </w:tabs>
                    <w:jc w:val="center"/>
                    <w:rPr>
                      <w:color w:val="auto"/>
                      <w:sz w:val="21"/>
                      <w:szCs w:val="21"/>
                      <w:lang w:bidi="he-IL"/>
                    </w:rPr>
                  </w:pPr>
                  <w:r>
                    <w:rPr>
                      <w:color w:val="auto"/>
                      <w:sz w:val="21"/>
                      <w:szCs w:val="21"/>
                      <w:lang w:bidi="he-IL"/>
                    </w:rPr>
                    <w:t>3</w:t>
                  </w:r>
                </w:p>
              </w:tc>
              <w:tc>
                <w:tcPr>
                  <w:tcW w:w="552" w:type="pct"/>
                  <w:vMerge w:val="continue"/>
                  <w:tcBorders>
                    <w:tl2br w:val="nil"/>
                    <w:tr2bl w:val="nil"/>
                  </w:tcBorders>
                  <w:vAlign w:val="center"/>
                </w:tcPr>
                <w:p w14:paraId="4780F864">
                  <w:pPr>
                    <w:widowControl/>
                    <w:tabs>
                      <w:tab w:val="left" w:pos="720"/>
                    </w:tabs>
                    <w:ind w:firstLine="480"/>
                    <w:rPr>
                      <w:color w:val="auto"/>
                      <w:kern w:val="0"/>
                      <w:szCs w:val="21"/>
                      <w:lang w:bidi="he-IL"/>
                    </w:rPr>
                  </w:pPr>
                </w:p>
              </w:tc>
              <w:tc>
                <w:tcPr>
                  <w:tcW w:w="796" w:type="pct"/>
                  <w:tcBorders>
                    <w:tl2br w:val="nil"/>
                    <w:tr2bl w:val="nil"/>
                  </w:tcBorders>
                  <w:vAlign w:val="center"/>
                </w:tcPr>
                <w:p w14:paraId="72E2BA5D">
                  <w:pPr>
                    <w:pStyle w:val="126"/>
                    <w:tabs>
                      <w:tab w:val="left" w:pos="720"/>
                    </w:tabs>
                    <w:jc w:val="center"/>
                    <w:rPr>
                      <w:color w:val="auto"/>
                      <w:sz w:val="21"/>
                      <w:szCs w:val="21"/>
                      <w:lang w:bidi="he-IL"/>
                    </w:rPr>
                  </w:pPr>
                  <w:r>
                    <w:rPr>
                      <w:color w:val="auto"/>
                      <w:sz w:val="21"/>
                      <w:szCs w:val="21"/>
                      <w:lang w:bidi="he-IL"/>
                    </w:rPr>
                    <w:t>SS</w:t>
                  </w:r>
                </w:p>
              </w:tc>
              <w:tc>
                <w:tcPr>
                  <w:tcW w:w="2166" w:type="pct"/>
                  <w:vMerge w:val="continue"/>
                  <w:tcBorders>
                    <w:tl2br w:val="nil"/>
                    <w:tr2bl w:val="nil"/>
                  </w:tcBorders>
                  <w:vAlign w:val="center"/>
                </w:tcPr>
                <w:p w14:paraId="6587DC49">
                  <w:pPr>
                    <w:widowControl/>
                    <w:tabs>
                      <w:tab w:val="left" w:pos="720"/>
                    </w:tabs>
                    <w:ind w:firstLine="480"/>
                    <w:rPr>
                      <w:color w:val="auto"/>
                      <w:kern w:val="0"/>
                      <w:szCs w:val="21"/>
                      <w:lang w:bidi="he-IL"/>
                    </w:rPr>
                  </w:pPr>
                </w:p>
              </w:tc>
              <w:tc>
                <w:tcPr>
                  <w:tcW w:w="1085" w:type="pct"/>
                  <w:tcBorders>
                    <w:tl2br w:val="nil"/>
                    <w:tr2bl w:val="nil"/>
                  </w:tcBorders>
                  <w:vAlign w:val="center"/>
                </w:tcPr>
                <w:p w14:paraId="36EE1476">
                  <w:pPr>
                    <w:pStyle w:val="126"/>
                    <w:tabs>
                      <w:tab w:val="left" w:pos="720"/>
                    </w:tabs>
                    <w:jc w:val="center"/>
                    <w:rPr>
                      <w:color w:val="auto"/>
                      <w:sz w:val="21"/>
                      <w:szCs w:val="21"/>
                      <w:lang w:bidi="he-IL"/>
                    </w:rPr>
                  </w:pPr>
                  <w:r>
                    <w:rPr>
                      <w:rFonts w:hint="eastAsia"/>
                      <w:color w:val="auto"/>
                      <w:sz w:val="21"/>
                      <w:szCs w:val="21"/>
                      <w:lang w:bidi="he-IL"/>
                    </w:rPr>
                    <w:t>300</w:t>
                  </w:r>
                </w:p>
              </w:tc>
            </w:tr>
            <w:tr w14:paraId="575AE4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9" w:type="pct"/>
                  <w:tcBorders>
                    <w:tl2br w:val="nil"/>
                    <w:tr2bl w:val="nil"/>
                  </w:tcBorders>
                  <w:vAlign w:val="center"/>
                </w:tcPr>
                <w:p w14:paraId="188D3757">
                  <w:pPr>
                    <w:pStyle w:val="126"/>
                    <w:tabs>
                      <w:tab w:val="left" w:pos="720"/>
                    </w:tabs>
                    <w:jc w:val="center"/>
                    <w:rPr>
                      <w:color w:val="auto"/>
                      <w:sz w:val="21"/>
                      <w:szCs w:val="21"/>
                      <w:lang w:bidi="he-IL"/>
                    </w:rPr>
                  </w:pPr>
                  <w:r>
                    <w:rPr>
                      <w:color w:val="auto"/>
                      <w:sz w:val="21"/>
                      <w:szCs w:val="21"/>
                      <w:lang w:bidi="he-IL"/>
                    </w:rPr>
                    <w:t>4</w:t>
                  </w:r>
                </w:p>
              </w:tc>
              <w:tc>
                <w:tcPr>
                  <w:tcW w:w="552" w:type="pct"/>
                  <w:vMerge w:val="continue"/>
                  <w:tcBorders>
                    <w:tl2br w:val="nil"/>
                    <w:tr2bl w:val="nil"/>
                  </w:tcBorders>
                  <w:vAlign w:val="center"/>
                </w:tcPr>
                <w:p w14:paraId="0ACA427F">
                  <w:pPr>
                    <w:widowControl/>
                    <w:tabs>
                      <w:tab w:val="left" w:pos="720"/>
                    </w:tabs>
                    <w:ind w:firstLine="480"/>
                    <w:rPr>
                      <w:color w:val="auto"/>
                      <w:kern w:val="0"/>
                      <w:szCs w:val="21"/>
                      <w:lang w:bidi="he-IL"/>
                    </w:rPr>
                  </w:pPr>
                </w:p>
              </w:tc>
              <w:tc>
                <w:tcPr>
                  <w:tcW w:w="796" w:type="pct"/>
                  <w:tcBorders>
                    <w:tl2br w:val="nil"/>
                    <w:tr2bl w:val="nil"/>
                  </w:tcBorders>
                  <w:vAlign w:val="center"/>
                </w:tcPr>
                <w:p w14:paraId="27FA675A">
                  <w:pPr>
                    <w:pStyle w:val="126"/>
                    <w:tabs>
                      <w:tab w:val="left" w:pos="720"/>
                    </w:tabs>
                    <w:jc w:val="center"/>
                    <w:rPr>
                      <w:color w:val="auto"/>
                      <w:sz w:val="21"/>
                      <w:szCs w:val="21"/>
                      <w:lang w:bidi="he-IL"/>
                    </w:rPr>
                  </w:pPr>
                  <w:r>
                    <w:rPr>
                      <w:color w:val="auto"/>
                      <w:sz w:val="21"/>
                      <w:szCs w:val="21"/>
                      <w:lang w:bidi="he-IL"/>
                    </w:rPr>
                    <w:t>NH</w:t>
                  </w:r>
                  <w:r>
                    <w:rPr>
                      <w:color w:val="auto"/>
                      <w:sz w:val="21"/>
                      <w:szCs w:val="21"/>
                      <w:vertAlign w:val="subscript"/>
                      <w:lang w:bidi="he-IL"/>
                    </w:rPr>
                    <w:t>3</w:t>
                  </w:r>
                  <w:r>
                    <w:rPr>
                      <w:color w:val="auto"/>
                      <w:sz w:val="21"/>
                      <w:szCs w:val="21"/>
                      <w:lang w:bidi="he-IL"/>
                    </w:rPr>
                    <w:t>-N</w:t>
                  </w:r>
                </w:p>
              </w:tc>
              <w:tc>
                <w:tcPr>
                  <w:tcW w:w="2166" w:type="pct"/>
                  <w:vMerge w:val="continue"/>
                  <w:tcBorders>
                    <w:tl2br w:val="nil"/>
                    <w:tr2bl w:val="nil"/>
                  </w:tcBorders>
                  <w:vAlign w:val="center"/>
                </w:tcPr>
                <w:p w14:paraId="0F0EEEC9">
                  <w:pPr>
                    <w:widowControl/>
                    <w:tabs>
                      <w:tab w:val="left" w:pos="720"/>
                    </w:tabs>
                    <w:ind w:firstLine="480"/>
                    <w:rPr>
                      <w:color w:val="auto"/>
                      <w:kern w:val="0"/>
                      <w:szCs w:val="21"/>
                      <w:lang w:bidi="he-IL"/>
                    </w:rPr>
                  </w:pPr>
                </w:p>
              </w:tc>
              <w:tc>
                <w:tcPr>
                  <w:tcW w:w="1085" w:type="pct"/>
                  <w:tcBorders>
                    <w:tl2br w:val="nil"/>
                    <w:tr2bl w:val="nil"/>
                  </w:tcBorders>
                  <w:vAlign w:val="center"/>
                </w:tcPr>
                <w:p w14:paraId="1C52CF32">
                  <w:pPr>
                    <w:pStyle w:val="126"/>
                    <w:tabs>
                      <w:tab w:val="left" w:pos="720"/>
                    </w:tabs>
                    <w:jc w:val="center"/>
                    <w:rPr>
                      <w:color w:val="auto"/>
                      <w:sz w:val="21"/>
                      <w:szCs w:val="21"/>
                      <w:lang w:bidi="he-IL"/>
                    </w:rPr>
                  </w:pPr>
                  <w:r>
                    <w:rPr>
                      <w:rFonts w:hint="eastAsia"/>
                      <w:color w:val="auto"/>
                      <w:sz w:val="21"/>
                      <w:szCs w:val="21"/>
                      <w:lang w:bidi="he-IL"/>
                    </w:rPr>
                    <w:t>45</w:t>
                  </w:r>
                </w:p>
              </w:tc>
            </w:tr>
            <w:tr w14:paraId="069CD2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9" w:type="pct"/>
                  <w:tcBorders>
                    <w:tl2br w:val="nil"/>
                    <w:tr2bl w:val="nil"/>
                  </w:tcBorders>
                  <w:vAlign w:val="center"/>
                </w:tcPr>
                <w:p w14:paraId="14E38E60">
                  <w:pPr>
                    <w:pStyle w:val="126"/>
                    <w:tabs>
                      <w:tab w:val="left" w:pos="720"/>
                    </w:tabs>
                    <w:jc w:val="center"/>
                    <w:rPr>
                      <w:color w:val="auto"/>
                      <w:sz w:val="21"/>
                      <w:szCs w:val="21"/>
                      <w:lang w:bidi="he-IL"/>
                    </w:rPr>
                  </w:pPr>
                  <w:r>
                    <w:rPr>
                      <w:rFonts w:hint="eastAsia"/>
                      <w:color w:val="auto"/>
                      <w:sz w:val="21"/>
                      <w:szCs w:val="21"/>
                      <w:lang w:bidi="he-IL"/>
                    </w:rPr>
                    <w:t>5</w:t>
                  </w:r>
                </w:p>
              </w:tc>
              <w:tc>
                <w:tcPr>
                  <w:tcW w:w="552" w:type="pct"/>
                  <w:vMerge w:val="continue"/>
                  <w:tcBorders>
                    <w:tl2br w:val="nil"/>
                    <w:tr2bl w:val="nil"/>
                  </w:tcBorders>
                  <w:vAlign w:val="center"/>
                </w:tcPr>
                <w:p w14:paraId="4F0E33BA">
                  <w:pPr>
                    <w:widowControl/>
                    <w:tabs>
                      <w:tab w:val="left" w:pos="720"/>
                    </w:tabs>
                    <w:ind w:firstLine="480"/>
                    <w:rPr>
                      <w:color w:val="auto"/>
                      <w:kern w:val="0"/>
                      <w:szCs w:val="21"/>
                      <w:lang w:bidi="he-IL"/>
                    </w:rPr>
                  </w:pPr>
                </w:p>
              </w:tc>
              <w:tc>
                <w:tcPr>
                  <w:tcW w:w="796" w:type="pct"/>
                  <w:tcBorders>
                    <w:tl2br w:val="nil"/>
                    <w:tr2bl w:val="nil"/>
                  </w:tcBorders>
                  <w:vAlign w:val="center"/>
                </w:tcPr>
                <w:p w14:paraId="0F6166BA">
                  <w:pPr>
                    <w:pStyle w:val="126"/>
                    <w:tabs>
                      <w:tab w:val="left" w:pos="720"/>
                    </w:tabs>
                    <w:jc w:val="center"/>
                    <w:rPr>
                      <w:color w:val="auto"/>
                      <w:sz w:val="21"/>
                      <w:szCs w:val="21"/>
                      <w:lang w:bidi="he-IL"/>
                    </w:rPr>
                  </w:pPr>
                  <w:r>
                    <w:rPr>
                      <w:rFonts w:hint="eastAsia"/>
                      <w:color w:val="auto"/>
                      <w:sz w:val="21"/>
                      <w:szCs w:val="21"/>
                      <w:lang w:bidi="he-IL"/>
                    </w:rPr>
                    <w:t>Tp</w:t>
                  </w:r>
                </w:p>
              </w:tc>
              <w:tc>
                <w:tcPr>
                  <w:tcW w:w="2166" w:type="pct"/>
                  <w:vMerge w:val="continue"/>
                  <w:tcBorders>
                    <w:tl2br w:val="nil"/>
                    <w:tr2bl w:val="nil"/>
                  </w:tcBorders>
                  <w:vAlign w:val="center"/>
                </w:tcPr>
                <w:p w14:paraId="6B95270A">
                  <w:pPr>
                    <w:widowControl/>
                    <w:tabs>
                      <w:tab w:val="left" w:pos="720"/>
                    </w:tabs>
                    <w:ind w:firstLine="480"/>
                    <w:rPr>
                      <w:color w:val="auto"/>
                      <w:kern w:val="0"/>
                      <w:szCs w:val="21"/>
                      <w:lang w:bidi="he-IL"/>
                    </w:rPr>
                  </w:pPr>
                </w:p>
              </w:tc>
              <w:tc>
                <w:tcPr>
                  <w:tcW w:w="1085" w:type="pct"/>
                  <w:tcBorders>
                    <w:tl2br w:val="nil"/>
                    <w:tr2bl w:val="nil"/>
                  </w:tcBorders>
                  <w:vAlign w:val="center"/>
                </w:tcPr>
                <w:p w14:paraId="43EF155E">
                  <w:pPr>
                    <w:pStyle w:val="126"/>
                    <w:tabs>
                      <w:tab w:val="left" w:pos="720"/>
                    </w:tabs>
                    <w:jc w:val="center"/>
                    <w:rPr>
                      <w:color w:val="auto"/>
                      <w:sz w:val="21"/>
                      <w:szCs w:val="21"/>
                      <w:lang w:bidi="he-IL"/>
                    </w:rPr>
                  </w:pPr>
                  <w:r>
                    <w:rPr>
                      <w:rFonts w:hint="eastAsia"/>
                      <w:color w:val="auto"/>
                      <w:sz w:val="21"/>
                      <w:szCs w:val="21"/>
                      <w:lang w:bidi="he-IL"/>
                    </w:rPr>
                    <w:t>8</w:t>
                  </w:r>
                </w:p>
              </w:tc>
            </w:tr>
          </w:tbl>
          <w:p w14:paraId="0A797E70">
            <w:pPr>
              <w:tabs>
                <w:tab w:val="left" w:pos="720"/>
              </w:tabs>
              <w:ind w:firstLine="480"/>
              <w:rPr>
                <w:color w:val="auto"/>
              </w:rPr>
            </w:pPr>
            <w:r>
              <w:rPr>
                <w:rFonts w:hint="eastAsia" w:ascii="宋体" w:hAnsi="宋体" w:cs="宋体"/>
                <w:color w:val="auto"/>
              </w:rPr>
              <w:t>④</w:t>
            </w:r>
            <w:r>
              <w:rPr>
                <w:rFonts w:hint="eastAsia"/>
                <w:color w:val="auto"/>
              </w:rPr>
              <w:t>废水污染物排放信息，详见表4-11。</w:t>
            </w:r>
          </w:p>
          <w:p w14:paraId="19FB6038">
            <w:pPr>
              <w:tabs>
                <w:tab w:val="left" w:pos="720"/>
              </w:tabs>
              <w:spacing w:line="240" w:lineRule="auto"/>
              <w:jc w:val="center"/>
              <w:rPr>
                <w:b/>
                <w:bCs/>
                <w:color w:val="auto"/>
              </w:rPr>
            </w:pPr>
            <w:r>
              <w:rPr>
                <w:rFonts w:hint="eastAsia"/>
                <w:b/>
                <w:bCs/>
                <w:color w:val="auto"/>
              </w:rPr>
              <w:t>表4-11  项目废水污染物排放信息表</w:t>
            </w:r>
          </w:p>
          <w:tbl>
            <w:tblPr>
              <w:tblStyle w:val="25"/>
              <w:tblW w:w="5000"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412"/>
              <w:gridCol w:w="1402"/>
              <w:gridCol w:w="1883"/>
              <w:gridCol w:w="1514"/>
              <w:gridCol w:w="1572"/>
            </w:tblGrid>
            <w:tr w14:paraId="221548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tcBorders>
                    <w:tl2br w:val="nil"/>
                    <w:tr2bl w:val="nil"/>
                  </w:tcBorders>
                  <w:vAlign w:val="center"/>
                </w:tcPr>
                <w:p w14:paraId="4EB650C9">
                  <w:pPr>
                    <w:pStyle w:val="126"/>
                    <w:tabs>
                      <w:tab w:val="left" w:pos="720"/>
                    </w:tabs>
                    <w:jc w:val="center"/>
                    <w:rPr>
                      <w:color w:val="auto"/>
                      <w:sz w:val="21"/>
                      <w:szCs w:val="21"/>
                      <w:lang w:bidi="he-IL"/>
                    </w:rPr>
                  </w:pPr>
                  <w:r>
                    <w:rPr>
                      <w:rFonts w:hint="eastAsia"/>
                      <w:color w:val="auto"/>
                      <w:sz w:val="21"/>
                      <w:szCs w:val="21"/>
                      <w:lang w:bidi="he-IL"/>
                    </w:rPr>
                    <w:t>序号</w:t>
                  </w:r>
                </w:p>
              </w:tc>
              <w:tc>
                <w:tcPr>
                  <w:tcW w:w="834" w:type="pct"/>
                  <w:tcBorders>
                    <w:tl2br w:val="nil"/>
                    <w:tr2bl w:val="nil"/>
                  </w:tcBorders>
                  <w:vAlign w:val="center"/>
                </w:tcPr>
                <w:p w14:paraId="785E02F4">
                  <w:pPr>
                    <w:pStyle w:val="126"/>
                    <w:tabs>
                      <w:tab w:val="left" w:pos="720"/>
                    </w:tabs>
                    <w:jc w:val="center"/>
                    <w:rPr>
                      <w:color w:val="auto"/>
                      <w:sz w:val="21"/>
                      <w:szCs w:val="21"/>
                      <w:lang w:bidi="he-IL"/>
                    </w:rPr>
                  </w:pPr>
                  <w:r>
                    <w:rPr>
                      <w:rFonts w:hint="eastAsia"/>
                      <w:color w:val="auto"/>
                      <w:sz w:val="21"/>
                      <w:szCs w:val="21"/>
                      <w:lang w:bidi="he-IL"/>
                    </w:rPr>
                    <w:t>排放口编号</w:t>
                  </w:r>
                </w:p>
              </w:tc>
              <w:tc>
                <w:tcPr>
                  <w:tcW w:w="828" w:type="pct"/>
                  <w:tcBorders>
                    <w:tl2br w:val="nil"/>
                    <w:tr2bl w:val="nil"/>
                  </w:tcBorders>
                  <w:vAlign w:val="center"/>
                </w:tcPr>
                <w:p w14:paraId="4F531D0C">
                  <w:pPr>
                    <w:pStyle w:val="126"/>
                    <w:tabs>
                      <w:tab w:val="left" w:pos="720"/>
                    </w:tabs>
                    <w:jc w:val="center"/>
                    <w:rPr>
                      <w:color w:val="auto"/>
                      <w:sz w:val="21"/>
                      <w:szCs w:val="21"/>
                      <w:lang w:bidi="he-IL"/>
                    </w:rPr>
                  </w:pPr>
                  <w:r>
                    <w:rPr>
                      <w:rFonts w:hint="eastAsia"/>
                      <w:color w:val="auto"/>
                      <w:sz w:val="21"/>
                      <w:szCs w:val="21"/>
                      <w:lang w:bidi="he-IL"/>
                    </w:rPr>
                    <w:t>污染物种类</w:t>
                  </w:r>
                </w:p>
              </w:tc>
              <w:tc>
                <w:tcPr>
                  <w:tcW w:w="1112" w:type="pct"/>
                  <w:tcBorders>
                    <w:tl2br w:val="nil"/>
                    <w:tr2bl w:val="nil"/>
                  </w:tcBorders>
                  <w:vAlign w:val="center"/>
                </w:tcPr>
                <w:p w14:paraId="35B80D8E">
                  <w:pPr>
                    <w:pStyle w:val="126"/>
                    <w:tabs>
                      <w:tab w:val="left" w:pos="720"/>
                    </w:tabs>
                    <w:jc w:val="center"/>
                    <w:rPr>
                      <w:color w:val="auto"/>
                      <w:sz w:val="21"/>
                      <w:szCs w:val="21"/>
                      <w:lang w:bidi="he-IL"/>
                    </w:rPr>
                  </w:pPr>
                  <w:r>
                    <w:rPr>
                      <w:rFonts w:hint="eastAsia"/>
                      <w:color w:val="auto"/>
                      <w:sz w:val="21"/>
                      <w:szCs w:val="21"/>
                      <w:lang w:bidi="he-IL"/>
                    </w:rPr>
                    <w:t>排放浓度</w:t>
                  </w:r>
                  <w:r>
                    <w:rPr>
                      <w:color w:val="auto"/>
                      <w:sz w:val="21"/>
                      <w:szCs w:val="21"/>
                      <w:lang w:bidi="he-IL"/>
                    </w:rPr>
                    <w:t>/</w:t>
                  </w:r>
                  <w:r>
                    <w:rPr>
                      <w:rFonts w:hint="eastAsia"/>
                      <w:color w:val="auto"/>
                      <w:sz w:val="21"/>
                      <w:szCs w:val="21"/>
                      <w:lang w:bidi="he-IL"/>
                    </w:rPr>
                    <w:t>（</w:t>
                  </w:r>
                  <w:r>
                    <w:rPr>
                      <w:color w:val="auto"/>
                      <w:sz w:val="21"/>
                      <w:szCs w:val="21"/>
                      <w:lang w:bidi="he-IL"/>
                    </w:rPr>
                    <w:t>mg/L</w:t>
                  </w:r>
                  <w:r>
                    <w:rPr>
                      <w:rFonts w:hint="eastAsia"/>
                      <w:color w:val="auto"/>
                      <w:sz w:val="21"/>
                      <w:szCs w:val="21"/>
                      <w:lang w:bidi="he-IL"/>
                    </w:rPr>
                    <w:t>）</w:t>
                  </w:r>
                </w:p>
              </w:tc>
              <w:tc>
                <w:tcPr>
                  <w:tcW w:w="894" w:type="pct"/>
                  <w:tcBorders>
                    <w:tl2br w:val="nil"/>
                    <w:tr2bl w:val="nil"/>
                  </w:tcBorders>
                  <w:vAlign w:val="center"/>
                </w:tcPr>
                <w:p w14:paraId="1EACC6F7">
                  <w:pPr>
                    <w:pStyle w:val="126"/>
                    <w:tabs>
                      <w:tab w:val="left" w:pos="720"/>
                    </w:tabs>
                    <w:jc w:val="center"/>
                    <w:rPr>
                      <w:color w:val="auto"/>
                      <w:sz w:val="21"/>
                      <w:szCs w:val="21"/>
                      <w:lang w:bidi="he-IL"/>
                    </w:rPr>
                  </w:pPr>
                  <w:r>
                    <w:rPr>
                      <w:rFonts w:hint="eastAsia"/>
                      <w:color w:val="auto"/>
                      <w:sz w:val="21"/>
                      <w:szCs w:val="21"/>
                      <w:lang w:bidi="he-IL"/>
                    </w:rPr>
                    <w:t>日排放量</w:t>
                  </w:r>
                  <w:r>
                    <w:rPr>
                      <w:color w:val="auto"/>
                      <w:sz w:val="21"/>
                      <w:szCs w:val="21"/>
                      <w:lang w:bidi="he-IL"/>
                    </w:rPr>
                    <w:t>/</w:t>
                  </w:r>
                  <w:r>
                    <w:rPr>
                      <w:rFonts w:hint="eastAsia"/>
                      <w:color w:val="auto"/>
                      <w:sz w:val="21"/>
                      <w:szCs w:val="21"/>
                      <w:lang w:bidi="he-IL"/>
                    </w:rPr>
                    <w:t>（</w:t>
                  </w:r>
                  <w:r>
                    <w:rPr>
                      <w:color w:val="auto"/>
                      <w:sz w:val="21"/>
                      <w:szCs w:val="21"/>
                      <w:lang w:bidi="he-IL"/>
                    </w:rPr>
                    <w:t>t/d</w:t>
                  </w:r>
                  <w:r>
                    <w:rPr>
                      <w:rFonts w:hint="eastAsia"/>
                      <w:color w:val="auto"/>
                      <w:sz w:val="21"/>
                      <w:szCs w:val="21"/>
                      <w:lang w:bidi="he-IL"/>
                    </w:rPr>
                    <w:t>）</w:t>
                  </w:r>
                </w:p>
              </w:tc>
              <w:tc>
                <w:tcPr>
                  <w:tcW w:w="928" w:type="pct"/>
                  <w:tcBorders>
                    <w:tl2br w:val="nil"/>
                    <w:tr2bl w:val="nil"/>
                  </w:tcBorders>
                  <w:vAlign w:val="center"/>
                </w:tcPr>
                <w:p w14:paraId="5D8AED88">
                  <w:pPr>
                    <w:pStyle w:val="126"/>
                    <w:tabs>
                      <w:tab w:val="left" w:pos="720"/>
                    </w:tabs>
                    <w:jc w:val="center"/>
                    <w:rPr>
                      <w:color w:val="auto"/>
                      <w:sz w:val="21"/>
                      <w:szCs w:val="21"/>
                      <w:lang w:bidi="he-IL"/>
                    </w:rPr>
                  </w:pPr>
                  <w:r>
                    <w:rPr>
                      <w:rFonts w:hint="eastAsia"/>
                      <w:color w:val="auto"/>
                      <w:sz w:val="21"/>
                      <w:szCs w:val="21"/>
                      <w:lang w:bidi="he-IL"/>
                    </w:rPr>
                    <w:t>年排放量</w:t>
                  </w:r>
                  <w:r>
                    <w:rPr>
                      <w:color w:val="auto"/>
                      <w:sz w:val="21"/>
                      <w:szCs w:val="21"/>
                      <w:lang w:bidi="he-IL"/>
                    </w:rPr>
                    <w:t>/</w:t>
                  </w:r>
                  <w:r>
                    <w:rPr>
                      <w:rFonts w:hint="eastAsia"/>
                      <w:color w:val="auto"/>
                      <w:sz w:val="21"/>
                      <w:szCs w:val="21"/>
                      <w:lang w:bidi="he-IL"/>
                    </w:rPr>
                    <w:t>（</w:t>
                  </w:r>
                  <w:r>
                    <w:rPr>
                      <w:color w:val="auto"/>
                      <w:sz w:val="21"/>
                      <w:szCs w:val="21"/>
                      <w:lang w:bidi="he-IL"/>
                    </w:rPr>
                    <w:t>t/a</w:t>
                  </w:r>
                  <w:r>
                    <w:rPr>
                      <w:rFonts w:hint="eastAsia"/>
                      <w:color w:val="auto"/>
                      <w:sz w:val="21"/>
                      <w:szCs w:val="21"/>
                      <w:lang w:bidi="he-IL"/>
                    </w:rPr>
                    <w:t>）</w:t>
                  </w:r>
                </w:p>
              </w:tc>
            </w:tr>
            <w:tr w14:paraId="527BF7F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tcBorders>
                    <w:tl2br w:val="nil"/>
                    <w:tr2bl w:val="nil"/>
                  </w:tcBorders>
                  <w:vAlign w:val="center"/>
                </w:tcPr>
                <w:p w14:paraId="7B4C953D">
                  <w:pPr>
                    <w:pStyle w:val="126"/>
                    <w:tabs>
                      <w:tab w:val="left" w:pos="720"/>
                    </w:tabs>
                    <w:jc w:val="center"/>
                    <w:rPr>
                      <w:color w:val="auto"/>
                      <w:sz w:val="21"/>
                      <w:szCs w:val="21"/>
                      <w:lang w:bidi="he-IL"/>
                    </w:rPr>
                  </w:pPr>
                  <w:r>
                    <w:rPr>
                      <w:color w:val="auto"/>
                      <w:sz w:val="21"/>
                      <w:szCs w:val="21"/>
                      <w:lang w:bidi="he-IL"/>
                    </w:rPr>
                    <w:t>1</w:t>
                  </w:r>
                </w:p>
              </w:tc>
              <w:tc>
                <w:tcPr>
                  <w:tcW w:w="834" w:type="pct"/>
                  <w:vMerge w:val="restart"/>
                  <w:tcBorders>
                    <w:tl2br w:val="nil"/>
                    <w:tr2bl w:val="nil"/>
                  </w:tcBorders>
                  <w:vAlign w:val="center"/>
                </w:tcPr>
                <w:p w14:paraId="011F3F17">
                  <w:pPr>
                    <w:pStyle w:val="126"/>
                    <w:tabs>
                      <w:tab w:val="left" w:pos="720"/>
                    </w:tabs>
                    <w:jc w:val="center"/>
                    <w:rPr>
                      <w:color w:val="auto"/>
                      <w:sz w:val="21"/>
                      <w:szCs w:val="21"/>
                      <w:lang w:bidi="he-IL"/>
                    </w:rPr>
                  </w:pPr>
                  <w:r>
                    <w:rPr>
                      <w:color w:val="auto"/>
                      <w:sz w:val="21"/>
                      <w:szCs w:val="21"/>
                      <w:lang w:bidi="he-IL"/>
                    </w:rPr>
                    <w:t>DW001</w:t>
                  </w:r>
                </w:p>
              </w:tc>
              <w:tc>
                <w:tcPr>
                  <w:tcW w:w="828" w:type="pct"/>
                  <w:tcBorders>
                    <w:tl2br w:val="nil"/>
                    <w:tr2bl w:val="nil"/>
                  </w:tcBorders>
                  <w:vAlign w:val="center"/>
                </w:tcPr>
                <w:p w14:paraId="51539912">
                  <w:pPr>
                    <w:pStyle w:val="126"/>
                    <w:tabs>
                      <w:tab w:val="left" w:pos="720"/>
                    </w:tabs>
                    <w:jc w:val="center"/>
                    <w:rPr>
                      <w:color w:val="auto"/>
                      <w:sz w:val="21"/>
                      <w:szCs w:val="21"/>
                      <w:lang w:bidi="he-IL"/>
                    </w:rPr>
                  </w:pPr>
                  <w:r>
                    <w:rPr>
                      <w:color w:val="auto"/>
                      <w:sz w:val="21"/>
                      <w:szCs w:val="21"/>
                      <w:lang w:bidi="he-IL"/>
                    </w:rPr>
                    <w:t>CODcr</w:t>
                  </w:r>
                </w:p>
              </w:tc>
              <w:tc>
                <w:tcPr>
                  <w:tcW w:w="1112" w:type="pct"/>
                  <w:tcBorders>
                    <w:tl2br w:val="nil"/>
                    <w:tr2bl w:val="nil"/>
                  </w:tcBorders>
                  <w:vAlign w:val="center"/>
                </w:tcPr>
                <w:p w14:paraId="5EF3440C">
                  <w:pPr>
                    <w:pStyle w:val="126"/>
                    <w:tabs>
                      <w:tab w:val="left" w:pos="720"/>
                    </w:tabs>
                    <w:jc w:val="center"/>
                    <w:rPr>
                      <w:color w:val="auto"/>
                      <w:sz w:val="21"/>
                      <w:szCs w:val="21"/>
                      <w:lang w:bidi="he-IL"/>
                    </w:rPr>
                  </w:pPr>
                  <w:r>
                    <w:rPr>
                      <w:rFonts w:hint="eastAsia"/>
                      <w:color w:val="auto"/>
                      <w:sz w:val="21"/>
                      <w:szCs w:val="21"/>
                      <w:lang w:bidi="he-IL"/>
                    </w:rPr>
                    <w:t>200</w:t>
                  </w:r>
                </w:p>
              </w:tc>
              <w:tc>
                <w:tcPr>
                  <w:tcW w:w="894" w:type="pct"/>
                  <w:tcBorders>
                    <w:tl2br w:val="nil"/>
                    <w:tr2bl w:val="nil"/>
                  </w:tcBorders>
                  <w:vAlign w:val="center"/>
                </w:tcPr>
                <w:p w14:paraId="4DA00E1A">
                  <w:pPr>
                    <w:widowControl/>
                    <w:spacing w:line="240" w:lineRule="auto"/>
                    <w:jc w:val="center"/>
                    <w:textAlignment w:val="bottom"/>
                    <w:rPr>
                      <w:color w:val="auto"/>
                      <w:sz w:val="21"/>
                      <w:szCs w:val="21"/>
                      <w:lang w:bidi="he-IL"/>
                    </w:rPr>
                  </w:pPr>
                  <w:r>
                    <w:rPr>
                      <w:rFonts w:hint="eastAsia"/>
                      <w:color w:val="auto"/>
                      <w:sz w:val="21"/>
                      <w:szCs w:val="21"/>
                      <w:lang w:bidi="he-IL"/>
                    </w:rPr>
                    <w:t>0.00004</w:t>
                  </w:r>
                </w:p>
              </w:tc>
              <w:tc>
                <w:tcPr>
                  <w:tcW w:w="928" w:type="pct"/>
                  <w:tcBorders>
                    <w:tl2br w:val="nil"/>
                    <w:tr2bl w:val="nil"/>
                  </w:tcBorders>
                  <w:vAlign w:val="center"/>
                </w:tcPr>
                <w:p w14:paraId="7791C1F8">
                  <w:pPr>
                    <w:pStyle w:val="126"/>
                    <w:tabs>
                      <w:tab w:val="left" w:pos="720"/>
                    </w:tabs>
                    <w:jc w:val="center"/>
                    <w:rPr>
                      <w:color w:val="auto"/>
                      <w:sz w:val="21"/>
                      <w:szCs w:val="21"/>
                      <w:lang w:bidi="he-IL"/>
                    </w:rPr>
                  </w:pPr>
                  <w:r>
                    <w:rPr>
                      <w:rFonts w:hint="eastAsia"/>
                      <w:color w:val="auto"/>
                      <w:sz w:val="21"/>
                      <w:szCs w:val="21"/>
                      <w:lang w:bidi="he-IL"/>
                    </w:rPr>
                    <w:t>0.012</w:t>
                  </w:r>
                </w:p>
              </w:tc>
            </w:tr>
            <w:tr w14:paraId="339A0D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tcBorders>
                    <w:tl2br w:val="nil"/>
                    <w:tr2bl w:val="nil"/>
                  </w:tcBorders>
                  <w:vAlign w:val="center"/>
                </w:tcPr>
                <w:p w14:paraId="058EFF6F">
                  <w:pPr>
                    <w:pStyle w:val="126"/>
                    <w:tabs>
                      <w:tab w:val="left" w:pos="720"/>
                    </w:tabs>
                    <w:jc w:val="center"/>
                    <w:rPr>
                      <w:color w:val="auto"/>
                      <w:sz w:val="21"/>
                      <w:szCs w:val="21"/>
                      <w:lang w:bidi="he-IL"/>
                    </w:rPr>
                  </w:pPr>
                  <w:r>
                    <w:rPr>
                      <w:color w:val="auto"/>
                      <w:sz w:val="21"/>
                      <w:szCs w:val="21"/>
                      <w:lang w:bidi="he-IL"/>
                    </w:rPr>
                    <w:t>2</w:t>
                  </w:r>
                </w:p>
              </w:tc>
              <w:tc>
                <w:tcPr>
                  <w:tcW w:w="834" w:type="pct"/>
                  <w:vMerge w:val="continue"/>
                  <w:tcBorders>
                    <w:tl2br w:val="nil"/>
                    <w:tr2bl w:val="nil"/>
                  </w:tcBorders>
                  <w:vAlign w:val="center"/>
                </w:tcPr>
                <w:p w14:paraId="147BB250">
                  <w:pPr>
                    <w:widowControl/>
                    <w:tabs>
                      <w:tab w:val="left" w:pos="720"/>
                    </w:tabs>
                    <w:ind w:firstLine="480"/>
                    <w:rPr>
                      <w:color w:val="auto"/>
                      <w:kern w:val="0"/>
                      <w:szCs w:val="21"/>
                      <w:lang w:bidi="he-IL"/>
                    </w:rPr>
                  </w:pPr>
                </w:p>
              </w:tc>
              <w:tc>
                <w:tcPr>
                  <w:tcW w:w="828" w:type="pct"/>
                  <w:tcBorders>
                    <w:tl2br w:val="nil"/>
                    <w:tr2bl w:val="nil"/>
                  </w:tcBorders>
                  <w:vAlign w:val="center"/>
                </w:tcPr>
                <w:p w14:paraId="66AE0EDB">
                  <w:pPr>
                    <w:pStyle w:val="126"/>
                    <w:tabs>
                      <w:tab w:val="left" w:pos="720"/>
                    </w:tabs>
                    <w:jc w:val="center"/>
                    <w:rPr>
                      <w:color w:val="auto"/>
                      <w:sz w:val="21"/>
                      <w:szCs w:val="21"/>
                      <w:lang w:bidi="he-IL"/>
                    </w:rPr>
                  </w:pPr>
                  <w:r>
                    <w:rPr>
                      <w:color w:val="auto"/>
                      <w:sz w:val="21"/>
                      <w:szCs w:val="21"/>
                      <w:lang w:bidi="he-IL"/>
                    </w:rPr>
                    <w:t>BOD</w:t>
                  </w:r>
                  <w:r>
                    <w:rPr>
                      <w:color w:val="auto"/>
                      <w:sz w:val="21"/>
                      <w:szCs w:val="21"/>
                      <w:vertAlign w:val="subscript"/>
                      <w:lang w:bidi="he-IL"/>
                    </w:rPr>
                    <w:t>5</w:t>
                  </w:r>
                </w:p>
              </w:tc>
              <w:tc>
                <w:tcPr>
                  <w:tcW w:w="1112" w:type="pct"/>
                  <w:tcBorders>
                    <w:tl2br w:val="nil"/>
                    <w:tr2bl w:val="nil"/>
                  </w:tcBorders>
                  <w:vAlign w:val="center"/>
                </w:tcPr>
                <w:p w14:paraId="750C6906">
                  <w:pPr>
                    <w:pStyle w:val="126"/>
                    <w:tabs>
                      <w:tab w:val="left" w:pos="720"/>
                    </w:tabs>
                    <w:jc w:val="center"/>
                    <w:rPr>
                      <w:color w:val="auto"/>
                      <w:sz w:val="21"/>
                      <w:szCs w:val="21"/>
                      <w:lang w:bidi="he-IL"/>
                    </w:rPr>
                  </w:pPr>
                  <w:r>
                    <w:rPr>
                      <w:rFonts w:hint="eastAsia"/>
                      <w:color w:val="auto"/>
                      <w:sz w:val="21"/>
                      <w:szCs w:val="21"/>
                      <w:lang w:bidi="he-IL"/>
                    </w:rPr>
                    <w:t>100</w:t>
                  </w:r>
                </w:p>
              </w:tc>
              <w:tc>
                <w:tcPr>
                  <w:tcW w:w="894" w:type="pct"/>
                  <w:tcBorders>
                    <w:tl2br w:val="nil"/>
                    <w:tr2bl w:val="nil"/>
                  </w:tcBorders>
                  <w:vAlign w:val="center"/>
                </w:tcPr>
                <w:p w14:paraId="2C1E71D1">
                  <w:pPr>
                    <w:widowControl/>
                    <w:spacing w:line="240" w:lineRule="auto"/>
                    <w:jc w:val="center"/>
                    <w:textAlignment w:val="bottom"/>
                    <w:rPr>
                      <w:color w:val="auto"/>
                      <w:sz w:val="21"/>
                      <w:szCs w:val="21"/>
                      <w:lang w:bidi="he-IL"/>
                    </w:rPr>
                  </w:pPr>
                  <w:r>
                    <w:rPr>
                      <w:rFonts w:hint="eastAsia"/>
                      <w:color w:val="auto"/>
                      <w:sz w:val="21"/>
                      <w:szCs w:val="21"/>
                      <w:lang w:bidi="he-IL"/>
                    </w:rPr>
                    <w:t>0.00002</w:t>
                  </w:r>
                </w:p>
              </w:tc>
              <w:tc>
                <w:tcPr>
                  <w:tcW w:w="928" w:type="pct"/>
                  <w:tcBorders>
                    <w:tl2br w:val="nil"/>
                    <w:tr2bl w:val="nil"/>
                  </w:tcBorders>
                  <w:vAlign w:val="center"/>
                </w:tcPr>
                <w:p w14:paraId="6D4D915F">
                  <w:pPr>
                    <w:pStyle w:val="126"/>
                    <w:tabs>
                      <w:tab w:val="left" w:pos="720"/>
                    </w:tabs>
                    <w:jc w:val="center"/>
                    <w:rPr>
                      <w:color w:val="auto"/>
                      <w:sz w:val="21"/>
                      <w:szCs w:val="21"/>
                      <w:lang w:bidi="he-IL"/>
                    </w:rPr>
                  </w:pPr>
                  <w:r>
                    <w:rPr>
                      <w:rFonts w:hint="eastAsia"/>
                      <w:color w:val="auto"/>
                      <w:sz w:val="21"/>
                      <w:szCs w:val="21"/>
                      <w:lang w:bidi="he-IL"/>
                    </w:rPr>
                    <w:t>0.006</w:t>
                  </w:r>
                </w:p>
              </w:tc>
            </w:tr>
            <w:tr w14:paraId="65EC0A0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tcBorders>
                    <w:tl2br w:val="nil"/>
                    <w:tr2bl w:val="nil"/>
                  </w:tcBorders>
                  <w:vAlign w:val="center"/>
                </w:tcPr>
                <w:p w14:paraId="38075D46">
                  <w:pPr>
                    <w:pStyle w:val="126"/>
                    <w:tabs>
                      <w:tab w:val="left" w:pos="720"/>
                    </w:tabs>
                    <w:jc w:val="center"/>
                    <w:rPr>
                      <w:color w:val="auto"/>
                      <w:sz w:val="21"/>
                      <w:szCs w:val="21"/>
                      <w:lang w:bidi="he-IL"/>
                    </w:rPr>
                  </w:pPr>
                  <w:r>
                    <w:rPr>
                      <w:color w:val="auto"/>
                      <w:sz w:val="21"/>
                      <w:szCs w:val="21"/>
                      <w:lang w:bidi="he-IL"/>
                    </w:rPr>
                    <w:t>3</w:t>
                  </w:r>
                </w:p>
              </w:tc>
              <w:tc>
                <w:tcPr>
                  <w:tcW w:w="834" w:type="pct"/>
                  <w:vMerge w:val="continue"/>
                  <w:tcBorders>
                    <w:tl2br w:val="nil"/>
                    <w:tr2bl w:val="nil"/>
                  </w:tcBorders>
                  <w:vAlign w:val="center"/>
                </w:tcPr>
                <w:p w14:paraId="2D3E63BB">
                  <w:pPr>
                    <w:widowControl/>
                    <w:tabs>
                      <w:tab w:val="left" w:pos="720"/>
                    </w:tabs>
                    <w:ind w:firstLine="480"/>
                    <w:rPr>
                      <w:color w:val="auto"/>
                      <w:kern w:val="0"/>
                      <w:szCs w:val="21"/>
                      <w:lang w:bidi="he-IL"/>
                    </w:rPr>
                  </w:pPr>
                </w:p>
              </w:tc>
              <w:tc>
                <w:tcPr>
                  <w:tcW w:w="828" w:type="pct"/>
                  <w:tcBorders>
                    <w:tl2br w:val="nil"/>
                    <w:tr2bl w:val="nil"/>
                  </w:tcBorders>
                  <w:vAlign w:val="center"/>
                </w:tcPr>
                <w:p w14:paraId="31679B94">
                  <w:pPr>
                    <w:pStyle w:val="126"/>
                    <w:tabs>
                      <w:tab w:val="left" w:pos="720"/>
                    </w:tabs>
                    <w:jc w:val="center"/>
                    <w:rPr>
                      <w:color w:val="auto"/>
                      <w:sz w:val="21"/>
                      <w:szCs w:val="21"/>
                      <w:lang w:bidi="he-IL"/>
                    </w:rPr>
                  </w:pPr>
                  <w:r>
                    <w:rPr>
                      <w:color w:val="auto"/>
                      <w:sz w:val="21"/>
                      <w:szCs w:val="21"/>
                      <w:lang w:bidi="he-IL"/>
                    </w:rPr>
                    <w:t>SS</w:t>
                  </w:r>
                </w:p>
              </w:tc>
              <w:tc>
                <w:tcPr>
                  <w:tcW w:w="1112" w:type="pct"/>
                  <w:tcBorders>
                    <w:tl2br w:val="nil"/>
                    <w:tr2bl w:val="nil"/>
                  </w:tcBorders>
                  <w:vAlign w:val="center"/>
                </w:tcPr>
                <w:p w14:paraId="4DEBC0B8">
                  <w:pPr>
                    <w:pStyle w:val="126"/>
                    <w:tabs>
                      <w:tab w:val="left" w:pos="720"/>
                    </w:tabs>
                    <w:jc w:val="center"/>
                    <w:rPr>
                      <w:color w:val="auto"/>
                      <w:sz w:val="21"/>
                      <w:szCs w:val="21"/>
                      <w:lang w:bidi="he-IL"/>
                    </w:rPr>
                  </w:pPr>
                  <w:r>
                    <w:rPr>
                      <w:rFonts w:hint="eastAsia"/>
                      <w:color w:val="auto"/>
                      <w:sz w:val="21"/>
                      <w:szCs w:val="21"/>
                      <w:lang w:bidi="he-IL"/>
                    </w:rPr>
                    <w:t>100</w:t>
                  </w:r>
                </w:p>
              </w:tc>
              <w:tc>
                <w:tcPr>
                  <w:tcW w:w="894" w:type="pct"/>
                  <w:tcBorders>
                    <w:tl2br w:val="nil"/>
                    <w:tr2bl w:val="nil"/>
                  </w:tcBorders>
                  <w:vAlign w:val="center"/>
                </w:tcPr>
                <w:p w14:paraId="77027D19">
                  <w:pPr>
                    <w:widowControl/>
                    <w:spacing w:line="240" w:lineRule="auto"/>
                    <w:jc w:val="center"/>
                    <w:textAlignment w:val="bottom"/>
                    <w:rPr>
                      <w:color w:val="auto"/>
                      <w:sz w:val="21"/>
                      <w:szCs w:val="21"/>
                      <w:lang w:bidi="he-IL"/>
                    </w:rPr>
                  </w:pPr>
                  <w:r>
                    <w:rPr>
                      <w:rFonts w:hint="eastAsia"/>
                      <w:color w:val="auto"/>
                      <w:sz w:val="21"/>
                      <w:szCs w:val="21"/>
                      <w:lang w:bidi="he-IL"/>
                    </w:rPr>
                    <w:t>0.00002</w:t>
                  </w:r>
                </w:p>
              </w:tc>
              <w:tc>
                <w:tcPr>
                  <w:tcW w:w="928" w:type="pct"/>
                  <w:tcBorders>
                    <w:tl2br w:val="nil"/>
                    <w:tr2bl w:val="nil"/>
                  </w:tcBorders>
                  <w:vAlign w:val="center"/>
                </w:tcPr>
                <w:p w14:paraId="07CCCD42">
                  <w:pPr>
                    <w:pStyle w:val="126"/>
                    <w:tabs>
                      <w:tab w:val="left" w:pos="720"/>
                    </w:tabs>
                    <w:jc w:val="center"/>
                    <w:rPr>
                      <w:color w:val="auto"/>
                      <w:sz w:val="21"/>
                      <w:szCs w:val="21"/>
                      <w:lang w:bidi="he-IL"/>
                    </w:rPr>
                  </w:pPr>
                  <w:r>
                    <w:rPr>
                      <w:rFonts w:hint="eastAsia"/>
                      <w:color w:val="auto"/>
                      <w:sz w:val="21"/>
                      <w:szCs w:val="21"/>
                      <w:lang w:bidi="he-IL"/>
                    </w:rPr>
                    <w:t>0.006</w:t>
                  </w:r>
                </w:p>
              </w:tc>
            </w:tr>
            <w:tr w14:paraId="70506F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tcBorders>
                    <w:tl2br w:val="nil"/>
                    <w:tr2bl w:val="nil"/>
                  </w:tcBorders>
                  <w:vAlign w:val="center"/>
                </w:tcPr>
                <w:p w14:paraId="2332FDA0">
                  <w:pPr>
                    <w:pStyle w:val="126"/>
                    <w:tabs>
                      <w:tab w:val="left" w:pos="720"/>
                    </w:tabs>
                    <w:jc w:val="center"/>
                    <w:rPr>
                      <w:color w:val="auto"/>
                      <w:sz w:val="21"/>
                      <w:szCs w:val="21"/>
                      <w:lang w:bidi="he-IL"/>
                    </w:rPr>
                  </w:pPr>
                  <w:r>
                    <w:rPr>
                      <w:color w:val="auto"/>
                      <w:sz w:val="21"/>
                      <w:szCs w:val="21"/>
                      <w:lang w:bidi="he-IL"/>
                    </w:rPr>
                    <w:t>4</w:t>
                  </w:r>
                </w:p>
              </w:tc>
              <w:tc>
                <w:tcPr>
                  <w:tcW w:w="834" w:type="pct"/>
                  <w:vMerge w:val="continue"/>
                  <w:tcBorders>
                    <w:tl2br w:val="nil"/>
                    <w:tr2bl w:val="nil"/>
                  </w:tcBorders>
                  <w:vAlign w:val="center"/>
                </w:tcPr>
                <w:p w14:paraId="5F3B97D3">
                  <w:pPr>
                    <w:widowControl/>
                    <w:tabs>
                      <w:tab w:val="left" w:pos="720"/>
                    </w:tabs>
                    <w:ind w:firstLine="480"/>
                    <w:rPr>
                      <w:color w:val="auto"/>
                      <w:kern w:val="0"/>
                      <w:szCs w:val="21"/>
                      <w:lang w:bidi="he-IL"/>
                    </w:rPr>
                  </w:pPr>
                </w:p>
              </w:tc>
              <w:tc>
                <w:tcPr>
                  <w:tcW w:w="828" w:type="pct"/>
                  <w:tcBorders>
                    <w:tl2br w:val="nil"/>
                    <w:tr2bl w:val="nil"/>
                  </w:tcBorders>
                  <w:vAlign w:val="center"/>
                </w:tcPr>
                <w:p w14:paraId="675BDB07">
                  <w:pPr>
                    <w:pStyle w:val="126"/>
                    <w:tabs>
                      <w:tab w:val="left" w:pos="720"/>
                    </w:tabs>
                    <w:jc w:val="center"/>
                    <w:rPr>
                      <w:color w:val="auto"/>
                      <w:sz w:val="21"/>
                      <w:szCs w:val="21"/>
                      <w:lang w:bidi="he-IL"/>
                    </w:rPr>
                  </w:pPr>
                  <w:r>
                    <w:rPr>
                      <w:rFonts w:hint="eastAsia"/>
                      <w:color w:val="auto"/>
                      <w:sz w:val="21"/>
                      <w:szCs w:val="21"/>
                      <w:lang w:bidi="he-IL"/>
                    </w:rPr>
                    <w:t>氨氮</w:t>
                  </w:r>
                </w:p>
              </w:tc>
              <w:tc>
                <w:tcPr>
                  <w:tcW w:w="1112" w:type="pct"/>
                  <w:tcBorders>
                    <w:tl2br w:val="nil"/>
                    <w:tr2bl w:val="nil"/>
                  </w:tcBorders>
                  <w:vAlign w:val="center"/>
                </w:tcPr>
                <w:p w14:paraId="31592F7F">
                  <w:pPr>
                    <w:pStyle w:val="126"/>
                    <w:tabs>
                      <w:tab w:val="left" w:pos="720"/>
                    </w:tabs>
                    <w:jc w:val="center"/>
                    <w:rPr>
                      <w:color w:val="auto"/>
                      <w:sz w:val="21"/>
                      <w:szCs w:val="21"/>
                      <w:lang w:bidi="he-IL"/>
                    </w:rPr>
                  </w:pPr>
                  <w:r>
                    <w:rPr>
                      <w:rFonts w:hint="eastAsia"/>
                      <w:color w:val="auto"/>
                      <w:sz w:val="21"/>
                      <w:szCs w:val="21"/>
                      <w:lang w:bidi="he-IL"/>
                    </w:rPr>
                    <w:t>25</w:t>
                  </w:r>
                </w:p>
              </w:tc>
              <w:tc>
                <w:tcPr>
                  <w:tcW w:w="894" w:type="pct"/>
                  <w:tcBorders>
                    <w:tl2br w:val="nil"/>
                    <w:tr2bl w:val="nil"/>
                  </w:tcBorders>
                  <w:vAlign w:val="center"/>
                </w:tcPr>
                <w:p w14:paraId="2C3A162E">
                  <w:pPr>
                    <w:widowControl/>
                    <w:spacing w:line="240" w:lineRule="auto"/>
                    <w:jc w:val="center"/>
                    <w:textAlignment w:val="bottom"/>
                    <w:rPr>
                      <w:color w:val="auto"/>
                      <w:sz w:val="21"/>
                      <w:szCs w:val="21"/>
                      <w:lang w:bidi="he-IL"/>
                    </w:rPr>
                  </w:pPr>
                  <w:r>
                    <w:rPr>
                      <w:rFonts w:hint="eastAsia"/>
                      <w:color w:val="auto"/>
                      <w:sz w:val="21"/>
                      <w:szCs w:val="21"/>
                      <w:lang w:bidi="he-IL"/>
                    </w:rPr>
                    <w:t>0.000007</w:t>
                  </w:r>
                </w:p>
              </w:tc>
              <w:tc>
                <w:tcPr>
                  <w:tcW w:w="928" w:type="pct"/>
                  <w:tcBorders>
                    <w:tl2br w:val="nil"/>
                    <w:tr2bl w:val="nil"/>
                  </w:tcBorders>
                  <w:vAlign w:val="center"/>
                </w:tcPr>
                <w:p w14:paraId="7D87A444">
                  <w:pPr>
                    <w:pStyle w:val="126"/>
                    <w:tabs>
                      <w:tab w:val="left" w:pos="720"/>
                    </w:tabs>
                    <w:jc w:val="center"/>
                    <w:rPr>
                      <w:color w:val="auto"/>
                      <w:sz w:val="21"/>
                      <w:szCs w:val="21"/>
                      <w:lang w:bidi="he-IL"/>
                    </w:rPr>
                  </w:pPr>
                  <w:r>
                    <w:rPr>
                      <w:rFonts w:hint="eastAsia"/>
                      <w:color w:val="auto"/>
                      <w:sz w:val="21"/>
                      <w:szCs w:val="21"/>
                      <w:lang w:bidi="he-IL"/>
                    </w:rPr>
                    <w:t>0.002</w:t>
                  </w:r>
                </w:p>
              </w:tc>
            </w:tr>
            <w:tr w14:paraId="62F8394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2" w:type="pct"/>
                  <w:tcBorders>
                    <w:tl2br w:val="nil"/>
                    <w:tr2bl w:val="nil"/>
                  </w:tcBorders>
                  <w:vAlign w:val="center"/>
                </w:tcPr>
                <w:p w14:paraId="0114D90A">
                  <w:pPr>
                    <w:pStyle w:val="126"/>
                    <w:tabs>
                      <w:tab w:val="left" w:pos="720"/>
                    </w:tabs>
                    <w:jc w:val="center"/>
                    <w:rPr>
                      <w:color w:val="auto"/>
                      <w:sz w:val="21"/>
                      <w:szCs w:val="21"/>
                      <w:lang w:bidi="he-IL"/>
                    </w:rPr>
                  </w:pPr>
                  <w:r>
                    <w:rPr>
                      <w:color w:val="auto"/>
                      <w:sz w:val="21"/>
                      <w:szCs w:val="21"/>
                      <w:lang w:bidi="he-IL"/>
                    </w:rPr>
                    <w:t>5</w:t>
                  </w:r>
                </w:p>
              </w:tc>
              <w:tc>
                <w:tcPr>
                  <w:tcW w:w="834" w:type="pct"/>
                  <w:vMerge w:val="continue"/>
                  <w:tcBorders>
                    <w:tl2br w:val="nil"/>
                    <w:tr2bl w:val="nil"/>
                  </w:tcBorders>
                  <w:vAlign w:val="center"/>
                </w:tcPr>
                <w:p w14:paraId="7291048B">
                  <w:pPr>
                    <w:widowControl/>
                    <w:tabs>
                      <w:tab w:val="left" w:pos="720"/>
                    </w:tabs>
                    <w:ind w:firstLine="480"/>
                    <w:rPr>
                      <w:color w:val="auto"/>
                      <w:kern w:val="0"/>
                      <w:szCs w:val="21"/>
                      <w:lang w:bidi="he-IL"/>
                    </w:rPr>
                  </w:pPr>
                </w:p>
              </w:tc>
              <w:tc>
                <w:tcPr>
                  <w:tcW w:w="828" w:type="pct"/>
                  <w:tcBorders>
                    <w:tl2br w:val="nil"/>
                    <w:tr2bl w:val="nil"/>
                  </w:tcBorders>
                  <w:vAlign w:val="center"/>
                </w:tcPr>
                <w:p w14:paraId="395AD850">
                  <w:pPr>
                    <w:pStyle w:val="126"/>
                    <w:tabs>
                      <w:tab w:val="left" w:pos="720"/>
                    </w:tabs>
                    <w:jc w:val="center"/>
                    <w:rPr>
                      <w:color w:val="auto"/>
                      <w:sz w:val="21"/>
                      <w:szCs w:val="21"/>
                      <w:lang w:bidi="he-IL"/>
                    </w:rPr>
                  </w:pPr>
                  <w:r>
                    <w:rPr>
                      <w:rFonts w:hint="eastAsia"/>
                      <w:color w:val="auto"/>
                      <w:sz w:val="21"/>
                      <w:szCs w:val="21"/>
                      <w:lang w:bidi="he-IL"/>
                    </w:rPr>
                    <w:t>Tp</w:t>
                  </w:r>
                </w:p>
              </w:tc>
              <w:tc>
                <w:tcPr>
                  <w:tcW w:w="1112" w:type="pct"/>
                  <w:tcBorders>
                    <w:tl2br w:val="nil"/>
                    <w:tr2bl w:val="nil"/>
                  </w:tcBorders>
                  <w:vAlign w:val="center"/>
                </w:tcPr>
                <w:p w14:paraId="2B41824F">
                  <w:pPr>
                    <w:pStyle w:val="126"/>
                    <w:tabs>
                      <w:tab w:val="left" w:pos="720"/>
                    </w:tabs>
                    <w:jc w:val="center"/>
                    <w:rPr>
                      <w:color w:val="auto"/>
                      <w:sz w:val="21"/>
                      <w:szCs w:val="21"/>
                      <w:lang w:bidi="he-IL"/>
                    </w:rPr>
                  </w:pPr>
                  <w:r>
                    <w:rPr>
                      <w:rFonts w:hint="eastAsia"/>
                      <w:color w:val="auto"/>
                      <w:sz w:val="21"/>
                      <w:szCs w:val="21"/>
                      <w:lang w:bidi="he-IL"/>
                    </w:rPr>
                    <w:t>4</w:t>
                  </w:r>
                </w:p>
              </w:tc>
              <w:tc>
                <w:tcPr>
                  <w:tcW w:w="894" w:type="pct"/>
                  <w:tcBorders>
                    <w:tl2br w:val="nil"/>
                    <w:tr2bl w:val="nil"/>
                  </w:tcBorders>
                  <w:vAlign w:val="center"/>
                </w:tcPr>
                <w:p w14:paraId="0BF9E253">
                  <w:pPr>
                    <w:widowControl/>
                    <w:spacing w:line="240" w:lineRule="auto"/>
                    <w:jc w:val="center"/>
                    <w:textAlignment w:val="bottom"/>
                    <w:rPr>
                      <w:color w:val="auto"/>
                      <w:sz w:val="21"/>
                      <w:szCs w:val="21"/>
                      <w:lang w:bidi="he-IL"/>
                    </w:rPr>
                  </w:pPr>
                  <w:r>
                    <w:rPr>
                      <w:rFonts w:hint="eastAsia"/>
                      <w:color w:val="auto"/>
                      <w:sz w:val="21"/>
                      <w:szCs w:val="21"/>
                      <w:lang w:bidi="he-IL"/>
                    </w:rPr>
                    <w:t>0.000001</w:t>
                  </w:r>
                </w:p>
              </w:tc>
              <w:tc>
                <w:tcPr>
                  <w:tcW w:w="928" w:type="pct"/>
                  <w:tcBorders>
                    <w:tl2br w:val="nil"/>
                    <w:tr2bl w:val="nil"/>
                  </w:tcBorders>
                  <w:vAlign w:val="center"/>
                </w:tcPr>
                <w:p w14:paraId="4F9F0B20">
                  <w:pPr>
                    <w:pStyle w:val="126"/>
                    <w:tabs>
                      <w:tab w:val="left" w:pos="720"/>
                    </w:tabs>
                    <w:jc w:val="center"/>
                    <w:rPr>
                      <w:color w:val="auto"/>
                      <w:sz w:val="21"/>
                      <w:szCs w:val="21"/>
                      <w:lang w:bidi="he-IL"/>
                    </w:rPr>
                  </w:pPr>
                  <w:r>
                    <w:rPr>
                      <w:rFonts w:hint="eastAsia"/>
                      <w:color w:val="auto"/>
                      <w:sz w:val="21"/>
                      <w:szCs w:val="21"/>
                      <w:lang w:bidi="he-IL"/>
                    </w:rPr>
                    <w:t>0.0002</w:t>
                  </w:r>
                </w:p>
              </w:tc>
            </w:tr>
            <w:tr w14:paraId="73F2EA6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6" w:type="pct"/>
                  <w:gridSpan w:val="2"/>
                  <w:vMerge w:val="restart"/>
                  <w:tcBorders>
                    <w:tl2br w:val="nil"/>
                    <w:tr2bl w:val="nil"/>
                  </w:tcBorders>
                  <w:vAlign w:val="center"/>
                </w:tcPr>
                <w:p w14:paraId="044A7DDD">
                  <w:pPr>
                    <w:pStyle w:val="126"/>
                    <w:tabs>
                      <w:tab w:val="left" w:pos="720"/>
                    </w:tabs>
                    <w:jc w:val="center"/>
                    <w:rPr>
                      <w:color w:val="auto"/>
                      <w:sz w:val="21"/>
                      <w:szCs w:val="21"/>
                      <w:lang w:bidi="he-IL"/>
                    </w:rPr>
                  </w:pPr>
                  <w:bookmarkStart w:id="87" w:name="OLE_LINK64" w:colFirst="2" w:colLast="2"/>
                  <w:r>
                    <w:rPr>
                      <w:rFonts w:hint="eastAsia"/>
                      <w:color w:val="auto"/>
                      <w:sz w:val="21"/>
                      <w:szCs w:val="21"/>
                      <w:lang w:bidi="he-IL"/>
                    </w:rPr>
                    <w:t>全场排放口合计</w:t>
                  </w:r>
                </w:p>
              </w:tc>
              <w:tc>
                <w:tcPr>
                  <w:tcW w:w="2834" w:type="pct"/>
                  <w:gridSpan w:val="3"/>
                  <w:tcBorders>
                    <w:tl2br w:val="nil"/>
                    <w:tr2bl w:val="nil"/>
                  </w:tcBorders>
                  <w:vAlign w:val="center"/>
                </w:tcPr>
                <w:p w14:paraId="5857A503">
                  <w:pPr>
                    <w:pStyle w:val="126"/>
                    <w:tabs>
                      <w:tab w:val="left" w:pos="720"/>
                    </w:tabs>
                    <w:jc w:val="center"/>
                    <w:rPr>
                      <w:color w:val="auto"/>
                      <w:sz w:val="21"/>
                      <w:szCs w:val="21"/>
                      <w:lang w:bidi="he-IL"/>
                    </w:rPr>
                  </w:pPr>
                  <w:r>
                    <w:rPr>
                      <w:color w:val="auto"/>
                      <w:sz w:val="21"/>
                      <w:szCs w:val="21"/>
                      <w:lang w:bidi="he-IL"/>
                    </w:rPr>
                    <w:t>CODcr</w:t>
                  </w:r>
                </w:p>
              </w:tc>
              <w:tc>
                <w:tcPr>
                  <w:tcW w:w="928" w:type="pct"/>
                  <w:tcBorders>
                    <w:tl2br w:val="nil"/>
                    <w:tr2bl w:val="nil"/>
                  </w:tcBorders>
                  <w:shd w:val="clear" w:color="auto" w:fill="auto"/>
                  <w:vAlign w:val="center"/>
                </w:tcPr>
                <w:p w14:paraId="45E68967">
                  <w:pPr>
                    <w:pStyle w:val="126"/>
                    <w:tabs>
                      <w:tab w:val="left" w:pos="720"/>
                    </w:tabs>
                    <w:jc w:val="center"/>
                    <w:rPr>
                      <w:color w:val="auto"/>
                      <w:sz w:val="21"/>
                      <w:szCs w:val="21"/>
                      <w:lang w:bidi="he-IL"/>
                    </w:rPr>
                  </w:pPr>
                  <w:r>
                    <w:rPr>
                      <w:rFonts w:hint="eastAsia"/>
                      <w:color w:val="auto"/>
                      <w:sz w:val="21"/>
                      <w:szCs w:val="21"/>
                      <w:lang w:bidi="he-IL"/>
                    </w:rPr>
                    <w:t>0.012</w:t>
                  </w:r>
                </w:p>
              </w:tc>
            </w:tr>
            <w:tr w14:paraId="066EDD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6" w:type="pct"/>
                  <w:gridSpan w:val="2"/>
                  <w:vMerge w:val="continue"/>
                  <w:tcBorders>
                    <w:tl2br w:val="nil"/>
                    <w:tr2bl w:val="nil"/>
                  </w:tcBorders>
                  <w:vAlign w:val="center"/>
                </w:tcPr>
                <w:p w14:paraId="3F7CB78D">
                  <w:pPr>
                    <w:widowControl/>
                    <w:tabs>
                      <w:tab w:val="left" w:pos="720"/>
                    </w:tabs>
                    <w:ind w:firstLine="480"/>
                    <w:rPr>
                      <w:color w:val="auto"/>
                      <w:kern w:val="0"/>
                      <w:szCs w:val="21"/>
                      <w:lang w:bidi="he-IL"/>
                    </w:rPr>
                  </w:pPr>
                </w:p>
              </w:tc>
              <w:tc>
                <w:tcPr>
                  <w:tcW w:w="2834" w:type="pct"/>
                  <w:gridSpan w:val="3"/>
                  <w:tcBorders>
                    <w:tl2br w:val="nil"/>
                    <w:tr2bl w:val="nil"/>
                  </w:tcBorders>
                  <w:vAlign w:val="center"/>
                </w:tcPr>
                <w:p w14:paraId="7A7FC766">
                  <w:pPr>
                    <w:pStyle w:val="126"/>
                    <w:tabs>
                      <w:tab w:val="left" w:pos="720"/>
                    </w:tabs>
                    <w:jc w:val="center"/>
                    <w:rPr>
                      <w:color w:val="auto"/>
                      <w:sz w:val="21"/>
                      <w:szCs w:val="21"/>
                      <w:lang w:bidi="he-IL"/>
                    </w:rPr>
                  </w:pPr>
                  <w:r>
                    <w:rPr>
                      <w:color w:val="auto"/>
                      <w:sz w:val="21"/>
                      <w:szCs w:val="21"/>
                      <w:lang w:bidi="he-IL"/>
                    </w:rPr>
                    <w:t>BOD</w:t>
                  </w:r>
                  <w:r>
                    <w:rPr>
                      <w:color w:val="auto"/>
                      <w:sz w:val="21"/>
                      <w:szCs w:val="21"/>
                      <w:vertAlign w:val="subscript"/>
                      <w:lang w:bidi="he-IL"/>
                    </w:rPr>
                    <w:t>5</w:t>
                  </w:r>
                </w:p>
              </w:tc>
              <w:tc>
                <w:tcPr>
                  <w:tcW w:w="928" w:type="pct"/>
                  <w:tcBorders>
                    <w:tl2br w:val="nil"/>
                    <w:tr2bl w:val="nil"/>
                  </w:tcBorders>
                  <w:shd w:val="clear" w:color="auto" w:fill="auto"/>
                  <w:vAlign w:val="center"/>
                </w:tcPr>
                <w:p w14:paraId="3D2EE97A">
                  <w:pPr>
                    <w:pStyle w:val="126"/>
                    <w:tabs>
                      <w:tab w:val="left" w:pos="720"/>
                    </w:tabs>
                    <w:jc w:val="center"/>
                    <w:rPr>
                      <w:color w:val="auto"/>
                      <w:sz w:val="21"/>
                      <w:szCs w:val="21"/>
                      <w:lang w:bidi="he-IL"/>
                    </w:rPr>
                  </w:pPr>
                  <w:r>
                    <w:rPr>
                      <w:rFonts w:hint="eastAsia"/>
                      <w:color w:val="auto"/>
                      <w:sz w:val="21"/>
                      <w:szCs w:val="21"/>
                      <w:lang w:bidi="he-IL"/>
                    </w:rPr>
                    <w:t>0.006</w:t>
                  </w:r>
                </w:p>
              </w:tc>
            </w:tr>
            <w:tr w14:paraId="40EAFA1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6" w:type="pct"/>
                  <w:gridSpan w:val="2"/>
                  <w:vMerge w:val="continue"/>
                  <w:tcBorders>
                    <w:tl2br w:val="nil"/>
                    <w:tr2bl w:val="nil"/>
                  </w:tcBorders>
                  <w:vAlign w:val="center"/>
                </w:tcPr>
                <w:p w14:paraId="55EA2B90">
                  <w:pPr>
                    <w:widowControl/>
                    <w:tabs>
                      <w:tab w:val="left" w:pos="720"/>
                    </w:tabs>
                    <w:ind w:firstLine="480"/>
                    <w:rPr>
                      <w:color w:val="auto"/>
                      <w:kern w:val="0"/>
                      <w:szCs w:val="21"/>
                      <w:lang w:bidi="he-IL"/>
                    </w:rPr>
                  </w:pPr>
                </w:p>
              </w:tc>
              <w:tc>
                <w:tcPr>
                  <w:tcW w:w="2834" w:type="pct"/>
                  <w:gridSpan w:val="3"/>
                  <w:tcBorders>
                    <w:tl2br w:val="nil"/>
                    <w:tr2bl w:val="nil"/>
                  </w:tcBorders>
                  <w:vAlign w:val="center"/>
                </w:tcPr>
                <w:p w14:paraId="38ACE7FD">
                  <w:pPr>
                    <w:pStyle w:val="126"/>
                    <w:tabs>
                      <w:tab w:val="left" w:pos="720"/>
                    </w:tabs>
                    <w:jc w:val="center"/>
                    <w:rPr>
                      <w:color w:val="auto"/>
                      <w:sz w:val="21"/>
                      <w:szCs w:val="21"/>
                      <w:lang w:bidi="he-IL"/>
                    </w:rPr>
                  </w:pPr>
                  <w:r>
                    <w:rPr>
                      <w:color w:val="auto"/>
                      <w:sz w:val="21"/>
                      <w:szCs w:val="21"/>
                      <w:lang w:bidi="he-IL"/>
                    </w:rPr>
                    <w:t>SS</w:t>
                  </w:r>
                </w:p>
              </w:tc>
              <w:tc>
                <w:tcPr>
                  <w:tcW w:w="928" w:type="pct"/>
                  <w:tcBorders>
                    <w:tl2br w:val="nil"/>
                    <w:tr2bl w:val="nil"/>
                  </w:tcBorders>
                  <w:shd w:val="clear" w:color="auto" w:fill="auto"/>
                  <w:vAlign w:val="center"/>
                </w:tcPr>
                <w:p w14:paraId="3474A584">
                  <w:pPr>
                    <w:pStyle w:val="126"/>
                    <w:tabs>
                      <w:tab w:val="left" w:pos="720"/>
                    </w:tabs>
                    <w:jc w:val="center"/>
                    <w:rPr>
                      <w:color w:val="auto"/>
                      <w:sz w:val="21"/>
                      <w:szCs w:val="21"/>
                      <w:lang w:bidi="he-IL"/>
                    </w:rPr>
                  </w:pPr>
                  <w:r>
                    <w:rPr>
                      <w:rFonts w:hint="eastAsia"/>
                      <w:color w:val="auto"/>
                      <w:sz w:val="21"/>
                      <w:szCs w:val="21"/>
                      <w:lang w:bidi="he-IL"/>
                    </w:rPr>
                    <w:t>0.006</w:t>
                  </w:r>
                </w:p>
              </w:tc>
            </w:tr>
            <w:tr w14:paraId="49CBE45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6" w:type="pct"/>
                  <w:gridSpan w:val="2"/>
                  <w:vMerge w:val="continue"/>
                  <w:tcBorders>
                    <w:tl2br w:val="nil"/>
                    <w:tr2bl w:val="nil"/>
                  </w:tcBorders>
                  <w:vAlign w:val="center"/>
                </w:tcPr>
                <w:p w14:paraId="0B16EFED">
                  <w:pPr>
                    <w:widowControl/>
                    <w:tabs>
                      <w:tab w:val="left" w:pos="720"/>
                    </w:tabs>
                    <w:ind w:firstLine="480"/>
                    <w:rPr>
                      <w:color w:val="auto"/>
                      <w:kern w:val="0"/>
                      <w:szCs w:val="21"/>
                      <w:lang w:bidi="he-IL"/>
                    </w:rPr>
                  </w:pPr>
                </w:p>
              </w:tc>
              <w:tc>
                <w:tcPr>
                  <w:tcW w:w="2834" w:type="pct"/>
                  <w:gridSpan w:val="3"/>
                  <w:tcBorders>
                    <w:tl2br w:val="nil"/>
                    <w:tr2bl w:val="nil"/>
                  </w:tcBorders>
                  <w:vAlign w:val="center"/>
                </w:tcPr>
                <w:p w14:paraId="3DA05E34">
                  <w:pPr>
                    <w:pStyle w:val="126"/>
                    <w:tabs>
                      <w:tab w:val="left" w:pos="720"/>
                    </w:tabs>
                    <w:jc w:val="center"/>
                    <w:rPr>
                      <w:color w:val="auto"/>
                      <w:sz w:val="21"/>
                      <w:szCs w:val="21"/>
                      <w:lang w:bidi="he-IL"/>
                    </w:rPr>
                  </w:pPr>
                  <w:r>
                    <w:rPr>
                      <w:color w:val="auto"/>
                      <w:sz w:val="21"/>
                      <w:szCs w:val="21"/>
                      <w:lang w:bidi="he-IL"/>
                    </w:rPr>
                    <w:t>NH</w:t>
                  </w:r>
                  <w:r>
                    <w:rPr>
                      <w:color w:val="auto"/>
                      <w:sz w:val="21"/>
                      <w:szCs w:val="21"/>
                      <w:vertAlign w:val="subscript"/>
                      <w:lang w:bidi="he-IL"/>
                    </w:rPr>
                    <w:t>3</w:t>
                  </w:r>
                  <w:r>
                    <w:rPr>
                      <w:color w:val="auto"/>
                      <w:sz w:val="21"/>
                      <w:szCs w:val="21"/>
                      <w:lang w:bidi="he-IL"/>
                    </w:rPr>
                    <w:t>-N</w:t>
                  </w:r>
                </w:p>
              </w:tc>
              <w:tc>
                <w:tcPr>
                  <w:tcW w:w="928" w:type="pct"/>
                  <w:tcBorders>
                    <w:tl2br w:val="nil"/>
                    <w:tr2bl w:val="nil"/>
                  </w:tcBorders>
                  <w:shd w:val="clear" w:color="auto" w:fill="auto"/>
                  <w:vAlign w:val="center"/>
                </w:tcPr>
                <w:p w14:paraId="486E8520">
                  <w:pPr>
                    <w:pStyle w:val="126"/>
                    <w:tabs>
                      <w:tab w:val="left" w:pos="720"/>
                    </w:tabs>
                    <w:jc w:val="center"/>
                    <w:rPr>
                      <w:color w:val="auto"/>
                      <w:sz w:val="21"/>
                      <w:szCs w:val="21"/>
                      <w:lang w:bidi="he-IL"/>
                    </w:rPr>
                  </w:pPr>
                  <w:r>
                    <w:rPr>
                      <w:rFonts w:hint="eastAsia"/>
                      <w:color w:val="auto"/>
                      <w:sz w:val="21"/>
                      <w:szCs w:val="21"/>
                      <w:lang w:bidi="he-IL"/>
                    </w:rPr>
                    <w:t>0.002</w:t>
                  </w:r>
                </w:p>
              </w:tc>
            </w:tr>
            <w:tr w14:paraId="621DD33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6" w:type="pct"/>
                  <w:gridSpan w:val="2"/>
                  <w:vMerge w:val="continue"/>
                  <w:tcBorders>
                    <w:tl2br w:val="nil"/>
                    <w:tr2bl w:val="nil"/>
                  </w:tcBorders>
                  <w:vAlign w:val="center"/>
                </w:tcPr>
                <w:p w14:paraId="447ACD79">
                  <w:pPr>
                    <w:widowControl/>
                    <w:tabs>
                      <w:tab w:val="left" w:pos="720"/>
                    </w:tabs>
                    <w:ind w:firstLine="480"/>
                    <w:rPr>
                      <w:color w:val="auto"/>
                      <w:kern w:val="0"/>
                      <w:szCs w:val="21"/>
                      <w:lang w:bidi="he-IL"/>
                    </w:rPr>
                  </w:pPr>
                </w:p>
              </w:tc>
              <w:tc>
                <w:tcPr>
                  <w:tcW w:w="2834" w:type="pct"/>
                  <w:gridSpan w:val="3"/>
                  <w:tcBorders>
                    <w:tl2br w:val="nil"/>
                    <w:tr2bl w:val="nil"/>
                  </w:tcBorders>
                  <w:vAlign w:val="center"/>
                </w:tcPr>
                <w:p w14:paraId="071AD9F2">
                  <w:pPr>
                    <w:pStyle w:val="126"/>
                    <w:tabs>
                      <w:tab w:val="left" w:pos="720"/>
                    </w:tabs>
                    <w:jc w:val="center"/>
                    <w:rPr>
                      <w:color w:val="auto"/>
                      <w:sz w:val="21"/>
                      <w:szCs w:val="21"/>
                      <w:lang w:bidi="he-IL"/>
                    </w:rPr>
                  </w:pPr>
                  <w:r>
                    <w:rPr>
                      <w:rFonts w:hint="eastAsia"/>
                      <w:color w:val="auto"/>
                      <w:sz w:val="21"/>
                      <w:szCs w:val="21"/>
                      <w:lang w:bidi="he-IL"/>
                    </w:rPr>
                    <w:t>Tp</w:t>
                  </w:r>
                </w:p>
              </w:tc>
              <w:tc>
                <w:tcPr>
                  <w:tcW w:w="928" w:type="pct"/>
                  <w:tcBorders>
                    <w:tl2br w:val="nil"/>
                    <w:tr2bl w:val="nil"/>
                  </w:tcBorders>
                  <w:shd w:val="clear" w:color="auto" w:fill="auto"/>
                  <w:vAlign w:val="center"/>
                </w:tcPr>
                <w:p w14:paraId="537EA9BE">
                  <w:pPr>
                    <w:pStyle w:val="126"/>
                    <w:tabs>
                      <w:tab w:val="left" w:pos="720"/>
                    </w:tabs>
                    <w:jc w:val="center"/>
                    <w:rPr>
                      <w:color w:val="auto"/>
                      <w:sz w:val="21"/>
                      <w:szCs w:val="21"/>
                      <w:lang w:bidi="he-IL"/>
                    </w:rPr>
                  </w:pPr>
                  <w:r>
                    <w:rPr>
                      <w:rFonts w:hint="eastAsia"/>
                      <w:color w:val="auto"/>
                      <w:sz w:val="21"/>
                      <w:szCs w:val="21"/>
                      <w:lang w:bidi="he-IL"/>
                    </w:rPr>
                    <w:t>0.0002</w:t>
                  </w:r>
                </w:p>
              </w:tc>
            </w:tr>
            <w:bookmarkEnd w:id="87"/>
          </w:tbl>
          <w:p w14:paraId="6B48183F">
            <w:pPr>
              <w:pStyle w:val="5"/>
              <w:spacing w:before="120" w:beforeLines="50"/>
              <w:rPr>
                <w:b/>
                <w:bCs/>
                <w:color w:val="auto"/>
              </w:rPr>
            </w:pPr>
            <w:r>
              <w:rPr>
                <w:rFonts w:hint="eastAsia"/>
                <w:color w:val="auto"/>
              </w:rPr>
              <w:t>三、</w:t>
            </w:r>
            <w:r>
              <w:rPr>
                <w:rFonts w:ascii="Times New Roman" w:hAnsi="Times New Roman"/>
                <w:b/>
                <w:bCs/>
                <w:color w:val="auto"/>
                <w:sz w:val="24"/>
                <w:szCs w:val="24"/>
              </w:rPr>
              <w:t>噪声</w:t>
            </w:r>
          </w:p>
          <w:p w14:paraId="3C369772">
            <w:pPr>
              <w:ind w:firstLine="482" w:firstLineChars="200"/>
              <w:rPr>
                <w:b/>
                <w:bCs/>
                <w:color w:val="auto"/>
              </w:rPr>
            </w:pPr>
            <w:r>
              <w:rPr>
                <w:rFonts w:hint="eastAsia"/>
                <w:b/>
                <w:bCs/>
                <w:color w:val="auto"/>
              </w:rPr>
              <w:t>1、</w:t>
            </w:r>
            <w:r>
              <w:rPr>
                <w:b/>
                <w:bCs/>
                <w:color w:val="auto"/>
              </w:rPr>
              <w:t>噪声源强及防治措施</w:t>
            </w:r>
          </w:p>
          <w:p w14:paraId="0F77ADAE">
            <w:pPr>
              <w:pStyle w:val="5"/>
              <w:adjustRightInd w:val="0"/>
              <w:snapToGrid w:val="0"/>
              <w:spacing w:line="240" w:lineRule="auto"/>
              <w:ind w:firstLine="480"/>
              <w:rPr>
                <w:rFonts w:ascii="Times New Roman" w:hAnsi="Times New Roman"/>
                <w:color w:val="auto"/>
                <w:sz w:val="24"/>
                <w:szCs w:val="24"/>
              </w:rPr>
            </w:pPr>
            <w:r>
              <w:rPr>
                <w:color w:val="auto"/>
                <w:sz w:val="24"/>
                <w:szCs w:val="24"/>
              </w:rPr>
              <w:t>本项目运营期产生的噪声主要</w:t>
            </w:r>
            <w:r>
              <w:rPr>
                <w:rFonts w:ascii="Times New Roman" w:hAnsi="Times New Roman"/>
                <w:color w:val="auto"/>
                <w:sz w:val="24"/>
                <w:szCs w:val="24"/>
              </w:rPr>
              <w:t>为设备运行噪声，噪声级在</w:t>
            </w:r>
            <w:r>
              <w:rPr>
                <w:rFonts w:hint="eastAsia" w:ascii="Times New Roman" w:hAnsi="Times New Roman"/>
                <w:color w:val="auto"/>
                <w:sz w:val="24"/>
                <w:szCs w:val="24"/>
              </w:rPr>
              <w:t>65</w:t>
            </w:r>
            <w:r>
              <w:rPr>
                <w:rFonts w:ascii="Times New Roman" w:hAnsi="Times New Roman"/>
                <w:color w:val="auto"/>
                <w:sz w:val="24"/>
                <w:szCs w:val="24"/>
              </w:rPr>
              <w:t>~80dB(A)之间，项目主要噪声源强调查清单详见表4-</w:t>
            </w:r>
            <w:r>
              <w:rPr>
                <w:rFonts w:hint="eastAsia" w:ascii="Times New Roman" w:hAnsi="Times New Roman"/>
                <w:color w:val="auto"/>
                <w:sz w:val="24"/>
                <w:szCs w:val="24"/>
              </w:rPr>
              <w:t>12</w:t>
            </w:r>
            <w:r>
              <w:rPr>
                <w:rFonts w:ascii="Times New Roman" w:hAnsi="Times New Roman"/>
                <w:color w:val="auto"/>
                <w:sz w:val="24"/>
                <w:szCs w:val="24"/>
              </w:rPr>
              <w:t>。</w:t>
            </w:r>
          </w:p>
          <w:p w14:paraId="16647DB6">
            <w:pPr>
              <w:rPr>
                <w:rFonts w:ascii="Times New Roman" w:hAnsi="Times New Roman"/>
                <w:color w:val="auto"/>
                <w:sz w:val="24"/>
                <w:szCs w:val="24"/>
              </w:rPr>
            </w:pPr>
          </w:p>
          <w:p w14:paraId="205FCD16">
            <w:pPr>
              <w:pStyle w:val="5"/>
              <w:rPr>
                <w:rFonts w:ascii="Times New Roman" w:hAnsi="Times New Roman"/>
                <w:color w:val="auto"/>
                <w:sz w:val="24"/>
                <w:szCs w:val="24"/>
              </w:rPr>
            </w:pPr>
          </w:p>
          <w:p w14:paraId="1DF4BC73">
            <w:pPr>
              <w:rPr>
                <w:rFonts w:ascii="Times New Roman" w:hAnsi="Times New Roman"/>
                <w:color w:val="auto"/>
                <w:sz w:val="24"/>
                <w:szCs w:val="24"/>
              </w:rPr>
            </w:pPr>
          </w:p>
          <w:p w14:paraId="5D07E80F">
            <w:pPr>
              <w:rPr>
                <w:rFonts w:ascii="Times New Roman" w:hAnsi="Times New Roman"/>
                <w:color w:val="auto"/>
                <w:sz w:val="24"/>
                <w:szCs w:val="24"/>
              </w:rPr>
            </w:pPr>
          </w:p>
          <w:p w14:paraId="5F6B099E">
            <w:pPr>
              <w:rPr>
                <w:rFonts w:ascii="Times New Roman" w:hAnsi="Times New Roman"/>
                <w:color w:val="auto"/>
                <w:sz w:val="24"/>
                <w:szCs w:val="24"/>
              </w:rPr>
            </w:pPr>
          </w:p>
          <w:p w14:paraId="0887B9DD">
            <w:pPr>
              <w:rPr>
                <w:rFonts w:ascii="Times New Roman" w:hAnsi="Times New Roman"/>
                <w:color w:val="auto"/>
                <w:sz w:val="24"/>
                <w:szCs w:val="24"/>
              </w:rPr>
            </w:pPr>
          </w:p>
          <w:p w14:paraId="69176E73">
            <w:pPr>
              <w:rPr>
                <w:rFonts w:ascii="Times New Roman" w:hAnsi="Times New Roman"/>
                <w:color w:val="auto"/>
                <w:sz w:val="24"/>
                <w:szCs w:val="24"/>
              </w:rPr>
            </w:pPr>
          </w:p>
          <w:p w14:paraId="57B3BA3C">
            <w:pPr>
              <w:pStyle w:val="5"/>
              <w:rPr>
                <w:rFonts w:ascii="Times New Roman" w:hAnsi="Times New Roman"/>
                <w:color w:val="auto"/>
                <w:sz w:val="24"/>
                <w:szCs w:val="24"/>
              </w:rPr>
            </w:pPr>
          </w:p>
          <w:p w14:paraId="583A40A0">
            <w:pPr>
              <w:rPr>
                <w:color w:val="auto"/>
              </w:rPr>
            </w:pPr>
          </w:p>
        </w:tc>
      </w:tr>
    </w:tbl>
    <w:p w14:paraId="32A609A8">
      <w:pPr>
        <w:rPr>
          <w:color w:val="auto"/>
        </w:rPr>
        <w:sectPr>
          <w:footerReference r:id="rId7" w:type="default"/>
          <w:pgSz w:w="11906" w:h="16838"/>
          <w:pgMar w:top="1701" w:right="1531" w:bottom="1701" w:left="1531" w:header="851" w:footer="1020" w:gutter="0"/>
          <w:pgNumType w:fmt="decimal" w:start="1"/>
          <w:cols w:space="720" w:num="1"/>
          <w:docGrid w:linePitch="326" w:charSpace="0"/>
        </w:sectPr>
      </w:pPr>
      <w:bookmarkStart w:id="88" w:name="_Toc80604822"/>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3121"/>
      </w:tblGrid>
      <w:tr w14:paraId="7445B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166" w:type="pct"/>
            <w:tcMar>
              <w:left w:w="28" w:type="dxa"/>
              <w:right w:w="28" w:type="dxa"/>
            </w:tcMar>
            <w:vAlign w:val="center"/>
          </w:tcPr>
          <w:p w14:paraId="2FC00EF4">
            <w:pPr>
              <w:jc w:val="center"/>
              <w:rPr>
                <w:b/>
                <w:color w:val="auto"/>
              </w:rPr>
            </w:pPr>
            <w:r>
              <w:rPr>
                <w:b/>
                <w:color w:val="auto"/>
              </w:rPr>
              <w:t>运</w:t>
            </w:r>
          </w:p>
          <w:p w14:paraId="5C566117">
            <w:pPr>
              <w:jc w:val="center"/>
              <w:rPr>
                <w:b/>
                <w:color w:val="auto"/>
              </w:rPr>
            </w:pPr>
            <w:r>
              <w:rPr>
                <w:b/>
                <w:color w:val="auto"/>
              </w:rPr>
              <w:t>营</w:t>
            </w:r>
          </w:p>
          <w:p w14:paraId="3FFC6910">
            <w:pPr>
              <w:jc w:val="center"/>
              <w:rPr>
                <w:b/>
                <w:color w:val="auto"/>
              </w:rPr>
            </w:pPr>
            <w:r>
              <w:rPr>
                <w:b/>
                <w:color w:val="auto"/>
              </w:rPr>
              <w:t>期</w:t>
            </w:r>
          </w:p>
          <w:p w14:paraId="568A523A">
            <w:pPr>
              <w:jc w:val="center"/>
              <w:rPr>
                <w:b/>
                <w:color w:val="auto"/>
              </w:rPr>
            </w:pPr>
            <w:r>
              <w:rPr>
                <w:b/>
                <w:color w:val="auto"/>
              </w:rPr>
              <w:t>环</w:t>
            </w:r>
          </w:p>
          <w:p w14:paraId="7DAD09F9">
            <w:pPr>
              <w:jc w:val="center"/>
              <w:rPr>
                <w:b/>
                <w:color w:val="auto"/>
              </w:rPr>
            </w:pPr>
            <w:r>
              <w:rPr>
                <w:b/>
                <w:color w:val="auto"/>
              </w:rPr>
              <w:t>境</w:t>
            </w:r>
          </w:p>
          <w:p w14:paraId="0AEF1AF5">
            <w:pPr>
              <w:jc w:val="center"/>
              <w:rPr>
                <w:b/>
                <w:color w:val="auto"/>
              </w:rPr>
            </w:pPr>
            <w:r>
              <w:rPr>
                <w:b/>
                <w:color w:val="auto"/>
              </w:rPr>
              <w:t>影</w:t>
            </w:r>
          </w:p>
          <w:p w14:paraId="0DD1023D">
            <w:pPr>
              <w:jc w:val="center"/>
              <w:rPr>
                <w:b/>
                <w:color w:val="auto"/>
              </w:rPr>
            </w:pPr>
            <w:r>
              <w:rPr>
                <w:b/>
                <w:color w:val="auto"/>
              </w:rPr>
              <w:t>响</w:t>
            </w:r>
          </w:p>
          <w:p w14:paraId="5AD79F7C">
            <w:pPr>
              <w:jc w:val="center"/>
              <w:rPr>
                <w:b/>
                <w:color w:val="auto"/>
              </w:rPr>
            </w:pPr>
            <w:r>
              <w:rPr>
                <w:b/>
                <w:color w:val="auto"/>
              </w:rPr>
              <w:t>和</w:t>
            </w:r>
          </w:p>
          <w:p w14:paraId="037EB804">
            <w:pPr>
              <w:jc w:val="center"/>
              <w:rPr>
                <w:b/>
                <w:color w:val="auto"/>
              </w:rPr>
            </w:pPr>
            <w:r>
              <w:rPr>
                <w:b/>
                <w:color w:val="auto"/>
              </w:rPr>
              <w:t>保</w:t>
            </w:r>
          </w:p>
          <w:p w14:paraId="66968A42">
            <w:pPr>
              <w:jc w:val="center"/>
              <w:rPr>
                <w:b/>
                <w:color w:val="auto"/>
              </w:rPr>
            </w:pPr>
            <w:r>
              <w:rPr>
                <w:b/>
                <w:color w:val="auto"/>
              </w:rPr>
              <w:t>护</w:t>
            </w:r>
          </w:p>
          <w:p w14:paraId="3C28C38A">
            <w:pPr>
              <w:jc w:val="center"/>
              <w:rPr>
                <w:b/>
                <w:color w:val="auto"/>
              </w:rPr>
            </w:pPr>
            <w:r>
              <w:rPr>
                <w:b/>
                <w:color w:val="auto"/>
              </w:rPr>
              <w:t>措</w:t>
            </w:r>
          </w:p>
          <w:p w14:paraId="0F670CBA">
            <w:pPr>
              <w:jc w:val="center"/>
              <w:rPr>
                <w:b/>
                <w:bCs/>
                <w:color w:val="auto"/>
                <w:szCs w:val="21"/>
              </w:rPr>
            </w:pPr>
            <w:r>
              <w:rPr>
                <w:b/>
                <w:color w:val="auto"/>
              </w:rPr>
              <w:t>施</w:t>
            </w:r>
          </w:p>
        </w:tc>
        <w:tc>
          <w:tcPr>
            <w:tcW w:w="4834" w:type="pct"/>
          </w:tcPr>
          <w:p w14:paraId="27BBE4B5">
            <w:pPr>
              <w:spacing w:line="240" w:lineRule="auto"/>
              <w:jc w:val="center"/>
              <w:rPr>
                <w:b/>
                <w:bCs/>
                <w:color w:val="auto"/>
              </w:rPr>
            </w:pPr>
            <w:r>
              <w:rPr>
                <w:b/>
                <w:bCs/>
                <w:color w:val="auto"/>
              </w:rPr>
              <w:t>表</w:t>
            </w:r>
            <w:r>
              <w:rPr>
                <w:rFonts w:hint="eastAsia"/>
                <w:b/>
                <w:bCs/>
                <w:color w:val="auto"/>
              </w:rPr>
              <w:t xml:space="preserve">4-12  </w:t>
            </w:r>
            <w:r>
              <w:rPr>
                <w:b/>
                <w:bCs/>
                <w:color w:val="auto"/>
              </w:rPr>
              <w:t>项目</w:t>
            </w:r>
            <w:r>
              <w:rPr>
                <w:rFonts w:hint="eastAsia"/>
                <w:b/>
                <w:bCs/>
                <w:color w:val="auto"/>
              </w:rPr>
              <w:t>设备</w:t>
            </w:r>
            <w:r>
              <w:rPr>
                <w:b/>
                <w:bCs/>
                <w:color w:val="auto"/>
              </w:rPr>
              <w:t>噪声源</w:t>
            </w:r>
            <w:r>
              <w:rPr>
                <w:rFonts w:hint="eastAsia"/>
                <w:b/>
                <w:bCs/>
                <w:color w:val="auto"/>
              </w:rPr>
              <w:t>强调查清单（室内声源）</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478"/>
              <w:gridCol w:w="673"/>
              <w:gridCol w:w="921"/>
              <w:gridCol w:w="831"/>
              <w:gridCol w:w="508"/>
              <w:gridCol w:w="531"/>
              <w:gridCol w:w="552"/>
              <w:gridCol w:w="916"/>
              <w:gridCol w:w="895"/>
              <w:gridCol w:w="720"/>
              <w:gridCol w:w="973"/>
              <w:gridCol w:w="1259"/>
              <w:gridCol w:w="1878"/>
            </w:tblGrid>
            <w:tr w14:paraId="6732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1" w:type="pct"/>
                  <w:vMerge w:val="restart"/>
                  <w:tcMar>
                    <w:top w:w="0" w:type="dxa"/>
                    <w:left w:w="0" w:type="dxa"/>
                    <w:bottom w:w="0" w:type="dxa"/>
                    <w:right w:w="0" w:type="dxa"/>
                  </w:tcMar>
                  <w:vAlign w:val="center"/>
                </w:tcPr>
                <w:p w14:paraId="24EA9EA7">
                  <w:pPr>
                    <w:pStyle w:val="115"/>
                    <w:rPr>
                      <w:rFonts w:ascii="Times New Roman" w:hAnsi="Times New Roman"/>
                      <w:color w:val="auto"/>
                      <w:szCs w:val="21"/>
                    </w:rPr>
                  </w:pPr>
                  <w:r>
                    <w:rPr>
                      <w:rFonts w:ascii="Times New Roman" w:hAnsi="Times New Roman"/>
                      <w:color w:val="auto"/>
                      <w:szCs w:val="21"/>
                    </w:rPr>
                    <w:t>噪声源</w:t>
                  </w:r>
                </w:p>
                <w:p w14:paraId="6F7CD183">
                  <w:pPr>
                    <w:pStyle w:val="115"/>
                    <w:rPr>
                      <w:rFonts w:ascii="Times New Roman" w:hAnsi="Times New Roman"/>
                      <w:color w:val="auto"/>
                      <w:szCs w:val="21"/>
                    </w:rPr>
                  </w:pPr>
                  <w:r>
                    <w:rPr>
                      <w:rFonts w:ascii="Times New Roman" w:hAnsi="Times New Roman"/>
                      <w:color w:val="auto"/>
                      <w:szCs w:val="21"/>
                    </w:rPr>
                    <w:t>位置</w:t>
                  </w:r>
                </w:p>
              </w:tc>
              <w:tc>
                <w:tcPr>
                  <w:tcW w:w="573" w:type="pct"/>
                  <w:vMerge w:val="restart"/>
                  <w:tcMar>
                    <w:top w:w="0" w:type="dxa"/>
                    <w:left w:w="0" w:type="dxa"/>
                    <w:bottom w:w="0" w:type="dxa"/>
                    <w:right w:w="0" w:type="dxa"/>
                  </w:tcMar>
                  <w:vAlign w:val="center"/>
                </w:tcPr>
                <w:p w14:paraId="13E9F026">
                  <w:pPr>
                    <w:pStyle w:val="115"/>
                    <w:rPr>
                      <w:rFonts w:ascii="Times New Roman" w:hAnsi="Times New Roman"/>
                      <w:color w:val="auto"/>
                      <w:szCs w:val="21"/>
                    </w:rPr>
                  </w:pPr>
                  <w:r>
                    <w:rPr>
                      <w:rFonts w:ascii="Times New Roman" w:hAnsi="Times New Roman"/>
                      <w:color w:val="auto"/>
                      <w:szCs w:val="21"/>
                    </w:rPr>
                    <w:t>噪声源名称</w:t>
                  </w:r>
                </w:p>
              </w:tc>
              <w:tc>
                <w:tcPr>
                  <w:tcW w:w="261" w:type="pct"/>
                  <w:vMerge w:val="restart"/>
                  <w:tcMar>
                    <w:top w:w="0" w:type="dxa"/>
                    <w:left w:w="0" w:type="dxa"/>
                    <w:bottom w:w="0" w:type="dxa"/>
                    <w:right w:w="0" w:type="dxa"/>
                  </w:tcMar>
                  <w:vAlign w:val="center"/>
                </w:tcPr>
                <w:p w14:paraId="3DAE403E">
                  <w:pPr>
                    <w:pStyle w:val="115"/>
                    <w:rPr>
                      <w:rFonts w:ascii="Times New Roman" w:hAnsi="Times New Roman"/>
                      <w:color w:val="auto"/>
                      <w:szCs w:val="21"/>
                    </w:rPr>
                  </w:pPr>
                  <w:r>
                    <w:rPr>
                      <w:rFonts w:ascii="Times New Roman" w:hAnsi="Times New Roman"/>
                      <w:color w:val="auto"/>
                      <w:szCs w:val="21"/>
                    </w:rPr>
                    <w:t>数量</w:t>
                  </w:r>
                </w:p>
                <w:p w14:paraId="1C5E79F0">
                  <w:pPr>
                    <w:pStyle w:val="115"/>
                    <w:rPr>
                      <w:rFonts w:ascii="Times New Roman" w:hAnsi="Times New Roman"/>
                      <w:color w:val="auto"/>
                      <w:szCs w:val="21"/>
                    </w:rPr>
                  </w:pPr>
                  <w:r>
                    <w:rPr>
                      <w:rFonts w:ascii="Times New Roman" w:hAnsi="Times New Roman"/>
                      <w:color w:val="auto"/>
                      <w:szCs w:val="21"/>
                    </w:rPr>
                    <w:t>/台</w:t>
                  </w:r>
                </w:p>
              </w:tc>
              <w:tc>
                <w:tcPr>
                  <w:tcW w:w="357" w:type="pct"/>
                  <w:vMerge w:val="restart"/>
                  <w:tcMar>
                    <w:top w:w="0" w:type="dxa"/>
                    <w:left w:w="0" w:type="dxa"/>
                    <w:bottom w:w="0" w:type="dxa"/>
                    <w:right w:w="0" w:type="dxa"/>
                  </w:tcMar>
                  <w:vAlign w:val="center"/>
                </w:tcPr>
                <w:p w14:paraId="7E51135D">
                  <w:pPr>
                    <w:pStyle w:val="115"/>
                    <w:rPr>
                      <w:rFonts w:ascii="Times New Roman" w:hAnsi="Times New Roman"/>
                      <w:color w:val="auto"/>
                      <w:szCs w:val="21"/>
                    </w:rPr>
                  </w:pPr>
                  <w:r>
                    <w:rPr>
                      <w:rFonts w:ascii="Times New Roman" w:hAnsi="Times New Roman"/>
                      <w:color w:val="auto"/>
                      <w:szCs w:val="21"/>
                    </w:rPr>
                    <w:t>单台源强/</w:t>
                  </w:r>
                </w:p>
                <w:p w14:paraId="0CFE314D">
                  <w:pPr>
                    <w:pStyle w:val="115"/>
                    <w:rPr>
                      <w:rFonts w:ascii="Times New Roman" w:hAnsi="Times New Roman"/>
                      <w:color w:val="auto"/>
                      <w:szCs w:val="21"/>
                    </w:rPr>
                  </w:pPr>
                  <w:r>
                    <w:rPr>
                      <w:rFonts w:ascii="Times New Roman" w:hAnsi="Times New Roman"/>
                      <w:color w:val="auto"/>
                      <w:szCs w:val="21"/>
                    </w:rPr>
                    <w:t>dB（A）</w:t>
                  </w:r>
                </w:p>
              </w:tc>
              <w:tc>
                <w:tcPr>
                  <w:tcW w:w="322" w:type="pct"/>
                  <w:vMerge w:val="restart"/>
                  <w:tcMar>
                    <w:top w:w="0" w:type="dxa"/>
                    <w:left w:w="0" w:type="dxa"/>
                    <w:bottom w:w="0" w:type="dxa"/>
                    <w:right w:w="0" w:type="dxa"/>
                  </w:tcMar>
                  <w:vAlign w:val="center"/>
                </w:tcPr>
                <w:p w14:paraId="584E3DAD">
                  <w:pPr>
                    <w:pStyle w:val="115"/>
                    <w:rPr>
                      <w:rFonts w:ascii="Times New Roman" w:hAnsi="Times New Roman"/>
                      <w:color w:val="auto"/>
                      <w:szCs w:val="21"/>
                    </w:rPr>
                  </w:pPr>
                  <w:r>
                    <w:rPr>
                      <w:rFonts w:ascii="Times New Roman" w:hAnsi="Times New Roman"/>
                      <w:color w:val="auto"/>
                      <w:szCs w:val="21"/>
                    </w:rPr>
                    <w:t>降噪措施</w:t>
                  </w:r>
                </w:p>
              </w:tc>
              <w:tc>
                <w:tcPr>
                  <w:tcW w:w="617" w:type="pct"/>
                  <w:gridSpan w:val="3"/>
                  <w:tcMar>
                    <w:top w:w="0" w:type="dxa"/>
                    <w:left w:w="0" w:type="dxa"/>
                    <w:bottom w:w="0" w:type="dxa"/>
                    <w:right w:w="0" w:type="dxa"/>
                  </w:tcMar>
                  <w:vAlign w:val="center"/>
                </w:tcPr>
                <w:p w14:paraId="42E35AF2">
                  <w:pPr>
                    <w:pStyle w:val="3"/>
                    <w:keepNext w:val="0"/>
                    <w:keepLines w:val="0"/>
                    <w:spacing w:line="240" w:lineRule="auto"/>
                    <w:jc w:val="center"/>
                    <w:rPr>
                      <w:b w:val="0"/>
                      <w:bCs w:val="0"/>
                      <w:color w:val="auto"/>
                      <w:sz w:val="21"/>
                      <w:szCs w:val="21"/>
                    </w:rPr>
                  </w:pPr>
                  <w:r>
                    <w:rPr>
                      <w:color w:val="auto"/>
                      <w:sz w:val="21"/>
                      <w:szCs w:val="21"/>
                    </w:rPr>
                    <w:t>空间相对位置</w:t>
                  </w:r>
                </w:p>
              </w:tc>
              <w:tc>
                <w:tcPr>
                  <w:tcW w:w="355" w:type="pct"/>
                  <w:vMerge w:val="restart"/>
                  <w:tcMar>
                    <w:top w:w="0" w:type="dxa"/>
                    <w:left w:w="0" w:type="dxa"/>
                    <w:bottom w:w="0" w:type="dxa"/>
                    <w:right w:w="0" w:type="dxa"/>
                  </w:tcMar>
                  <w:vAlign w:val="center"/>
                </w:tcPr>
                <w:p w14:paraId="1B68B796">
                  <w:pPr>
                    <w:pStyle w:val="115"/>
                    <w:rPr>
                      <w:rFonts w:ascii="Times New Roman" w:hAnsi="Times New Roman"/>
                      <w:color w:val="auto"/>
                      <w:szCs w:val="21"/>
                    </w:rPr>
                  </w:pPr>
                  <w:r>
                    <w:rPr>
                      <w:rFonts w:ascii="Times New Roman" w:hAnsi="Times New Roman"/>
                      <w:color w:val="auto"/>
                      <w:szCs w:val="21"/>
                    </w:rPr>
                    <w:t>距室内边界距离/m</w:t>
                  </w:r>
                </w:p>
              </w:tc>
              <w:tc>
                <w:tcPr>
                  <w:tcW w:w="347" w:type="pct"/>
                  <w:vMerge w:val="restart"/>
                  <w:tcMar>
                    <w:top w:w="0" w:type="dxa"/>
                    <w:left w:w="0" w:type="dxa"/>
                    <w:bottom w:w="0" w:type="dxa"/>
                    <w:right w:w="0" w:type="dxa"/>
                  </w:tcMar>
                  <w:vAlign w:val="center"/>
                </w:tcPr>
                <w:p w14:paraId="693E0A55">
                  <w:pPr>
                    <w:pStyle w:val="115"/>
                    <w:rPr>
                      <w:rFonts w:ascii="Times New Roman" w:hAnsi="Times New Roman"/>
                      <w:color w:val="auto"/>
                      <w:szCs w:val="21"/>
                    </w:rPr>
                  </w:pPr>
                  <w:r>
                    <w:rPr>
                      <w:rFonts w:ascii="Times New Roman" w:hAnsi="Times New Roman"/>
                      <w:color w:val="auto"/>
                      <w:szCs w:val="21"/>
                    </w:rPr>
                    <w:t>室内边界声级</w:t>
                  </w:r>
                </w:p>
              </w:tc>
              <w:tc>
                <w:tcPr>
                  <w:tcW w:w="279" w:type="pct"/>
                  <w:vMerge w:val="restart"/>
                  <w:tcMar>
                    <w:top w:w="0" w:type="dxa"/>
                    <w:left w:w="0" w:type="dxa"/>
                    <w:bottom w:w="0" w:type="dxa"/>
                    <w:right w:w="0" w:type="dxa"/>
                  </w:tcMar>
                  <w:vAlign w:val="center"/>
                </w:tcPr>
                <w:p w14:paraId="2A5EC927">
                  <w:pPr>
                    <w:pStyle w:val="115"/>
                    <w:rPr>
                      <w:rFonts w:ascii="Times New Roman" w:hAnsi="Times New Roman"/>
                      <w:color w:val="auto"/>
                      <w:szCs w:val="21"/>
                    </w:rPr>
                  </w:pPr>
                  <w:r>
                    <w:rPr>
                      <w:rFonts w:ascii="Times New Roman" w:hAnsi="Times New Roman"/>
                      <w:color w:val="auto"/>
                      <w:szCs w:val="21"/>
                    </w:rPr>
                    <w:t>运行时段</w:t>
                  </w:r>
                </w:p>
              </w:tc>
              <w:tc>
                <w:tcPr>
                  <w:tcW w:w="377" w:type="pct"/>
                  <w:vMerge w:val="restart"/>
                  <w:tcMar>
                    <w:top w:w="0" w:type="dxa"/>
                    <w:left w:w="0" w:type="dxa"/>
                    <w:bottom w:w="0" w:type="dxa"/>
                    <w:right w:w="0" w:type="dxa"/>
                  </w:tcMar>
                  <w:vAlign w:val="center"/>
                </w:tcPr>
                <w:p w14:paraId="609BD071">
                  <w:pPr>
                    <w:pStyle w:val="115"/>
                    <w:rPr>
                      <w:rFonts w:ascii="Times New Roman" w:hAnsi="Times New Roman"/>
                      <w:color w:val="auto"/>
                      <w:szCs w:val="21"/>
                    </w:rPr>
                  </w:pPr>
                  <w:r>
                    <w:rPr>
                      <w:rFonts w:ascii="Times New Roman" w:hAnsi="Times New Roman"/>
                      <w:color w:val="auto"/>
                      <w:szCs w:val="21"/>
                    </w:rPr>
                    <w:t>建筑插入损失/dB（A）</w:t>
                  </w:r>
                </w:p>
              </w:tc>
              <w:tc>
                <w:tcPr>
                  <w:tcW w:w="488" w:type="pct"/>
                  <w:tcMar>
                    <w:top w:w="0" w:type="dxa"/>
                    <w:left w:w="0" w:type="dxa"/>
                    <w:bottom w:w="0" w:type="dxa"/>
                    <w:right w:w="0" w:type="dxa"/>
                  </w:tcMar>
                  <w:vAlign w:val="center"/>
                </w:tcPr>
                <w:p w14:paraId="763B8989">
                  <w:pPr>
                    <w:pStyle w:val="3"/>
                    <w:keepNext w:val="0"/>
                    <w:keepLines w:val="0"/>
                    <w:spacing w:line="240" w:lineRule="auto"/>
                    <w:jc w:val="center"/>
                    <w:rPr>
                      <w:b w:val="0"/>
                      <w:bCs w:val="0"/>
                      <w:color w:val="auto"/>
                      <w:sz w:val="21"/>
                      <w:szCs w:val="21"/>
                    </w:rPr>
                  </w:pPr>
                  <w:r>
                    <w:rPr>
                      <w:b w:val="0"/>
                      <w:bCs w:val="0"/>
                      <w:color w:val="auto"/>
                      <w:sz w:val="21"/>
                      <w:szCs w:val="21"/>
                    </w:rPr>
                    <w:t>建筑外噪声</w:t>
                  </w:r>
                </w:p>
              </w:tc>
              <w:tc>
                <w:tcPr>
                  <w:tcW w:w="728" w:type="pct"/>
                  <w:vMerge w:val="restart"/>
                  <w:tcMar>
                    <w:top w:w="0" w:type="dxa"/>
                    <w:left w:w="0" w:type="dxa"/>
                    <w:bottom w:w="0" w:type="dxa"/>
                    <w:right w:w="0" w:type="dxa"/>
                  </w:tcMar>
                  <w:vAlign w:val="center"/>
                </w:tcPr>
                <w:p w14:paraId="540CF2FB">
                  <w:pPr>
                    <w:pStyle w:val="3"/>
                    <w:keepNext w:val="0"/>
                    <w:keepLines w:val="0"/>
                    <w:spacing w:line="240" w:lineRule="auto"/>
                    <w:jc w:val="center"/>
                    <w:rPr>
                      <w:b w:val="0"/>
                      <w:bCs w:val="0"/>
                      <w:color w:val="auto"/>
                      <w:sz w:val="21"/>
                      <w:szCs w:val="21"/>
                    </w:rPr>
                  </w:pPr>
                  <w:r>
                    <w:rPr>
                      <w:b w:val="0"/>
                      <w:bCs w:val="0"/>
                      <w:color w:val="auto"/>
                      <w:sz w:val="21"/>
                      <w:szCs w:val="21"/>
                    </w:rPr>
                    <w:t>建筑物外距离</w:t>
                  </w:r>
                  <w:r>
                    <w:rPr>
                      <w:rFonts w:hint="eastAsia"/>
                      <w:b w:val="0"/>
                      <w:bCs w:val="0"/>
                      <w:color w:val="auto"/>
                      <w:sz w:val="21"/>
                      <w:szCs w:val="21"/>
                    </w:rPr>
                    <w:t>（m）</w:t>
                  </w:r>
                </w:p>
              </w:tc>
            </w:tr>
            <w:tr w14:paraId="04FB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1" w:type="pct"/>
                  <w:vMerge w:val="continue"/>
                  <w:tcMar>
                    <w:top w:w="0" w:type="dxa"/>
                    <w:left w:w="0" w:type="dxa"/>
                    <w:bottom w:w="0" w:type="dxa"/>
                    <w:right w:w="0" w:type="dxa"/>
                  </w:tcMar>
                  <w:vAlign w:val="center"/>
                </w:tcPr>
                <w:p w14:paraId="22951479">
                  <w:pPr>
                    <w:pStyle w:val="3"/>
                    <w:keepNext w:val="0"/>
                    <w:keepLines w:val="0"/>
                    <w:spacing w:line="240" w:lineRule="auto"/>
                    <w:jc w:val="center"/>
                    <w:rPr>
                      <w:b w:val="0"/>
                      <w:bCs w:val="0"/>
                      <w:color w:val="auto"/>
                      <w:sz w:val="21"/>
                      <w:szCs w:val="21"/>
                    </w:rPr>
                  </w:pPr>
                </w:p>
              </w:tc>
              <w:tc>
                <w:tcPr>
                  <w:tcW w:w="573" w:type="pct"/>
                  <w:vMerge w:val="continue"/>
                  <w:tcMar>
                    <w:top w:w="0" w:type="dxa"/>
                    <w:left w:w="0" w:type="dxa"/>
                    <w:bottom w:w="0" w:type="dxa"/>
                    <w:right w:w="0" w:type="dxa"/>
                  </w:tcMar>
                  <w:vAlign w:val="center"/>
                </w:tcPr>
                <w:p w14:paraId="52A79B1F">
                  <w:pPr>
                    <w:pStyle w:val="3"/>
                    <w:keepNext w:val="0"/>
                    <w:keepLines w:val="0"/>
                    <w:spacing w:line="240" w:lineRule="auto"/>
                    <w:jc w:val="center"/>
                    <w:rPr>
                      <w:b w:val="0"/>
                      <w:bCs w:val="0"/>
                      <w:color w:val="auto"/>
                      <w:sz w:val="21"/>
                      <w:szCs w:val="21"/>
                    </w:rPr>
                  </w:pPr>
                </w:p>
              </w:tc>
              <w:tc>
                <w:tcPr>
                  <w:tcW w:w="261" w:type="pct"/>
                  <w:vMerge w:val="continue"/>
                  <w:tcMar>
                    <w:top w:w="0" w:type="dxa"/>
                    <w:left w:w="0" w:type="dxa"/>
                    <w:bottom w:w="0" w:type="dxa"/>
                    <w:right w:w="0" w:type="dxa"/>
                  </w:tcMar>
                  <w:vAlign w:val="center"/>
                </w:tcPr>
                <w:p w14:paraId="6BF2AA71">
                  <w:pPr>
                    <w:pStyle w:val="3"/>
                    <w:keepNext w:val="0"/>
                    <w:keepLines w:val="0"/>
                    <w:spacing w:line="240" w:lineRule="auto"/>
                    <w:jc w:val="center"/>
                    <w:rPr>
                      <w:b w:val="0"/>
                      <w:bCs w:val="0"/>
                      <w:color w:val="auto"/>
                      <w:sz w:val="21"/>
                      <w:szCs w:val="21"/>
                    </w:rPr>
                  </w:pPr>
                </w:p>
              </w:tc>
              <w:tc>
                <w:tcPr>
                  <w:tcW w:w="357" w:type="pct"/>
                  <w:vMerge w:val="continue"/>
                  <w:tcMar>
                    <w:top w:w="0" w:type="dxa"/>
                    <w:left w:w="0" w:type="dxa"/>
                    <w:bottom w:w="0" w:type="dxa"/>
                    <w:right w:w="0" w:type="dxa"/>
                  </w:tcMar>
                  <w:vAlign w:val="center"/>
                </w:tcPr>
                <w:p w14:paraId="089F1F95">
                  <w:pPr>
                    <w:pStyle w:val="3"/>
                    <w:keepNext w:val="0"/>
                    <w:keepLines w:val="0"/>
                    <w:spacing w:line="240" w:lineRule="auto"/>
                    <w:jc w:val="center"/>
                    <w:rPr>
                      <w:b w:val="0"/>
                      <w:bCs w:val="0"/>
                      <w:color w:val="auto"/>
                      <w:sz w:val="21"/>
                      <w:szCs w:val="21"/>
                    </w:rPr>
                  </w:pPr>
                </w:p>
              </w:tc>
              <w:tc>
                <w:tcPr>
                  <w:tcW w:w="322" w:type="pct"/>
                  <w:vMerge w:val="continue"/>
                  <w:tcMar>
                    <w:top w:w="0" w:type="dxa"/>
                    <w:left w:w="0" w:type="dxa"/>
                    <w:bottom w:w="0" w:type="dxa"/>
                    <w:right w:w="0" w:type="dxa"/>
                  </w:tcMar>
                  <w:vAlign w:val="center"/>
                </w:tcPr>
                <w:p w14:paraId="0EEDDDA1">
                  <w:pPr>
                    <w:pStyle w:val="115"/>
                    <w:rPr>
                      <w:rFonts w:ascii="Times New Roman" w:hAnsi="Times New Roman"/>
                      <w:color w:val="auto"/>
                      <w:szCs w:val="21"/>
                    </w:rPr>
                  </w:pPr>
                </w:p>
              </w:tc>
              <w:tc>
                <w:tcPr>
                  <w:tcW w:w="197" w:type="pct"/>
                  <w:tcMar>
                    <w:top w:w="0" w:type="dxa"/>
                    <w:left w:w="0" w:type="dxa"/>
                    <w:bottom w:w="0" w:type="dxa"/>
                    <w:right w:w="0" w:type="dxa"/>
                  </w:tcMar>
                  <w:vAlign w:val="center"/>
                </w:tcPr>
                <w:p w14:paraId="0A244511">
                  <w:pPr>
                    <w:pStyle w:val="115"/>
                    <w:rPr>
                      <w:rFonts w:ascii="Times New Roman" w:hAnsi="Times New Roman"/>
                      <w:color w:val="auto"/>
                      <w:szCs w:val="21"/>
                    </w:rPr>
                  </w:pPr>
                  <w:r>
                    <w:rPr>
                      <w:rFonts w:ascii="Times New Roman" w:hAnsi="Times New Roman"/>
                      <w:color w:val="auto"/>
                      <w:szCs w:val="21"/>
                    </w:rPr>
                    <w:t>x</w:t>
                  </w:r>
                </w:p>
              </w:tc>
              <w:tc>
                <w:tcPr>
                  <w:tcW w:w="206" w:type="pct"/>
                  <w:tcMar>
                    <w:top w:w="0" w:type="dxa"/>
                    <w:left w:w="0" w:type="dxa"/>
                    <w:bottom w:w="0" w:type="dxa"/>
                    <w:right w:w="0" w:type="dxa"/>
                  </w:tcMar>
                  <w:vAlign w:val="center"/>
                </w:tcPr>
                <w:p w14:paraId="14E8973C">
                  <w:pPr>
                    <w:pStyle w:val="115"/>
                    <w:rPr>
                      <w:rFonts w:ascii="Times New Roman" w:hAnsi="Times New Roman"/>
                      <w:color w:val="auto"/>
                      <w:szCs w:val="21"/>
                    </w:rPr>
                  </w:pPr>
                  <w:r>
                    <w:rPr>
                      <w:rFonts w:ascii="Times New Roman" w:hAnsi="Times New Roman"/>
                      <w:color w:val="auto"/>
                      <w:szCs w:val="21"/>
                    </w:rPr>
                    <w:t>y</w:t>
                  </w:r>
                </w:p>
              </w:tc>
              <w:tc>
                <w:tcPr>
                  <w:tcW w:w="214" w:type="pct"/>
                  <w:tcMar>
                    <w:top w:w="0" w:type="dxa"/>
                    <w:left w:w="0" w:type="dxa"/>
                    <w:bottom w:w="0" w:type="dxa"/>
                    <w:right w:w="0" w:type="dxa"/>
                  </w:tcMar>
                  <w:vAlign w:val="center"/>
                </w:tcPr>
                <w:p w14:paraId="1CD10939">
                  <w:pPr>
                    <w:pStyle w:val="115"/>
                    <w:rPr>
                      <w:rFonts w:ascii="Times New Roman" w:hAnsi="Times New Roman"/>
                      <w:color w:val="auto"/>
                      <w:szCs w:val="21"/>
                    </w:rPr>
                  </w:pPr>
                  <w:r>
                    <w:rPr>
                      <w:rFonts w:ascii="Times New Roman" w:hAnsi="Times New Roman"/>
                      <w:color w:val="auto"/>
                      <w:szCs w:val="21"/>
                    </w:rPr>
                    <w:t>z</w:t>
                  </w:r>
                </w:p>
              </w:tc>
              <w:tc>
                <w:tcPr>
                  <w:tcW w:w="355" w:type="pct"/>
                  <w:vMerge w:val="continue"/>
                  <w:tcMar>
                    <w:top w:w="0" w:type="dxa"/>
                    <w:left w:w="0" w:type="dxa"/>
                    <w:bottom w:w="0" w:type="dxa"/>
                    <w:right w:w="0" w:type="dxa"/>
                  </w:tcMar>
                  <w:vAlign w:val="center"/>
                </w:tcPr>
                <w:p w14:paraId="1D783D87">
                  <w:pPr>
                    <w:pStyle w:val="3"/>
                    <w:keepNext w:val="0"/>
                    <w:keepLines w:val="0"/>
                    <w:spacing w:line="240" w:lineRule="auto"/>
                    <w:jc w:val="center"/>
                    <w:rPr>
                      <w:b w:val="0"/>
                      <w:bCs w:val="0"/>
                      <w:color w:val="auto"/>
                      <w:sz w:val="21"/>
                      <w:szCs w:val="21"/>
                    </w:rPr>
                  </w:pPr>
                </w:p>
              </w:tc>
              <w:tc>
                <w:tcPr>
                  <w:tcW w:w="347" w:type="pct"/>
                  <w:vMerge w:val="continue"/>
                  <w:tcMar>
                    <w:top w:w="0" w:type="dxa"/>
                    <w:left w:w="0" w:type="dxa"/>
                    <w:bottom w:w="0" w:type="dxa"/>
                    <w:right w:w="0" w:type="dxa"/>
                  </w:tcMar>
                  <w:vAlign w:val="center"/>
                </w:tcPr>
                <w:p w14:paraId="59E71440">
                  <w:pPr>
                    <w:pStyle w:val="3"/>
                    <w:keepNext w:val="0"/>
                    <w:keepLines w:val="0"/>
                    <w:spacing w:line="240" w:lineRule="auto"/>
                    <w:jc w:val="center"/>
                    <w:rPr>
                      <w:b w:val="0"/>
                      <w:bCs w:val="0"/>
                      <w:color w:val="auto"/>
                      <w:sz w:val="21"/>
                      <w:szCs w:val="21"/>
                    </w:rPr>
                  </w:pPr>
                </w:p>
              </w:tc>
              <w:tc>
                <w:tcPr>
                  <w:tcW w:w="279" w:type="pct"/>
                  <w:vMerge w:val="continue"/>
                  <w:tcMar>
                    <w:top w:w="0" w:type="dxa"/>
                    <w:left w:w="0" w:type="dxa"/>
                    <w:bottom w:w="0" w:type="dxa"/>
                    <w:right w:w="0" w:type="dxa"/>
                  </w:tcMar>
                  <w:vAlign w:val="center"/>
                </w:tcPr>
                <w:p w14:paraId="3894AE8E">
                  <w:pPr>
                    <w:pStyle w:val="3"/>
                    <w:keepNext w:val="0"/>
                    <w:keepLines w:val="0"/>
                    <w:spacing w:line="240" w:lineRule="auto"/>
                    <w:jc w:val="center"/>
                    <w:rPr>
                      <w:b w:val="0"/>
                      <w:bCs w:val="0"/>
                      <w:color w:val="auto"/>
                      <w:sz w:val="21"/>
                      <w:szCs w:val="21"/>
                    </w:rPr>
                  </w:pPr>
                </w:p>
              </w:tc>
              <w:tc>
                <w:tcPr>
                  <w:tcW w:w="377" w:type="pct"/>
                  <w:vMerge w:val="continue"/>
                  <w:tcMar>
                    <w:top w:w="0" w:type="dxa"/>
                    <w:left w:w="0" w:type="dxa"/>
                    <w:bottom w:w="0" w:type="dxa"/>
                    <w:right w:w="0" w:type="dxa"/>
                  </w:tcMar>
                  <w:vAlign w:val="center"/>
                </w:tcPr>
                <w:p w14:paraId="26CDA9BD">
                  <w:pPr>
                    <w:pStyle w:val="3"/>
                    <w:keepNext w:val="0"/>
                    <w:keepLines w:val="0"/>
                    <w:spacing w:line="240" w:lineRule="auto"/>
                    <w:jc w:val="center"/>
                    <w:rPr>
                      <w:b w:val="0"/>
                      <w:bCs w:val="0"/>
                      <w:color w:val="auto"/>
                      <w:sz w:val="21"/>
                      <w:szCs w:val="21"/>
                    </w:rPr>
                  </w:pPr>
                </w:p>
              </w:tc>
              <w:tc>
                <w:tcPr>
                  <w:tcW w:w="488" w:type="pct"/>
                  <w:tcMar>
                    <w:top w:w="0" w:type="dxa"/>
                    <w:left w:w="0" w:type="dxa"/>
                    <w:bottom w:w="0" w:type="dxa"/>
                    <w:right w:w="0" w:type="dxa"/>
                  </w:tcMar>
                  <w:vAlign w:val="center"/>
                </w:tcPr>
                <w:p w14:paraId="6DDD024B">
                  <w:pPr>
                    <w:pStyle w:val="115"/>
                    <w:rPr>
                      <w:rFonts w:ascii="Times New Roman" w:hAnsi="Times New Roman"/>
                      <w:color w:val="auto"/>
                      <w:szCs w:val="21"/>
                    </w:rPr>
                  </w:pPr>
                  <w:r>
                    <w:rPr>
                      <w:rFonts w:ascii="Times New Roman" w:hAnsi="Times New Roman"/>
                      <w:color w:val="auto"/>
                      <w:szCs w:val="21"/>
                    </w:rPr>
                    <w:t>声压级/dB（A）</w:t>
                  </w:r>
                </w:p>
              </w:tc>
              <w:tc>
                <w:tcPr>
                  <w:tcW w:w="728" w:type="pct"/>
                  <w:vMerge w:val="continue"/>
                  <w:tcMar>
                    <w:top w:w="0" w:type="dxa"/>
                    <w:left w:w="0" w:type="dxa"/>
                    <w:bottom w:w="0" w:type="dxa"/>
                    <w:right w:w="0" w:type="dxa"/>
                  </w:tcMar>
                  <w:vAlign w:val="center"/>
                </w:tcPr>
                <w:p w14:paraId="5772017B">
                  <w:pPr>
                    <w:pStyle w:val="115"/>
                    <w:rPr>
                      <w:rFonts w:ascii="Times New Roman" w:hAnsi="Times New Roman"/>
                      <w:color w:val="auto"/>
                      <w:szCs w:val="21"/>
                    </w:rPr>
                  </w:pPr>
                </w:p>
              </w:tc>
            </w:tr>
            <w:tr w14:paraId="186A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restart"/>
                  <w:tcMar>
                    <w:top w:w="0" w:type="dxa"/>
                    <w:left w:w="0" w:type="dxa"/>
                    <w:bottom w:w="0" w:type="dxa"/>
                    <w:right w:w="0" w:type="dxa"/>
                  </w:tcMar>
                  <w:vAlign w:val="center"/>
                </w:tcPr>
                <w:p w14:paraId="39C436A6">
                  <w:pPr>
                    <w:pStyle w:val="115"/>
                    <w:rPr>
                      <w:rFonts w:ascii="Times New Roman" w:hAnsi="Times New Roman"/>
                      <w:color w:val="auto"/>
                      <w:szCs w:val="21"/>
                    </w:rPr>
                  </w:pPr>
                  <w:r>
                    <w:rPr>
                      <w:rFonts w:hint="eastAsia" w:ascii="Times New Roman" w:hAnsi="Times New Roman"/>
                      <w:color w:val="auto"/>
                      <w:szCs w:val="21"/>
                    </w:rPr>
                    <w:t>生产区</w:t>
                  </w:r>
                </w:p>
              </w:tc>
              <w:tc>
                <w:tcPr>
                  <w:tcW w:w="573" w:type="pct"/>
                  <w:tcMar>
                    <w:top w:w="0" w:type="dxa"/>
                    <w:left w:w="0" w:type="dxa"/>
                    <w:bottom w:w="0" w:type="dxa"/>
                    <w:right w:w="0" w:type="dxa"/>
                  </w:tcMar>
                  <w:vAlign w:val="center"/>
                </w:tcPr>
                <w:p w14:paraId="2742706F">
                  <w:pPr>
                    <w:pStyle w:val="71"/>
                    <w:rPr>
                      <w:rFonts w:hAnsi="Times New Roman"/>
                      <w:color w:val="auto"/>
                      <w:szCs w:val="21"/>
                    </w:rPr>
                  </w:pPr>
                  <w:r>
                    <w:rPr>
                      <w:rFonts w:hint="eastAsia"/>
                      <w:color w:val="auto"/>
                    </w:rPr>
                    <w:t>注塑机</w:t>
                  </w:r>
                </w:p>
              </w:tc>
              <w:tc>
                <w:tcPr>
                  <w:tcW w:w="261" w:type="pct"/>
                  <w:tcMar>
                    <w:top w:w="0" w:type="dxa"/>
                    <w:left w:w="0" w:type="dxa"/>
                    <w:bottom w:w="0" w:type="dxa"/>
                    <w:right w:w="0" w:type="dxa"/>
                  </w:tcMar>
                  <w:vAlign w:val="center"/>
                </w:tcPr>
                <w:p w14:paraId="3A63F4D2">
                  <w:pPr>
                    <w:adjustRightInd w:val="0"/>
                    <w:snapToGrid w:val="0"/>
                    <w:spacing w:line="240" w:lineRule="auto"/>
                    <w:jc w:val="center"/>
                    <w:rPr>
                      <w:color w:val="auto"/>
                      <w:sz w:val="21"/>
                      <w:szCs w:val="21"/>
                    </w:rPr>
                  </w:pPr>
                  <w:r>
                    <w:rPr>
                      <w:rFonts w:hint="eastAsia"/>
                      <w:color w:val="auto"/>
                      <w:sz w:val="21"/>
                      <w:szCs w:val="21"/>
                    </w:rPr>
                    <w:t>4（4台备用）</w:t>
                  </w:r>
                </w:p>
              </w:tc>
              <w:tc>
                <w:tcPr>
                  <w:tcW w:w="357" w:type="pct"/>
                  <w:tcMar>
                    <w:top w:w="0" w:type="dxa"/>
                    <w:left w:w="0" w:type="dxa"/>
                    <w:bottom w:w="0" w:type="dxa"/>
                    <w:right w:w="0" w:type="dxa"/>
                  </w:tcMar>
                  <w:vAlign w:val="center"/>
                </w:tcPr>
                <w:p w14:paraId="13A5660C">
                  <w:pPr>
                    <w:spacing w:line="240" w:lineRule="auto"/>
                    <w:jc w:val="center"/>
                    <w:rPr>
                      <w:color w:val="auto"/>
                      <w:sz w:val="21"/>
                      <w:szCs w:val="21"/>
                    </w:rPr>
                  </w:pPr>
                  <w:r>
                    <w:rPr>
                      <w:rFonts w:hint="eastAsia"/>
                      <w:color w:val="auto"/>
                      <w:sz w:val="21"/>
                      <w:szCs w:val="21"/>
                    </w:rPr>
                    <w:t>75</w:t>
                  </w:r>
                </w:p>
              </w:tc>
              <w:tc>
                <w:tcPr>
                  <w:tcW w:w="322" w:type="pct"/>
                  <w:vMerge w:val="restart"/>
                  <w:tcMar>
                    <w:top w:w="0" w:type="dxa"/>
                    <w:left w:w="0" w:type="dxa"/>
                    <w:bottom w:w="0" w:type="dxa"/>
                    <w:right w:w="0" w:type="dxa"/>
                  </w:tcMar>
                  <w:vAlign w:val="center"/>
                </w:tcPr>
                <w:p w14:paraId="625787FD">
                  <w:pPr>
                    <w:pStyle w:val="115"/>
                    <w:rPr>
                      <w:rFonts w:ascii="Times New Roman" w:hAnsi="Times New Roman"/>
                      <w:color w:val="auto"/>
                      <w:szCs w:val="21"/>
                    </w:rPr>
                  </w:pPr>
                  <w:r>
                    <w:rPr>
                      <w:rFonts w:ascii="Times New Roman" w:hAnsi="Times New Roman"/>
                      <w:color w:val="auto"/>
                      <w:szCs w:val="21"/>
                    </w:rPr>
                    <w:t>基础减振、厂房隔声</w:t>
                  </w:r>
                </w:p>
              </w:tc>
              <w:tc>
                <w:tcPr>
                  <w:tcW w:w="197" w:type="pct"/>
                  <w:tcMar>
                    <w:top w:w="0" w:type="dxa"/>
                    <w:left w:w="0" w:type="dxa"/>
                    <w:bottom w:w="0" w:type="dxa"/>
                    <w:right w:w="0" w:type="dxa"/>
                  </w:tcMar>
                  <w:vAlign w:val="center"/>
                </w:tcPr>
                <w:p w14:paraId="1271461D">
                  <w:pPr>
                    <w:pStyle w:val="115"/>
                    <w:rPr>
                      <w:rFonts w:ascii="Times New Roman" w:hAnsi="Times New Roman"/>
                      <w:color w:val="auto"/>
                      <w:szCs w:val="21"/>
                    </w:rPr>
                  </w:pPr>
                  <w:r>
                    <w:rPr>
                      <w:rFonts w:hint="eastAsia" w:ascii="Times New Roman" w:hAnsi="Times New Roman"/>
                      <w:color w:val="auto"/>
                      <w:szCs w:val="21"/>
                    </w:rPr>
                    <w:t>15</w:t>
                  </w:r>
                </w:p>
              </w:tc>
              <w:tc>
                <w:tcPr>
                  <w:tcW w:w="206" w:type="pct"/>
                  <w:tcMar>
                    <w:top w:w="0" w:type="dxa"/>
                    <w:left w:w="0" w:type="dxa"/>
                    <w:bottom w:w="0" w:type="dxa"/>
                    <w:right w:w="0" w:type="dxa"/>
                  </w:tcMar>
                  <w:vAlign w:val="center"/>
                </w:tcPr>
                <w:p w14:paraId="1FC998B4">
                  <w:pPr>
                    <w:pStyle w:val="115"/>
                    <w:rPr>
                      <w:rFonts w:ascii="Times New Roman" w:hAnsi="Times New Roman"/>
                      <w:color w:val="auto"/>
                      <w:szCs w:val="21"/>
                    </w:rPr>
                  </w:pPr>
                  <w:r>
                    <w:rPr>
                      <w:rFonts w:hint="eastAsia" w:ascii="Times New Roman" w:hAnsi="Times New Roman"/>
                      <w:color w:val="auto"/>
                      <w:szCs w:val="21"/>
                    </w:rPr>
                    <w:t>8</w:t>
                  </w:r>
                </w:p>
              </w:tc>
              <w:tc>
                <w:tcPr>
                  <w:tcW w:w="214" w:type="pct"/>
                  <w:tcMar>
                    <w:top w:w="0" w:type="dxa"/>
                    <w:left w:w="0" w:type="dxa"/>
                    <w:bottom w:w="0" w:type="dxa"/>
                    <w:right w:w="0" w:type="dxa"/>
                  </w:tcMar>
                  <w:vAlign w:val="center"/>
                </w:tcPr>
                <w:p w14:paraId="0259AB7D">
                  <w:pPr>
                    <w:pStyle w:val="115"/>
                    <w:rPr>
                      <w:rFonts w:ascii="Times New Roman" w:hAnsi="Times New Roman"/>
                      <w:color w:val="auto"/>
                      <w:szCs w:val="21"/>
                    </w:rPr>
                  </w:pPr>
                  <w:r>
                    <w:rPr>
                      <w:rFonts w:hint="eastAsia" w:ascii="Times New Roman" w:hAnsi="Times New Roman"/>
                      <w:color w:val="auto"/>
                      <w:szCs w:val="21"/>
                    </w:rPr>
                    <w:t>1.5</w:t>
                  </w:r>
                </w:p>
              </w:tc>
              <w:tc>
                <w:tcPr>
                  <w:tcW w:w="355" w:type="pct"/>
                  <w:tcMar>
                    <w:top w:w="0" w:type="dxa"/>
                    <w:left w:w="0" w:type="dxa"/>
                    <w:bottom w:w="0" w:type="dxa"/>
                    <w:right w:w="0" w:type="dxa"/>
                  </w:tcMar>
                  <w:vAlign w:val="center"/>
                </w:tcPr>
                <w:p w14:paraId="50BCF385">
                  <w:pPr>
                    <w:pStyle w:val="3"/>
                    <w:keepNext w:val="0"/>
                    <w:keepLines w:val="0"/>
                    <w:spacing w:line="240" w:lineRule="auto"/>
                    <w:jc w:val="center"/>
                    <w:rPr>
                      <w:b w:val="0"/>
                      <w:bCs w:val="0"/>
                      <w:color w:val="auto"/>
                      <w:kern w:val="2"/>
                      <w:sz w:val="21"/>
                      <w:szCs w:val="21"/>
                    </w:rPr>
                  </w:pPr>
                  <w:r>
                    <w:rPr>
                      <w:rFonts w:hint="eastAsia"/>
                      <w:b w:val="0"/>
                      <w:bCs w:val="0"/>
                      <w:color w:val="auto"/>
                      <w:kern w:val="2"/>
                      <w:sz w:val="21"/>
                      <w:szCs w:val="21"/>
                    </w:rPr>
                    <w:t>8</w:t>
                  </w:r>
                </w:p>
              </w:tc>
              <w:tc>
                <w:tcPr>
                  <w:tcW w:w="347" w:type="pct"/>
                  <w:tcMar>
                    <w:top w:w="0" w:type="dxa"/>
                    <w:left w:w="0" w:type="dxa"/>
                    <w:bottom w:w="0" w:type="dxa"/>
                    <w:right w:w="0" w:type="dxa"/>
                  </w:tcMar>
                  <w:vAlign w:val="center"/>
                </w:tcPr>
                <w:p w14:paraId="3CBC2E3B">
                  <w:pPr>
                    <w:pStyle w:val="3"/>
                    <w:keepNext w:val="0"/>
                    <w:keepLines w:val="0"/>
                    <w:spacing w:line="240" w:lineRule="auto"/>
                    <w:jc w:val="center"/>
                    <w:rPr>
                      <w:b w:val="0"/>
                      <w:bCs w:val="0"/>
                      <w:color w:val="auto"/>
                      <w:kern w:val="2"/>
                      <w:sz w:val="21"/>
                      <w:szCs w:val="21"/>
                    </w:rPr>
                  </w:pPr>
                  <w:r>
                    <w:rPr>
                      <w:rFonts w:hint="eastAsia"/>
                      <w:b w:val="0"/>
                      <w:bCs w:val="0"/>
                      <w:color w:val="auto"/>
                      <w:kern w:val="2"/>
                      <w:sz w:val="21"/>
                      <w:szCs w:val="21"/>
                    </w:rPr>
                    <w:t>62.9</w:t>
                  </w:r>
                </w:p>
              </w:tc>
              <w:tc>
                <w:tcPr>
                  <w:tcW w:w="279" w:type="pct"/>
                  <w:tcMar>
                    <w:top w:w="0" w:type="dxa"/>
                    <w:left w:w="0" w:type="dxa"/>
                    <w:bottom w:w="0" w:type="dxa"/>
                    <w:right w:w="0" w:type="dxa"/>
                  </w:tcMar>
                  <w:vAlign w:val="center"/>
                </w:tcPr>
                <w:p w14:paraId="03E9DB35">
                  <w:pPr>
                    <w:pStyle w:val="3"/>
                    <w:keepNext w:val="0"/>
                    <w:keepLines w:val="0"/>
                    <w:spacing w:line="240" w:lineRule="auto"/>
                    <w:jc w:val="center"/>
                    <w:rPr>
                      <w:rFonts w:hint="eastAsia" w:eastAsia="宋体"/>
                      <w:b w:val="0"/>
                      <w:bCs w:val="0"/>
                      <w:color w:val="auto"/>
                      <w:kern w:val="2"/>
                      <w:sz w:val="21"/>
                      <w:szCs w:val="21"/>
                      <w:lang w:eastAsia="zh-CN"/>
                    </w:rPr>
                  </w:pPr>
                  <w:r>
                    <w:rPr>
                      <w:rFonts w:hint="eastAsia"/>
                      <w:b w:val="0"/>
                      <w:bCs w:val="0"/>
                      <w:color w:val="auto"/>
                      <w:kern w:val="2"/>
                      <w:sz w:val="21"/>
                      <w:szCs w:val="21"/>
                    </w:rPr>
                    <w:t>昼</w:t>
                  </w:r>
                  <w:r>
                    <w:rPr>
                      <w:rFonts w:hint="eastAsia"/>
                      <w:b w:val="0"/>
                      <w:bCs w:val="0"/>
                      <w:color w:val="auto"/>
                      <w:kern w:val="2"/>
                      <w:sz w:val="21"/>
                      <w:szCs w:val="21"/>
                      <w:lang w:eastAsia="zh-CN"/>
                    </w:rPr>
                    <w:t>夜</w:t>
                  </w:r>
                </w:p>
              </w:tc>
              <w:tc>
                <w:tcPr>
                  <w:tcW w:w="377" w:type="pct"/>
                  <w:vMerge w:val="restart"/>
                  <w:tcMar>
                    <w:top w:w="0" w:type="dxa"/>
                    <w:left w:w="0" w:type="dxa"/>
                    <w:bottom w:w="0" w:type="dxa"/>
                    <w:right w:w="0" w:type="dxa"/>
                  </w:tcMar>
                  <w:vAlign w:val="center"/>
                </w:tcPr>
                <w:p w14:paraId="1F50B45D">
                  <w:pPr>
                    <w:pStyle w:val="3"/>
                    <w:keepNext w:val="0"/>
                    <w:keepLines w:val="0"/>
                    <w:spacing w:line="240" w:lineRule="auto"/>
                    <w:jc w:val="center"/>
                    <w:rPr>
                      <w:b w:val="0"/>
                      <w:bCs w:val="0"/>
                      <w:color w:val="auto"/>
                      <w:sz w:val="21"/>
                      <w:szCs w:val="21"/>
                    </w:rPr>
                  </w:pPr>
                  <w:r>
                    <w:rPr>
                      <w:rFonts w:hint="eastAsia"/>
                      <w:b w:val="0"/>
                      <w:bCs w:val="0"/>
                      <w:color w:val="auto"/>
                      <w:kern w:val="2"/>
                      <w:sz w:val="21"/>
                      <w:szCs w:val="21"/>
                    </w:rPr>
                    <w:t>20</w:t>
                  </w:r>
                </w:p>
              </w:tc>
              <w:tc>
                <w:tcPr>
                  <w:tcW w:w="488" w:type="pct"/>
                  <w:shd w:val="clear" w:color="auto" w:fill="auto"/>
                  <w:tcMar>
                    <w:top w:w="0" w:type="dxa"/>
                    <w:left w:w="0" w:type="dxa"/>
                    <w:bottom w:w="0" w:type="dxa"/>
                    <w:right w:w="0" w:type="dxa"/>
                  </w:tcMar>
                  <w:vAlign w:val="center"/>
                </w:tcPr>
                <w:p w14:paraId="67D795AB">
                  <w:pPr>
                    <w:pStyle w:val="3"/>
                    <w:keepNext w:val="0"/>
                    <w:keepLines w:val="0"/>
                    <w:spacing w:line="240" w:lineRule="auto"/>
                    <w:jc w:val="center"/>
                    <w:rPr>
                      <w:b w:val="0"/>
                      <w:bCs w:val="0"/>
                      <w:color w:val="auto"/>
                      <w:kern w:val="2"/>
                      <w:sz w:val="21"/>
                      <w:szCs w:val="21"/>
                    </w:rPr>
                  </w:pPr>
                  <w:r>
                    <w:rPr>
                      <w:rFonts w:hint="eastAsia"/>
                      <w:b w:val="0"/>
                      <w:bCs w:val="0"/>
                      <w:color w:val="auto"/>
                      <w:kern w:val="2"/>
                      <w:sz w:val="21"/>
                      <w:szCs w:val="21"/>
                    </w:rPr>
                    <w:t>42.9</w:t>
                  </w:r>
                </w:p>
              </w:tc>
              <w:tc>
                <w:tcPr>
                  <w:tcW w:w="728" w:type="pct"/>
                  <w:tcMar>
                    <w:top w:w="0" w:type="dxa"/>
                    <w:left w:w="0" w:type="dxa"/>
                    <w:bottom w:w="0" w:type="dxa"/>
                    <w:right w:w="0" w:type="dxa"/>
                  </w:tcMar>
                  <w:vAlign w:val="center"/>
                </w:tcPr>
                <w:p w14:paraId="7764EE90">
                  <w:pPr>
                    <w:spacing w:line="240" w:lineRule="auto"/>
                    <w:jc w:val="center"/>
                    <w:outlineLvl w:val="0"/>
                    <w:rPr>
                      <w:color w:val="auto"/>
                      <w:sz w:val="21"/>
                      <w:szCs w:val="21"/>
                    </w:rPr>
                  </w:pPr>
                  <w:r>
                    <w:rPr>
                      <w:rFonts w:hint="eastAsia"/>
                      <w:color w:val="auto"/>
                      <w:sz w:val="21"/>
                      <w:szCs w:val="21"/>
                    </w:rPr>
                    <w:t>1</w:t>
                  </w:r>
                </w:p>
              </w:tc>
            </w:tr>
            <w:tr w14:paraId="0A1E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91" w:type="pct"/>
                  <w:vMerge w:val="continue"/>
                  <w:tcMar>
                    <w:top w:w="0" w:type="dxa"/>
                    <w:left w:w="0" w:type="dxa"/>
                    <w:bottom w:w="0" w:type="dxa"/>
                    <w:right w:w="0" w:type="dxa"/>
                  </w:tcMar>
                  <w:vAlign w:val="center"/>
                </w:tcPr>
                <w:p w14:paraId="6750BA2A">
                  <w:pPr>
                    <w:pStyle w:val="3"/>
                    <w:keepNext w:val="0"/>
                    <w:keepLines w:val="0"/>
                    <w:spacing w:line="240" w:lineRule="auto"/>
                    <w:jc w:val="center"/>
                    <w:rPr>
                      <w:b w:val="0"/>
                      <w:bCs w:val="0"/>
                      <w:color w:val="auto"/>
                      <w:sz w:val="21"/>
                      <w:szCs w:val="21"/>
                    </w:rPr>
                  </w:pPr>
                </w:p>
              </w:tc>
              <w:tc>
                <w:tcPr>
                  <w:tcW w:w="573" w:type="pct"/>
                  <w:tcMar>
                    <w:top w:w="0" w:type="dxa"/>
                    <w:left w:w="0" w:type="dxa"/>
                    <w:bottom w:w="0" w:type="dxa"/>
                    <w:right w:w="0" w:type="dxa"/>
                  </w:tcMar>
                  <w:vAlign w:val="center"/>
                </w:tcPr>
                <w:p w14:paraId="7D36899D">
                  <w:pPr>
                    <w:pStyle w:val="71"/>
                    <w:rPr>
                      <w:rFonts w:hAnsi="Times New Roman"/>
                      <w:color w:val="auto"/>
                      <w:szCs w:val="21"/>
                    </w:rPr>
                  </w:pPr>
                  <w:r>
                    <w:rPr>
                      <w:rFonts w:hint="eastAsia"/>
                      <w:color w:val="auto"/>
                    </w:rPr>
                    <w:t>组盖机</w:t>
                  </w:r>
                </w:p>
              </w:tc>
              <w:tc>
                <w:tcPr>
                  <w:tcW w:w="261" w:type="pct"/>
                  <w:tcMar>
                    <w:top w:w="0" w:type="dxa"/>
                    <w:left w:w="0" w:type="dxa"/>
                    <w:bottom w:w="0" w:type="dxa"/>
                    <w:right w:w="0" w:type="dxa"/>
                  </w:tcMar>
                  <w:vAlign w:val="center"/>
                </w:tcPr>
                <w:p w14:paraId="073F9456">
                  <w:pPr>
                    <w:adjustRightInd w:val="0"/>
                    <w:snapToGrid w:val="0"/>
                    <w:spacing w:line="240" w:lineRule="auto"/>
                    <w:jc w:val="center"/>
                    <w:rPr>
                      <w:color w:val="auto"/>
                      <w:sz w:val="21"/>
                      <w:szCs w:val="21"/>
                    </w:rPr>
                  </w:pPr>
                  <w:r>
                    <w:rPr>
                      <w:rFonts w:hint="eastAsia"/>
                      <w:color w:val="auto"/>
                      <w:sz w:val="21"/>
                      <w:szCs w:val="21"/>
                    </w:rPr>
                    <w:t>4</w:t>
                  </w:r>
                </w:p>
              </w:tc>
              <w:tc>
                <w:tcPr>
                  <w:tcW w:w="357" w:type="pct"/>
                  <w:tcMar>
                    <w:top w:w="0" w:type="dxa"/>
                    <w:left w:w="0" w:type="dxa"/>
                    <w:bottom w:w="0" w:type="dxa"/>
                    <w:right w:w="0" w:type="dxa"/>
                  </w:tcMar>
                  <w:vAlign w:val="center"/>
                </w:tcPr>
                <w:p w14:paraId="21C019C6">
                  <w:pPr>
                    <w:spacing w:line="240" w:lineRule="auto"/>
                    <w:jc w:val="center"/>
                    <w:rPr>
                      <w:color w:val="auto"/>
                      <w:sz w:val="21"/>
                      <w:szCs w:val="21"/>
                    </w:rPr>
                  </w:pPr>
                  <w:r>
                    <w:rPr>
                      <w:rFonts w:hint="eastAsia"/>
                      <w:color w:val="auto"/>
                      <w:sz w:val="21"/>
                      <w:szCs w:val="21"/>
                    </w:rPr>
                    <w:t>65</w:t>
                  </w:r>
                </w:p>
              </w:tc>
              <w:tc>
                <w:tcPr>
                  <w:tcW w:w="322" w:type="pct"/>
                  <w:vMerge w:val="continue"/>
                  <w:tcMar>
                    <w:top w:w="0" w:type="dxa"/>
                    <w:left w:w="0" w:type="dxa"/>
                    <w:bottom w:w="0" w:type="dxa"/>
                    <w:right w:w="0" w:type="dxa"/>
                  </w:tcMar>
                  <w:vAlign w:val="center"/>
                </w:tcPr>
                <w:p w14:paraId="66DF750C">
                  <w:pPr>
                    <w:pStyle w:val="3"/>
                    <w:keepNext w:val="0"/>
                    <w:keepLines w:val="0"/>
                    <w:spacing w:line="240" w:lineRule="auto"/>
                    <w:jc w:val="center"/>
                    <w:rPr>
                      <w:b w:val="0"/>
                      <w:bCs w:val="0"/>
                      <w:color w:val="auto"/>
                      <w:sz w:val="21"/>
                      <w:szCs w:val="21"/>
                    </w:rPr>
                  </w:pPr>
                </w:p>
              </w:tc>
              <w:tc>
                <w:tcPr>
                  <w:tcW w:w="197" w:type="pct"/>
                  <w:tcMar>
                    <w:top w:w="0" w:type="dxa"/>
                    <w:left w:w="0" w:type="dxa"/>
                    <w:bottom w:w="0" w:type="dxa"/>
                    <w:right w:w="0" w:type="dxa"/>
                  </w:tcMar>
                  <w:vAlign w:val="center"/>
                </w:tcPr>
                <w:p w14:paraId="192FB49E">
                  <w:pPr>
                    <w:pStyle w:val="3"/>
                    <w:keepNext w:val="0"/>
                    <w:keepLines w:val="0"/>
                    <w:spacing w:line="240" w:lineRule="auto"/>
                    <w:jc w:val="center"/>
                    <w:rPr>
                      <w:b w:val="0"/>
                      <w:bCs w:val="0"/>
                      <w:color w:val="auto"/>
                      <w:sz w:val="21"/>
                      <w:szCs w:val="21"/>
                    </w:rPr>
                  </w:pPr>
                  <w:r>
                    <w:rPr>
                      <w:rFonts w:hint="eastAsia"/>
                      <w:b w:val="0"/>
                      <w:bCs w:val="0"/>
                      <w:color w:val="auto"/>
                      <w:sz w:val="21"/>
                      <w:szCs w:val="21"/>
                    </w:rPr>
                    <w:t>12</w:t>
                  </w:r>
                </w:p>
              </w:tc>
              <w:tc>
                <w:tcPr>
                  <w:tcW w:w="206" w:type="pct"/>
                  <w:tcMar>
                    <w:top w:w="0" w:type="dxa"/>
                    <w:left w:w="0" w:type="dxa"/>
                    <w:bottom w:w="0" w:type="dxa"/>
                    <w:right w:w="0" w:type="dxa"/>
                  </w:tcMar>
                  <w:vAlign w:val="center"/>
                </w:tcPr>
                <w:p w14:paraId="44B337B2">
                  <w:pPr>
                    <w:pStyle w:val="3"/>
                    <w:keepNext w:val="0"/>
                    <w:keepLines w:val="0"/>
                    <w:spacing w:line="240" w:lineRule="auto"/>
                    <w:jc w:val="center"/>
                    <w:rPr>
                      <w:b w:val="0"/>
                      <w:bCs w:val="0"/>
                      <w:color w:val="auto"/>
                      <w:sz w:val="21"/>
                      <w:szCs w:val="21"/>
                    </w:rPr>
                  </w:pPr>
                  <w:r>
                    <w:rPr>
                      <w:rFonts w:hint="eastAsia"/>
                      <w:b w:val="0"/>
                      <w:bCs w:val="0"/>
                      <w:color w:val="auto"/>
                      <w:sz w:val="21"/>
                      <w:szCs w:val="21"/>
                    </w:rPr>
                    <w:t>4</w:t>
                  </w:r>
                </w:p>
              </w:tc>
              <w:tc>
                <w:tcPr>
                  <w:tcW w:w="214" w:type="pct"/>
                  <w:tcMar>
                    <w:top w:w="0" w:type="dxa"/>
                    <w:left w:w="0" w:type="dxa"/>
                    <w:bottom w:w="0" w:type="dxa"/>
                    <w:right w:w="0" w:type="dxa"/>
                  </w:tcMar>
                  <w:vAlign w:val="center"/>
                </w:tcPr>
                <w:p w14:paraId="0E60D9C3">
                  <w:pPr>
                    <w:spacing w:line="240" w:lineRule="auto"/>
                    <w:jc w:val="center"/>
                    <w:outlineLvl w:val="0"/>
                    <w:rPr>
                      <w:color w:val="auto"/>
                      <w:sz w:val="21"/>
                      <w:szCs w:val="21"/>
                    </w:rPr>
                  </w:pPr>
                  <w:r>
                    <w:rPr>
                      <w:rFonts w:hint="eastAsia"/>
                      <w:color w:val="auto"/>
                      <w:sz w:val="21"/>
                      <w:szCs w:val="21"/>
                    </w:rPr>
                    <w:t>1.5</w:t>
                  </w:r>
                </w:p>
              </w:tc>
              <w:tc>
                <w:tcPr>
                  <w:tcW w:w="355" w:type="pct"/>
                  <w:tcMar>
                    <w:top w:w="0" w:type="dxa"/>
                    <w:left w:w="0" w:type="dxa"/>
                    <w:bottom w:w="0" w:type="dxa"/>
                    <w:right w:w="0" w:type="dxa"/>
                  </w:tcMar>
                  <w:vAlign w:val="center"/>
                </w:tcPr>
                <w:p w14:paraId="3F9766F2">
                  <w:pPr>
                    <w:pStyle w:val="3"/>
                    <w:keepNext w:val="0"/>
                    <w:keepLines w:val="0"/>
                    <w:spacing w:line="240" w:lineRule="auto"/>
                    <w:jc w:val="center"/>
                    <w:rPr>
                      <w:b w:val="0"/>
                      <w:bCs w:val="0"/>
                      <w:color w:val="auto"/>
                      <w:sz w:val="21"/>
                      <w:szCs w:val="21"/>
                    </w:rPr>
                  </w:pPr>
                  <w:r>
                    <w:rPr>
                      <w:rFonts w:hint="eastAsia"/>
                      <w:b w:val="0"/>
                      <w:bCs w:val="0"/>
                      <w:color w:val="auto"/>
                      <w:sz w:val="21"/>
                      <w:szCs w:val="21"/>
                    </w:rPr>
                    <w:t>10</w:t>
                  </w:r>
                </w:p>
              </w:tc>
              <w:tc>
                <w:tcPr>
                  <w:tcW w:w="347" w:type="pct"/>
                  <w:tcMar>
                    <w:top w:w="0" w:type="dxa"/>
                    <w:left w:w="0" w:type="dxa"/>
                    <w:bottom w:w="0" w:type="dxa"/>
                    <w:right w:w="0" w:type="dxa"/>
                  </w:tcMar>
                  <w:vAlign w:val="center"/>
                </w:tcPr>
                <w:p w14:paraId="6942AEDD">
                  <w:pPr>
                    <w:pStyle w:val="3"/>
                    <w:keepNext w:val="0"/>
                    <w:keepLines w:val="0"/>
                    <w:spacing w:line="240" w:lineRule="auto"/>
                    <w:jc w:val="center"/>
                    <w:rPr>
                      <w:b w:val="0"/>
                      <w:bCs w:val="0"/>
                      <w:color w:val="auto"/>
                      <w:sz w:val="21"/>
                      <w:szCs w:val="21"/>
                    </w:rPr>
                  </w:pPr>
                  <w:r>
                    <w:rPr>
                      <w:rFonts w:hint="eastAsia"/>
                      <w:b w:val="0"/>
                      <w:bCs w:val="0"/>
                      <w:color w:val="auto"/>
                      <w:sz w:val="21"/>
                      <w:szCs w:val="21"/>
                    </w:rPr>
                    <w:t>51.0</w:t>
                  </w:r>
                </w:p>
              </w:tc>
              <w:tc>
                <w:tcPr>
                  <w:tcW w:w="279" w:type="pct"/>
                  <w:tcMar>
                    <w:top w:w="0" w:type="dxa"/>
                    <w:left w:w="0" w:type="dxa"/>
                    <w:bottom w:w="0" w:type="dxa"/>
                    <w:right w:w="0" w:type="dxa"/>
                  </w:tcMar>
                  <w:vAlign w:val="center"/>
                </w:tcPr>
                <w:p w14:paraId="694D1D96">
                  <w:pPr>
                    <w:snapToGrid w:val="0"/>
                    <w:spacing w:line="240" w:lineRule="auto"/>
                    <w:jc w:val="center"/>
                    <w:rPr>
                      <w:color w:val="auto"/>
                      <w:sz w:val="21"/>
                      <w:szCs w:val="21"/>
                    </w:rPr>
                  </w:pPr>
                  <w:r>
                    <w:rPr>
                      <w:rFonts w:hint="eastAsia"/>
                      <w:b w:val="0"/>
                      <w:bCs w:val="0"/>
                      <w:color w:val="auto"/>
                      <w:kern w:val="2"/>
                      <w:sz w:val="21"/>
                      <w:szCs w:val="21"/>
                    </w:rPr>
                    <w:t>昼</w:t>
                  </w:r>
                  <w:r>
                    <w:rPr>
                      <w:rFonts w:hint="eastAsia"/>
                      <w:b w:val="0"/>
                      <w:bCs w:val="0"/>
                      <w:color w:val="auto"/>
                      <w:kern w:val="2"/>
                      <w:sz w:val="21"/>
                      <w:szCs w:val="21"/>
                      <w:lang w:eastAsia="zh-CN"/>
                    </w:rPr>
                    <w:t>夜</w:t>
                  </w:r>
                </w:p>
              </w:tc>
              <w:tc>
                <w:tcPr>
                  <w:tcW w:w="377" w:type="pct"/>
                  <w:vMerge w:val="continue"/>
                  <w:tcMar>
                    <w:top w:w="0" w:type="dxa"/>
                    <w:left w:w="0" w:type="dxa"/>
                    <w:bottom w:w="0" w:type="dxa"/>
                    <w:right w:w="0" w:type="dxa"/>
                  </w:tcMar>
                  <w:vAlign w:val="center"/>
                </w:tcPr>
                <w:p w14:paraId="7497042B">
                  <w:pPr>
                    <w:snapToGrid w:val="0"/>
                    <w:jc w:val="center"/>
                    <w:rPr>
                      <w:color w:val="auto"/>
                      <w:sz w:val="21"/>
                      <w:szCs w:val="21"/>
                    </w:rPr>
                  </w:pPr>
                </w:p>
              </w:tc>
              <w:tc>
                <w:tcPr>
                  <w:tcW w:w="488" w:type="pct"/>
                  <w:shd w:val="clear" w:color="auto" w:fill="auto"/>
                  <w:tcMar>
                    <w:top w:w="0" w:type="dxa"/>
                    <w:left w:w="0" w:type="dxa"/>
                    <w:bottom w:w="0" w:type="dxa"/>
                    <w:right w:w="0" w:type="dxa"/>
                  </w:tcMar>
                  <w:vAlign w:val="center"/>
                </w:tcPr>
                <w:p w14:paraId="55DDBE8D">
                  <w:pPr>
                    <w:pStyle w:val="3"/>
                    <w:keepNext w:val="0"/>
                    <w:keepLines w:val="0"/>
                    <w:spacing w:line="240" w:lineRule="auto"/>
                    <w:jc w:val="center"/>
                    <w:rPr>
                      <w:b w:val="0"/>
                      <w:bCs w:val="0"/>
                      <w:color w:val="auto"/>
                      <w:sz w:val="21"/>
                      <w:szCs w:val="21"/>
                    </w:rPr>
                  </w:pPr>
                  <w:r>
                    <w:rPr>
                      <w:rFonts w:hint="eastAsia"/>
                      <w:b w:val="0"/>
                      <w:bCs w:val="0"/>
                      <w:color w:val="auto"/>
                      <w:sz w:val="21"/>
                      <w:szCs w:val="21"/>
                    </w:rPr>
                    <w:t>31.0</w:t>
                  </w:r>
                </w:p>
              </w:tc>
              <w:tc>
                <w:tcPr>
                  <w:tcW w:w="728" w:type="pct"/>
                  <w:tcMar>
                    <w:top w:w="0" w:type="dxa"/>
                    <w:left w:w="0" w:type="dxa"/>
                    <w:bottom w:w="0" w:type="dxa"/>
                    <w:right w:w="0" w:type="dxa"/>
                  </w:tcMar>
                  <w:vAlign w:val="center"/>
                </w:tcPr>
                <w:p w14:paraId="66F26EDD">
                  <w:pPr>
                    <w:spacing w:line="240" w:lineRule="auto"/>
                    <w:jc w:val="center"/>
                    <w:outlineLvl w:val="0"/>
                    <w:rPr>
                      <w:color w:val="auto"/>
                      <w:sz w:val="21"/>
                      <w:szCs w:val="21"/>
                    </w:rPr>
                  </w:pPr>
                  <w:r>
                    <w:rPr>
                      <w:rFonts w:hint="eastAsia"/>
                      <w:color w:val="auto"/>
                      <w:sz w:val="21"/>
                      <w:szCs w:val="21"/>
                    </w:rPr>
                    <w:t>1</w:t>
                  </w:r>
                </w:p>
              </w:tc>
            </w:tr>
            <w:tr w14:paraId="2395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1" w:type="pct"/>
                  <w:vMerge w:val="continue"/>
                  <w:tcMar>
                    <w:top w:w="0" w:type="dxa"/>
                    <w:left w:w="0" w:type="dxa"/>
                    <w:bottom w:w="0" w:type="dxa"/>
                    <w:right w:w="0" w:type="dxa"/>
                  </w:tcMar>
                  <w:vAlign w:val="center"/>
                </w:tcPr>
                <w:p w14:paraId="14153B45">
                  <w:pPr>
                    <w:pStyle w:val="3"/>
                    <w:keepNext w:val="0"/>
                    <w:keepLines w:val="0"/>
                    <w:spacing w:line="240" w:lineRule="auto"/>
                    <w:jc w:val="center"/>
                    <w:rPr>
                      <w:b w:val="0"/>
                      <w:bCs w:val="0"/>
                      <w:color w:val="auto"/>
                      <w:sz w:val="21"/>
                      <w:szCs w:val="21"/>
                    </w:rPr>
                  </w:pPr>
                </w:p>
              </w:tc>
              <w:tc>
                <w:tcPr>
                  <w:tcW w:w="573" w:type="pct"/>
                  <w:tcMar>
                    <w:top w:w="0" w:type="dxa"/>
                    <w:left w:w="0" w:type="dxa"/>
                    <w:bottom w:w="0" w:type="dxa"/>
                    <w:right w:w="0" w:type="dxa"/>
                  </w:tcMar>
                  <w:vAlign w:val="center"/>
                </w:tcPr>
                <w:p w14:paraId="7C32C10D">
                  <w:pPr>
                    <w:pStyle w:val="71"/>
                    <w:rPr>
                      <w:rFonts w:hint="eastAsia"/>
                      <w:color w:val="auto"/>
                      <w:lang w:eastAsia="zh-CN"/>
                    </w:rPr>
                  </w:pPr>
                  <w:r>
                    <w:rPr>
                      <w:rFonts w:hint="eastAsia"/>
                      <w:color w:val="auto"/>
                      <w:lang w:eastAsia="zh-CN"/>
                    </w:rPr>
                    <w:t>冷却机</w:t>
                  </w:r>
                </w:p>
                <w:p w14:paraId="3439B3D3">
                  <w:pPr>
                    <w:pStyle w:val="71"/>
                    <w:rPr>
                      <w:bCs/>
                      <w:color w:val="auto"/>
                      <w:szCs w:val="21"/>
                    </w:rPr>
                  </w:pPr>
                  <w:r>
                    <w:rPr>
                      <w:rFonts w:hint="eastAsia"/>
                      <w:color w:val="auto"/>
                    </w:rPr>
                    <w:t>循环水泵</w:t>
                  </w:r>
                </w:p>
              </w:tc>
              <w:tc>
                <w:tcPr>
                  <w:tcW w:w="261" w:type="pct"/>
                  <w:tcMar>
                    <w:top w:w="0" w:type="dxa"/>
                    <w:left w:w="0" w:type="dxa"/>
                    <w:bottom w:w="0" w:type="dxa"/>
                    <w:right w:w="0" w:type="dxa"/>
                  </w:tcMar>
                  <w:vAlign w:val="center"/>
                </w:tcPr>
                <w:p w14:paraId="03ED004D">
                  <w:pPr>
                    <w:adjustRightInd w:val="0"/>
                    <w:snapToGrid w:val="0"/>
                    <w:spacing w:line="240" w:lineRule="auto"/>
                    <w:jc w:val="center"/>
                    <w:rPr>
                      <w:color w:val="auto"/>
                      <w:sz w:val="21"/>
                      <w:szCs w:val="21"/>
                    </w:rPr>
                  </w:pPr>
                  <w:r>
                    <w:rPr>
                      <w:rFonts w:hint="eastAsia"/>
                      <w:color w:val="auto"/>
                      <w:sz w:val="21"/>
                      <w:szCs w:val="21"/>
                    </w:rPr>
                    <w:t>1</w:t>
                  </w:r>
                </w:p>
              </w:tc>
              <w:tc>
                <w:tcPr>
                  <w:tcW w:w="357" w:type="pct"/>
                  <w:tcMar>
                    <w:top w:w="0" w:type="dxa"/>
                    <w:left w:w="0" w:type="dxa"/>
                    <w:bottom w:w="0" w:type="dxa"/>
                    <w:right w:w="0" w:type="dxa"/>
                  </w:tcMar>
                  <w:vAlign w:val="center"/>
                </w:tcPr>
                <w:p w14:paraId="162FB37A">
                  <w:pPr>
                    <w:spacing w:line="240" w:lineRule="auto"/>
                    <w:jc w:val="center"/>
                    <w:rPr>
                      <w:color w:val="auto"/>
                      <w:sz w:val="21"/>
                      <w:szCs w:val="21"/>
                    </w:rPr>
                  </w:pPr>
                  <w:r>
                    <w:rPr>
                      <w:rFonts w:hint="eastAsia"/>
                      <w:color w:val="auto"/>
                      <w:sz w:val="21"/>
                      <w:szCs w:val="21"/>
                    </w:rPr>
                    <w:t>85</w:t>
                  </w:r>
                </w:p>
              </w:tc>
              <w:tc>
                <w:tcPr>
                  <w:tcW w:w="322" w:type="pct"/>
                  <w:vMerge w:val="continue"/>
                  <w:tcMar>
                    <w:top w:w="0" w:type="dxa"/>
                    <w:left w:w="0" w:type="dxa"/>
                    <w:bottom w:w="0" w:type="dxa"/>
                    <w:right w:w="0" w:type="dxa"/>
                  </w:tcMar>
                  <w:vAlign w:val="center"/>
                </w:tcPr>
                <w:p w14:paraId="7DF77B37">
                  <w:pPr>
                    <w:pStyle w:val="3"/>
                    <w:keepNext w:val="0"/>
                    <w:keepLines w:val="0"/>
                    <w:spacing w:line="240" w:lineRule="auto"/>
                    <w:jc w:val="center"/>
                    <w:rPr>
                      <w:b w:val="0"/>
                      <w:bCs w:val="0"/>
                      <w:color w:val="auto"/>
                      <w:sz w:val="21"/>
                      <w:szCs w:val="21"/>
                    </w:rPr>
                  </w:pPr>
                </w:p>
              </w:tc>
              <w:tc>
                <w:tcPr>
                  <w:tcW w:w="197" w:type="pct"/>
                  <w:tcMar>
                    <w:top w:w="0" w:type="dxa"/>
                    <w:left w:w="0" w:type="dxa"/>
                    <w:bottom w:w="0" w:type="dxa"/>
                    <w:right w:w="0" w:type="dxa"/>
                  </w:tcMar>
                  <w:vAlign w:val="center"/>
                </w:tcPr>
                <w:p w14:paraId="60EF2DEF">
                  <w:pPr>
                    <w:pStyle w:val="3"/>
                    <w:keepNext w:val="0"/>
                    <w:keepLines w:val="0"/>
                    <w:spacing w:line="240" w:lineRule="auto"/>
                    <w:jc w:val="center"/>
                    <w:rPr>
                      <w:b w:val="0"/>
                      <w:bCs w:val="0"/>
                      <w:color w:val="auto"/>
                      <w:sz w:val="21"/>
                      <w:szCs w:val="21"/>
                    </w:rPr>
                  </w:pPr>
                  <w:r>
                    <w:rPr>
                      <w:rFonts w:hint="eastAsia"/>
                      <w:b w:val="0"/>
                      <w:bCs w:val="0"/>
                      <w:color w:val="auto"/>
                      <w:sz w:val="21"/>
                      <w:szCs w:val="21"/>
                    </w:rPr>
                    <w:t>20</w:t>
                  </w:r>
                </w:p>
              </w:tc>
              <w:tc>
                <w:tcPr>
                  <w:tcW w:w="206" w:type="pct"/>
                  <w:tcMar>
                    <w:top w:w="0" w:type="dxa"/>
                    <w:left w:w="0" w:type="dxa"/>
                    <w:bottom w:w="0" w:type="dxa"/>
                    <w:right w:w="0" w:type="dxa"/>
                  </w:tcMar>
                  <w:vAlign w:val="center"/>
                </w:tcPr>
                <w:p w14:paraId="2D8E4ED1">
                  <w:pPr>
                    <w:pStyle w:val="3"/>
                    <w:keepNext w:val="0"/>
                    <w:keepLines w:val="0"/>
                    <w:spacing w:line="240" w:lineRule="auto"/>
                    <w:jc w:val="center"/>
                    <w:rPr>
                      <w:b w:val="0"/>
                      <w:bCs w:val="0"/>
                      <w:color w:val="auto"/>
                      <w:sz w:val="21"/>
                      <w:szCs w:val="21"/>
                    </w:rPr>
                  </w:pPr>
                  <w:r>
                    <w:rPr>
                      <w:rFonts w:hint="eastAsia"/>
                      <w:b w:val="0"/>
                      <w:bCs w:val="0"/>
                      <w:color w:val="auto"/>
                      <w:sz w:val="21"/>
                      <w:szCs w:val="21"/>
                    </w:rPr>
                    <w:t>15</w:t>
                  </w:r>
                </w:p>
              </w:tc>
              <w:tc>
                <w:tcPr>
                  <w:tcW w:w="214" w:type="pct"/>
                  <w:tcMar>
                    <w:top w:w="0" w:type="dxa"/>
                    <w:left w:w="0" w:type="dxa"/>
                    <w:bottom w:w="0" w:type="dxa"/>
                    <w:right w:w="0" w:type="dxa"/>
                  </w:tcMar>
                  <w:vAlign w:val="center"/>
                </w:tcPr>
                <w:p w14:paraId="244F8997">
                  <w:pPr>
                    <w:spacing w:line="240" w:lineRule="auto"/>
                    <w:jc w:val="center"/>
                    <w:outlineLvl w:val="0"/>
                    <w:rPr>
                      <w:color w:val="auto"/>
                      <w:sz w:val="21"/>
                      <w:szCs w:val="21"/>
                    </w:rPr>
                  </w:pPr>
                  <w:r>
                    <w:rPr>
                      <w:rFonts w:hint="eastAsia"/>
                      <w:color w:val="auto"/>
                      <w:sz w:val="21"/>
                      <w:szCs w:val="21"/>
                    </w:rPr>
                    <w:t>1.5</w:t>
                  </w:r>
                </w:p>
              </w:tc>
              <w:tc>
                <w:tcPr>
                  <w:tcW w:w="355" w:type="pct"/>
                  <w:tcMar>
                    <w:top w:w="0" w:type="dxa"/>
                    <w:left w:w="0" w:type="dxa"/>
                    <w:bottom w:w="0" w:type="dxa"/>
                    <w:right w:w="0" w:type="dxa"/>
                  </w:tcMar>
                  <w:vAlign w:val="center"/>
                </w:tcPr>
                <w:p w14:paraId="447D8158">
                  <w:pPr>
                    <w:pStyle w:val="3"/>
                    <w:keepNext w:val="0"/>
                    <w:keepLines w:val="0"/>
                    <w:spacing w:line="240" w:lineRule="auto"/>
                    <w:jc w:val="center"/>
                    <w:rPr>
                      <w:b w:val="0"/>
                      <w:bCs w:val="0"/>
                      <w:color w:val="auto"/>
                      <w:sz w:val="21"/>
                      <w:szCs w:val="21"/>
                    </w:rPr>
                  </w:pPr>
                  <w:r>
                    <w:rPr>
                      <w:rFonts w:hint="eastAsia"/>
                      <w:b w:val="0"/>
                      <w:bCs w:val="0"/>
                      <w:color w:val="auto"/>
                      <w:sz w:val="21"/>
                      <w:szCs w:val="21"/>
                    </w:rPr>
                    <w:t>5</w:t>
                  </w:r>
                </w:p>
              </w:tc>
              <w:tc>
                <w:tcPr>
                  <w:tcW w:w="347" w:type="pct"/>
                  <w:tcMar>
                    <w:top w:w="0" w:type="dxa"/>
                    <w:left w:w="0" w:type="dxa"/>
                    <w:bottom w:w="0" w:type="dxa"/>
                    <w:right w:w="0" w:type="dxa"/>
                  </w:tcMar>
                  <w:vAlign w:val="center"/>
                </w:tcPr>
                <w:p w14:paraId="7F68938C">
                  <w:pPr>
                    <w:pStyle w:val="3"/>
                    <w:keepNext w:val="0"/>
                    <w:keepLines w:val="0"/>
                    <w:spacing w:line="240" w:lineRule="auto"/>
                    <w:jc w:val="center"/>
                    <w:rPr>
                      <w:b w:val="0"/>
                      <w:bCs w:val="0"/>
                      <w:color w:val="auto"/>
                      <w:sz w:val="21"/>
                      <w:szCs w:val="21"/>
                    </w:rPr>
                  </w:pPr>
                  <w:r>
                    <w:rPr>
                      <w:rFonts w:hint="eastAsia"/>
                      <w:b w:val="0"/>
                      <w:bCs w:val="0"/>
                      <w:color w:val="auto"/>
                      <w:sz w:val="21"/>
                      <w:szCs w:val="21"/>
                    </w:rPr>
                    <w:t>71.0</w:t>
                  </w:r>
                </w:p>
              </w:tc>
              <w:tc>
                <w:tcPr>
                  <w:tcW w:w="279" w:type="pct"/>
                  <w:tcMar>
                    <w:top w:w="0" w:type="dxa"/>
                    <w:left w:w="0" w:type="dxa"/>
                    <w:bottom w:w="0" w:type="dxa"/>
                    <w:right w:w="0" w:type="dxa"/>
                  </w:tcMar>
                  <w:vAlign w:val="center"/>
                </w:tcPr>
                <w:p w14:paraId="4218F80D">
                  <w:pPr>
                    <w:snapToGrid w:val="0"/>
                    <w:spacing w:line="240" w:lineRule="auto"/>
                    <w:jc w:val="center"/>
                    <w:rPr>
                      <w:color w:val="auto"/>
                      <w:sz w:val="21"/>
                      <w:szCs w:val="21"/>
                    </w:rPr>
                  </w:pPr>
                  <w:r>
                    <w:rPr>
                      <w:rFonts w:hint="eastAsia"/>
                      <w:b w:val="0"/>
                      <w:bCs w:val="0"/>
                      <w:color w:val="auto"/>
                      <w:kern w:val="2"/>
                      <w:sz w:val="21"/>
                      <w:szCs w:val="21"/>
                    </w:rPr>
                    <w:t>昼</w:t>
                  </w:r>
                  <w:r>
                    <w:rPr>
                      <w:rFonts w:hint="eastAsia"/>
                      <w:b w:val="0"/>
                      <w:bCs w:val="0"/>
                      <w:color w:val="auto"/>
                      <w:kern w:val="2"/>
                      <w:sz w:val="21"/>
                      <w:szCs w:val="21"/>
                      <w:lang w:eastAsia="zh-CN"/>
                    </w:rPr>
                    <w:t>夜</w:t>
                  </w:r>
                </w:p>
              </w:tc>
              <w:tc>
                <w:tcPr>
                  <w:tcW w:w="377" w:type="pct"/>
                  <w:vMerge w:val="continue"/>
                  <w:tcMar>
                    <w:top w:w="0" w:type="dxa"/>
                    <w:left w:w="0" w:type="dxa"/>
                    <w:bottom w:w="0" w:type="dxa"/>
                    <w:right w:w="0" w:type="dxa"/>
                  </w:tcMar>
                  <w:vAlign w:val="center"/>
                </w:tcPr>
                <w:p w14:paraId="606C924E">
                  <w:pPr>
                    <w:snapToGrid w:val="0"/>
                    <w:jc w:val="center"/>
                    <w:rPr>
                      <w:color w:val="auto"/>
                      <w:sz w:val="21"/>
                      <w:szCs w:val="21"/>
                    </w:rPr>
                  </w:pPr>
                </w:p>
              </w:tc>
              <w:tc>
                <w:tcPr>
                  <w:tcW w:w="488" w:type="pct"/>
                  <w:shd w:val="clear" w:color="auto" w:fill="auto"/>
                  <w:tcMar>
                    <w:top w:w="0" w:type="dxa"/>
                    <w:left w:w="0" w:type="dxa"/>
                    <w:bottom w:w="0" w:type="dxa"/>
                    <w:right w:w="0" w:type="dxa"/>
                  </w:tcMar>
                  <w:vAlign w:val="center"/>
                </w:tcPr>
                <w:p w14:paraId="5AA5961C">
                  <w:pPr>
                    <w:pStyle w:val="3"/>
                    <w:keepNext w:val="0"/>
                    <w:keepLines w:val="0"/>
                    <w:spacing w:line="240" w:lineRule="auto"/>
                    <w:jc w:val="center"/>
                    <w:rPr>
                      <w:b w:val="0"/>
                      <w:bCs w:val="0"/>
                      <w:color w:val="auto"/>
                      <w:sz w:val="21"/>
                      <w:szCs w:val="21"/>
                    </w:rPr>
                  </w:pPr>
                  <w:r>
                    <w:rPr>
                      <w:rFonts w:hint="eastAsia"/>
                      <w:b w:val="0"/>
                      <w:bCs w:val="0"/>
                      <w:color w:val="auto"/>
                      <w:sz w:val="21"/>
                      <w:szCs w:val="21"/>
                    </w:rPr>
                    <w:t>51.0</w:t>
                  </w:r>
                </w:p>
              </w:tc>
              <w:tc>
                <w:tcPr>
                  <w:tcW w:w="728" w:type="pct"/>
                  <w:tcMar>
                    <w:top w:w="0" w:type="dxa"/>
                    <w:left w:w="0" w:type="dxa"/>
                    <w:bottom w:w="0" w:type="dxa"/>
                    <w:right w:w="0" w:type="dxa"/>
                  </w:tcMar>
                  <w:vAlign w:val="center"/>
                </w:tcPr>
                <w:p w14:paraId="17A5949A">
                  <w:pPr>
                    <w:spacing w:line="240" w:lineRule="auto"/>
                    <w:jc w:val="center"/>
                    <w:outlineLvl w:val="0"/>
                    <w:rPr>
                      <w:color w:val="auto"/>
                      <w:sz w:val="21"/>
                      <w:szCs w:val="21"/>
                    </w:rPr>
                  </w:pPr>
                  <w:r>
                    <w:rPr>
                      <w:rFonts w:hint="eastAsia"/>
                      <w:color w:val="auto"/>
                      <w:sz w:val="21"/>
                      <w:szCs w:val="21"/>
                    </w:rPr>
                    <w:t>1</w:t>
                  </w:r>
                </w:p>
              </w:tc>
            </w:tr>
            <w:tr w14:paraId="36A2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1" w:type="pct"/>
                  <w:vMerge w:val="continue"/>
                  <w:tcMar>
                    <w:top w:w="0" w:type="dxa"/>
                    <w:left w:w="0" w:type="dxa"/>
                    <w:bottom w:w="0" w:type="dxa"/>
                    <w:right w:w="0" w:type="dxa"/>
                  </w:tcMar>
                  <w:vAlign w:val="center"/>
                </w:tcPr>
                <w:p w14:paraId="1CF96B95">
                  <w:pPr>
                    <w:pStyle w:val="3"/>
                    <w:keepNext w:val="0"/>
                    <w:keepLines w:val="0"/>
                    <w:spacing w:line="240" w:lineRule="auto"/>
                    <w:jc w:val="center"/>
                    <w:rPr>
                      <w:b w:val="0"/>
                      <w:bCs w:val="0"/>
                      <w:color w:val="auto"/>
                      <w:sz w:val="21"/>
                      <w:szCs w:val="21"/>
                    </w:rPr>
                  </w:pPr>
                </w:p>
              </w:tc>
              <w:tc>
                <w:tcPr>
                  <w:tcW w:w="573" w:type="pct"/>
                  <w:tcMar>
                    <w:top w:w="0" w:type="dxa"/>
                    <w:left w:w="0" w:type="dxa"/>
                    <w:bottom w:w="0" w:type="dxa"/>
                    <w:right w:w="0" w:type="dxa"/>
                  </w:tcMar>
                  <w:vAlign w:val="center"/>
                </w:tcPr>
                <w:p w14:paraId="5AB81064">
                  <w:pPr>
                    <w:pStyle w:val="71"/>
                    <w:rPr>
                      <w:rFonts w:ascii="Times New Roman" w:hAnsi="Times New Roman" w:cs="Times New Roman"/>
                      <w:color w:val="auto"/>
                      <w:kern w:val="0"/>
                      <w:szCs w:val="21"/>
                    </w:rPr>
                  </w:pPr>
                  <w:r>
                    <w:rPr>
                      <w:rFonts w:hint="eastAsia" w:ascii="Times New Roman" w:hAnsi="Times New Roman" w:cs="Times New Roman"/>
                      <w:color w:val="auto"/>
                      <w:kern w:val="0"/>
                      <w:szCs w:val="21"/>
                      <w:lang w:eastAsia="zh-CN"/>
                    </w:rPr>
                    <w:t>活性炭环保设施</w:t>
                  </w:r>
                </w:p>
              </w:tc>
              <w:tc>
                <w:tcPr>
                  <w:tcW w:w="261" w:type="pct"/>
                  <w:tcMar>
                    <w:top w:w="0" w:type="dxa"/>
                    <w:left w:w="0" w:type="dxa"/>
                    <w:bottom w:w="0" w:type="dxa"/>
                    <w:right w:w="0" w:type="dxa"/>
                  </w:tcMar>
                  <w:vAlign w:val="center"/>
                </w:tcPr>
                <w:p w14:paraId="53467EEF">
                  <w:pPr>
                    <w:adjustRightInd w:val="0"/>
                    <w:snapToGrid w:val="0"/>
                    <w:spacing w:line="240" w:lineRule="auto"/>
                    <w:jc w:val="center"/>
                    <w:rPr>
                      <w:color w:val="auto"/>
                      <w:sz w:val="21"/>
                      <w:szCs w:val="21"/>
                    </w:rPr>
                  </w:pPr>
                  <w:r>
                    <w:rPr>
                      <w:rFonts w:hint="eastAsia"/>
                      <w:color w:val="auto"/>
                      <w:sz w:val="21"/>
                      <w:szCs w:val="21"/>
                    </w:rPr>
                    <w:t>1</w:t>
                  </w:r>
                </w:p>
              </w:tc>
              <w:tc>
                <w:tcPr>
                  <w:tcW w:w="357" w:type="pct"/>
                  <w:tcMar>
                    <w:top w:w="0" w:type="dxa"/>
                    <w:left w:w="0" w:type="dxa"/>
                    <w:bottom w:w="0" w:type="dxa"/>
                    <w:right w:w="0" w:type="dxa"/>
                  </w:tcMar>
                  <w:vAlign w:val="center"/>
                </w:tcPr>
                <w:p w14:paraId="143ED00D">
                  <w:pPr>
                    <w:spacing w:line="240" w:lineRule="auto"/>
                    <w:jc w:val="center"/>
                    <w:rPr>
                      <w:bCs/>
                      <w:color w:val="auto"/>
                      <w:sz w:val="21"/>
                      <w:szCs w:val="21"/>
                    </w:rPr>
                  </w:pPr>
                  <w:r>
                    <w:rPr>
                      <w:rFonts w:hint="eastAsia"/>
                      <w:bCs/>
                      <w:color w:val="auto"/>
                      <w:sz w:val="21"/>
                      <w:szCs w:val="21"/>
                    </w:rPr>
                    <w:t>85</w:t>
                  </w:r>
                </w:p>
              </w:tc>
              <w:tc>
                <w:tcPr>
                  <w:tcW w:w="322" w:type="pct"/>
                  <w:vMerge w:val="continue"/>
                  <w:tcMar>
                    <w:top w:w="0" w:type="dxa"/>
                    <w:left w:w="0" w:type="dxa"/>
                    <w:bottom w:w="0" w:type="dxa"/>
                    <w:right w:w="0" w:type="dxa"/>
                  </w:tcMar>
                  <w:vAlign w:val="center"/>
                </w:tcPr>
                <w:p w14:paraId="5FF876C4">
                  <w:pPr>
                    <w:pStyle w:val="3"/>
                    <w:keepNext w:val="0"/>
                    <w:keepLines w:val="0"/>
                    <w:spacing w:line="240" w:lineRule="auto"/>
                    <w:jc w:val="center"/>
                    <w:rPr>
                      <w:b w:val="0"/>
                      <w:bCs w:val="0"/>
                      <w:color w:val="auto"/>
                      <w:sz w:val="21"/>
                      <w:szCs w:val="21"/>
                    </w:rPr>
                  </w:pPr>
                </w:p>
              </w:tc>
              <w:tc>
                <w:tcPr>
                  <w:tcW w:w="197" w:type="pct"/>
                  <w:tcMar>
                    <w:top w:w="0" w:type="dxa"/>
                    <w:left w:w="0" w:type="dxa"/>
                    <w:bottom w:w="0" w:type="dxa"/>
                    <w:right w:w="0" w:type="dxa"/>
                  </w:tcMar>
                  <w:vAlign w:val="center"/>
                </w:tcPr>
                <w:p w14:paraId="64F5E8F4">
                  <w:pPr>
                    <w:pStyle w:val="3"/>
                    <w:keepNext w:val="0"/>
                    <w:keepLines w:val="0"/>
                    <w:spacing w:line="240" w:lineRule="auto"/>
                    <w:jc w:val="center"/>
                    <w:rPr>
                      <w:b w:val="0"/>
                      <w:bCs w:val="0"/>
                      <w:color w:val="auto"/>
                      <w:sz w:val="21"/>
                      <w:szCs w:val="21"/>
                    </w:rPr>
                  </w:pPr>
                  <w:r>
                    <w:rPr>
                      <w:rFonts w:hint="eastAsia"/>
                      <w:b w:val="0"/>
                      <w:bCs w:val="0"/>
                      <w:color w:val="auto"/>
                      <w:sz w:val="21"/>
                      <w:szCs w:val="21"/>
                    </w:rPr>
                    <w:t>24</w:t>
                  </w:r>
                </w:p>
              </w:tc>
              <w:tc>
                <w:tcPr>
                  <w:tcW w:w="206" w:type="pct"/>
                  <w:tcMar>
                    <w:top w:w="0" w:type="dxa"/>
                    <w:left w:w="0" w:type="dxa"/>
                    <w:bottom w:w="0" w:type="dxa"/>
                    <w:right w:w="0" w:type="dxa"/>
                  </w:tcMar>
                  <w:vAlign w:val="center"/>
                </w:tcPr>
                <w:p w14:paraId="355AB7E1">
                  <w:pPr>
                    <w:pStyle w:val="3"/>
                    <w:keepNext w:val="0"/>
                    <w:keepLines w:val="0"/>
                    <w:spacing w:line="240" w:lineRule="auto"/>
                    <w:jc w:val="center"/>
                    <w:rPr>
                      <w:b w:val="0"/>
                      <w:bCs w:val="0"/>
                      <w:color w:val="auto"/>
                      <w:sz w:val="21"/>
                      <w:szCs w:val="21"/>
                    </w:rPr>
                  </w:pPr>
                  <w:r>
                    <w:rPr>
                      <w:rFonts w:hint="eastAsia"/>
                      <w:b w:val="0"/>
                      <w:bCs w:val="0"/>
                      <w:color w:val="auto"/>
                      <w:sz w:val="21"/>
                      <w:szCs w:val="21"/>
                    </w:rPr>
                    <w:t>15</w:t>
                  </w:r>
                </w:p>
              </w:tc>
              <w:tc>
                <w:tcPr>
                  <w:tcW w:w="214" w:type="pct"/>
                  <w:tcMar>
                    <w:top w:w="0" w:type="dxa"/>
                    <w:left w:w="0" w:type="dxa"/>
                    <w:bottom w:w="0" w:type="dxa"/>
                    <w:right w:w="0" w:type="dxa"/>
                  </w:tcMar>
                  <w:vAlign w:val="center"/>
                </w:tcPr>
                <w:p w14:paraId="3AFA260B">
                  <w:pPr>
                    <w:spacing w:line="240" w:lineRule="auto"/>
                    <w:jc w:val="center"/>
                    <w:outlineLvl w:val="0"/>
                    <w:rPr>
                      <w:color w:val="auto"/>
                      <w:sz w:val="21"/>
                      <w:szCs w:val="21"/>
                    </w:rPr>
                  </w:pPr>
                  <w:r>
                    <w:rPr>
                      <w:rFonts w:hint="eastAsia"/>
                      <w:color w:val="auto"/>
                      <w:sz w:val="21"/>
                      <w:szCs w:val="21"/>
                    </w:rPr>
                    <w:t>1.5</w:t>
                  </w:r>
                </w:p>
              </w:tc>
              <w:tc>
                <w:tcPr>
                  <w:tcW w:w="355" w:type="pct"/>
                  <w:tcMar>
                    <w:top w:w="0" w:type="dxa"/>
                    <w:left w:w="0" w:type="dxa"/>
                    <w:bottom w:w="0" w:type="dxa"/>
                    <w:right w:w="0" w:type="dxa"/>
                  </w:tcMar>
                  <w:vAlign w:val="center"/>
                </w:tcPr>
                <w:p w14:paraId="2ED6B43E">
                  <w:pPr>
                    <w:pStyle w:val="3"/>
                    <w:keepNext w:val="0"/>
                    <w:keepLines w:val="0"/>
                    <w:spacing w:line="240" w:lineRule="auto"/>
                    <w:jc w:val="center"/>
                    <w:rPr>
                      <w:b w:val="0"/>
                      <w:bCs w:val="0"/>
                      <w:color w:val="auto"/>
                      <w:sz w:val="21"/>
                      <w:szCs w:val="21"/>
                    </w:rPr>
                  </w:pPr>
                  <w:r>
                    <w:rPr>
                      <w:rFonts w:hint="eastAsia"/>
                      <w:b w:val="0"/>
                      <w:bCs w:val="0"/>
                      <w:color w:val="auto"/>
                      <w:sz w:val="21"/>
                      <w:szCs w:val="21"/>
                    </w:rPr>
                    <w:t>5</w:t>
                  </w:r>
                </w:p>
              </w:tc>
              <w:tc>
                <w:tcPr>
                  <w:tcW w:w="347" w:type="pct"/>
                  <w:tcMar>
                    <w:top w:w="0" w:type="dxa"/>
                    <w:left w:w="0" w:type="dxa"/>
                    <w:bottom w:w="0" w:type="dxa"/>
                    <w:right w:w="0" w:type="dxa"/>
                  </w:tcMar>
                  <w:vAlign w:val="center"/>
                </w:tcPr>
                <w:p w14:paraId="6B67E950">
                  <w:pPr>
                    <w:pStyle w:val="3"/>
                    <w:keepNext w:val="0"/>
                    <w:keepLines w:val="0"/>
                    <w:spacing w:line="240" w:lineRule="auto"/>
                    <w:jc w:val="center"/>
                    <w:rPr>
                      <w:b w:val="0"/>
                      <w:bCs w:val="0"/>
                      <w:color w:val="auto"/>
                      <w:sz w:val="21"/>
                      <w:szCs w:val="21"/>
                    </w:rPr>
                  </w:pPr>
                  <w:r>
                    <w:rPr>
                      <w:rFonts w:hint="eastAsia"/>
                      <w:b w:val="0"/>
                      <w:bCs w:val="0"/>
                      <w:color w:val="auto"/>
                      <w:sz w:val="21"/>
                      <w:szCs w:val="21"/>
                    </w:rPr>
                    <w:t>71.0</w:t>
                  </w:r>
                </w:p>
              </w:tc>
              <w:tc>
                <w:tcPr>
                  <w:tcW w:w="279" w:type="pct"/>
                  <w:tcMar>
                    <w:top w:w="0" w:type="dxa"/>
                    <w:left w:w="0" w:type="dxa"/>
                    <w:bottom w:w="0" w:type="dxa"/>
                    <w:right w:w="0" w:type="dxa"/>
                  </w:tcMar>
                  <w:vAlign w:val="center"/>
                </w:tcPr>
                <w:p w14:paraId="4342BD78">
                  <w:pPr>
                    <w:snapToGrid w:val="0"/>
                    <w:spacing w:line="240" w:lineRule="auto"/>
                    <w:jc w:val="center"/>
                    <w:rPr>
                      <w:b/>
                      <w:bCs/>
                      <w:color w:val="auto"/>
                      <w:sz w:val="21"/>
                      <w:szCs w:val="21"/>
                    </w:rPr>
                  </w:pPr>
                  <w:r>
                    <w:rPr>
                      <w:rFonts w:hint="eastAsia"/>
                      <w:b w:val="0"/>
                      <w:bCs w:val="0"/>
                      <w:color w:val="auto"/>
                      <w:kern w:val="2"/>
                      <w:sz w:val="21"/>
                      <w:szCs w:val="21"/>
                    </w:rPr>
                    <w:t>昼</w:t>
                  </w:r>
                  <w:r>
                    <w:rPr>
                      <w:rFonts w:hint="eastAsia"/>
                      <w:b w:val="0"/>
                      <w:bCs w:val="0"/>
                      <w:color w:val="auto"/>
                      <w:kern w:val="2"/>
                      <w:sz w:val="21"/>
                      <w:szCs w:val="21"/>
                      <w:lang w:eastAsia="zh-CN"/>
                    </w:rPr>
                    <w:t>夜</w:t>
                  </w:r>
                </w:p>
              </w:tc>
              <w:tc>
                <w:tcPr>
                  <w:tcW w:w="377" w:type="pct"/>
                  <w:vMerge w:val="continue"/>
                  <w:tcMar>
                    <w:top w:w="0" w:type="dxa"/>
                    <w:left w:w="0" w:type="dxa"/>
                    <w:bottom w:w="0" w:type="dxa"/>
                    <w:right w:w="0" w:type="dxa"/>
                  </w:tcMar>
                  <w:vAlign w:val="center"/>
                </w:tcPr>
                <w:p w14:paraId="43189A84">
                  <w:pPr>
                    <w:snapToGrid w:val="0"/>
                    <w:jc w:val="center"/>
                    <w:rPr>
                      <w:color w:val="auto"/>
                      <w:sz w:val="21"/>
                      <w:szCs w:val="21"/>
                    </w:rPr>
                  </w:pPr>
                </w:p>
              </w:tc>
              <w:tc>
                <w:tcPr>
                  <w:tcW w:w="488" w:type="pct"/>
                  <w:shd w:val="clear" w:color="auto" w:fill="auto"/>
                  <w:tcMar>
                    <w:top w:w="0" w:type="dxa"/>
                    <w:left w:w="0" w:type="dxa"/>
                    <w:bottom w:w="0" w:type="dxa"/>
                    <w:right w:w="0" w:type="dxa"/>
                  </w:tcMar>
                  <w:vAlign w:val="center"/>
                </w:tcPr>
                <w:p w14:paraId="30F6FE0A">
                  <w:pPr>
                    <w:pStyle w:val="3"/>
                    <w:keepNext w:val="0"/>
                    <w:keepLines w:val="0"/>
                    <w:spacing w:line="240" w:lineRule="auto"/>
                    <w:jc w:val="center"/>
                    <w:rPr>
                      <w:b w:val="0"/>
                      <w:bCs w:val="0"/>
                      <w:color w:val="auto"/>
                      <w:sz w:val="21"/>
                      <w:szCs w:val="21"/>
                    </w:rPr>
                  </w:pPr>
                  <w:r>
                    <w:rPr>
                      <w:rFonts w:hint="eastAsia"/>
                      <w:b w:val="0"/>
                      <w:bCs w:val="0"/>
                      <w:color w:val="auto"/>
                      <w:sz w:val="21"/>
                      <w:szCs w:val="21"/>
                    </w:rPr>
                    <w:t>51.0</w:t>
                  </w:r>
                </w:p>
              </w:tc>
              <w:tc>
                <w:tcPr>
                  <w:tcW w:w="728" w:type="pct"/>
                  <w:tcMar>
                    <w:top w:w="0" w:type="dxa"/>
                    <w:left w:w="0" w:type="dxa"/>
                    <w:bottom w:w="0" w:type="dxa"/>
                    <w:right w:w="0" w:type="dxa"/>
                  </w:tcMar>
                  <w:vAlign w:val="center"/>
                </w:tcPr>
                <w:p w14:paraId="3D1246C0">
                  <w:pPr>
                    <w:spacing w:line="240" w:lineRule="auto"/>
                    <w:jc w:val="center"/>
                    <w:outlineLvl w:val="0"/>
                    <w:rPr>
                      <w:color w:val="auto"/>
                      <w:sz w:val="21"/>
                      <w:szCs w:val="21"/>
                    </w:rPr>
                  </w:pPr>
                  <w:r>
                    <w:rPr>
                      <w:rFonts w:hint="eastAsia"/>
                      <w:color w:val="auto"/>
                      <w:sz w:val="21"/>
                      <w:szCs w:val="21"/>
                    </w:rPr>
                    <w:t>1</w:t>
                  </w:r>
                </w:p>
              </w:tc>
            </w:tr>
          </w:tbl>
          <w:p w14:paraId="5F715C51">
            <w:pPr>
              <w:pStyle w:val="5"/>
              <w:spacing w:line="240" w:lineRule="auto"/>
              <w:ind w:firstLine="0" w:firstLineChars="0"/>
              <w:jc w:val="left"/>
              <w:rPr>
                <w:rFonts w:hint="eastAsia" w:ascii="Times New Roman" w:hAnsi="Times New Roman" w:eastAsia="宋体"/>
                <w:b/>
                <w:bCs/>
                <w:color w:val="auto"/>
                <w:spacing w:val="12"/>
                <w:sz w:val="18"/>
                <w:szCs w:val="18"/>
                <w:lang w:eastAsia="zh-CN"/>
              </w:rPr>
            </w:pPr>
            <w:r>
              <w:rPr>
                <w:rFonts w:hint="eastAsia" w:ascii="Times New Roman" w:hAnsi="Times New Roman"/>
                <w:b/>
                <w:bCs/>
                <w:color w:val="auto"/>
                <w:spacing w:val="12"/>
                <w:sz w:val="18"/>
                <w:szCs w:val="18"/>
              </w:rPr>
              <w:t>注：表中坐标以厂界中心（</w:t>
            </w:r>
            <w:r>
              <w:rPr>
                <w:rFonts w:hint="default" w:ascii="Times New Roman" w:hAnsi="Times New Roman" w:cs="Times New Roman"/>
                <w:b/>
                <w:bCs/>
                <w:color w:val="auto"/>
                <w:spacing w:val="12"/>
                <w:sz w:val="18"/>
                <w:szCs w:val="18"/>
              </w:rPr>
              <w:t>E108°41′6.527″，N24°47′16.637″</w:t>
            </w:r>
            <w:r>
              <w:rPr>
                <w:rFonts w:hint="eastAsia" w:ascii="Times New Roman" w:hAnsi="Times New Roman"/>
                <w:b/>
                <w:bCs/>
                <w:color w:val="auto"/>
                <w:spacing w:val="12"/>
                <w:sz w:val="18"/>
                <w:szCs w:val="18"/>
              </w:rPr>
              <w:t>）为坐标原点，正东向为X轴正方向，正北向为Y轴正方向</w:t>
            </w:r>
            <w:r>
              <w:rPr>
                <w:rFonts w:hint="eastAsia" w:ascii="Times New Roman" w:hAnsi="Times New Roman"/>
                <w:b/>
                <w:bCs/>
                <w:color w:val="auto"/>
                <w:spacing w:val="12"/>
                <w:sz w:val="18"/>
                <w:szCs w:val="18"/>
                <w:lang w:eastAsia="zh-CN"/>
              </w:rPr>
              <w:t>。</w:t>
            </w:r>
          </w:p>
          <w:p w14:paraId="765F9281">
            <w:pPr>
              <w:pStyle w:val="5"/>
              <w:spacing w:line="240" w:lineRule="auto"/>
              <w:ind w:firstLine="0" w:firstLineChars="0"/>
              <w:jc w:val="left"/>
              <w:rPr>
                <w:rFonts w:ascii="Times New Roman" w:hAnsi="Times New Roman"/>
                <w:b/>
                <w:bCs/>
                <w:color w:val="auto"/>
                <w:spacing w:val="12"/>
                <w:sz w:val="18"/>
                <w:szCs w:val="18"/>
              </w:rPr>
            </w:pPr>
          </w:p>
          <w:p w14:paraId="33A7FA1E">
            <w:pPr>
              <w:adjustRightInd w:val="0"/>
              <w:snapToGrid w:val="0"/>
              <w:ind w:firstLine="480" w:firstLineChars="200"/>
              <w:rPr>
                <w:color w:val="auto"/>
              </w:rPr>
            </w:pPr>
          </w:p>
        </w:tc>
      </w:tr>
    </w:tbl>
    <w:p w14:paraId="02DE6D19">
      <w:pPr>
        <w:rPr>
          <w:color w:val="auto"/>
        </w:rPr>
        <w:sectPr>
          <w:pgSz w:w="16838" w:h="11906" w:orient="landscape"/>
          <w:pgMar w:top="1531" w:right="1701" w:bottom="1531" w:left="1701" w:header="851" w:footer="1020" w:gutter="0"/>
          <w:pgNumType w:fmt="decimal"/>
          <w:cols w:space="720" w:num="1"/>
          <w:docGrid w:linePitch="326" w:charSpace="0"/>
        </w:sectPr>
      </w:pP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4"/>
      </w:tblGrid>
      <w:tr w14:paraId="3B41A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2" w:hRule="atLeast"/>
          <w:jc w:val="center"/>
        </w:trPr>
        <w:tc>
          <w:tcPr>
            <w:tcW w:w="166" w:type="pct"/>
            <w:tcMar>
              <w:left w:w="28" w:type="dxa"/>
              <w:right w:w="28" w:type="dxa"/>
            </w:tcMar>
            <w:vAlign w:val="center"/>
          </w:tcPr>
          <w:p w14:paraId="5FB2D179">
            <w:pPr>
              <w:jc w:val="center"/>
              <w:rPr>
                <w:b/>
                <w:color w:val="auto"/>
              </w:rPr>
            </w:pPr>
            <w:r>
              <w:rPr>
                <w:b/>
                <w:color w:val="auto"/>
              </w:rPr>
              <w:t>运</w:t>
            </w:r>
          </w:p>
          <w:p w14:paraId="353033C5">
            <w:pPr>
              <w:jc w:val="center"/>
              <w:rPr>
                <w:b/>
                <w:color w:val="auto"/>
              </w:rPr>
            </w:pPr>
            <w:r>
              <w:rPr>
                <w:b/>
                <w:color w:val="auto"/>
              </w:rPr>
              <w:t>营</w:t>
            </w:r>
          </w:p>
          <w:p w14:paraId="68D6A6B9">
            <w:pPr>
              <w:jc w:val="center"/>
              <w:rPr>
                <w:b/>
                <w:color w:val="auto"/>
              </w:rPr>
            </w:pPr>
            <w:r>
              <w:rPr>
                <w:b/>
                <w:color w:val="auto"/>
              </w:rPr>
              <w:t>期</w:t>
            </w:r>
          </w:p>
          <w:p w14:paraId="40A455C8">
            <w:pPr>
              <w:jc w:val="center"/>
              <w:rPr>
                <w:b/>
                <w:color w:val="auto"/>
              </w:rPr>
            </w:pPr>
            <w:r>
              <w:rPr>
                <w:b/>
                <w:color w:val="auto"/>
              </w:rPr>
              <w:t>环</w:t>
            </w:r>
          </w:p>
          <w:p w14:paraId="666F9A05">
            <w:pPr>
              <w:jc w:val="center"/>
              <w:rPr>
                <w:b/>
                <w:color w:val="auto"/>
              </w:rPr>
            </w:pPr>
            <w:r>
              <w:rPr>
                <w:b/>
                <w:color w:val="auto"/>
              </w:rPr>
              <w:t>境</w:t>
            </w:r>
          </w:p>
          <w:p w14:paraId="5B0D4C77">
            <w:pPr>
              <w:jc w:val="center"/>
              <w:rPr>
                <w:b/>
                <w:color w:val="auto"/>
              </w:rPr>
            </w:pPr>
            <w:r>
              <w:rPr>
                <w:b/>
                <w:color w:val="auto"/>
              </w:rPr>
              <w:t>影</w:t>
            </w:r>
          </w:p>
          <w:p w14:paraId="035212AB">
            <w:pPr>
              <w:jc w:val="center"/>
              <w:rPr>
                <w:b/>
                <w:color w:val="auto"/>
              </w:rPr>
            </w:pPr>
            <w:r>
              <w:rPr>
                <w:b/>
                <w:color w:val="auto"/>
              </w:rPr>
              <w:t>响</w:t>
            </w:r>
          </w:p>
          <w:p w14:paraId="4C7DCE83">
            <w:pPr>
              <w:jc w:val="center"/>
              <w:rPr>
                <w:b/>
                <w:color w:val="auto"/>
              </w:rPr>
            </w:pPr>
            <w:r>
              <w:rPr>
                <w:b/>
                <w:color w:val="auto"/>
              </w:rPr>
              <w:t>和</w:t>
            </w:r>
          </w:p>
          <w:p w14:paraId="064FD520">
            <w:pPr>
              <w:jc w:val="center"/>
              <w:rPr>
                <w:b/>
                <w:color w:val="auto"/>
              </w:rPr>
            </w:pPr>
            <w:r>
              <w:rPr>
                <w:b/>
                <w:color w:val="auto"/>
              </w:rPr>
              <w:t>保</w:t>
            </w:r>
          </w:p>
          <w:p w14:paraId="69A9C524">
            <w:pPr>
              <w:jc w:val="center"/>
              <w:rPr>
                <w:b/>
                <w:color w:val="auto"/>
              </w:rPr>
            </w:pPr>
            <w:r>
              <w:rPr>
                <w:b/>
                <w:color w:val="auto"/>
              </w:rPr>
              <w:t>护</w:t>
            </w:r>
          </w:p>
          <w:p w14:paraId="5BC34415">
            <w:pPr>
              <w:jc w:val="center"/>
              <w:rPr>
                <w:b/>
                <w:color w:val="auto"/>
              </w:rPr>
            </w:pPr>
            <w:r>
              <w:rPr>
                <w:b/>
                <w:color w:val="auto"/>
              </w:rPr>
              <w:t>措</w:t>
            </w:r>
          </w:p>
          <w:p w14:paraId="17664AC5">
            <w:pPr>
              <w:jc w:val="center"/>
              <w:rPr>
                <w:b/>
                <w:bCs/>
                <w:color w:val="auto"/>
                <w:szCs w:val="21"/>
              </w:rPr>
            </w:pPr>
            <w:r>
              <w:rPr>
                <w:b/>
                <w:color w:val="auto"/>
              </w:rPr>
              <w:t>施</w:t>
            </w:r>
          </w:p>
        </w:tc>
        <w:tc>
          <w:tcPr>
            <w:tcW w:w="4834" w:type="pct"/>
          </w:tcPr>
          <w:p w14:paraId="7F9A91D3">
            <w:pPr>
              <w:ind w:firstLine="482"/>
              <w:rPr>
                <w:b/>
                <w:bCs/>
                <w:color w:val="auto"/>
              </w:rPr>
            </w:pPr>
            <w:r>
              <w:rPr>
                <w:rFonts w:hint="eastAsia"/>
                <w:b/>
                <w:bCs/>
                <w:color w:val="auto"/>
              </w:rPr>
              <w:t>2、影响分析</w:t>
            </w:r>
          </w:p>
          <w:p w14:paraId="6A8FD8A6">
            <w:pPr>
              <w:adjustRightInd w:val="0"/>
              <w:snapToGrid w:val="0"/>
              <w:ind w:firstLine="480" w:firstLineChars="200"/>
              <w:rPr>
                <w:color w:val="auto"/>
              </w:rPr>
            </w:pPr>
            <w:r>
              <w:rPr>
                <w:color w:val="auto"/>
              </w:rPr>
              <w:t>（1）</w:t>
            </w:r>
            <w:r>
              <w:rPr>
                <w:rFonts w:hint="eastAsia"/>
                <w:color w:val="auto"/>
              </w:rPr>
              <w:t>预测模式</w:t>
            </w:r>
          </w:p>
          <w:p w14:paraId="7E934176">
            <w:pPr>
              <w:adjustRightInd w:val="0"/>
              <w:snapToGrid w:val="0"/>
              <w:ind w:firstLine="480" w:firstLineChars="200"/>
              <w:rPr>
                <w:color w:val="auto"/>
              </w:rPr>
            </w:pPr>
            <w:r>
              <w:rPr>
                <w:rFonts w:hint="eastAsia"/>
                <w:color w:val="auto"/>
              </w:rPr>
              <w:t>根据本项目营运期各噪声源的特征，根据《环境影响评价技术导则声环境》(HJ2.4-2021)的技术要求，本次评价采取导则上推荐模式对噪声进行预测，具体预测公式如下：</w:t>
            </w:r>
          </w:p>
          <w:p w14:paraId="4D2ADE24">
            <w:pPr>
              <w:adjustRightInd w:val="0"/>
              <w:snapToGrid w:val="0"/>
              <w:ind w:firstLine="482" w:firstLineChars="200"/>
              <w:rPr>
                <w:b/>
                <w:bCs/>
                <w:color w:val="auto"/>
              </w:rPr>
            </w:pPr>
            <w:r>
              <w:rPr>
                <w:rFonts w:hint="eastAsia"/>
                <w:b/>
                <w:bCs/>
                <w:color w:val="auto"/>
              </w:rPr>
              <w:t>室内声源等效室外声源声功率级计算方法：</w:t>
            </w:r>
          </w:p>
          <w:p w14:paraId="47A65BBC">
            <w:pPr>
              <w:adjustRightInd w:val="0"/>
              <w:snapToGrid w:val="0"/>
              <w:ind w:firstLine="480" w:firstLineChars="200"/>
              <w:rPr>
                <w:color w:val="auto"/>
              </w:rPr>
            </w:pPr>
            <w:r>
              <w:rPr>
                <w:rFonts w:hint="eastAsia"/>
                <w:color w:val="auto"/>
              </w:rPr>
              <w:t>声源位于室内，室内声源可采用等效室外声源声功率级法进行计算。设靠近开口处（或窗户）室内、室外某倍频带的声压级或 A 声级分别为 L p1 和 L p2 。</w:t>
            </w:r>
          </w:p>
          <w:p w14:paraId="42EBA56E">
            <w:pPr>
              <w:adjustRightInd w:val="0"/>
              <w:snapToGrid w:val="0"/>
              <w:ind w:firstLine="480" w:firstLineChars="200"/>
              <w:rPr>
                <w:color w:val="auto"/>
              </w:rPr>
            </w:pPr>
            <w:r>
              <w:rPr>
                <w:rFonts w:hint="eastAsia"/>
                <w:color w:val="auto"/>
              </w:rPr>
              <w:t>①某一室内声源靠近围护结构处产生的倍频带声压级或 A 声级：</w:t>
            </w:r>
          </w:p>
          <w:p w14:paraId="3FFF5E2C">
            <w:pPr>
              <w:adjustRightInd w:val="0"/>
              <w:snapToGrid w:val="0"/>
              <w:ind w:firstLine="480" w:firstLineChars="200"/>
              <w:jc w:val="center"/>
              <w:rPr>
                <w:color w:val="auto"/>
              </w:rPr>
            </w:pPr>
            <w:r>
              <w:rPr>
                <w:color w:val="auto"/>
              </w:rPr>
              <w:drawing>
                <wp:inline distT="0" distB="0" distL="0" distR="0">
                  <wp:extent cx="1762760" cy="574675"/>
                  <wp:effectExtent l="0" t="0" r="8890" b="15875"/>
                  <wp:docPr id="12"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87991" cy="582869"/>
                          </a:xfrm>
                          <a:prstGeom prst="rect">
                            <a:avLst/>
                          </a:prstGeom>
                          <a:noFill/>
                          <a:ln>
                            <a:noFill/>
                          </a:ln>
                        </pic:spPr>
                      </pic:pic>
                    </a:graphicData>
                  </a:graphic>
                </wp:inline>
              </w:drawing>
            </w:r>
          </w:p>
          <w:p w14:paraId="1040CDE3">
            <w:pPr>
              <w:adjustRightInd w:val="0"/>
              <w:snapToGrid w:val="0"/>
              <w:ind w:firstLine="480" w:firstLineChars="200"/>
              <w:rPr>
                <w:color w:val="auto"/>
              </w:rPr>
            </w:pPr>
            <w:r>
              <w:rPr>
                <w:rFonts w:hint="eastAsia"/>
                <w:color w:val="auto"/>
              </w:rPr>
              <w:t>式中：L</w:t>
            </w:r>
            <w:r>
              <w:rPr>
                <w:rFonts w:hint="eastAsia"/>
                <w:color w:val="auto"/>
                <w:vertAlign w:val="subscript"/>
              </w:rPr>
              <w:t xml:space="preserve"> p1</w:t>
            </w:r>
            <w:r>
              <w:rPr>
                <w:rFonts w:hint="eastAsia"/>
                <w:color w:val="auto"/>
              </w:rPr>
              <w:t>—室内声源在靠近围护结构处产生的倍频带声压级，dB；</w:t>
            </w:r>
          </w:p>
          <w:p w14:paraId="16B76CE0">
            <w:pPr>
              <w:adjustRightInd w:val="0"/>
              <w:snapToGrid w:val="0"/>
              <w:ind w:firstLine="480" w:firstLineChars="200"/>
              <w:rPr>
                <w:color w:val="auto"/>
              </w:rPr>
            </w:pPr>
            <w:r>
              <w:rPr>
                <w:rFonts w:hint="eastAsia"/>
                <w:color w:val="auto"/>
              </w:rPr>
              <w:t>Lw—声源的倍频带声功率级，dB；</w:t>
            </w:r>
          </w:p>
          <w:p w14:paraId="23C1706B">
            <w:pPr>
              <w:adjustRightInd w:val="0"/>
              <w:snapToGrid w:val="0"/>
              <w:ind w:firstLine="480" w:firstLineChars="200"/>
              <w:rPr>
                <w:color w:val="auto"/>
              </w:rPr>
            </w:pPr>
            <w:r>
              <w:rPr>
                <w:rFonts w:hint="eastAsia"/>
                <w:color w:val="auto"/>
              </w:rPr>
              <w:t>r—声源到靠近围护结构某点处的距离，m；</w:t>
            </w:r>
          </w:p>
          <w:p w14:paraId="4B26BD01">
            <w:pPr>
              <w:adjustRightInd w:val="0"/>
              <w:snapToGrid w:val="0"/>
              <w:ind w:firstLine="480" w:firstLineChars="200"/>
              <w:rPr>
                <w:color w:val="auto"/>
              </w:rPr>
            </w:pPr>
            <w:r>
              <w:rPr>
                <w:rFonts w:hint="eastAsia"/>
                <w:color w:val="auto"/>
              </w:rPr>
              <w:t>Q —指向性因子；</w:t>
            </w:r>
          </w:p>
          <w:p w14:paraId="67E65AC1">
            <w:pPr>
              <w:adjustRightInd w:val="0"/>
              <w:snapToGrid w:val="0"/>
              <w:ind w:firstLine="480" w:firstLineChars="200"/>
              <w:rPr>
                <w:color w:val="auto"/>
              </w:rPr>
            </w:pPr>
            <w:r>
              <w:rPr>
                <w:rFonts w:hint="eastAsia"/>
                <w:color w:val="auto"/>
              </w:rPr>
              <w:t>R —房间常数，</w:t>
            </w:r>
            <w:r>
              <w:rPr>
                <w:color w:val="auto"/>
              </w:rPr>
              <w:t>R=S α/(1-α) ，S为房间内表面积，m</w:t>
            </w:r>
            <w:r>
              <w:rPr>
                <w:color w:val="auto"/>
                <w:vertAlign w:val="superscript"/>
              </w:rPr>
              <w:t>2</w:t>
            </w:r>
            <w:r>
              <w:rPr>
                <w:color w:val="auto"/>
              </w:rPr>
              <w:t xml:space="preserve"> ，α</w:t>
            </w:r>
            <w:r>
              <w:rPr>
                <w:rFonts w:hint="eastAsia"/>
                <w:color w:val="auto"/>
              </w:rPr>
              <w:t>为平均吸声系数。</w:t>
            </w:r>
          </w:p>
          <w:p w14:paraId="33993F26">
            <w:pPr>
              <w:adjustRightInd w:val="0"/>
              <w:snapToGrid w:val="0"/>
              <w:ind w:firstLine="480" w:firstLineChars="200"/>
              <w:rPr>
                <w:color w:val="auto"/>
              </w:rPr>
            </w:pPr>
            <w:r>
              <w:rPr>
                <w:rFonts w:hint="eastAsia"/>
                <w:color w:val="auto"/>
              </w:rPr>
              <w:t>②计算出所有室内声源在靠近围护结构处产生的 i 倍频带叠加声压级：</w:t>
            </w:r>
          </w:p>
          <w:p w14:paraId="4EC9F84D">
            <w:pPr>
              <w:adjustRightInd w:val="0"/>
              <w:snapToGrid w:val="0"/>
              <w:ind w:firstLine="480" w:firstLineChars="200"/>
              <w:jc w:val="center"/>
              <w:rPr>
                <w:color w:val="auto"/>
              </w:rPr>
            </w:pPr>
            <w:r>
              <w:rPr>
                <w:color w:val="auto"/>
              </w:rPr>
              <w:drawing>
                <wp:inline distT="0" distB="0" distL="0" distR="0">
                  <wp:extent cx="1806575" cy="505460"/>
                  <wp:effectExtent l="0" t="0" r="3175" b="8890"/>
                  <wp:docPr id="1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22146" cy="509867"/>
                          </a:xfrm>
                          <a:prstGeom prst="rect">
                            <a:avLst/>
                          </a:prstGeom>
                          <a:noFill/>
                          <a:ln>
                            <a:noFill/>
                          </a:ln>
                        </pic:spPr>
                      </pic:pic>
                    </a:graphicData>
                  </a:graphic>
                </wp:inline>
              </w:drawing>
            </w:r>
          </w:p>
          <w:p w14:paraId="7FAF457E">
            <w:pPr>
              <w:adjustRightInd w:val="0"/>
              <w:snapToGrid w:val="0"/>
              <w:ind w:firstLine="480" w:firstLineChars="200"/>
              <w:rPr>
                <w:color w:val="auto"/>
              </w:rPr>
            </w:pPr>
            <w:r>
              <w:rPr>
                <w:rFonts w:hint="eastAsia"/>
                <w:color w:val="auto"/>
              </w:rPr>
              <w:t>式中：L</w:t>
            </w:r>
            <w:r>
              <w:rPr>
                <w:rFonts w:hint="eastAsia"/>
                <w:color w:val="auto"/>
                <w:vertAlign w:val="subscript"/>
              </w:rPr>
              <w:t>p2</w:t>
            </w:r>
            <w:r>
              <w:rPr>
                <w:rFonts w:hint="eastAsia"/>
                <w:color w:val="auto"/>
              </w:rPr>
              <w:t>(T)—靠近围护结构处室内 N 个声源 i 倍频带的叠加声压级，dB；</w:t>
            </w:r>
          </w:p>
          <w:p w14:paraId="1647713E">
            <w:pPr>
              <w:adjustRightInd w:val="0"/>
              <w:snapToGrid w:val="0"/>
              <w:ind w:firstLine="1200" w:firstLineChars="500"/>
              <w:rPr>
                <w:color w:val="auto"/>
              </w:rPr>
            </w:pPr>
            <w:r>
              <w:rPr>
                <w:rFonts w:hint="eastAsia"/>
                <w:color w:val="auto"/>
              </w:rPr>
              <w:t>L</w:t>
            </w:r>
            <w:r>
              <w:rPr>
                <w:rFonts w:hint="eastAsia"/>
                <w:color w:val="auto"/>
                <w:vertAlign w:val="subscript"/>
              </w:rPr>
              <w:t>p1ij</w:t>
            </w:r>
            <w:r>
              <w:rPr>
                <w:rFonts w:hint="eastAsia"/>
                <w:color w:val="auto"/>
              </w:rPr>
              <w:t>—室内 j 声源 i 倍频带的声压级，dB；</w:t>
            </w:r>
          </w:p>
          <w:p w14:paraId="10EF3F73">
            <w:pPr>
              <w:adjustRightInd w:val="0"/>
              <w:snapToGrid w:val="0"/>
              <w:ind w:firstLine="1200" w:firstLineChars="500"/>
              <w:rPr>
                <w:color w:val="auto"/>
              </w:rPr>
            </w:pPr>
            <w:r>
              <w:rPr>
                <w:rFonts w:hint="eastAsia"/>
                <w:color w:val="auto"/>
              </w:rPr>
              <w:t>N —室内声源总数。</w:t>
            </w:r>
          </w:p>
          <w:p w14:paraId="793E67C4">
            <w:pPr>
              <w:adjustRightInd w:val="0"/>
              <w:snapToGrid w:val="0"/>
              <w:ind w:firstLine="480" w:firstLineChars="200"/>
              <w:rPr>
                <w:color w:val="auto"/>
              </w:rPr>
            </w:pPr>
            <w:r>
              <w:rPr>
                <w:rFonts w:hint="eastAsia"/>
                <w:color w:val="auto"/>
              </w:rPr>
              <w:t>③计算出靠近室外围护结构处的声压级:</w:t>
            </w:r>
          </w:p>
          <w:p w14:paraId="23107D51">
            <w:pPr>
              <w:adjustRightInd w:val="0"/>
              <w:snapToGrid w:val="0"/>
              <w:ind w:firstLine="480" w:firstLineChars="200"/>
              <w:rPr>
                <w:color w:val="auto"/>
              </w:rPr>
            </w:pPr>
            <w:r>
              <w:rPr>
                <w:color w:val="auto"/>
              </w:rPr>
              <w:drawing>
                <wp:inline distT="0" distB="0" distL="0" distR="0">
                  <wp:extent cx="2038350" cy="333375"/>
                  <wp:effectExtent l="0" t="0" r="0" b="9525"/>
                  <wp:docPr id="3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38350" cy="333375"/>
                          </a:xfrm>
                          <a:prstGeom prst="rect">
                            <a:avLst/>
                          </a:prstGeom>
                          <a:noFill/>
                          <a:ln>
                            <a:noFill/>
                          </a:ln>
                        </pic:spPr>
                      </pic:pic>
                    </a:graphicData>
                  </a:graphic>
                </wp:inline>
              </w:drawing>
            </w:r>
          </w:p>
          <w:p w14:paraId="0191317D">
            <w:pPr>
              <w:adjustRightInd w:val="0"/>
              <w:snapToGrid w:val="0"/>
              <w:ind w:left="1200" w:leftChars="200" w:hanging="720" w:hangingChars="300"/>
              <w:rPr>
                <w:color w:val="auto"/>
              </w:rPr>
            </w:pPr>
            <w:r>
              <w:rPr>
                <w:rFonts w:hint="eastAsia"/>
                <w:color w:val="auto"/>
              </w:rPr>
              <w:t>式中：Lw —中心位置位于透声面积（S）处的等效声源的倍频带声功率,dB；</w:t>
            </w:r>
          </w:p>
          <w:p w14:paraId="2B2C121A">
            <w:pPr>
              <w:adjustRightInd w:val="0"/>
              <w:snapToGrid w:val="0"/>
              <w:ind w:firstLine="1200" w:firstLineChars="500"/>
              <w:rPr>
                <w:color w:val="auto"/>
              </w:rPr>
            </w:pPr>
            <w:r>
              <w:rPr>
                <w:rFonts w:hint="eastAsia"/>
                <w:color w:val="auto"/>
              </w:rPr>
              <w:t>Lp</w:t>
            </w:r>
            <w:r>
              <w:rPr>
                <w:rFonts w:hint="eastAsia"/>
                <w:color w:val="auto"/>
                <w:vertAlign w:val="subscript"/>
              </w:rPr>
              <w:t>2</w:t>
            </w:r>
            <w:r>
              <w:rPr>
                <w:rFonts w:hint="eastAsia"/>
                <w:color w:val="auto"/>
              </w:rPr>
              <w:t>（T）—靠近围护结构处室外声源的声压级，dB；</w:t>
            </w:r>
          </w:p>
          <w:p w14:paraId="6F1224AE">
            <w:pPr>
              <w:adjustRightInd w:val="0"/>
              <w:snapToGrid w:val="0"/>
              <w:ind w:firstLine="1200" w:firstLineChars="500"/>
              <w:rPr>
                <w:color w:val="auto"/>
              </w:rPr>
            </w:pPr>
            <w:r>
              <w:rPr>
                <w:rFonts w:hint="eastAsia"/>
                <w:color w:val="auto"/>
              </w:rPr>
              <w:t>S—透声面积，m</w:t>
            </w:r>
            <w:r>
              <w:rPr>
                <w:rFonts w:hint="eastAsia"/>
                <w:color w:val="auto"/>
                <w:vertAlign w:val="superscript"/>
              </w:rPr>
              <w:t>2</w:t>
            </w:r>
            <w:r>
              <w:rPr>
                <w:rFonts w:hint="eastAsia"/>
                <w:color w:val="auto"/>
              </w:rPr>
              <w:t>。</w:t>
            </w:r>
          </w:p>
          <w:p w14:paraId="0F43AF1F">
            <w:pPr>
              <w:adjustRightInd w:val="0"/>
              <w:snapToGrid w:val="0"/>
              <w:ind w:firstLine="482" w:firstLineChars="200"/>
              <w:rPr>
                <w:b/>
                <w:bCs/>
                <w:color w:val="auto"/>
              </w:rPr>
            </w:pPr>
            <w:r>
              <w:rPr>
                <w:rFonts w:hint="eastAsia"/>
                <w:b/>
                <w:bCs/>
                <w:color w:val="auto"/>
              </w:rPr>
              <w:t>计算总声压级：</w:t>
            </w:r>
          </w:p>
          <w:p w14:paraId="59C58FA6">
            <w:pPr>
              <w:adjustRightInd w:val="0"/>
              <w:snapToGrid w:val="0"/>
              <w:ind w:firstLine="480" w:firstLineChars="200"/>
              <w:rPr>
                <w:color w:val="auto"/>
              </w:rPr>
            </w:pPr>
            <w:r>
              <w:rPr>
                <w:rFonts w:hint="eastAsia"/>
                <w:color w:val="auto"/>
              </w:rPr>
              <w:t>计算本项目各室外噪声源和各含噪声源厂房对各预测点噪声贡献值设第 i个室外声源在预测点产生的 A 声级为L</w:t>
            </w:r>
            <w:r>
              <w:rPr>
                <w:rFonts w:hint="eastAsia"/>
                <w:color w:val="auto"/>
                <w:vertAlign w:val="subscript"/>
              </w:rPr>
              <w:t>Ai</w:t>
            </w:r>
            <w:r>
              <w:rPr>
                <w:rFonts w:hint="eastAsia"/>
                <w:color w:val="auto"/>
              </w:rPr>
              <w:t>，在T时间内该声源工作时间为t</w:t>
            </w:r>
            <w:r>
              <w:rPr>
                <w:rFonts w:hint="eastAsia"/>
                <w:color w:val="auto"/>
                <w:vertAlign w:val="subscript"/>
              </w:rPr>
              <w:t>i</w:t>
            </w:r>
            <w:r>
              <w:rPr>
                <w:rFonts w:hint="eastAsia"/>
                <w:color w:val="auto"/>
              </w:rPr>
              <w:t>；第j个等效室外声源在预测点产生的A声级为L</w:t>
            </w:r>
            <w:r>
              <w:rPr>
                <w:rFonts w:hint="eastAsia"/>
                <w:color w:val="auto"/>
                <w:vertAlign w:val="subscript"/>
              </w:rPr>
              <w:t xml:space="preserve">Aj </w:t>
            </w:r>
            <w:r>
              <w:rPr>
                <w:rFonts w:hint="eastAsia"/>
                <w:color w:val="auto"/>
              </w:rPr>
              <w:t>，在T时间内该声源工作时间为t</w:t>
            </w:r>
            <w:r>
              <w:rPr>
                <w:rFonts w:hint="eastAsia"/>
                <w:color w:val="auto"/>
                <w:vertAlign w:val="subscript"/>
              </w:rPr>
              <w:t>j</w:t>
            </w:r>
            <w:r>
              <w:rPr>
                <w:rFonts w:hint="eastAsia"/>
                <w:color w:val="auto"/>
              </w:rPr>
              <w:t>，则联合减量置换项目声源对预测点产生的贡献值(L</w:t>
            </w:r>
            <w:r>
              <w:rPr>
                <w:rFonts w:hint="eastAsia"/>
                <w:color w:val="auto"/>
                <w:vertAlign w:val="subscript"/>
              </w:rPr>
              <w:t xml:space="preserve">eqg </w:t>
            </w:r>
            <w:r>
              <w:rPr>
                <w:rFonts w:hint="eastAsia"/>
                <w:color w:val="auto"/>
              </w:rPr>
              <w:t>)为：</w:t>
            </w:r>
          </w:p>
          <w:p w14:paraId="409530E2">
            <w:pPr>
              <w:adjustRightInd w:val="0"/>
              <w:snapToGrid w:val="0"/>
              <w:ind w:firstLine="480" w:firstLineChars="200"/>
              <w:jc w:val="center"/>
              <w:rPr>
                <w:color w:val="auto"/>
              </w:rPr>
            </w:pPr>
            <w:r>
              <w:rPr>
                <w:color w:val="auto"/>
              </w:rPr>
              <w:drawing>
                <wp:inline distT="0" distB="0" distL="0" distR="0">
                  <wp:extent cx="2444115" cy="482600"/>
                  <wp:effectExtent l="0" t="0" r="13335" b="12700"/>
                  <wp:docPr id="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67801" cy="487467"/>
                          </a:xfrm>
                          <a:prstGeom prst="rect">
                            <a:avLst/>
                          </a:prstGeom>
                          <a:noFill/>
                          <a:ln>
                            <a:noFill/>
                          </a:ln>
                        </pic:spPr>
                      </pic:pic>
                    </a:graphicData>
                  </a:graphic>
                </wp:inline>
              </w:drawing>
            </w:r>
          </w:p>
          <w:p w14:paraId="3AAF3FA9">
            <w:pPr>
              <w:ind w:firstLine="480" w:firstLineChars="200"/>
              <w:rPr>
                <w:color w:val="auto"/>
              </w:rPr>
            </w:pPr>
            <w:r>
              <w:rPr>
                <w:rFonts w:hint="eastAsia"/>
                <w:color w:val="auto"/>
              </w:rPr>
              <w:t>（</w:t>
            </w:r>
            <w:r>
              <w:rPr>
                <w:color w:val="auto"/>
              </w:rPr>
              <w:t>2</w:t>
            </w:r>
            <w:r>
              <w:rPr>
                <w:rFonts w:hint="eastAsia"/>
                <w:color w:val="auto"/>
              </w:rPr>
              <w:t>）预测结果</w:t>
            </w:r>
          </w:p>
          <w:p w14:paraId="57AD1DA9">
            <w:pPr>
              <w:ind w:firstLine="480" w:firstLineChars="200"/>
              <w:rPr>
                <w:color w:val="auto"/>
              </w:rPr>
            </w:pPr>
            <w:r>
              <w:rPr>
                <w:rFonts w:hint="eastAsia"/>
                <w:color w:val="auto"/>
              </w:rPr>
              <w:t>根据项目各噪声设备声级及其所处位置，利用工业企业噪声预测模式和方法，对厂界外的声环境进行预测计算，得到各预测点的昼夜噪声级。声波在传播过程中能量衰减的因素颇多。在预测时，为留有较大余地，以噪声对环境最不利的情况为前提，只考虑距离衰减，其他因素的衰减，如空气吸收衰减、地面吸收、温度梯度、雨、雾等均作为预测计算的安全系数而不计。噪声靠空间距离的自然衰减，厂界噪声预测结果见表</w:t>
            </w:r>
            <w:r>
              <w:rPr>
                <w:color w:val="auto"/>
              </w:rPr>
              <w:t>4-</w:t>
            </w:r>
            <w:r>
              <w:rPr>
                <w:rFonts w:hint="eastAsia"/>
                <w:color w:val="auto"/>
              </w:rPr>
              <w:t>13</w:t>
            </w:r>
            <w:r>
              <w:rPr>
                <w:color w:val="auto"/>
              </w:rPr>
              <w:t>。</w:t>
            </w:r>
          </w:p>
          <w:p w14:paraId="3F9BA583">
            <w:pPr>
              <w:pStyle w:val="5"/>
              <w:spacing w:line="240" w:lineRule="auto"/>
              <w:ind w:firstLine="0" w:firstLineChars="0"/>
              <w:jc w:val="center"/>
              <w:rPr>
                <w:rFonts w:ascii="Times New Roman" w:hAnsi="Times New Roman"/>
                <w:b/>
                <w:bCs/>
                <w:color w:val="auto"/>
                <w:spacing w:val="12"/>
                <w:szCs w:val="21"/>
              </w:rPr>
            </w:pPr>
            <w:r>
              <w:rPr>
                <w:rFonts w:ascii="Times New Roman" w:hAnsi="Times New Roman"/>
                <w:b/>
                <w:bCs/>
                <w:color w:val="auto"/>
                <w:spacing w:val="12"/>
                <w:szCs w:val="21"/>
              </w:rPr>
              <w:t>4-</w:t>
            </w:r>
            <w:r>
              <w:rPr>
                <w:rFonts w:hint="eastAsia" w:ascii="Times New Roman" w:hAnsi="Times New Roman"/>
                <w:b/>
                <w:bCs/>
                <w:color w:val="auto"/>
                <w:spacing w:val="12"/>
                <w:szCs w:val="21"/>
              </w:rPr>
              <w:t>13</w:t>
            </w:r>
            <w:r>
              <w:rPr>
                <w:rFonts w:ascii="Times New Roman" w:hAnsi="Times New Roman"/>
                <w:b/>
                <w:bCs/>
                <w:color w:val="auto"/>
                <w:spacing w:val="12"/>
                <w:szCs w:val="21"/>
              </w:rPr>
              <w:t xml:space="preserve"> 项目厂界噪声预测结果一览表    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355"/>
              <w:gridCol w:w="1991"/>
              <w:gridCol w:w="1997"/>
              <w:gridCol w:w="1616"/>
            </w:tblGrid>
            <w:tr w14:paraId="44FD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84" w:type="pct"/>
                  <w:vMerge w:val="restart"/>
                  <w:vAlign w:val="center"/>
                </w:tcPr>
                <w:p w14:paraId="63249DE4">
                  <w:pPr>
                    <w:pStyle w:val="111"/>
                    <w:rPr>
                      <w:color w:val="auto"/>
                      <w:szCs w:val="21"/>
                    </w:rPr>
                  </w:pPr>
                  <w:r>
                    <w:rPr>
                      <w:color w:val="auto"/>
                      <w:szCs w:val="21"/>
                    </w:rPr>
                    <w:t>预测方位</w:t>
                  </w:r>
                </w:p>
              </w:tc>
              <w:tc>
                <w:tcPr>
                  <w:tcW w:w="801" w:type="pct"/>
                  <w:vMerge w:val="restart"/>
                  <w:vAlign w:val="center"/>
                </w:tcPr>
                <w:p w14:paraId="01CEA76A">
                  <w:pPr>
                    <w:pStyle w:val="111"/>
                    <w:rPr>
                      <w:color w:val="auto"/>
                      <w:szCs w:val="21"/>
                    </w:rPr>
                  </w:pPr>
                  <w:r>
                    <w:rPr>
                      <w:color w:val="auto"/>
                      <w:szCs w:val="21"/>
                    </w:rPr>
                    <w:t>时段</w:t>
                  </w:r>
                </w:p>
              </w:tc>
              <w:tc>
                <w:tcPr>
                  <w:tcW w:w="1177" w:type="pct"/>
                  <w:vMerge w:val="restart"/>
                  <w:vAlign w:val="center"/>
                </w:tcPr>
                <w:p w14:paraId="20A1337B">
                  <w:pPr>
                    <w:pStyle w:val="111"/>
                    <w:rPr>
                      <w:color w:val="auto"/>
                      <w:szCs w:val="21"/>
                    </w:rPr>
                  </w:pPr>
                  <w:r>
                    <w:rPr>
                      <w:rFonts w:hint="eastAsia"/>
                      <w:color w:val="auto"/>
                      <w:szCs w:val="21"/>
                    </w:rPr>
                    <w:t>贡献值</w:t>
                  </w:r>
                  <w:r>
                    <w:rPr>
                      <w:color w:val="auto"/>
                      <w:szCs w:val="21"/>
                    </w:rPr>
                    <w:t>（dB(A)）</w:t>
                  </w:r>
                </w:p>
              </w:tc>
              <w:tc>
                <w:tcPr>
                  <w:tcW w:w="1180" w:type="pct"/>
                  <w:vMerge w:val="restart"/>
                  <w:vAlign w:val="center"/>
                </w:tcPr>
                <w:p w14:paraId="0AB99FF0">
                  <w:pPr>
                    <w:pStyle w:val="111"/>
                    <w:rPr>
                      <w:color w:val="auto"/>
                      <w:szCs w:val="21"/>
                    </w:rPr>
                  </w:pPr>
                  <w:r>
                    <w:rPr>
                      <w:color w:val="auto"/>
                      <w:szCs w:val="21"/>
                    </w:rPr>
                    <w:t>标准限值（dB(A)）</w:t>
                  </w:r>
                </w:p>
              </w:tc>
              <w:tc>
                <w:tcPr>
                  <w:tcW w:w="955" w:type="pct"/>
                  <w:vMerge w:val="restart"/>
                  <w:vAlign w:val="center"/>
                </w:tcPr>
                <w:p w14:paraId="02BC7234">
                  <w:pPr>
                    <w:pStyle w:val="111"/>
                    <w:rPr>
                      <w:color w:val="auto"/>
                      <w:szCs w:val="21"/>
                    </w:rPr>
                  </w:pPr>
                  <w:r>
                    <w:rPr>
                      <w:color w:val="auto"/>
                      <w:szCs w:val="21"/>
                    </w:rPr>
                    <w:t>达标情况</w:t>
                  </w:r>
                </w:p>
              </w:tc>
            </w:tr>
            <w:tr w14:paraId="3CDE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84" w:type="pct"/>
                  <w:vMerge w:val="continue"/>
                  <w:shd w:val="clear" w:color="auto" w:fill="FFFFFF"/>
                  <w:vAlign w:val="center"/>
                </w:tcPr>
                <w:p w14:paraId="7DB53762">
                  <w:pPr>
                    <w:pStyle w:val="111"/>
                    <w:rPr>
                      <w:color w:val="auto"/>
                      <w:szCs w:val="21"/>
                    </w:rPr>
                  </w:pPr>
                </w:p>
              </w:tc>
              <w:tc>
                <w:tcPr>
                  <w:tcW w:w="801" w:type="pct"/>
                  <w:vMerge w:val="continue"/>
                  <w:shd w:val="clear" w:color="auto" w:fill="FFFFFF"/>
                  <w:vAlign w:val="center"/>
                </w:tcPr>
                <w:p w14:paraId="0E224546">
                  <w:pPr>
                    <w:pStyle w:val="111"/>
                    <w:rPr>
                      <w:color w:val="auto"/>
                      <w:szCs w:val="21"/>
                    </w:rPr>
                  </w:pPr>
                </w:p>
              </w:tc>
              <w:tc>
                <w:tcPr>
                  <w:tcW w:w="1177" w:type="pct"/>
                  <w:vMerge w:val="continue"/>
                  <w:shd w:val="clear" w:color="auto" w:fill="FFFFFF"/>
                  <w:vAlign w:val="center"/>
                </w:tcPr>
                <w:p w14:paraId="60011072">
                  <w:pPr>
                    <w:pStyle w:val="111"/>
                    <w:rPr>
                      <w:color w:val="auto"/>
                      <w:szCs w:val="21"/>
                    </w:rPr>
                  </w:pPr>
                </w:p>
              </w:tc>
              <w:tc>
                <w:tcPr>
                  <w:tcW w:w="1180" w:type="pct"/>
                  <w:vMerge w:val="continue"/>
                  <w:shd w:val="clear" w:color="auto" w:fill="FFFFFF"/>
                  <w:vAlign w:val="center"/>
                </w:tcPr>
                <w:p w14:paraId="78E68FCE">
                  <w:pPr>
                    <w:pStyle w:val="111"/>
                    <w:rPr>
                      <w:color w:val="auto"/>
                      <w:szCs w:val="21"/>
                    </w:rPr>
                  </w:pPr>
                </w:p>
              </w:tc>
              <w:tc>
                <w:tcPr>
                  <w:tcW w:w="955" w:type="pct"/>
                  <w:vMerge w:val="continue"/>
                  <w:shd w:val="clear" w:color="auto" w:fill="FFFFFF"/>
                  <w:vAlign w:val="center"/>
                </w:tcPr>
                <w:p w14:paraId="24901B87">
                  <w:pPr>
                    <w:pStyle w:val="111"/>
                    <w:rPr>
                      <w:color w:val="auto"/>
                      <w:szCs w:val="21"/>
                    </w:rPr>
                  </w:pPr>
                </w:p>
              </w:tc>
            </w:tr>
            <w:tr w14:paraId="7FFE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exact"/>
                <w:jc w:val="center"/>
              </w:trPr>
              <w:tc>
                <w:tcPr>
                  <w:tcW w:w="884" w:type="pct"/>
                  <w:vMerge w:val="restart"/>
                  <w:shd w:val="clear" w:color="auto" w:fill="FFFFFF"/>
                  <w:vAlign w:val="center"/>
                </w:tcPr>
                <w:p w14:paraId="38EB8A89">
                  <w:pPr>
                    <w:pStyle w:val="111"/>
                    <w:rPr>
                      <w:color w:val="auto"/>
                      <w:szCs w:val="21"/>
                    </w:rPr>
                  </w:pPr>
                  <w:r>
                    <w:rPr>
                      <w:rFonts w:hint="eastAsia"/>
                      <w:color w:val="auto"/>
                      <w:szCs w:val="21"/>
                    </w:rPr>
                    <w:t>东侧</w:t>
                  </w:r>
                </w:p>
              </w:tc>
              <w:tc>
                <w:tcPr>
                  <w:tcW w:w="801" w:type="pct"/>
                  <w:shd w:val="clear" w:color="auto" w:fill="FFFFFF"/>
                  <w:vAlign w:val="center"/>
                </w:tcPr>
                <w:p w14:paraId="3C1CB848">
                  <w:pPr>
                    <w:pStyle w:val="111"/>
                    <w:rPr>
                      <w:color w:val="auto"/>
                      <w:szCs w:val="21"/>
                    </w:rPr>
                  </w:pPr>
                  <w:r>
                    <w:rPr>
                      <w:rFonts w:hint="eastAsia"/>
                      <w:color w:val="auto"/>
                      <w:szCs w:val="21"/>
                    </w:rPr>
                    <w:t>昼间</w:t>
                  </w:r>
                </w:p>
              </w:tc>
              <w:tc>
                <w:tcPr>
                  <w:tcW w:w="1177" w:type="pct"/>
                  <w:shd w:val="clear" w:color="auto" w:fill="FFFFFF"/>
                  <w:vAlign w:val="center"/>
                </w:tcPr>
                <w:p w14:paraId="1426D529">
                  <w:pPr>
                    <w:pStyle w:val="111"/>
                    <w:rPr>
                      <w:rFonts w:hint="default" w:eastAsia="宋体"/>
                      <w:color w:val="auto"/>
                      <w:szCs w:val="21"/>
                      <w:u w:val="single"/>
                      <w:lang w:val="en-US" w:eastAsia="zh-CN"/>
                    </w:rPr>
                  </w:pPr>
                  <w:r>
                    <w:rPr>
                      <w:rFonts w:hint="eastAsia"/>
                      <w:color w:val="auto"/>
                      <w:szCs w:val="21"/>
                      <w:u w:val="single"/>
                      <w:lang w:val="en-US" w:eastAsia="zh-CN"/>
                    </w:rPr>
                    <w:t>48.6</w:t>
                  </w:r>
                </w:p>
              </w:tc>
              <w:tc>
                <w:tcPr>
                  <w:tcW w:w="1180" w:type="pct"/>
                  <w:shd w:val="clear" w:color="auto" w:fill="FFFFFF"/>
                  <w:vAlign w:val="center"/>
                </w:tcPr>
                <w:p w14:paraId="20192E3A">
                  <w:pPr>
                    <w:pStyle w:val="111"/>
                    <w:rPr>
                      <w:color w:val="auto"/>
                      <w:szCs w:val="21"/>
                    </w:rPr>
                  </w:pPr>
                  <w:r>
                    <w:rPr>
                      <w:color w:val="auto"/>
                      <w:szCs w:val="21"/>
                    </w:rPr>
                    <w:t>65</w:t>
                  </w:r>
                </w:p>
              </w:tc>
              <w:tc>
                <w:tcPr>
                  <w:tcW w:w="955" w:type="pct"/>
                  <w:shd w:val="clear" w:color="auto" w:fill="FFFFFF"/>
                  <w:vAlign w:val="center"/>
                </w:tcPr>
                <w:p w14:paraId="7A7E4B53">
                  <w:pPr>
                    <w:pStyle w:val="111"/>
                    <w:rPr>
                      <w:color w:val="auto"/>
                      <w:szCs w:val="21"/>
                    </w:rPr>
                  </w:pPr>
                  <w:r>
                    <w:rPr>
                      <w:rFonts w:hint="eastAsia"/>
                      <w:color w:val="auto"/>
                      <w:szCs w:val="21"/>
                    </w:rPr>
                    <w:t>达标</w:t>
                  </w:r>
                </w:p>
              </w:tc>
            </w:tr>
            <w:tr w14:paraId="2344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exact"/>
                <w:jc w:val="center"/>
              </w:trPr>
              <w:tc>
                <w:tcPr>
                  <w:tcW w:w="884" w:type="pct"/>
                  <w:vMerge w:val="continue"/>
                  <w:shd w:val="clear" w:color="auto" w:fill="FFFFFF"/>
                  <w:vAlign w:val="center"/>
                </w:tcPr>
                <w:p w14:paraId="211CC2BF">
                  <w:pPr>
                    <w:pStyle w:val="111"/>
                    <w:rPr>
                      <w:color w:val="auto"/>
                      <w:szCs w:val="21"/>
                    </w:rPr>
                  </w:pPr>
                  <w:r>
                    <w:rPr>
                      <w:rFonts w:hint="eastAsia"/>
                      <w:color w:val="auto"/>
                      <w:szCs w:val="21"/>
                    </w:rPr>
                    <w:t>东侧</w:t>
                  </w:r>
                </w:p>
              </w:tc>
              <w:tc>
                <w:tcPr>
                  <w:tcW w:w="801" w:type="pct"/>
                  <w:shd w:val="clear" w:color="auto" w:fill="FFFFFF"/>
                  <w:vAlign w:val="center"/>
                </w:tcPr>
                <w:p w14:paraId="2701938B">
                  <w:pPr>
                    <w:pStyle w:val="111"/>
                    <w:rPr>
                      <w:color w:val="auto"/>
                      <w:szCs w:val="21"/>
                    </w:rPr>
                  </w:pPr>
                  <w:r>
                    <w:rPr>
                      <w:rFonts w:hint="eastAsia"/>
                      <w:color w:val="auto"/>
                      <w:szCs w:val="21"/>
                    </w:rPr>
                    <w:t>夜间</w:t>
                  </w:r>
                </w:p>
              </w:tc>
              <w:tc>
                <w:tcPr>
                  <w:tcW w:w="1177" w:type="pct"/>
                  <w:shd w:val="clear" w:color="auto" w:fill="FFFFFF"/>
                  <w:vAlign w:val="center"/>
                </w:tcPr>
                <w:p w14:paraId="29832651">
                  <w:pPr>
                    <w:pStyle w:val="111"/>
                    <w:rPr>
                      <w:rFonts w:hint="default" w:eastAsia="宋体"/>
                      <w:color w:val="auto"/>
                      <w:szCs w:val="21"/>
                      <w:u w:val="single"/>
                      <w:lang w:val="en-US" w:eastAsia="zh-CN"/>
                    </w:rPr>
                  </w:pPr>
                  <w:r>
                    <w:rPr>
                      <w:rFonts w:hint="eastAsia"/>
                      <w:color w:val="auto"/>
                      <w:szCs w:val="21"/>
                      <w:u w:val="single"/>
                      <w:lang w:val="en-US" w:eastAsia="zh-CN"/>
                    </w:rPr>
                    <w:t>48.6</w:t>
                  </w:r>
                </w:p>
              </w:tc>
              <w:tc>
                <w:tcPr>
                  <w:tcW w:w="1180" w:type="pct"/>
                  <w:shd w:val="clear" w:color="auto" w:fill="FFFFFF"/>
                  <w:vAlign w:val="center"/>
                </w:tcPr>
                <w:p w14:paraId="18C0B346">
                  <w:pPr>
                    <w:pStyle w:val="111"/>
                    <w:rPr>
                      <w:color w:val="auto"/>
                      <w:szCs w:val="21"/>
                    </w:rPr>
                  </w:pPr>
                  <w:r>
                    <w:rPr>
                      <w:color w:val="auto"/>
                      <w:szCs w:val="21"/>
                    </w:rPr>
                    <w:t>55</w:t>
                  </w:r>
                </w:p>
              </w:tc>
              <w:tc>
                <w:tcPr>
                  <w:tcW w:w="955" w:type="pct"/>
                  <w:shd w:val="clear" w:color="auto" w:fill="FFFFFF"/>
                  <w:vAlign w:val="center"/>
                </w:tcPr>
                <w:p w14:paraId="677F0AB3">
                  <w:pPr>
                    <w:pStyle w:val="111"/>
                    <w:rPr>
                      <w:color w:val="auto"/>
                      <w:szCs w:val="21"/>
                    </w:rPr>
                  </w:pPr>
                  <w:r>
                    <w:rPr>
                      <w:rFonts w:hint="eastAsia"/>
                      <w:color w:val="auto"/>
                      <w:szCs w:val="21"/>
                    </w:rPr>
                    <w:t>达标</w:t>
                  </w:r>
                </w:p>
              </w:tc>
            </w:tr>
            <w:tr w14:paraId="2ADC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exact"/>
                <w:jc w:val="center"/>
              </w:trPr>
              <w:tc>
                <w:tcPr>
                  <w:tcW w:w="884" w:type="pct"/>
                  <w:vMerge w:val="restart"/>
                  <w:shd w:val="clear" w:color="auto" w:fill="FFFFFF"/>
                  <w:vAlign w:val="center"/>
                </w:tcPr>
                <w:p w14:paraId="4B6017C8">
                  <w:pPr>
                    <w:pStyle w:val="111"/>
                    <w:rPr>
                      <w:color w:val="auto"/>
                      <w:szCs w:val="21"/>
                    </w:rPr>
                  </w:pPr>
                  <w:r>
                    <w:rPr>
                      <w:rFonts w:hint="eastAsia"/>
                      <w:color w:val="auto"/>
                      <w:szCs w:val="21"/>
                    </w:rPr>
                    <w:t>南侧</w:t>
                  </w:r>
                </w:p>
              </w:tc>
              <w:tc>
                <w:tcPr>
                  <w:tcW w:w="801" w:type="pct"/>
                  <w:shd w:val="clear" w:color="auto" w:fill="FFFFFF"/>
                  <w:vAlign w:val="center"/>
                </w:tcPr>
                <w:p w14:paraId="4282CE1C">
                  <w:pPr>
                    <w:pStyle w:val="111"/>
                    <w:rPr>
                      <w:color w:val="auto"/>
                      <w:szCs w:val="21"/>
                    </w:rPr>
                  </w:pPr>
                  <w:r>
                    <w:rPr>
                      <w:rFonts w:hint="eastAsia"/>
                      <w:color w:val="auto"/>
                      <w:szCs w:val="21"/>
                    </w:rPr>
                    <w:t>昼间</w:t>
                  </w:r>
                </w:p>
              </w:tc>
              <w:tc>
                <w:tcPr>
                  <w:tcW w:w="1177" w:type="pct"/>
                  <w:shd w:val="clear" w:color="auto" w:fill="FFFFFF"/>
                  <w:vAlign w:val="center"/>
                </w:tcPr>
                <w:p w14:paraId="561BDBFD">
                  <w:pPr>
                    <w:pStyle w:val="111"/>
                    <w:rPr>
                      <w:color w:val="auto"/>
                      <w:szCs w:val="21"/>
                      <w:u w:val="single"/>
                    </w:rPr>
                  </w:pPr>
                  <w:r>
                    <w:rPr>
                      <w:rFonts w:hint="eastAsia"/>
                      <w:color w:val="auto"/>
                      <w:szCs w:val="21"/>
                      <w:u w:val="single"/>
                      <w:lang w:val="en-US" w:eastAsia="zh-CN"/>
                    </w:rPr>
                    <w:t>39</w:t>
                  </w:r>
                  <w:r>
                    <w:rPr>
                      <w:rFonts w:hint="eastAsia"/>
                      <w:color w:val="auto"/>
                      <w:szCs w:val="21"/>
                      <w:u w:val="single"/>
                    </w:rPr>
                    <w:t>.4</w:t>
                  </w:r>
                </w:p>
              </w:tc>
              <w:tc>
                <w:tcPr>
                  <w:tcW w:w="1180" w:type="pct"/>
                  <w:shd w:val="clear" w:color="auto" w:fill="FFFFFF"/>
                  <w:vAlign w:val="center"/>
                </w:tcPr>
                <w:p w14:paraId="1A4B1DE0">
                  <w:pPr>
                    <w:pStyle w:val="111"/>
                    <w:rPr>
                      <w:color w:val="auto"/>
                      <w:szCs w:val="21"/>
                    </w:rPr>
                  </w:pPr>
                  <w:r>
                    <w:rPr>
                      <w:rFonts w:hint="eastAsia"/>
                      <w:color w:val="auto"/>
                      <w:szCs w:val="21"/>
                    </w:rPr>
                    <w:t>65</w:t>
                  </w:r>
                </w:p>
              </w:tc>
              <w:tc>
                <w:tcPr>
                  <w:tcW w:w="955" w:type="pct"/>
                  <w:shd w:val="clear" w:color="auto" w:fill="FFFFFF"/>
                  <w:vAlign w:val="center"/>
                </w:tcPr>
                <w:p w14:paraId="57DC374A">
                  <w:pPr>
                    <w:pStyle w:val="111"/>
                    <w:rPr>
                      <w:color w:val="auto"/>
                      <w:szCs w:val="21"/>
                    </w:rPr>
                  </w:pPr>
                  <w:r>
                    <w:rPr>
                      <w:rFonts w:hint="eastAsia"/>
                      <w:color w:val="auto"/>
                      <w:szCs w:val="21"/>
                    </w:rPr>
                    <w:t>达标</w:t>
                  </w:r>
                </w:p>
              </w:tc>
            </w:tr>
            <w:tr w14:paraId="348C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exact"/>
                <w:jc w:val="center"/>
              </w:trPr>
              <w:tc>
                <w:tcPr>
                  <w:tcW w:w="884" w:type="pct"/>
                  <w:vMerge w:val="continue"/>
                  <w:shd w:val="clear" w:color="auto" w:fill="FFFFFF"/>
                  <w:vAlign w:val="center"/>
                </w:tcPr>
                <w:p w14:paraId="3330673A">
                  <w:pPr>
                    <w:pStyle w:val="111"/>
                    <w:rPr>
                      <w:color w:val="auto"/>
                      <w:szCs w:val="21"/>
                    </w:rPr>
                  </w:pPr>
                  <w:r>
                    <w:rPr>
                      <w:rFonts w:hint="eastAsia"/>
                      <w:color w:val="auto"/>
                      <w:szCs w:val="21"/>
                    </w:rPr>
                    <w:t>南侧</w:t>
                  </w:r>
                </w:p>
              </w:tc>
              <w:tc>
                <w:tcPr>
                  <w:tcW w:w="801" w:type="pct"/>
                  <w:shd w:val="clear" w:color="auto" w:fill="FFFFFF"/>
                  <w:vAlign w:val="center"/>
                </w:tcPr>
                <w:p w14:paraId="70D582E4">
                  <w:pPr>
                    <w:pStyle w:val="111"/>
                    <w:rPr>
                      <w:color w:val="auto"/>
                      <w:szCs w:val="21"/>
                    </w:rPr>
                  </w:pPr>
                  <w:r>
                    <w:rPr>
                      <w:rFonts w:hint="eastAsia"/>
                      <w:color w:val="auto"/>
                      <w:szCs w:val="21"/>
                    </w:rPr>
                    <w:t>夜间</w:t>
                  </w:r>
                </w:p>
              </w:tc>
              <w:tc>
                <w:tcPr>
                  <w:tcW w:w="1177" w:type="pct"/>
                  <w:shd w:val="clear" w:color="auto" w:fill="FFFFFF"/>
                  <w:vAlign w:val="center"/>
                </w:tcPr>
                <w:p w14:paraId="449538E2">
                  <w:pPr>
                    <w:pStyle w:val="111"/>
                    <w:rPr>
                      <w:color w:val="auto"/>
                      <w:sz w:val="21"/>
                      <w:szCs w:val="21"/>
                      <w:u w:val="single"/>
                    </w:rPr>
                  </w:pPr>
                  <w:r>
                    <w:rPr>
                      <w:rFonts w:hint="eastAsia"/>
                      <w:color w:val="auto"/>
                      <w:sz w:val="21"/>
                      <w:szCs w:val="21"/>
                      <w:u w:val="single"/>
                      <w:lang w:val="en-US" w:eastAsia="zh-CN"/>
                    </w:rPr>
                    <w:t>39</w:t>
                  </w:r>
                  <w:r>
                    <w:rPr>
                      <w:rFonts w:hint="eastAsia"/>
                      <w:color w:val="auto"/>
                      <w:sz w:val="21"/>
                      <w:szCs w:val="21"/>
                      <w:u w:val="single"/>
                    </w:rPr>
                    <w:t>.4</w:t>
                  </w:r>
                </w:p>
              </w:tc>
              <w:tc>
                <w:tcPr>
                  <w:tcW w:w="1180" w:type="pct"/>
                  <w:shd w:val="clear" w:color="auto" w:fill="FFFFFF"/>
                  <w:vAlign w:val="center"/>
                </w:tcPr>
                <w:p w14:paraId="2633BE7F">
                  <w:pPr>
                    <w:pStyle w:val="111"/>
                    <w:rPr>
                      <w:color w:val="auto"/>
                      <w:szCs w:val="21"/>
                    </w:rPr>
                  </w:pPr>
                  <w:r>
                    <w:rPr>
                      <w:color w:val="auto"/>
                      <w:szCs w:val="21"/>
                    </w:rPr>
                    <w:t>55</w:t>
                  </w:r>
                </w:p>
              </w:tc>
              <w:tc>
                <w:tcPr>
                  <w:tcW w:w="955" w:type="pct"/>
                  <w:shd w:val="clear" w:color="auto" w:fill="FFFFFF"/>
                  <w:vAlign w:val="center"/>
                </w:tcPr>
                <w:p w14:paraId="44DEB252">
                  <w:pPr>
                    <w:pStyle w:val="111"/>
                    <w:rPr>
                      <w:color w:val="auto"/>
                      <w:szCs w:val="21"/>
                    </w:rPr>
                  </w:pPr>
                  <w:r>
                    <w:rPr>
                      <w:rFonts w:hint="eastAsia"/>
                      <w:color w:val="auto"/>
                      <w:szCs w:val="21"/>
                    </w:rPr>
                    <w:t>达标</w:t>
                  </w:r>
                </w:p>
              </w:tc>
            </w:tr>
            <w:tr w14:paraId="620D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exact"/>
                <w:jc w:val="center"/>
              </w:trPr>
              <w:tc>
                <w:tcPr>
                  <w:tcW w:w="884" w:type="pct"/>
                  <w:vMerge w:val="restart"/>
                  <w:shd w:val="clear" w:color="auto" w:fill="FFFFFF"/>
                  <w:vAlign w:val="center"/>
                </w:tcPr>
                <w:p w14:paraId="67ABF9E6">
                  <w:pPr>
                    <w:pStyle w:val="111"/>
                    <w:rPr>
                      <w:color w:val="auto"/>
                      <w:szCs w:val="21"/>
                    </w:rPr>
                  </w:pPr>
                  <w:r>
                    <w:rPr>
                      <w:rFonts w:hint="eastAsia"/>
                      <w:color w:val="auto"/>
                      <w:szCs w:val="21"/>
                    </w:rPr>
                    <w:t>西侧</w:t>
                  </w:r>
                </w:p>
              </w:tc>
              <w:tc>
                <w:tcPr>
                  <w:tcW w:w="801" w:type="pct"/>
                  <w:shd w:val="clear" w:color="auto" w:fill="FFFFFF"/>
                  <w:vAlign w:val="center"/>
                </w:tcPr>
                <w:p w14:paraId="65BA8880">
                  <w:pPr>
                    <w:pStyle w:val="111"/>
                    <w:rPr>
                      <w:color w:val="auto"/>
                      <w:szCs w:val="21"/>
                    </w:rPr>
                  </w:pPr>
                  <w:r>
                    <w:rPr>
                      <w:rFonts w:hint="eastAsia"/>
                      <w:color w:val="auto"/>
                      <w:szCs w:val="21"/>
                    </w:rPr>
                    <w:t>昼间</w:t>
                  </w:r>
                </w:p>
              </w:tc>
              <w:tc>
                <w:tcPr>
                  <w:tcW w:w="1177" w:type="pct"/>
                  <w:shd w:val="clear" w:color="auto" w:fill="FFFFFF"/>
                  <w:vAlign w:val="center"/>
                </w:tcPr>
                <w:p w14:paraId="13C9885B">
                  <w:pPr>
                    <w:jc w:val="center"/>
                    <w:rPr>
                      <w:color w:val="auto"/>
                      <w:sz w:val="21"/>
                      <w:szCs w:val="21"/>
                      <w:u w:val="single"/>
                    </w:rPr>
                  </w:pPr>
                  <w:r>
                    <w:rPr>
                      <w:rFonts w:hint="eastAsia"/>
                      <w:color w:val="auto"/>
                      <w:sz w:val="21"/>
                      <w:szCs w:val="21"/>
                      <w:u w:val="single"/>
                      <w:lang w:val="en-US" w:eastAsia="zh-CN"/>
                    </w:rPr>
                    <w:t>32.0</w:t>
                  </w:r>
                </w:p>
              </w:tc>
              <w:tc>
                <w:tcPr>
                  <w:tcW w:w="1180" w:type="pct"/>
                  <w:shd w:val="clear" w:color="auto" w:fill="FFFFFF"/>
                  <w:vAlign w:val="center"/>
                </w:tcPr>
                <w:p w14:paraId="2679C2CA">
                  <w:pPr>
                    <w:pStyle w:val="111"/>
                    <w:rPr>
                      <w:rFonts w:hint="default" w:eastAsia="宋体"/>
                      <w:color w:val="auto"/>
                      <w:szCs w:val="21"/>
                      <w:lang w:val="en-US" w:eastAsia="zh-CN"/>
                    </w:rPr>
                  </w:pPr>
                  <w:r>
                    <w:rPr>
                      <w:rFonts w:hint="eastAsia"/>
                      <w:color w:val="auto"/>
                      <w:szCs w:val="21"/>
                      <w:lang w:val="en-US" w:eastAsia="zh-CN"/>
                    </w:rPr>
                    <w:t>65</w:t>
                  </w:r>
                </w:p>
              </w:tc>
              <w:tc>
                <w:tcPr>
                  <w:tcW w:w="955" w:type="pct"/>
                  <w:shd w:val="clear" w:color="auto" w:fill="FFFFFF"/>
                  <w:vAlign w:val="center"/>
                </w:tcPr>
                <w:p w14:paraId="0BD251BD">
                  <w:pPr>
                    <w:pStyle w:val="111"/>
                    <w:rPr>
                      <w:color w:val="auto"/>
                      <w:szCs w:val="21"/>
                    </w:rPr>
                  </w:pPr>
                  <w:r>
                    <w:rPr>
                      <w:rFonts w:hint="eastAsia"/>
                      <w:color w:val="auto"/>
                      <w:szCs w:val="21"/>
                    </w:rPr>
                    <w:t>达标</w:t>
                  </w:r>
                </w:p>
              </w:tc>
            </w:tr>
            <w:tr w14:paraId="3366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exact"/>
                <w:jc w:val="center"/>
              </w:trPr>
              <w:tc>
                <w:tcPr>
                  <w:tcW w:w="884" w:type="pct"/>
                  <w:vMerge w:val="continue"/>
                  <w:shd w:val="clear" w:color="auto" w:fill="FFFFFF"/>
                  <w:vAlign w:val="center"/>
                </w:tcPr>
                <w:p w14:paraId="69DC3044">
                  <w:pPr>
                    <w:pStyle w:val="111"/>
                    <w:rPr>
                      <w:color w:val="auto"/>
                      <w:szCs w:val="21"/>
                    </w:rPr>
                  </w:pPr>
                  <w:r>
                    <w:rPr>
                      <w:rFonts w:hint="eastAsia"/>
                      <w:color w:val="auto"/>
                      <w:szCs w:val="21"/>
                    </w:rPr>
                    <w:t>西侧</w:t>
                  </w:r>
                </w:p>
              </w:tc>
              <w:tc>
                <w:tcPr>
                  <w:tcW w:w="801" w:type="pct"/>
                  <w:shd w:val="clear" w:color="auto" w:fill="FFFFFF"/>
                  <w:vAlign w:val="center"/>
                </w:tcPr>
                <w:p w14:paraId="38641BBE">
                  <w:pPr>
                    <w:pStyle w:val="111"/>
                    <w:rPr>
                      <w:color w:val="auto"/>
                      <w:szCs w:val="21"/>
                    </w:rPr>
                  </w:pPr>
                  <w:r>
                    <w:rPr>
                      <w:rFonts w:hint="eastAsia"/>
                      <w:color w:val="auto"/>
                      <w:szCs w:val="21"/>
                    </w:rPr>
                    <w:t>夜间</w:t>
                  </w:r>
                </w:p>
              </w:tc>
              <w:tc>
                <w:tcPr>
                  <w:tcW w:w="1177" w:type="pct"/>
                  <w:shd w:val="clear" w:color="auto" w:fill="FFFFFF"/>
                  <w:vAlign w:val="center"/>
                </w:tcPr>
                <w:p w14:paraId="22B6A9A9">
                  <w:pPr>
                    <w:pStyle w:val="111"/>
                    <w:rPr>
                      <w:rFonts w:hint="default" w:eastAsia="宋体"/>
                      <w:color w:val="auto"/>
                      <w:szCs w:val="21"/>
                      <w:u w:val="single"/>
                      <w:lang w:val="en-US" w:eastAsia="zh-CN"/>
                    </w:rPr>
                  </w:pPr>
                  <w:r>
                    <w:rPr>
                      <w:rFonts w:hint="eastAsia"/>
                      <w:color w:val="auto"/>
                      <w:szCs w:val="21"/>
                      <w:u w:val="single"/>
                      <w:lang w:val="en-US" w:eastAsia="zh-CN"/>
                    </w:rPr>
                    <w:t>32.0</w:t>
                  </w:r>
                </w:p>
              </w:tc>
              <w:tc>
                <w:tcPr>
                  <w:tcW w:w="1180" w:type="pct"/>
                  <w:shd w:val="clear" w:color="auto" w:fill="FFFFFF"/>
                  <w:vAlign w:val="center"/>
                </w:tcPr>
                <w:p w14:paraId="3F325C7E">
                  <w:pPr>
                    <w:pStyle w:val="111"/>
                    <w:rPr>
                      <w:color w:val="auto"/>
                      <w:szCs w:val="21"/>
                    </w:rPr>
                  </w:pPr>
                  <w:r>
                    <w:rPr>
                      <w:color w:val="auto"/>
                      <w:szCs w:val="21"/>
                    </w:rPr>
                    <w:t>55</w:t>
                  </w:r>
                </w:p>
              </w:tc>
              <w:tc>
                <w:tcPr>
                  <w:tcW w:w="955" w:type="pct"/>
                  <w:shd w:val="clear" w:color="auto" w:fill="FFFFFF"/>
                  <w:vAlign w:val="center"/>
                </w:tcPr>
                <w:p w14:paraId="7FDA46E5">
                  <w:pPr>
                    <w:pStyle w:val="111"/>
                    <w:rPr>
                      <w:color w:val="auto"/>
                      <w:szCs w:val="21"/>
                    </w:rPr>
                  </w:pPr>
                  <w:r>
                    <w:rPr>
                      <w:rFonts w:hint="eastAsia"/>
                      <w:color w:val="auto"/>
                      <w:szCs w:val="21"/>
                    </w:rPr>
                    <w:t>达标</w:t>
                  </w:r>
                </w:p>
              </w:tc>
            </w:tr>
            <w:tr w14:paraId="5768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exact"/>
                <w:jc w:val="center"/>
              </w:trPr>
              <w:tc>
                <w:tcPr>
                  <w:tcW w:w="884" w:type="pct"/>
                  <w:vMerge w:val="restart"/>
                  <w:shd w:val="clear" w:color="auto" w:fill="FFFFFF"/>
                  <w:vAlign w:val="center"/>
                </w:tcPr>
                <w:p w14:paraId="050F1D98">
                  <w:pPr>
                    <w:pStyle w:val="111"/>
                    <w:rPr>
                      <w:color w:val="auto"/>
                      <w:szCs w:val="21"/>
                    </w:rPr>
                  </w:pPr>
                  <w:r>
                    <w:rPr>
                      <w:rFonts w:hint="eastAsia"/>
                      <w:color w:val="auto"/>
                      <w:szCs w:val="21"/>
                    </w:rPr>
                    <w:t>北侧</w:t>
                  </w:r>
                </w:p>
              </w:tc>
              <w:tc>
                <w:tcPr>
                  <w:tcW w:w="801" w:type="pct"/>
                  <w:shd w:val="clear" w:color="auto" w:fill="FFFFFF"/>
                  <w:vAlign w:val="center"/>
                </w:tcPr>
                <w:p w14:paraId="0C7E4F5A">
                  <w:pPr>
                    <w:pStyle w:val="111"/>
                    <w:rPr>
                      <w:color w:val="auto"/>
                      <w:szCs w:val="21"/>
                    </w:rPr>
                  </w:pPr>
                  <w:r>
                    <w:rPr>
                      <w:rFonts w:hint="eastAsia"/>
                      <w:color w:val="auto"/>
                      <w:szCs w:val="21"/>
                    </w:rPr>
                    <w:t>昼间</w:t>
                  </w:r>
                </w:p>
              </w:tc>
              <w:tc>
                <w:tcPr>
                  <w:tcW w:w="1991" w:type="dxa"/>
                  <w:shd w:val="clear" w:color="auto" w:fill="FFFFFF"/>
                  <w:vAlign w:val="center"/>
                </w:tcPr>
                <w:p w14:paraId="1D4CD387">
                  <w:pPr>
                    <w:pStyle w:val="111"/>
                    <w:rPr>
                      <w:rFonts w:hint="default" w:eastAsia="宋体"/>
                      <w:color w:val="auto"/>
                      <w:u w:val="single"/>
                      <w:lang w:val="en-US" w:eastAsia="zh-CN"/>
                    </w:rPr>
                  </w:pPr>
                  <w:r>
                    <w:rPr>
                      <w:rFonts w:hint="eastAsia"/>
                      <w:color w:val="auto"/>
                      <w:szCs w:val="21"/>
                      <w:u w:val="single"/>
                      <w:lang w:val="en-US" w:eastAsia="zh-CN"/>
                    </w:rPr>
                    <w:t>54.4</w:t>
                  </w:r>
                </w:p>
              </w:tc>
              <w:tc>
                <w:tcPr>
                  <w:tcW w:w="1180" w:type="pct"/>
                  <w:shd w:val="clear" w:color="auto" w:fill="FFFFFF"/>
                  <w:vAlign w:val="center"/>
                </w:tcPr>
                <w:p w14:paraId="4F28CB28">
                  <w:pPr>
                    <w:pStyle w:val="111"/>
                    <w:rPr>
                      <w:color w:val="auto"/>
                      <w:szCs w:val="21"/>
                    </w:rPr>
                  </w:pPr>
                  <w:r>
                    <w:rPr>
                      <w:color w:val="auto"/>
                      <w:szCs w:val="21"/>
                    </w:rPr>
                    <w:t>65</w:t>
                  </w:r>
                </w:p>
              </w:tc>
              <w:tc>
                <w:tcPr>
                  <w:tcW w:w="955" w:type="pct"/>
                  <w:shd w:val="clear" w:color="auto" w:fill="FFFFFF"/>
                  <w:vAlign w:val="center"/>
                </w:tcPr>
                <w:p w14:paraId="0D2D5971">
                  <w:pPr>
                    <w:pStyle w:val="111"/>
                    <w:rPr>
                      <w:color w:val="auto"/>
                      <w:szCs w:val="21"/>
                    </w:rPr>
                  </w:pPr>
                  <w:r>
                    <w:rPr>
                      <w:rFonts w:hint="eastAsia"/>
                      <w:color w:val="auto"/>
                      <w:szCs w:val="21"/>
                    </w:rPr>
                    <w:t>达标</w:t>
                  </w:r>
                </w:p>
              </w:tc>
            </w:tr>
            <w:tr w14:paraId="764F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exact"/>
                <w:jc w:val="center"/>
              </w:trPr>
              <w:tc>
                <w:tcPr>
                  <w:tcW w:w="884" w:type="pct"/>
                  <w:vMerge w:val="continue"/>
                  <w:shd w:val="clear" w:color="auto" w:fill="FFFFFF"/>
                  <w:vAlign w:val="center"/>
                </w:tcPr>
                <w:p w14:paraId="6F9D4AA4">
                  <w:pPr>
                    <w:pStyle w:val="111"/>
                    <w:rPr>
                      <w:color w:val="auto"/>
                      <w:szCs w:val="21"/>
                    </w:rPr>
                  </w:pPr>
                  <w:r>
                    <w:rPr>
                      <w:rFonts w:hint="eastAsia"/>
                      <w:color w:val="auto"/>
                      <w:szCs w:val="21"/>
                    </w:rPr>
                    <w:t>北侧</w:t>
                  </w:r>
                </w:p>
              </w:tc>
              <w:tc>
                <w:tcPr>
                  <w:tcW w:w="801" w:type="pct"/>
                  <w:shd w:val="clear" w:color="auto" w:fill="FFFFFF"/>
                  <w:vAlign w:val="center"/>
                </w:tcPr>
                <w:p w14:paraId="1C034660">
                  <w:pPr>
                    <w:pStyle w:val="111"/>
                    <w:rPr>
                      <w:color w:val="auto"/>
                      <w:szCs w:val="21"/>
                    </w:rPr>
                  </w:pPr>
                  <w:r>
                    <w:rPr>
                      <w:rFonts w:hint="eastAsia"/>
                      <w:color w:val="auto"/>
                      <w:szCs w:val="21"/>
                    </w:rPr>
                    <w:t>夜间</w:t>
                  </w:r>
                </w:p>
              </w:tc>
              <w:tc>
                <w:tcPr>
                  <w:tcW w:w="1991" w:type="dxa"/>
                  <w:shd w:val="clear" w:color="auto" w:fill="FFFFFF"/>
                  <w:vAlign w:val="center"/>
                </w:tcPr>
                <w:p w14:paraId="3E298F44">
                  <w:pPr>
                    <w:pStyle w:val="111"/>
                    <w:rPr>
                      <w:rFonts w:hint="default" w:eastAsia="宋体"/>
                      <w:color w:val="auto"/>
                      <w:szCs w:val="21"/>
                      <w:u w:val="single"/>
                      <w:lang w:val="en-US" w:eastAsia="zh-CN"/>
                    </w:rPr>
                  </w:pPr>
                  <w:r>
                    <w:rPr>
                      <w:rFonts w:hint="eastAsia"/>
                      <w:color w:val="auto"/>
                      <w:szCs w:val="21"/>
                      <w:u w:val="single"/>
                      <w:lang w:val="en-US" w:eastAsia="zh-CN"/>
                    </w:rPr>
                    <w:t>54.4</w:t>
                  </w:r>
                </w:p>
              </w:tc>
              <w:tc>
                <w:tcPr>
                  <w:tcW w:w="1180" w:type="pct"/>
                  <w:shd w:val="clear" w:color="auto" w:fill="FFFFFF"/>
                  <w:vAlign w:val="center"/>
                </w:tcPr>
                <w:p w14:paraId="3568D5BA">
                  <w:pPr>
                    <w:pStyle w:val="111"/>
                    <w:rPr>
                      <w:color w:val="auto"/>
                      <w:szCs w:val="21"/>
                    </w:rPr>
                  </w:pPr>
                  <w:r>
                    <w:rPr>
                      <w:color w:val="auto"/>
                      <w:szCs w:val="21"/>
                    </w:rPr>
                    <w:t>55</w:t>
                  </w:r>
                </w:p>
              </w:tc>
              <w:tc>
                <w:tcPr>
                  <w:tcW w:w="955" w:type="pct"/>
                  <w:shd w:val="clear" w:color="auto" w:fill="FFFFFF"/>
                  <w:vAlign w:val="center"/>
                </w:tcPr>
                <w:p w14:paraId="172E0B3E">
                  <w:pPr>
                    <w:pStyle w:val="111"/>
                    <w:rPr>
                      <w:color w:val="auto"/>
                      <w:szCs w:val="21"/>
                    </w:rPr>
                  </w:pPr>
                  <w:r>
                    <w:rPr>
                      <w:rFonts w:hint="eastAsia"/>
                      <w:color w:val="auto"/>
                      <w:szCs w:val="21"/>
                    </w:rPr>
                    <w:t>达标</w:t>
                  </w:r>
                </w:p>
              </w:tc>
            </w:tr>
          </w:tbl>
          <w:p w14:paraId="4ECB6FF3">
            <w:pPr>
              <w:rPr>
                <w:color w:val="auto"/>
              </w:rPr>
            </w:pPr>
            <w:r>
              <w:rPr>
                <w:color w:val="auto"/>
              </w:rPr>
              <w:drawing>
                <wp:anchor distT="0" distB="0" distL="114300" distR="114300" simplePos="0" relativeHeight="251662336" behindDoc="0" locked="0" layoutInCell="1" allowOverlap="1">
                  <wp:simplePos x="0" y="0"/>
                  <wp:positionH relativeFrom="column">
                    <wp:posOffset>6350</wp:posOffset>
                  </wp:positionH>
                  <wp:positionV relativeFrom="paragraph">
                    <wp:posOffset>3315970</wp:posOffset>
                  </wp:positionV>
                  <wp:extent cx="542925" cy="371475"/>
                  <wp:effectExtent l="0" t="0" r="9525" b="952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8"/>
                          <a:stretch>
                            <a:fillRect/>
                          </a:stretch>
                        </pic:blipFill>
                        <pic:spPr>
                          <a:xfrm>
                            <a:off x="0" y="0"/>
                            <a:ext cx="542925" cy="371475"/>
                          </a:xfrm>
                          <a:prstGeom prst="rect">
                            <a:avLst/>
                          </a:prstGeom>
                          <a:noFill/>
                          <a:ln>
                            <a:noFill/>
                          </a:ln>
                        </pic:spPr>
                      </pic:pic>
                    </a:graphicData>
                  </a:graphic>
                </wp:anchor>
              </w:drawing>
            </w:r>
            <w:r>
              <w:rPr>
                <w:color w:val="auto"/>
              </w:rPr>
              <w:drawing>
                <wp:inline distT="0" distB="0" distL="114300" distR="114300">
                  <wp:extent cx="5386070" cy="3702050"/>
                  <wp:effectExtent l="0" t="0" r="5080" b="1270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9"/>
                          <a:stretch>
                            <a:fillRect/>
                          </a:stretch>
                        </pic:blipFill>
                        <pic:spPr>
                          <a:xfrm>
                            <a:off x="0" y="0"/>
                            <a:ext cx="5386070" cy="3702050"/>
                          </a:xfrm>
                          <a:prstGeom prst="rect">
                            <a:avLst/>
                          </a:prstGeom>
                          <a:noFill/>
                          <a:ln>
                            <a:noFill/>
                          </a:ln>
                        </pic:spPr>
                      </pic:pic>
                    </a:graphicData>
                  </a:graphic>
                </wp:inline>
              </w:drawing>
            </w:r>
          </w:p>
          <w:p w14:paraId="39ECB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u w:val="single"/>
                <w:lang w:val="en-US" w:eastAsia="zh-CN"/>
              </w:rPr>
            </w:pPr>
            <w:r>
              <w:rPr>
                <w:rFonts w:hint="eastAsia"/>
                <w:b/>
                <w:bCs/>
                <w:color w:val="auto"/>
                <w:u w:val="single"/>
                <w:lang w:val="en-US" w:eastAsia="zh-CN"/>
              </w:rPr>
              <w:t>图4-1  项目厂界噪声预测图</w:t>
            </w:r>
          </w:p>
          <w:p w14:paraId="62FF93EA">
            <w:pPr>
              <w:ind w:firstLine="480" w:firstLineChars="200"/>
              <w:rPr>
                <w:color w:val="auto"/>
              </w:rPr>
            </w:pPr>
            <w:r>
              <w:rPr>
                <w:color w:val="auto"/>
              </w:rPr>
              <w:t>由以上预测结果可知：项目营运过程中，</w:t>
            </w:r>
            <w:r>
              <w:rPr>
                <w:rFonts w:hint="eastAsia"/>
                <w:color w:val="auto"/>
              </w:rPr>
              <w:t>项目</w:t>
            </w:r>
            <w:r>
              <w:rPr>
                <w:color w:val="auto"/>
              </w:rPr>
              <w:t>厂界噪声符合《工业企业厂界环境噪声排放标准》（GB12348-2008）3类标准限值。</w:t>
            </w:r>
            <w:r>
              <w:rPr>
                <w:rFonts w:hint="eastAsia"/>
                <w:color w:val="auto"/>
              </w:rPr>
              <w:t>项目周边200m范围内无声环境保护目标，对环境影响不大。</w:t>
            </w:r>
          </w:p>
          <w:p w14:paraId="3F15B84D">
            <w:pPr>
              <w:tabs>
                <w:tab w:val="left" w:pos="8016"/>
              </w:tabs>
              <w:snapToGrid w:val="0"/>
              <w:ind w:firstLine="482" w:firstLineChars="200"/>
              <w:rPr>
                <w:b/>
                <w:bCs/>
                <w:color w:val="auto"/>
              </w:rPr>
            </w:pPr>
            <w:r>
              <w:rPr>
                <w:rFonts w:hint="eastAsia"/>
                <w:b/>
                <w:bCs/>
                <w:color w:val="auto"/>
              </w:rPr>
              <w:t>3、污染防治措施</w:t>
            </w:r>
          </w:p>
          <w:p w14:paraId="06EE4F24">
            <w:pPr>
              <w:tabs>
                <w:tab w:val="left" w:pos="8016"/>
              </w:tabs>
              <w:snapToGrid w:val="0"/>
              <w:ind w:firstLine="480" w:firstLineChars="200"/>
              <w:rPr>
                <w:color w:val="auto"/>
              </w:rPr>
            </w:pPr>
            <w:r>
              <w:rPr>
                <w:rFonts w:hint="eastAsia"/>
                <w:color w:val="auto"/>
              </w:rPr>
              <w:t>为了确保将项目产生的噪声对区域环境噪声的影响降至最小，环评建议项目运营期注重采取如下噪声控制措施：</w:t>
            </w:r>
          </w:p>
          <w:p w14:paraId="67998898">
            <w:pPr>
              <w:tabs>
                <w:tab w:val="left" w:pos="8016"/>
              </w:tabs>
              <w:snapToGrid w:val="0"/>
              <w:ind w:firstLine="480" w:firstLineChars="200"/>
              <w:rPr>
                <w:color w:val="auto"/>
              </w:rPr>
            </w:pPr>
            <w:r>
              <w:rPr>
                <w:rFonts w:hint="eastAsia"/>
                <w:color w:val="auto"/>
              </w:rPr>
              <w:t>①在设备选型时应尽量选用低噪声的设备，从声源上降低噪声；</w:t>
            </w:r>
          </w:p>
          <w:p w14:paraId="0E38E2CA">
            <w:pPr>
              <w:tabs>
                <w:tab w:val="left" w:pos="8016"/>
              </w:tabs>
              <w:snapToGrid w:val="0"/>
              <w:ind w:firstLine="480" w:firstLineChars="200"/>
              <w:rPr>
                <w:color w:val="auto"/>
              </w:rPr>
            </w:pPr>
            <w:r>
              <w:rPr>
                <w:rFonts w:hint="eastAsia"/>
                <w:color w:val="auto"/>
              </w:rPr>
              <w:t>②生产设备设置减震基座；</w:t>
            </w:r>
          </w:p>
          <w:p w14:paraId="70D2C376">
            <w:pPr>
              <w:tabs>
                <w:tab w:val="left" w:pos="8016"/>
              </w:tabs>
              <w:snapToGrid w:val="0"/>
              <w:ind w:firstLine="480" w:firstLineChars="200"/>
              <w:rPr>
                <w:color w:val="auto"/>
              </w:rPr>
            </w:pPr>
            <w:r>
              <w:rPr>
                <w:rFonts w:hint="eastAsia"/>
                <w:color w:val="auto"/>
              </w:rPr>
              <w:t>③对高噪声设备进行隔声、消声和吸声等处理；</w:t>
            </w:r>
          </w:p>
          <w:p w14:paraId="1160EAA1">
            <w:pPr>
              <w:tabs>
                <w:tab w:val="left" w:pos="8016"/>
              </w:tabs>
              <w:snapToGrid w:val="0"/>
              <w:ind w:firstLine="480" w:firstLineChars="200"/>
              <w:rPr>
                <w:color w:val="auto"/>
              </w:rPr>
            </w:pPr>
            <w:r>
              <w:rPr>
                <w:rFonts w:hint="eastAsia"/>
                <w:color w:val="auto"/>
              </w:rPr>
              <w:t>④在生产过程中应加强设备维护，使之处于良好稳定的运行状态；</w:t>
            </w:r>
          </w:p>
          <w:p w14:paraId="0D603439">
            <w:pPr>
              <w:tabs>
                <w:tab w:val="left" w:pos="8016"/>
              </w:tabs>
              <w:snapToGrid w:val="0"/>
              <w:ind w:firstLine="480" w:firstLineChars="200"/>
              <w:rPr>
                <w:color w:val="auto"/>
              </w:rPr>
            </w:pPr>
            <w:r>
              <w:rPr>
                <w:rFonts w:hint="eastAsia"/>
                <w:color w:val="auto"/>
              </w:rPr>
              <w:t>⑤合理布置生产线位置，产生噪音较大的机械远离场界或布置于室内；</w:t>
            </w:r>
          </w:p>
          <w:p w14:paraId="4FB307FD">
            <w:pPr>
              <w:tabs>
                <w:tab w:val="left" w:pos="8016"/>
              </w:tabs>
              <w:snapToGrid w:val="0"/>
              <w:ind w:firstLine="480" w:firstLineChars="200"/>
              <w:rPr>
                <w:color w:val="auto"/>
              </w:rPr>
            </w:pPr>
            <w:r>
              <w:rPr>
                <w:rFonts w:hint="eastAsia"/>
                <w:color w:val="auto"/>
              </w:rPr>
              <w:t>⑥利用厂内建设的建筑物进行遮挡高噪声的设备。</w:t>
            </w:r>
          </w:p>
          <w:p w14:paraId="15710BE9">
            <w:pPr>
              <w:tabs>
                <w:tab w:val="left" w:pos="8016"/>
              </w:tabs>
              <w:snapToGrid w:val="0"/>
              <w:ind w:firstLine="480" w:firstLineChars="200"/>
              <w:rPr>
                <w:color w:val="auto"/>
              </w:rPr>
            </w:pPr>
            <w:r>
              <w:rPr>
                <w:rFonts w:hint="eastAsia"/>
                <w:color w:val="auto"/>
              </w:rPr>
              <w:t>以上噪声治理措施容易实施，技术成熟可靠，投资费用较少，在技术和经济上是可行的。</w:t>
            </w:r>
          </w:p>
          <w:p w14:paraId="0FA05527">
            <w:pPr>
              <w:ind w:firstLine="482" w:firstLineChars="200"/>
              <w:rPr>
                <w:b/>
                <w:color w:val="auto"/>
              </w:rPr>
            </w:pPr>
            <w:r>
              <w:rPr>
                <w:rFonts w:hint="eastAsia"/>
                <w:b/>
                <w:color w:val="auto"/>
              </w:rPr>
              <w:t>四</w:t>
            </w:r>
            <w:r>
              <w:rPr>
                <w:b/>
                <w:color w:val="auto"/>
              </w:rPr>
              <w:t>、固体废物</w:t>
            </w:r>
          </w:p>
          <w:p w14:paraId="3F724ABC">
            <w:pPr>
              <w:pStyle w:val="138"/>
              <w:spacing w:line="360" w:lineRule="auto"/>
              <w:ind w:firstLine="480"/>
              <w:rPr>
                <w:rFonts w:hint="eastAsia" w:ascii="宋体" w:hAnsi="宋体" w:cs="宋体"/>
                <w:color w:val="auto"/>
              </w:rPr>
            </w:pPr>
            <w:r>
              <w:rPr>
                <w:rFonts w:hint="eastAsia"/>
                <w:color w:val="auto"/>
              </w:rPr>
              <w:t>本项目产生的</w:t>
            </w:r>
            <w:r>
              <w:rPr>
                <w:rFonts w:hint="eastAsia" w:ascii="宋体" w:hAnsi="宋体" w:cs="宋体"/>
                <w:color w:val="auto"/>
              </w:rPr>
              <w:t>固体废弃物为一般工业固废、危险废物和职工生活垃圾。</w:t>
            </w:r>
          </w:p>
          <w:p w14:paraId="197139B9">
            <w:pPr>
              <w:pStyle w:val="138"/>
              <w:spacing w:line="360" w:lineRule="auto"/>
              <w:ind w:firstLine="482"/>
              <w:rPr>
                <w:b/>
                <w:bCs/>
                <w:color w:val="auto"/>
              </w:rPr>
            </w:pPr>
            <w:r>
              <w:rPr>
                <w:rFonts w:hint="eastAsia"/>
                <w:b/>
                <w:bCs/>
                <w:color w:val="auto"/>
              </w:rPr>
              <w:t>1、一般工业固废</w:t>
            </w:r>
          </w:p>
          <w:p w14:paraId="01C3D2D3">
            <w:pPr>
              <w:pStyle w:val="138"/>
              <w:spacing w:line="360" w:lineRule="auto"/>
              <w:ind w:firstLine="480"/>
              <w:rPr>
                <w:rFonts w:hint="eastAsia" w:hAnsi="宋体"/>
                <w:bCs/>
                <w:color w:val="auto"/>
              </w:rPr>
            </w:pPr>
            <w:r>
              <w:rPr>
                <w:rFonts w:hint="eastAsia" w:ascii="宋体" w:hAnsi="宋体" w:cs="宋体"/>
                <w:color w:val="auto"/>
              </w:rPr>
              <w:t>①</w:t>
            </w:r>
            <w:r>
              <w:rPr>
                <w:rFonts w:hint="eastAsia" w:hAnsi="宋体"/>
                <w:bCs/>
                <w:color w:val="auto"/>
              </w:rPr>
              <w:t>不合格产品</w:t>
            </w:r>
          </w:p>
          <w:p w14:paraId="6F1EFF5F">
            <w:pPr>
              <w:pStyle w:val="138"/>
              <w:spacing w:line="360" w:lineRule="auto"/>
              <w:ind w:firstLine="480"/>
              <w:rPr>
                <w:color w:val="auto"/>
              </w:rPr>
            </w:pPr>
            <w:r>
              <w:rPr>
                <w:rFonts w:hint="eastAsia"/>
                <w:color w:val="auto"/>
              </w:rPr>
              <w:t>项目注塑成型后，会存在有裂缝或不完整等不合格产品，根据建设单位提供资料，项目不合格产品约占原料的1%，项目原料年使用量为2910t，故项目产生的不合格产品量为29.1t/a。不合格产品</w:t>
            </w:r>
            <w:bookmarkStart w:id="89" w:name="OLE_LINK73"/>
            <w:r>
              <w:rPr>
                <w:rFonts w:hint="eastAsia"/>
                <w:color w:val="auto"/>
              </w:rPr>
              <w:t>外售给废品回收公司进行回收利用</w:t>
            </w:r>
            <w:bookmarkEnd w:id="89"/>
            <w:r>
              <w:rPr>
                <w:rFonts w:hint="eastAsia"/>
                <w:color w:val="auto"/>
              </w:rPr>
              <w:t>。</w:t>
            </w:r>
          </w:p>
          <w:p w14:paraId="540CC32A">
            <w:pPr>
              <w:pStyle w:val="138"/>
              <w:spacing w:line="360" w:lineRule="auto"/>
              <w:ind w:firstLine="480"/>
              <w:rPr>
                <w:color w:val="auto"/>
              </w:rPr>
            </w:pPr>
            <w:r>
              <w:rPr>
                <w:rFonts w:hint="eastAsia"/>
                <w:color w:val="auto"/>
              </w:rPr>
              <w:t>②废包装袋</w:t>
            </w:r>
          </w:p>
          <w:p w14:paraId="281A7BA7">
            <w:pPr>
              <w:ind w:firstLine="480" w:firstLineChars="200"/>
              <w:rPr>
                <w:rFonts w:hint="eastAsia"/>
                <w:color w:val="auto"/>
              </w:rPr>
            </w:pPr>
            <w:r>
              <w:rPr>
                <w:rFonts w:hint="eastAsia"/>
                <w:color w:val="auto"/>
              </w:rPr>
              <w:t>本项目原料PET、PP等使用包装袋包装，拆包生产过程产生废弃包装袋，产生量约为0.8</w:t>
            </w:r>
            <w:r>
              <w:rPr>
                <w:color w:val="auto"/>
              </w:rPr>
              <w:t>t/a</w:t>
            </w:r>
            <w:r>
              <w:rPr>
                <w:rFonts w:hint="eastAsia"/>
                <w:color w:val="auto"/>
              </w:rPr>
              <w:t>，根据其物化性质分析，其原料不属于危险废物，因为废包装袋可收集后外售给废品回收公司进行回收利用。</w:t>
            </w:r>
          </w:p>
          <w:p w14:paraId="62617A0A">
            <w:pPr>
              <w:pStyle w:val="138"/>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③</w:t>
            </w:r>
            <w:r>
              <w:rPr>
                <w:rFonts w:hint="default" w:ascii="Times New Roman" w:hAnsi="Times New Roman" w:eastAsia="宋体" w:cs="Times New Roman"/>
                <w:color w:val="auto"/>
                <w:lang w:eastAsia="zh-CN"/>
              </w:rPr>
              <w:t>家庭式净水器</w:t>
            </w:r>
            <w:r>
              <w:rPr>
                <w:rFonts w:hint="eastAsia" w:ascii="Times New Roman" w:hAnsi="Times New Roman" w:eastAsia="宋体" w:cs="Times New Roman"/>
                <w:color w:val="auto"/>
                <w:lang w:eastAsia="zh-CN"/>
              </w:rPr>
              <w:t>废活性炭</w:t>
            </w:r>
            <w:r>
              <w:rPr>
                <w:rFonts w:hint="eastAsia" w:ascii="Times New Roman" w:hAnsi="Times New Roman" w:eastAsia="宋体" w:cs="Times New Roman"/>
                <w:color w:val="auto"/>
                <w:lang w:val="en-US" w:eastAsia="zh-CN"/>
              </w:rPr>
              <w:t>过滤器</w:t>
            </w:r>
          </w:p>
          <w:p w14:paraId="36B8D870">
            <w:pPr>
              <w:pStyle w:val="138"/>
              <w:spacing w:line="360" w:lineRule="auto"/>
              <w:ind w:firstLine="482"/>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w:t>
            </w:r>
            <w:r>
              <w:rPr>
                <w:rFonts w:hint="eastAsia" w:ascii="Times New Roman" w:hAnsi="Times New Roman" w:eastAsia="宋体" w:cs="Times New Roman"/>
                <w:b w:val="0"/>
                <w:bCs w:val="0"/>
                <w:color w:val="auto"/>
                <w:sz w:val="24"/>
                <w:szCs w:val="24"/>
                <w:lang w:val="en-US" w:eastAsia="zh-CN"/>
              </w:rPr>
              <w:t>家庭式净水器主要采用</w:t>
            </w:r>
            <w:r>
              <w:rPr>
                <w:rFonts w:hint="eastAsia" w:ascii="Times New Roman" w:hAnsi="Times New Roman" w:eastAsia="宋体" w:cs="Times New Roman"/>
                <w:color w:val="auto"/>
                <w:lang w:eastAsia="zh-CN"/>
              </w:rPr>
              <w:t>活性炭</w:t>
            </w:r>
            <w:r>
              <w:rPr>
                <w:rFonts w:hint="eastAsia" w:ascii="Times New Roman" w:hAnsi="Times New Roman" w:eastAsia="宋体" w:cs="Times New Roman"/>
                <w:color w:val="auto"/>
                <w:lang w:val="en-US" w:eastAsia="zh-CN"/>
              </w:rPr>
              <w:t>过滤器进行过滤自来水中少量钙物质等，从而补充循环水池中的新鲜水</w:t>
            </w:r>
            <w:r>
              <w:rPr>
                <w:rFonts w:hint="eastAsia" w:ascii="Times New Roman" w:hAnsi="Times New Roman" w:eastAsia="宋体" w:cs="Times New Roman"/>
                <w:b w:val="0"/>
                <w:bCs w:val="0"/>
                <w:color w:val="auto"/>
                <w:sz w:val="24"/>
                <w:szCs w:val="24"/>
                <w:lang w:val="en-US" w:eastAsia="zh-CN"/>
              </w:rPr>
              <w:t>。家庭式净水器设备更换的废活性炭过滤器，每年更换一次，约0.1t/a，</w:t>
            </w:r>
            <w:r>
              <w:rPr>
                <w:rFonts w:hint="eastAsia" w:ascii="Times New Roman" w:hAnsi="Times New Roman" w:eastAsia="宋体" w:cs="Times New Roman"/>
                <w:b w:val="0"/>
                <w:bCs w:val="0"/>
                <w:color w:val="auto"/>
                <w:sz w:val="24"/>
                <w:szCs w:val="24"/>
                <w:highlight w:val="none"/>
                <w:lang w:val="en-US" w:eastAsia="zh-CN"/>
              </w:rPr>
              <w:t>由厂家回收处理</w:t>
            </w:r>
            <w:r>
              <w:rPr>
                <w:rFonts w:hint="eastAsia" w:ascii="Times New Roman" w:hAnsi="Times New Roman" w:eastAsia="宋体" w:cs="Times New Roman"/>
                <w:b w:val="0"/>
                <w:bCs w:val="0"/>
                <w:color w:val="auto"/>
                <w:sz w:val="24"/>
                <w:szCs w:val="24"/>
                <w:lang w:val="en-US" w:eastAsia="zh-CN"/>
              </w:rPr>
              <w:t>。家庭式净水器活性炭过滤器更换的固废主要过滤水中的少量钙物质，不涉及危险物质，属于一般固废。</w:t>
            </w:r>
          </w:p>
          <w:p w14:paraId="616F7028">
            <w:pPr>
              <w:pStyle w:val="138"/>
              <w:spacing w:line="360" w:lineRule="auto"/>
              <w:ind w:firstLine="482"/>
              <w:rPr>
                <w:b/>
                <w:bCs/>
                <w:color w:val="auto"/>
              </w:rPr>
            </w:pPr>
            <w:r>
              <w:rPr>
                <w:rFonts w:hint="eastAsia"/>
                <w:b/>
                <w:bCs/>
                <w:color w:val="auto"/>
              </w:rPr>
              <w:t>2、危险废物</w:t>
            </w:r>
          </w:p>
          <w:p w14:paraId="1AB47DD4">
            <w:pPr>
              <w:pStyle w:val="138"/>
              <w:spacing w:line="360" w:lineRule="auto"/>
              <w:ind w:firstLine="480"/>
              <w:rPr>
                <w:color w:val="auto"/>
              </w:rPr>
            </w:pPr>
            <w:r>
              <w:rPr>
                <w:rFonts w:hint="eastAsia"/>
                <w:color w:val="auto"/>
              </w:rPr>
              <w:t>项目产生的危险废物主要为废活性炭、机械维修过程产生的废机油、废油桶、含油抹布等。</w:t>
            </w:r>
          </w:p>
          <w:p w14:paraId="0EA22948">
            <w:pPr>
              <w:pStyle w:val="138"/>
              <w:spacing w:line="360" w:lineRule="auto"/>
              <w:ind w:firstLine="480"/>
              <w:rPr>
                <w:color w:val="auto"/>
              </w:rPr>
            </w:pPr>
            <w:r>
              <w:rPr>
                <w:rFonts w:hint="eastAsia"/>
                <w:color w:val="auto"/>
              </w:rPr>
              <w:t>①废活性炭</w:t>
            </w:r>
          </w:p>
          <w:p w14:paraId="6B779567">
            <w:pPr>
              <w:pStyle w:val="138"/>
              <w:spacing w:line="360" w:lineRule="auto"/>
              <w:ind w:firstLine="480"/>
              <w:rPr>
                <w:rFonts w:hint="eastAsia" w:eastAsia="宋体"/>
                <w:color w:val="auto"/>
                <w:u w:val="single"/>
                <w:lang w:eastAsia="zh-CN"/>
              </w:rPr>
            </w:pPr>
            <w:r>
              <w:rPr>
                <w:rFonts w:hint="eastAsia"/>
                <w:color w:val="auto"/>
                <w:u w:val="single"/>
              </w:rPr>
              <w:t>吸附法是一种有效的有机废气处理方法，其基本原理是利用吸附剂（如活性炭、活性碳纤维等）的多孔结构和表面剩余吸引力，将废气中的VOCs分子吸附在固体表面，从而达到净化目的</w:t>
            </w:r>
            <w:r>
              <w:rPr>
                <w:rFonts w:hint="eastAsia"/>
                <w:color w:val="auto"/>
                <w:u w:val="single"/>
                <w:lang w:eastAsia="zh-CN"/>
              </w:rPr>
              <w:t>。</w:t>
            </w:r>
          </w:p>
          <w:p w14:paraId="20841CE0">
            <w:pPr>
              <w:pStyle w:val="138"/>
              <w:spacing w:line="360" w:lineRule="auto"/>
              <w:ind w:firstLine="480"/>
              <w:rPr>
                <w:rFonts w:hint="eastAsia"/>
                <w:color w:val="auto"/>
                <w:u w:val="single"/>
                <w:vertAlign w:val="baseline"/>
                <w:lang w:val="en-US" w:eastAsia="zh-CN"/>
              </w:rPr>
            </w:pPr>
            <w:r>
              <w:rPr>
                <w:rFonts w:hint="eastAsia"/>
                <w:color w:val="auto"/>
                <w:u w:val="single"/>
                <w:lang w:eastAsia="zh-CN"/>
              </w:rPr>
              <w:t>项目活性炭吸附装置采用蜂窝活性炭，根据</w:t>
            </w:r>
            <w:r>
              <w:rPr>
                <w:rFonts w:hint="eastAsia"/>
                <w:color w:val="auto"/>
                <w:u w:val="single"/>
                <w:lang w:val="en-US" w:eastAsia="zh-CN"/>
              </w:rPr>
              <w:t>《吸附法工业有机废气治理工程技术规范》（HJ 2026-2013）中6.3.3.3 采用蜂窝状吸附剂时，气体流速宜低于1.20m/s；废气停留时间保持0.5-1s；装填厚度不宜低于600mm（即气体流速*停留时间，1.20*0.5=0.6m=600mm）。本项目废气处理风量为15000m</w:t>
            </w:r>
            <w:r>
              <w:rPr>
                <w:rFonts w:hint="eastAsia"/>
                <w:color w:val="auto"/>
                <w:u w:val="single"/>
                <w:vertAlign w:val="superscript"/>
                <w:lang w:val="en-US" w:eastAsia="zh-CN"/>
              </w:rPr>
              <w:t>3</w:t>
            </w:r>
            <w:r>
              <w:rPr>
                <w:rFonts w:hint="eastAsia"/>
                <w:color w:val="auto"/>
                <w:u w:val="single"/>
                <w:lang w:val="en-US" w:eastAsia="zh-CN"/>
              </w:rPr>
              <w:t>/h，则所需过碳面积（吸附截面积）S=15000m</w:t>
            </w:r>
            <w:r>
              <w:rPr>
                <w:rFonts w:hint="eastAsia"/>
                <w:color w:val="auto"/>
                <w:u w:val="single"/>
                <w:vertAlign w:val="superscript"/>
                <w:lang w:val="en-US" w:eastAsia="zh-CN"/>
              </w:rPr>
              <w:t>3</w:t>
            </w:r>
            <w:r>
              <w:rPr>
                <w:rFonts w:hint="eastAsia"/>
                <w:color w:val="auto"/>
                <w:u w:val="single"/>
                <w:lang w:val="en-US" w:eastAsia="zh-CN"/>
              </w:rPr>
              <w:t>/h/1.2m/s/3600=3.47m</w:t>
            </w:r>
            <w:r>
              <w:rPr>
                <w:rFonts w:hint="eastAsia"/>
                <w:color w:val="auto"/>
                <w:u w:val="single"/>
                <w:vertAlign w:val="superscript"/>
                <w:lang w:val="en-US" w:eastAsia="zh-CN"/>
              </w:rPr>
              <w:t>2</w:t>
            </w:r>
            <w:r>
              <w:rPr>
                <w:rFonts w:hint="eastAsia"/>
                <w:color w:val="auto"/>
                <w:u w:val="single"/>
                <w:vertAlign w:val="baseline"/>
                <w:lang w:val="en-US" w:eastAsia="zh-CN"/>
              </w:rPr>
              <w:t>，项目活性炭重装量为</w:t>
            </w:r>
            <w:r>
              <w:rPr>
                <w:rFonts w:hint="eastAsia"/>
                <w:color w:val="auto"/>
                <w:u w:val="single"/>
                <w:lang w:val="en-US" w:eastAsia="zh-CN"/>
              </w:rPr>
              <w:t>3.47m</w:t>
            </w:r>
            <w:r>
              <w:rPr>
                <w:rFonts w:hint="eastAsia"/>
                <w:color w:val="auto"/>
                <w:u w:val="single"/>
                <w:vertAlign w:val="superscript"/>
                <w:lang w:val="en-US" w:eastAsia="zh-CN"/>
              </w:rPr>
              <w:t>2</w:t>
            </w:r>
            <w:r>
              <w:rPr>
                <w:rFonts w:hint="eastAsia"/>
                <w:color w:val="auto"/>
                <w:u w:val="single"/>
                <w:vertAlign w:val="baseline"/>
                <w:lang w:val="en-US" w:eastAsia="zh-CN"/>
              </w:rPr>
              <w:t>*600mm（装填厚度）=2.082</w:t>
            </w:r>
            <w:r>
              <w:rPr>
                <w:rFonts w:hint="eastAsia"/>
                <w:color w:val="auto"/>
                <w:u w:val="single"/>
                <w:lang w:val="en-US" w:eastAsia="zh-CN"/>
              </w:rPr>
              <w:t>m</w:t>
            </w:r>
            <w:r>
              <w:rPr>
                <w:rFonts w:hint="eastAsia"/>
                <w:color w:val="auto"/>
                <w:u w:val="single"/>
                <w:vertAlign w:val="superscript"/>
                <w:lang w:val="en-US" w:eastAsia="zh-CN"/>
              </w:rPr>
              <w:t>3</w:t>
            </w:r>
            <w:r>
              <w:rPr>
                <w:rFonts w:hint="eastAsia"/>
                <w:color w:val="auto"/>
                <w:u w:val="single"/>
                <w:vertAlign w:val="baseline"/>
                <w:lang w:val="en-US" w:eastAsia="zh-CN"/>
              </w:rPr>
              <w:t>，按蜂窝炭密度按350kg/m³计算，则装炭重量分别为：2.082</w:t>
            </w:r>
            <w:r>
              <w:rPr>
                <w:rFonts w:hint="eastAsia"/>
                <w:color w:val="auto"/>
                <w:u w:val="single"/>
                <w:lang w:val="en-US" w:eastAsia="zh-CN"/>
              </w:rPr>
              <w:t>m</w:t>
            </w:r>
            <w:r>
              <w:rPr>
                <w:rFonts w:hint="eastAsia"/>
                <w:color w:val="auto"/>
                <w:u w:val="single"/>
                <w:vertAlign w:val="superscript"/>
                <w:lang w:val="en-US" w:eastAsia="zh-CN"/>
              </w:rPr>
              <w:t>3</w:t>
            </w:r>
            <w:r>
              <w:rPr>
                <w:rFonts w:hint="eastAsia"/>
                <w:color w:val="auto"/>
                <w:u w:val="single"/>
                <w:vertAlign w:val="baseline"/>
                <w:lang w:val="en-US" w:eastAsia="zh-CN"/>
              </w:rPr>
              <w:t>×350kg/m³=7287kg。</w:t>
            </w:r>
          </w:p>
          <w:p w14:paraId="6C318E38">
            <w:pPr>
              <w:pStyle w:val="138"/>
              <w:spacing w:line="360" w:lineRule="auto"/>
              <w:ind w:firstLine="480"/>
              <w:rPr>
                <w:rFonts w:hint="eastAsia"/>
                <w:color w:val="auto"/>
                <w:u w:val="single"/>
                <w:vertAlign w:val="baseline"/>
                <w:lang w:val="en-US" w:eastAsia="zh-CN"/>
              </w:rPr>
            </w:pPr>
            <w:r>
              <w:rPr>
                <w:rFonts w:hint="eastAsia"/>
                <w:color w:val="auto"/>
                <w:u w:val="single"/>
                <w:vertAlign w:val="baseline"/>
                <w:lang w:val="en-US" w:eastAsia="zh-CN"/>
              </w:rPr>
              <w:t>项目活性炭更换周期公式：</w:t>
            </w:r>
          </w:p>
          <w:p w14:paraId="60997489">
            <w:pPr>
              <w:pStyle w:val="138"/>
              <w:spacing w:line="360" w:lineRule="auto"/>
              <w:ind w:left="0" w:leftChars="0" w:firstLine="0" w:firstLineChars="0"/>
              <w:jc w:val="center"/>
              <w:rPr>
                <w:rFonts w:hint="default"/>
                <w:color w:val="auto"/>
                <w:vertAlign w:val="baseline"/>
                <w:lang w:val="en-US" w:eastAsia="zh-CN"/>
              </w:rPr>
            </w:pPr>
            <w:r>
              <w:rPr>
                <w:color w:val="auto"/>
              </w:rPr>
              <w:drawing>
                <wp:inline distT="0" distB="0" distL="114300" distR="114300">
                  <wp:extent cx="2562225" cy="923925"/>
                  <wp:effectExtent l="0" t="0" r="952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0"/>
                          <a:stretch>
                            <a:fillRect/>
                          </a:stretch>
                        </pic:blipFill>
                        <pic:spPr>
                          <a:xfrm>
                            <a:off x="0" y="0"/>
                            <a:ext cx="2562225" cy="923925"/>
                          </a:xfrm>
                          <a:prstGeom prst="rect">
                            <a:avLst/>
                          </a:prstGeom>
                          <a:noFill/>
                          <a:ln>
                            <a:noFill/>
                          </a:ln>
                        </pic:spPr>
                      </pic:pic>
                    </a:graphicData>
                  </a:graphic>
                </wp:inline>
              </w:drawing>
            </w:r>
          </w:p>
          <w:p w14:paraId="7DBC82C1">
            <w:pPr>
              <w:pStyle w:val="138"/>
              <w:spacing w:line="360" w:lineRule="auto"/>
              <w:ind w:firstLine="480"/>
              <w:rPr>
                <w:rFonts w:hint="eastAsia" w:eastAsia="宋体"/>
                <w:color w:val="auto"/>
                <w:u w:val="single"/>
                <w:lang w:eastAsia="zh-CN"/>
              </w:rPr>
            </w:pPr>
            <w:r>
              <w:rPr>
                <w:rFonts w:hint="eastAsia"/>
                <w:color w:val="auto"/>
                <w:u w:val="single"/>
              </w:rPr>
              <w:t>式中</w:t>
            </w:r>
            <w:r>
              <w:rPr>
                <w:rFonts w:hint="eastAsia"/>
                <w:color w:val="auto"/>
                <w:u w:val="single"/>
                <w:lang w:eastAsia="zh-CN"/>
              </w:rPr>
              <w:t>：</w:t>
            </w:r>
          </w:p>
          <w:p w14:paraId="52CF36FD">
            <w:pPr>
              <w:pStyle w:val="138"/>
              <w:spacing w:line="360" w:lineRule="auto"/>
              <w:ind w:firstLine="480"/>
              <w:rPr>
                <w:rFonts w:hint="eastAsia" w:eastAsia="宋体"/>
                <w:color w:val="auto"/>
                <w:u w:val="single"/>
                <w:lang w:eastAsia="zh-CN"/>
              </w:rPr>
            </w:pPr>
            <w:r>
              <w:rPr>
                <w:rFonts w:hint="eastAsia"/>
                <w:color w:val="auto"/>
                <w:u w:val="single"/>
              </w:rPr>
              <w:t>T</w:t>
            </w:r>
            <w:r>
              <w:rPr>
                <w:rFonts w:hint="eastAsia"/>
                <w:color w:val="auto"/>
                <w:u w:val="single"/>
                <w:lang w:eastAsia="zh-CN"/>
              </w:rPr>
              <w:t>—</w:t>
            </w:r>
            <w:r>
              <w:rPr>
                <w:rFonts w:hint="eastAsia"/>
                <w:color w:val="auto"/>
                <w:u w:val="single"/>
              </w:rPr>
              <w:t>更换周期，d</w:t>
            </w:r>
            <w:r>
              <w:rPr>
                <w:rFonts w:hint="eastAsia"/>
                <w:color w:val="auto"/>
                <w:u w:val="single"/>
                <w:lang w:eastAsia="zh-CN"/>
              </w:rPr>
              <w:t>；</w:t>
            </w:r>
          </w:p>
          <w:p w14:paraId="13B5818A">
            <w:pPr>
              <w:pStyle w:val="138"/>
              <w:spacing w:line="360" w:lineRule="auto"/>
              <w:ind w:firstLine="480"/>
              <w:rPr>
                <w:rFonts w:hint="default" w:eastAsia="宋体"/>
                <w:color w:val="auto"/>
                <w:u w:val="single"/>
                <w:lang w:val="en-US" w:eastAsia="zh-CN"/>
              </w:rPr>
            </w:pPr>
            <w:r>
              <w:rPr>
                <w:rFonts w:hint="eastAsia"/>
                <w:color w:val="auto"/>
                <w:u w:val="single"/>
              </w:rPr>
              <w:t>M一活性炭的用量，kg</w:t>
            </w:r>
            <w:r>
              <w:rPr>
                <w:rFonts w:hint="eastAsia"/>
                <w:color w:val="auto"/>
                <w:u w:val="single"/>
                <w:lang w:eastAsia="zh-CN"/>
              </w:rPr>
              <w:t>；本项目为</w:t>
            </w:r>
            <w:r>
              <w:rPr>
                <w:rFonts w:hint="eastAsia"/>
                <w:color w:val="auto"/>
                <w:u w:val="single"/>
                <w:lang w:val="en-US" w:eastAsia="zh-CN"/>
              </w:rPr>
              <w:t>7287kg；</w:t>
            </w:r>
          </w:p>
          <w:p w14:paraId="3F21F7BA">
            <w:pPr>
              <w:pStyle w:val="138"/>
              <w:spacing w:line="360" w:lineRule="auto"/>
              <w:ind w:firstLine="480"/>
              <w:rPr>
                <w:rFonts w:hint="default" w:eastAsia="宋体"/>
                <w:color w:val="auto"/>
                <w:u w:val="single"/>
                <w:lang w:val="en-US" w:eastAsia="zh-CN"/>
              </w:rPr>
            </w:pPr>
            <w:r>
              <w:rPr>
                <w:rFonts w:hint="eastAsia"/>
                <w:color w:val="auto"/>
                <w:u w:val="single"/>
              </w:rPr>
              <w:t>S</w:t>
            </w:r>
            <w:r>
              <w:rPr>
                <w:rFonts w:hint="eastAsia"/>
                <w:color w:val="auto"/>
                <w:u w:val="single"/>
                <w:lang w:eastAsia="zh-CN"/>
              </w:rPr>
              <w:t>—</w:t>
            </w:r>
            <w:r>
              <w:rPr>
                <w:rFonts w:hint="eastAsia"/>
                <w:color w:val="auto"/>
                <w:u w:val="single"/>
              </w:rPr>
              <w:t>动态吸附量，%</w:t>
            </w:r>
            <w:r>
              <w:rPr>
                <w:rFonts w:hint="eastAsia"/>
                <w:color w:val="auto"/>
                <w:u w:val="single"/>
                <w:lang w:eastAsia="zh-CN"/>
              </w:rPr>
              <w:t>；一般取值</w:t>
            </w:r>
            <w:r>
              <w:rPr>
                <w:rFonts w:hint="eastAsia"/>
                <w:color w:val="auto"/>
                <w:u w:val="single"/>
                <w:lang w:val="en-US" w:eastAsia="zh-CN"/>
              </w:rPr>
              <w:t>15%；</w:t>
            </w:r>
          </w:p>
          <w:p w14:paraId="0B7477B6">
            <w:pPr>
              <w:pStyle w:val="138"/>
              <w:spacing w:line="360" w:lineRule="auto"/>
              <w:ind w:firstLine="480"/>
              <w:rPr>
                <w:rFonts w:hint="default"/>
                <w:color w:val="auto"/>
                <w:u w:val="single"/>
                <w:lang w:val="en-US" w:eastAsia="zh-CN"/>
              </w:rPr>
            </w:pPr>
            <w:r>
              <w:rPr>
                <w:rFonts w:hint="eastAsia"/>
                <w:color w:val="auto"/>
                <w:u w:val="single"/>
              </w:rPr>
              <w:t>C</w:t>
            </w:r>
            <w:r>
              <w:rPr>
                <w:rFonts w:hint="eastAsia"/>
                <w:color w:val="auto"/>
                <w:u w:val="single"/>
                <w:lang w:eastAsia="zh-CN"/>
              </w:rPr>
              <w:t>—</w:t>
            </w:r>
            <w:r>
              <w:rPr>
                <w:rFonts w:hint="eastAsia"/>
                <w:color w:val="auto"/>
                <w:u w:val="single"/>
              </w:rPr>
              <w:t>进出口的 VOCs 浓度差，mg/m</w:t>
            </w:r>
            <w:r>
              <w:rPr>
                <w:rFonts w:hint="eastAsia"/>
                <w:color w:val="auto"/>
                <w:u w:val="single"/>
                <w:vertAlign w:val="superscript"/>
                <w:lang w:val="en-US" w:eastAsia="zh-CN"/>
              </w:rPr>
              <w:t>3</w:t>
            </w:r>
            <w:r>
              <w:rPr>
                <w:rFonts w:hint="eastAsia"/>
                <w:color w:val="auto"/>
                <w:u w:val="single"/>
                <w:lang w:eastAsia="zh-CN"/>
              </w:rPr>
              <w:t>；本项目为</w:t>
            </w:r>
            <w:r>
              <w:rPr>
                <w:rFonts w:hint="eastAsia"/>
                <w:color w:val="auto"/>
                <w:u w:val="single"/>
                <w:lang w:val="en-US" w:eastAsia="zh-CN"/>
              </w:rPr>
              <w:t>45.36mg</w:t>
            </w:r>
            <w:r>
              <w:rPr>
                <w:rFonts w:hint="eastAsia"/>
                <w:color w:val="auto"/>
                <w:u w:val="single"/>
              </w:rPr>
              <w:t>/m</w:t>
            </w:r>
            <w:r>
              <w:rPr>
                <w:rFonts w:hint="eastAsia"/>
                <w:color w:val="auto"/>
                <w:u w:val="single"/>
                <w:vertAlign w:val="superscript"/>
                <w:lang w:val="en-US" w:eastAsia="zh-CN"/>
              </w:rPr>
              <w:t>3</w:t>
            </w:r>
            <w:r>
              <w:rPr>
                <w:rFonts w:hint="eastAsia"/>
                <w:color w:val="auto"/>
                <w:u w:val="single"/>
                <w:lang w:eastAsia="zh-CN"/>
              </w:rPr>
              <w:t>；</w:t>
            </w:r>
          </w:p>
          <w:p w14:paraId="652B88A7">
            <w:pPr>
              <w:pStyle w:val="138"/>
              <w:spacing w:line="360" w:lineRule="auto"/>
              <w:ind w:firstLine="480"/>
              <w:rPr>
                <w:rFonts w:hint="default"/>
                <w:color w:val="auto"/>
                <w:u w:val="single"/>
                <w:lang w:val="en-US" w:eastAsia="zh-CN"/>
              </w:rPr>
            </w:pPr>
            <w:r>
              <w:rPr>
                <w:rFonts w:hint="eastAsia"/>
                <w:color w:val="auto"/>
                <w:u w:val="single"/>
                <w:lang w:val="en-US" w:eastAsia="zh-CN"/>
              </w:rPr>
              <w:t>Q</w:t>
            </w:r>
            <w:r>
              <w:rPr>
                <w:rFonts w:hint="eastAsia"/>
                <w:color w:val="auto"/>
                <w:u w:val="single"/>
                <w:lang w:eastAsia="zh-CN"/>
              </w:rPr>
              <w:t>—</w:t>
            </w:r>
            <w:r>
              <w:rPr>
                <w:rFonts w:hint="eastAsia"/>
                <w:color w:val="auto"/>
                <w:u w:val="single"/>
              </w:rPr>
              <w:t>风量，m/h</w:t>
            </w:r>
            <w:r>
              <w:rPr>
                <w:rFonts w:hint="eastAsia"/>
                <w:color w:val="auto"/>
                <w:u w:val="single"/>
                <w:vertAlign w:val="superscript"/>
                <w:lang w:val="en-US" w:eastAsia="zh-CN"/>
              </w:rPr>
              <w:t>3</w:t>
            </w:r>
            <w:r>
              <w:rPr>
                <w:rFonts w:hint="eastAsia"/>
                <w:color w:val="auto"/>
                <w:u w:val="single"/>
                <w:lang w:eastAsia="zh-CN"/>
              </w:rPr>
              <w:t>；本项目为</w:t>
            </w:r>
            <w:r>
              <w:rPr>
                <w:rFonts w:hint="eastAsia"/>
                <w:color w:val="auto"/>
                <w:u w:val="single"/>
                <w:lang w:val="en-US" w:eastAsia="zh-CN"/>
              </w:rPr>
              <w:t>15000</w:t>
            </w:r>
            <w:r>
              <w:rPr>
                <w:rFonts w:hint="eastAsia"/>
                <w:color w:val="auto"/>
                <w:u w:val="single"/>
              </w:rPr>
              <w:t>m/h</w:t>
            </w:r>
            <w:r>
              <w:rPr>
                <w:rFonts w:hint="eastAsia"/>
                <w:color w:val="auto"/>
                <w:u w:val="single"/>
                <w:vertAlign w:val="superscript"/>
                <w:lang w:val="en-US" w:eastAsia="zh-CN"/>
              </w:rPr>
              <w:t>3</w:t>
            </w:r>
            <w:r>
              <w:rPr>
                <w:rFonts w:hint="eastAsia"/>
                <w:color w:val="auto"/>
                <w:u w:val="single"/>
                <w:lang w:eastAsia="zh-CN"/>
              </w:rPr>
              <w:t>；</w:t>
            </w:r>
          </w:p>
          <w:p w14:paraId="0E62674F">
            <w:pPr>
              <w:pStyle w:val="138"/>
              <w:spacing w:line="360" w:lineRule="auto"/>
              <w:ind w:firstLine="480"/>
              <w:rPr>
                <w:rFonts w:hint="default" w:eastAsia="宋体"/>
                <w:color w:val="auto"/>
                <w:u w:val="single"/>
                <w:lang w:val="en-US" w:eastAsia="zh-CN"/>
              </w:rPr>
            </w:pPr>
            <w:r>
              <w:rPr>
                <w:rFonts w:hint="eastAsia"/>
                <w:color w:val="auto"/>
                <w:u w:val="single"/>
                <w:lang w:val="en-US" w:eastAsia="zh-CN"/>
              </w:rPr>
              <w:t>t</w:t>
            </w:r>
            <w:r>
              <w:rPr>
                <w:rFonts w:hint="eastAsia"/>
                <w:color w:val="auto"/>
                <w:u w:val="single"/>
                <w:lang w:eastAsia="zh-CN"/>
              </w:rPr>
              <w:t>—</w:t>
            </w:r>
            <w:r>
              <w:rPr>
                <w:rFonts w:hint="eastAsia"/>
                <w:color w:val="auto"/>
                <w:u w:val="single"/>
              </w:rPr>
              <w:t>运行时间，</w:t>
            </w:r>
            <w:r>
              <w:rPr>
                <w:rFonts w:hint="eastAsia"/>
                <w:color w:val="auto"/>
                <w:u w:val="single"/>
                <w:lang w:val="en-US" w:eastAsia="zh-CN"/>
              </w:rPr>
              <w:t>h/</w:t>
            </w:r>
            <w:r>
              <w:rPr>
                <w:rFonts w:hint="eastAsia"/>
                <w:color w:val="auto"/>
                <w:u w:val="single"/>
              </w:rPr>
              <w:t>d。</w:t>
            </w:r>
            <w:r>
              <w:rPr>
                <w:rFonts w:hint="eastAsia"/>
                <w:color w:val="auto"/>
                <w:u w:val="single"/>
                <w:lang w:eastAsia="zh-CN"/>
              </w:rPr>
              <w:t>本项目为</w:t>
            </w:r>
            <w:r>
              <w:rPr>
                <w:rFonts w:hint="eastAsia"/>
                <w:color w:val="auto"/>
                <w:u w:val="single"/>
                <w:lang w:val="en-US" w:eastAsia="zh-CN"/>
              </w:rPr>
              <w:t>24h/d。</w:t>
            </w:r>
          </w:p>
          <w:p w14:paraId="78637564">
            <w:pPr>
              <w:pStyle w:val="138"/>
              <w:spacing w:line="360" w:lineRule="auto"/>
              <w:ind w:firstLine="480"/>
              <w:rPr>
                <w:rFonts w:hint="eastAsia"/>
                <w:color w:val="auto"/>
                <w:u w:val="single"/>
                <w:lang w:val="en-US" w:eastAsia="zh-CN"/>
              </w:rPr>
            </w:pPr>
            <w:r>
              <w:rPr>
                <w:rFonts w:hint="eastAsia"/>
                <w:color w:val="auto"/>
                <w:u w:val="single"/>
                <w:lang w:eastAsia="zh-CN"/>
              </w:rPr>
              <w:t>由此可计算出，项目活性炭更换周期</w:t>
            </w:r>
            <w:r>
              <w:rPr>
                <w:rFonts w:hint="eastAsia"/>
                <w:color w:val="auto"/>
                <w:u w:val="single"/>
                <w:lang w:val="en-US" w:eastAsia="zh-CN"/>
              </w:rPr>
              <w:t>T=7287*0.15*10</w:t>
            </w:r>
            <w:r>
              <w:rPr>
                <w:rFonts w:hint="eastAsia"/>
                <w:color w:val="auto"/>
                <w:u w:val="single"/>
                <w:vertAlign w:val="superscript"/>
                <w:lang w:val="en-US" w:eastAsia="zh-CN"/>
              </w:rPr>
              <w:t>6</w:t>
            </w:r>
            <w:r>
              <w:rPr>
                <w:rFonts w:hint="eastAsia"/>
                <w:color w:val="auto"/>
                <w:u w:val="single"/>
                <w:lang w:val="en-US" w:eastAsia="zh-CN"/>
              </w:rPr>
              <w:t>/（45.36*15000*24）=66.1d，则本项目66天更换一次活性炭。</w:t>
            </w:r>
          </w:p>
          <w:p w14:paraId="2A87B2EF">
            <w:pPr>
              <w:pStyle w:val="138"/>
              <w:spacing w:line="360" w:lineRule="auto"/>
              <w:ind w:firstLine="480"/>
              <w:rPr>
                <w:color w:val="auto"/>
              </w:rPr>
            </w:pPr>
            <w:r>
              <w:rPr>
                <w:rFonts w:hint="eastAsia"/>
                <w:color w:val="auto"/>
                <w:u w:val="single"/>
                <w:lang w:val="en-US" w:eastAsia="zh-CN"/>
              </w:rPr>
              <w:t>项目产生的废活性炭为7287kg*（300/66）次=32.8t/a。根据</w:t>
            </w:r>
            <w:r>
              <w:rPr>
                <w:rFonts w:hint="eastAsia"/>
                <w:color w:val="auto"/>
                <w:u w:val="single"/>
              </w:rPr>
              <w:t>《国家危险废物名录》（2021版），</w:t>
            </w:r>
            <w:r>
              <w:rPr>
                <w:rFonts w:hint="eastAsia"/>
                <w:color w:val="auto"/>
                <w:u w:val="single"/>
                <w:lang w:val="en-US" w:eastAsia="zh-CN"/>
              </w:rPr>
              <w:t>更换后的废活性炭</w:t>
            </w:r>
            <w:r>
              <w:rPr>
                <w:rFonts w:hint="eastAsia"/>
                <w:color w:val="auto"/>
                <w:u w:val="single"/>
              </w:rPr>
              <w:t>属于危险废物，危险废物类别为“HW49”，废物代码为900-039-49，放置在密闭</w:t>
            </w:r>
            <w:r>
              <w:rPr>
                <w:rFonts w:hint="eastAsia"/>
                <w:color w:val="auto"/>
                <w:u w:val="single"/>
                <w:lang w:eastAsia="zh-CN"/>
              </w:rPr>
              <w:t>塑料</w:t>
            </w:r>
            <w:r>
              <w:rPr>
                <w:rFonts w:hint="eastAsia"/>
                <w:color w:val="auto"/>
                <w:u w:val="single"/>
              </w:rPr>
              <w:t>容器中</w:t>
            </w:r>
            <w:r>
              <w:rPr>
                <w:rFonts w:hint="eastAsia"/>
                <w:color w:val="auto"/>
              </w:rPr>
              <w:t>，暂存在</w:t>
            </w:r>
            <w:r>
              <w:rPr>
                <w:rFonts w:hint="eastAsia"/>
                <w:color w:val="auto"/>
                <w:lang w:eastAsia="zh-CN"/>
              </w:rPr>
              <w:t>危废暂存间</w:t>
            </w:r>
            <w:r>
              <w:rPr>
                <w:rFonts w:hint="eastAsia"/>
                <w:color w:val="auto"/>
              </w:rPr>
              <w:t>，由具有危废处置资质的单位进行回收处置。</w:t>
            </w:r>
          </w:p>
          <w:p w14:paraId="6ECDEEAB">
            <w:pPr>
              <w:pStyle w:val="138"/>
              <w:spacing w:line="360" w:lineRule="auto"/>
              <w:ind w:firstLine="480"/>
              <w:rPr>
                <w:color w:val="auto"/>
              </w:rPr>
            </w:pPr>
            <w:bookmarkStart w:id="90" w:name="OLE_LINK71"/>
            <w:r>
              <w:rPr>
                <w:rFonts w:hint="eastAsia"/>
                <w:color w:val="auto"/>
              </w:rPr>
              <w:t>②</w:t>
            </w:r>
            <w:bookmarkEnd w:id="90"/>
            <w:r>
              <w:rPr>
                <w:rFonts w:hint="eastAsia"/>
                <w:color w:val="auto"/>
              </w:rPr>
              <w:t>废机油、废油桶、含油抹布</w:t>
            </w:r>
          </w:p>
          <w:p w14:paraId="2157E3F8">
            <w:pPr>
              <w:pStyle w:val="138"/>
              <w:spacing w:line="360" w:lineRule="auto"/>
              <w:ind w:firstLine="480"/>
              <w:rPr>
                <w:color w:val="auto"/>
              </w:rPr>
            </w:pPr>
            <w:r>
              <w:rPr>
                <w:rFonts w:hint="eastAsia"/>
                <w:color w:val="auto"/>
              </w:rPr>
              <w:t>A、废机油</w:t>
            </w:r>
          </w:p>
          <w:p w14:paraId="79B58D93">
            <w:pPr>
              <w:pStyle w:val="138"/>
              <w:spacing w:line="360" w:lineRule="auto"/>
              <w:ind w:firstLine="480"/>
              <w:rPr>
                <w:color w:val="auto"/>
              </w:rPr>
            </w:pPr>
            <w:r>
              <w:rPr>
                <w:rFonts w:hint="eastAsia"/>
                <w:color w:val="auto"/>
              </w:rPr>
              <w:t>项目机械大件维修期间产生废机油产生量约为0.1t/a，根据《国家危险废物名录》（2021年版），废机油属于危险废物中的“HW08 900-214-08 ”。废机油</w:t>
            </w:r>
            <w:r>
              <w:rPr>
                <w:rFonts w:hint="eastAsia"/>
                <w:color w:val="auto"/>
                <w:u w:val="single"/>
              </w:rPr>
              <w:t>放置在密闭</w:t>
            </w:r>
            <w:r>
              <w:rPr>
                <w:rFonts w:hint="eastAsia"/>
                <w:color w:val="auto"/>
                <w:u w:val="single"/>
                <w:lang w:eastAsia="zh-CN"/>
              </w:rPr>
              <w:t>塑料</w:t>
            </w:r>
            <w:r>
              <w:rPr>
                <w:rFonts w:hint="eastAsia"/>
                <w:color w:val="auto"/>
                <w:u w:val="single"/>
              </w:rPr>
              <w:t>容器中</w:t>
            </w:r>
            <w:r>
              <w:rPr>
                <w:rFonts w:hint="eastAsia"/>
                <w:color w:val="auto"/>
              </w:rPr>
              <w:t>，暂存于</w:t>
            </w:r>
            <w:r>
              <w:rPr>
                <w:rFonts w:hint="eastAsia"/>
                <w:color w:val="auto"/>
                <w:lang w:eastAsia="zh-CN"/>
              </w:rPr>
              <w:t>危废暂存间</w:t>
            </w:r>
            <w:r>
              <w:rPr>
                <w:rFonts w:hint="eastAsia"/>
                <w:color w:val="auto"/>
              </w:rPr>
              <w:t>，定期交由有资质的单位处置。</w:t>
            </w:r>
          </w:p>
          <w:p w14:paraId="44649F4F">
            <w:pPr>
              <w:pStyle w:val="138"/>
              <w:spacing w:line="360" w:lineRule="auto"/>
              <w:ind w:firstLine="480"/>
              <w:rPr>
                <w:color w:val="auto"/>
              </w:rPr>
            </w:pPr>
            <w:r>
              <w:rPr>
                <w:rFonts w:hint="eastAsia"/>
                <w:color w:val="auto"/>
              </w:rPr>
              <w:t>B、废弃的含油抹布、劳保用品</w:t>
            </w:r>
          </w:p>
          <w:p w14:paraId="2F0EF53D">
            <w:pPr>
              <w:pStyle w:val="138"/>
              <w:spacing w:line="360" w:lineRule="auto"/>
              <w:ind w:firstLine="480"/>
              <w:rPr>
                <w:color w:val="auto"/>
              </w:rPr>
            </w:pPr>
            <w:r>
              <w:rPr>
                <w:rFonts w:hint="eastAsia"/>
                <w:color w:val="auto"/>
              </w:rPr>
              <w:t>项目机械设备小件维修用抹布或棉纱、</w:t>
            </w:r>
            <w:r>
              <w:rPr>
                <w:rFonts w:hint="eastAsia"/>
                <w:color w:val="auto"/>
                <w:lang w:eastAsia="zh-CN"/>
              </w:rPr>
              <w:t>佩戴</w:t>
            </w:r>
            <w:r>
              <w:rPr>
                <w:rFonts w:hint="eastAsia"/>
                <w:color w:val="auto"/>
              </w:rPr>
              <w:t>手套进行擦洗和维修，故产生少量含油抹布、棉纱及手套等劳保用品约0.01t/a，危险类别及代码为“HW49 900-041-49”，</w:t>
            </w:r>
            <w:bookmarkStart w:id="91" w:name="OLE_LINK70"/>
            <w:r>
              <w:rPr>
                <w:rFonts w:hint="eastAsia"/>
                <w:color w:val="auto"/>
                <w:u w:val="single"/>
              </w:rPr>
              <w:t>放置在密闭</w:t>
            </w:r>
            <w:r>
              <w:rPr>
                <w:rFonts w:hint="eastAsia"/>
                <w:color w:val="auto"/>
                <w:u w:val="single"/>
                <w:lang w:eastAsia="zh-CN"/>
              </w:rPr>
              <w:t>塑料</w:t>
            </w:r>
            <w:r>
              <w:rPr>
                <w:rFonts w:hint="eastAsia"/>
                <w:color w:val="auto"/>
                <w:u w:val="single"/>
              </w:rPr>
              <w:t>容器中，</w:t>
            </w:r>
            <w:r>
              <w:rPr>
                <w:rFonts w:hint="eastAsia"/>
                <w:color w:val="auto"/>
              </w:rPr>
              <w:t>统一收集至</w:t>
            </w:r>
            <w:r>
              <w:rPr>
                <w:rFonts w:hint="eastAsia"/>
                <w:color w:val="auto"/>
                <w:lang w:eastAsia="zh-CN"/>
              </w:rPr>
              <w:t>危废暂存间</w:t>
            </w:r>
            <w:r>
              <w:rPr>
                <w:rFonts w:hint="eastAsia"/>
                <w:color w:val="auto"/>
              </w:rPr>
              <w:t>，定期交由有资质单位处置。</w:t>
            </w:r>
            <w:bookmarkEnd w:id="91"/>
          </w:p>
          <w:p w14:paraId="40E7CEAE">
            <w:pPr>
              <w:pStyle w:val="138"/>
              <w:spacing w:line="360" w:lineRule="auto"/>
              <w:ind w:firstLine="480"/>
              <w:rPr>
                <w:color w:val="auto"/>
              </w:rPr>
            </w:pPr>
            <w:r>
              <w:rPr>
                <w:rFonts w:hint="eastAsia"/>
                <w:color w:val="auto"/>
              </w:rPr>
              <w:t>C、废机油桶</w:t>
            </w:r>
          </w:p>
          <w:p w14:paraId="44F0687E">
            <w:pPr>
              <w:pStyle w:val="138"/>
              <w:spacing w:line="360" w:lineRule="auto"/>
              <w:ind w:firstLine="480"/>
              <w:rPr>
                <w:color w:val="auto"/>
              </w:rPr>
            </w:pPr>
            <w:r>
              <w:rPr>
                <w:rFonts w:hint="eastAsia"/>
                <w:color w:val="auto"/>
              </w:rPr>
              <w:t>项目废油桶产生量约为0.1t/a，属于危险废物，危险废物类别为“HW08”，废物代码为900-249-08，</w:t>
            </w:r>
            <w:r>
              <w:rPr>
                <w:rFonts w:hint="eastAsia"/>
                <w:color w:val="auto"/>
                <w:u w:val="single"/>
                <w:lang w:eastAsia="zh-CN"/>
              </w:rPr>
              <w:t>放置于</w:t>
            </w:r>
            <w:r>
              <w:rPr>
                <w:rFonts w:hint="eastAsia"/>
                <w:color w:val="auto"/>
                <w:u w:val="single"/>
              </w:rPr>
              <w:t>在密闭</w:t>
            </w:r>
            <w:r>
              <w:rPr>
                <w:rFonts w:hint="eastAsia"/>
                <w:color w:val="auto"/>
                <w:u w:val="single"/>
                <w:lang w:eastAsia="zh-CN"/>
              </w:rPr>
              <w:t>塑料</w:t>
            </w:r>
            <w:r>
              <w:rPr>
                <w:rFonts w:hint="eastAsia"/>
                <w:color w:val="auto"/>
                <w:u w:val="single"/>
              </w:rPr>
              <w:t>容器中</w:t>
            </w:r>
            <w:r>
              <w:rPr>
                <w:rFonts w:hint="eastAsia"/>
                <w:color w:val="auto"/>
                <w:lang w:eastAsia="zh-CN"/>
              </w:rPr>
              <w:t>，</w:t>
            </w:r>
            <w:r>
              <w:rPr>
                <w:rFonts w:hint="eastAsia"/>
                <w:color w:val="auto"/>
              </w:rPr>
              <w:t>统一收集至</w:t>
            </w:r>
            <w:r>
              <w:rPr>
                <w:rFonts w:hint="eastAsia"/>
                <w:color w:val="auto"/>
                <w:lang w:eastAsia="zh-CN"/>
              </w:rPr>
              <w:t>危废暂存间</w:t>
            </w:r>
            <w:r>
              <w:rPr>
                <w:rFonts w:hint="eastAsia"/>
                <w:color w:val="auto"/>
              </w:rPr>
              <w:t>，定期交由有资质单位处置。</w:t>
            </w:r>
          </w:p>
          <w:p w14:paraId="172459CC">
            <w:pPr>
              <w:spacing w:line="240" w:lineRule="auto"/>
              <w:ind w:firstLine="482"/>
              <w:jc w:val="center"/>
              <w:textAlignment w:val="baseline"/>
              <w:rPr>
                <w:b/>
                <w:color w:val="auto"/>
              </w:rPr>
            </w:pPr>
            <w:r>
              <w:rPr>
                <w:b/>
                <w:color w:val="auto"/>
              </w:rPr>
              <w:t>表</w:t>
            </w:r>
            <w:r>
              <w:rPr>
                <w:rFonts w:hint="eastAsia"/>
                <w:b/>
                <w:color w:val="auto"/>
              </w:rPr>
              <w:t>4-14</w:t>
            </w:r>
            <w:r>
              <w:rPr>
                <w:b/>
                <w:color w:val="auto"/>
              </w:rPr>
              <w:t xml:space="preserve">  项目危险废物基本情况汇总表</w:t>
            </w:r>
          </w:p>
          <w:tbl>
            <w:tblPr>
              <w:tblStyle w:val="25"/>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68"/>
              <w:gridCol w:w="1229"/>
              <w:gridCol w:w="567"/>
              <w:gridCol w:w="994"/>
              <w:gridCol w:w="643"/>
              <w:gridCol w:w="885"/>
              <w:gridCol w:w="425"/>
              <w:gridCol w:w="440"/>
              <w:gridCol w:w="462"/>
              <w:gridCol w:w="503"/>
              <w:gridCol w:w="498"/>
              <w:gridCol w:w="498"/>
              <w:gridCol w:w="943"/>
            </w:tblGrid>
            <w:tr w14:paraId="5913A3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34" w:hRule="atLeast"/>
                <w:jc w:val="center"/>
              </w:trPr>
              <w:tc>
                <w:tcPr>
                  <w:tcW w:w="218" w:type="pct"/>
                  <w:tcMar>
                    <w:top w:w="0" w:type="dxa"/>
                    <w:left w:w="0" w:type="dxa"/>
                    <w:bottom w:w="0" w:type="dxa"/>
                    <w:right w:w="0" w:type="dxa"/>
                  </w:tcMar>
                  <w:vAlign w:val="center"/>
                </w:tcPr>
                <w:p w14:paraId="43846DD2">
                  <w:pPr>
                    <w:topLinePunct/>
                    <w:adjustRightInd w:val="0"/>
                    <w:snapToGrid w:val="0"/>
                    <w:spacing w:line="240" w:lineRule="auto"/>
                    <w:jc w:val="center"/>
                    <w:rPr>
                      <w:color w:val="auto"/>
                      <w:kern w:val="0"/>
                      <w:sz w:val="21"/>
                      <w:szCs w:val="21"/>
                    </w:rPr>
                  </w:pPr>
                  <w:r>
                    <w:rPr>
                      <w:rFonts w:hAnsi="宋体"/>
                      <w:color w:val="auto"/>
                      <w:kern w:val="0"/>
                      <w:sz w:val="21"/>
                      <w:szCs w:val="21"/>
                    </w:rPr>
                    <w:t>序号</w:t>
                  </w:r>
                </w:p>
              </w:tc>
              <w:tc>
                <w:tcPr>
                  <w:tcW w:w="726" w:type="pct"/>
                  <w:tcMar>
                    <w:top w:w="0" w:type="dxa"/>
                    <w:left w:w="0" w:type="dxa"/>
                    <w:bottom w:w="0" w:type="dxa"/>
                    <w:right w:w="0" w:type="dxa"/>
                  </w:tcMar>
                  <w:vAlign w:val="center"/>
                </w:tcPr>
                <w:p w14:paraId="57E37F9B">
                  <w:pPr>
                    <w:topLinePunct/>
                    <w:adjustRightInd w:val="0"/>
                    <w:snapToGrid w:val="0"/>
                    <w:spacing w:line="240" w:lineRule="auto"/>
                    <w:jc w:val="center"/>
                    <w:rPr>
                      <w:color w:val="auto"/>
                      <w:kern w:val="0"/>
                      <w:sz w:val="21"/>
                      <w:szCs w:val="21"/>
                    </w:rPr>
                  </w:pPr>
                  <w:r>
                    <w:rPr>
                      <w:rFonts w:hAnsi="宋体"/>
                      <w:color w:val="auto"/>
                      <w:kern w:val="0"/>
                      <w:sz w:val="21"/>
                      <w:szCs w:val="21"/>
                    </w:rPr>
                    <w:t>危险废物名称</w:t>
                  </w:r>
                </w:p>
              </w:tc>
              <w:tc>
                <w:tcPr>
                  <w:tcW w:w="335" w:type="pct"/>
                  <w:tcMar>
                    <w:top w:w="0" w:type="dxa"/>
                    <w:left w:w="0" w:type="dxa"/>
                    <w:bottom w:w="0" w:type="dxa"/>
                    <w:right w:w="0" w:type="dxa"/>
                  </w:tcMar>
                  <w:vAlign w:val="center"/>
                </w:tcPr>
                <w:p w14:paraId="22C29932">
                  <w:pPr>
                    <w:topLinePunct/>
                    <w:adjustRightInd w:val="0"/>
                    <w:snapToGrid w:val="0"/>
                    <w:spacing w:line="240" w:lineRule="auto"/>
                    <w:jc w:val="center"/>
                    <w:rPr>
                      <w:color w:val="auto"/>
                      <w:kern w:val="0"/>
                      <w:sz w:val="21"/>
                      <w:szCs w:val="21"/>
                    </w:rPr>
                  </w:pPr>
                  <w:r>
                    <w:rPr>
                      <w:rFonts w:hAnsi="宋体"/>
                      <w:color w:val="auto"/>
                      <w:kern w:val="0"/>
                      <w:sz w:val="21"/>
                      <w:szCs w:val="21"/>
                    </w:rPr>
                    <w:t>危险废物类别</w:t>
                  </w:r>
                </w:p>
              </w:tc>
              <w:tc>
                <w:tcPr>
                  <w:tcW w:w="587" w:type="pct"/>
                  <w:tcMar>
                    <w:top w:w="0" w:type="dxa"/>
                    <w:left w:w="0" w:type="dxa"/>
                    <w:bottom w:w="0" w:type="dxa"/>
                    <w:right w:w="0" w:type="dxa"/>
                  </w:tcMar>
                  <w:vAlign w:val="center"/>
                </w:tcPr>
                <w:p w14:paraId="44F89767">
                  <w:pPr>
                    <w:topLinePunct/>
                    <w:adjustRightInd w:val="0"/>
                    <w:snapToGrid w:val="0"/>
                    <w:spacing w:line="240" w:lineRule="auto"/>
                    <w:jc w:val="center"/>
                    <w:rPr>
                      <w:color w:val="auto"/>
                      <w:kern w:val="0"/>
                      <w:sz w:val="21"/>
                      <w:szCs w:val="21"/>
                    </w:rPr>
                  </w:pPr>
                  <w:r>
                    <w:rPr>
                      <w:rFonts w:hAnsi="宋体"/>
                      <w:color w:val="auto"/>
                      <w:kern w:val="0"/>
                      <w:sz w:val="21"/>
                      <w:szCs w:val="21"/>
                    </w:rPr>
                    <w:t>危险废物</w:t>
                  </w:r>
                </w:p>
                <w:p w14:paraId="3D5CC2FC">
                  <w:pPr>
                    <w:topLinePunct/>
                    <w:adjustRightInd w:val="0"/>
                    <w:snapToGrid w:val="0"/>
                    <w:spacing w:line="240" w:lineRule="auto"/>
                    <w:jc w:val="center"/>
                    <w:rPr>
                      <w:color w:val="auto"/>
                      <w:kern w:val="0"/>
                      <w:sz w:val="21"/>
                      <w:szCs w:val="21"/>
                    </w:rPr>
                  </w:pPr>
                  <w:r>
                    <w:rPr>
                      <w:rFonts w:hAnsi="宋体"/>
                      <w:color w:val="auto"/>
                      <w:kern w:val="0"/>
                      <w:sz w:val="21"/>
                      <w:szCs w:val="21"/>
                    </w:rPr>
                    <w:t>代码</w:t>
                  </w:r>
                </w:p>
              </w:tc>
              <w:tc>
                <w:tcPr>
                  <w:tcW w:w="380" w:type="pct"/>
                  <w:tcMar>
                    <w:top w:w="0" w:type="dxa"/>
                    <w:left w:w="0" w:type="dxa"/>
                    <w:bottom w:w="0" w:type="dxa"/>
                    <w:right w:w="0" w:type="dxa"/>
                  </w:tcMar>
                  <w:vAlign w:val="center"/>
                </w:tcPr>
                <w:p w14:paraId="52366F0E">
                  <w:pPr>
                    <w:topLinePunct/>
                    <w:adjustRightInd w:val="0"/>
                    <w:snapToGrid w:val="0"/>
                    <w:spacing w:line="240" w:lineRule="auto"/>
                    <w:jc w:val="center"/>
                    <w:rPr>
                      <w:color w:val="auto"/>
                      <w:kern w:val="0"/>
                      <w:sz w:val="21"/>
                      <w:szCs w:val="21"/>
                    </w:rPr>
                  </w:pPr>
                  <w:r>
                    <w:rPr>
                      <w:rFonts w:hAnsi="宋体"/>
                      <w:color w:val="auto"/>
                      <w:kern w:val="0"/>
                      <w:sz w:val="21"/>
                      <w:szCs w:val="21"/>
                    </w:rPr>
                    <w:t>产生量（</w:t>
                  </w:r>
                  <w:r>
                    <w:rPr>
                      <w:color w:val="auto"/>
                      <w:kern w:val="0"/>
                      <w:sz w:val="21"/>
                      <w:szCs w:val="21"/>
                    </w:rPr>
                    <w:t>t/</w:t>
                  </w:r>
                  <w:r>
                    <w:rPr>
                      <w:rFonts w:hAnsi="宋体"/>
                      <w:color w:val="auto"/>
                      <w:kern w:val="0"/>
                      <w:sz w:val="21"/>
                      <w:szCs w:val="21"/>
                    </w:rPr>
                    <w:t>年）</w:t>
                  </w:r>
                </w:p>
              </w:tc>
              <w:tc>
                <w:tcPr>
                  <w:tcW w:w="523" w:type="pct"/>
                  <w:tcMar>
                    <w:top w:w="0" w:type="dxa"/>
                    <w:left w:w="0" w:type="dxa"/>
                    <w:bottom w:w="0" w:type="dxa"/>
                    <w:right w:w="0" w:type="dxa"/>
                  </w:tcMar>
                  <w:vAlign w:val="center"/>
                </w:tcPr>
                <w:p w14:paraId="6781276A">
                  <w:pPr>
                    <w:topLinePunct/>
                    <w:adjustRightInd w:val="0"/>
                    <w:snapToGrid w:val="0"/>
                    <w:spacing w:line="240" w:lineRule="auto"/>
                    <w:jc w:val="center"/>
                    <w:rPr>
                      <w:color w:val="auto"/>
                      <w:kern w:val="0"/>
                      <w:sz w:val="21"/>
                      <w:szCs w:val="21"/>
                    </w:rPr>
                  </w:pPr>
                  <w:r>
                    <w:rPr>
                      <w:rFonts w:hAnsi="宋体"/>
                      <w:color w:val="auto"/>
                      <w:kern w:val="0"/>
                      <w:sz w:val="21"/>
                      <w:szCs w:val="21"/>
                    </w:rPr>
                    <w:t>产生工序及装置</w:t>
                  </w:r>
                </w:p>
              </w:tc>
              <w:tc>
                <w:tcPr>
                  <w:tcW w:w="251" w:type="pct"/>
                  <w:tcMar>
                    <w:top w:w="0" w:type="dxa"/>
                    <w:left w:w="0" w:type="dxa"/>
                    <w:bottom w:w="0" w:type="dxa"/>
                    <w:right w:w="0" w:type="dxa"/>
                  </w:tcMar>
                  <w:vAlign w:val="center"/>
                </w:tcPr>
                <w:p w14:paraId="12FBE8FE">
                  <w:pPr>
                    <w:topLinePunct/>
                    <w:adjustRightInd w:val="0"/>
                    <w:snapToGrid w:val="0"/>
                    <w:spacing w:line="240" w:lineRule="auto"/>
                    <w:jc w:val="center"/>
                    <w:rPr>
                      <w:color w:val="auto"/>
                      <w:kern w:val="0"/>
                      <w:sz w:val="21"/>
                      <w:szCs w:val="21"/>
                    </w:rPr>
                  </w:pPr>
                  <w:r>
                    <w:rPr>
                      <w:rFonts w:hAnsi="宋体"/>
                      <w:color w:val="auto"/>
                      <w:kern w:val="0"/>
                      <w:sz w:val="21"/>
                      <w:szCs w:val="21"/>
                    </w:rPr>
                    <w:t>形态</w:t>
                  </w:r>
                </w:p>
              </w:tc>
              <w:tc>
                <w:tcPr>
                  <w:tcW w:w="260" w:type="pct"/>
                  <w:tcMar>
                    <w:top w:w="0" w:type="dxa"/>
                    <w:left w:w="0" w:type="dxa"/>
                    <w:bottom w:w="0" w:type="dxa"/>
                    <w:right w:w="0" w:type="dxa"/>
                  </w:tcMar>
                  <w:vAlign w:val="center"/>
                </w:tcPr>
                <w:p w14:paraId="18BA5CC4">
                  <w:pPr>
                    <w:topLinePunct/>
                    <w:adjustRightInd w:val="0"/>
                    <w:snapToGrid w:val="0"/>
                    <w:spacing w:line="240" w:lineRule="auto"/>
                    <w:jc w:val="center"/>
                    <w:rPr>
                      <w:color w:val="auto"/>
                      <w:kern w:val="0"/>
                      <w:sz w:val="21"/>
                      <w:szCs w:val="21"/>
                    </w:rPr>
                  </w:pPr>
                  <w:r>
                    <w:rPr>
                      <w:rFonts w:hAnsi="宋体"/>
                      <w:color w:val="auto"/>
                      <w:kern w:val="0"/>
                      <w:sz w:val="21"/>
                      <w:szCs w:val="21"/>
                    </w:rPr>
                    <w:t>主要成分</w:t>
                  </w:r>
                </w:p>
              </w:tc>
              <w:tc>
                <w:tcPr>
                  <w:tcW w:w="273" w:type="pct"/>
                  <w:tcMar>
                    <w:top w:w="0" w:type="dxa"/>
                    <w:left w:w="0" w:type="dxa"/>
                    <w:bottom w:w="0" w:type="dxa"/>
                    <w:right w:w="0" w:type="dxa"/>
                  </w:tcMar>
                  <w:vAlign w:val="center"/>
                </w:tcPr>
                <w:p w14:paraId="0EC5372A">
                  <w:pPr>
                    <w:topLinePunct/>
                    <w:adjustRightInd w:val="0"/>
                    <w:snapToGrid w:val="0"/>
                    <w:spacing w:line="240" w:lineRule="auto"/>
                    <w:jc w:val="center"/>
                    <w:rPr>
                      <w:color w:val="auto"/>
                      <w:kern w:val="0"/>
                      <w:sz w:val="21"/>
                      <w:szCs w:val="21"/>
                    </w:rPr>
                  </w:pPr>
                  <w:r>
                    <w:rPr>
                      <w:rFonts w:hAnsi="宋体"/>
                      <w:color w:val="auto"/>
                      <w:kern w:val="0"/>
                      <w:sz w:val="21"/>
                      <w:szCs w:val="21"/>
                    </w:rPr>
                    <w:t>有害成分</w:t>
                  </w:r>
                </w:p>
              </w:tc>
              <w:tc>
                <w:tcPr>
                  <w:tcW w:w="297" w:type="pct"/>
                  <w:tcMar>
                    <w:top w:w="0" w:type="dxa"/>
                    <w:left w:w="0" w:type="dxa"/>
                    <w:bottom w:w="0" w:type="dxa"/>
                    <w:right w:w="0" w:type="dxa"/>
                  </w:tcMar>
                  <w:vAlign w:val="center"/>
                </w:tcPr>
                <w:p w14:paraId="147A3457">
                  <w:pPr>
                    <w:topLinePunct/>
                    <w:adjustRightInd w:val="0"/>
                    <w:snapToGrid w:val="0"/>
                    <w:spacing w:line="240" w:lineRule="auto"/>
                    <w:jc w:val="center"/>
                    <w:rPr>
                      <w:color w:val="auto"/>
                      <w:kern w:val="0"/>
                      <w:sz w:val="21"/>
                      <w:szCs w:val="21"/>
                    </w:rPr>
                  </w:pPr>
                  <w:r>
                    <w:rPr>
                      <w:rFonts w:hAnsi="宋体"/>
                      <w:color w:val="auto"/>
                      <w:kern w:val="0"/>
                      <w:sz w:val="21"/>
                      <w:szCs w:val="21"/>
                    </w:rPr>
                    <w:t>产废周期</w:t>
                  </w:r>
                </w:p>
              </w:tc>
              <w:tc>
                <w:tcPr>
                  <w:tcW w:w="294" w:type="pct"/>
                  <w:tcMar>
                    <w:top w:w="0" w:type="dxa"/>
                    <w:left w:w="0" w:type="dxa"/>
                    <w:bottom w:w="0" w:type="dxa"/>
                    <w:right w:w="0" w:type="dxa"/>
                  </w:tcMar>
                  <w:vAlign w:val="center"/>
                </w:tcPr>
                <w:p w14:paraId="05E66241">
                  <w:pPr>
                    <w:topLinePunct/>
                    <w:adjustRightInd w:val="0"/>
                    <w:snapToGrid w:val="0"/>
                    <w:spacing w:line="240" w:lineRule="auto"/>
                    <w:jc w:val="center"/>
                    <w:rPr>
                      <w:rFonts w:hint="eastAsia" w:hAnsi="宋体" w:eastAsia="宋体"/>
                      <w:color w:val="auto"/>
                      <w:kern w:val="0"/>
                      <w:sz w:val="21"/>
                      <w:szCs w:val="21"/>
                      <w:u w:val="single"/>
                      <w:lang w:eastAsia="zh-CN"/>
                    </w:rPr>
                  </w:pPr>
                  <w:r>
                    <w:rPr>
                      <w:rFonts w:hint="eastAsia" w:hAnsi="宋体"/>
                      <w:color w:val="auto"/>
                      <w:kern w:val="0"/>
                      <w:sz w:val="21"/>
                      <w:szCs w:val="21"/>
                      <w:u w:val="single"/>
                      <w:lang w:eastAsia="zh-CN"/>
                    </w:rPr>
                    <w:t>存放时间</w:t>
                  </w:r>
                </w:p>
              </w:tc>
              <w:tc>
                <w:tcPr>
                  <w:tcW w:w="294" w:type="pct"/>
                  <w:tcMar>
                    <w:top w:w="0" w:type="dxa"/>
                    <w:left w:w="0" w:type="dxa"/>
                    <w:bottom w:w="0" w:type="dxa"/>
                    <w:right w:w="0" w:type="dxa"/>
                  </w:tcMar>
                  <w:vAlign w:val="center"/>
                </w:tcPr>
                <w:p w14:paraId="2F8A3C46">
                  <w:pPr>
                    <w:topLinePunct/>
                    <w:spacing w:line="240" w:lineRule="auto"/>
                    <w:jc w:val="center"/>
                    <w:rPr>
                      <w:color w:val="auto"/>
                      <w:kern w:val="0"/>
                      <w:sz w:val="21"/>
                      <w:szCs w:val="21"/>
                    </w:rPr>
                  </w:pPr>
                  <w:r>
                    <w:rPr>
                      <w:rFonts w:hAnsi="宋体"/>
                      <w:color w:val="auto"/>
                      <w:kern w:val="0"/>
                      <w:sz w:val="21"/>
                      <w:szCs w:val="21"/>
                    </w:rPr>
                    <w:t>危险</w:t>
                  </w:r>
                </w:p>
                <w:p w14:paraId="707830F4">
                  <w:pPr>
                    <w:topLinePunct/>
                    <w:adjustRightInd w:val="0"/>
                    <w:snapToGrid w:val="0"/>
                    <w:spacing w:line="240" w:lineRule="auto"/>
                    <w:jc w:val="center"/>
                    <w:rPr>
                      <w:color w:val="auto"/>
                      <w:kern w:val="0"/>
                      <w:sz w:val="21"/>
                      <w:szCs w:val="21"/>
                    </w:rPr>
                  </w:pPr>
                  <w:r>
                    <w:rPr>
                      <w:rFonts w:hAnsi="宋体"/>
                      <w:color w:val="auto"/>
                      <w:kern w:val="0"/>
                      <w:sz w:val="21"/>
                      <w:szCs w:val="21"/>
                    </w:rPr>
                    <w:t>特性</w:t>
                  </w:r>
                </w:p>
              </w:tc>
              <w:tc>
                <w:tcPr>
                  <w:tcW w:w="557" w:type="pct"/>
                  <w:tcMar>
                    <w:top w:w="0" w:type="dxa"/>
                    <w:left w:w="0" w:type="dxa"/>
                    <w:bottom w:w="0" w:type="dxa"/>
                    <w:right w:w="0" w:type="dxa"/>
                  </w:tcMar>
                  <w:vAlign w:val="center"/>
                </w:tcPr>
                <w:p w14:paraId="78EAF615">
                  <w:pPr>
                    <w:topLinePunct/>
                    <w:adjustRightInd w:val="0"/>
                    <w:snapToGrid w:val="0"/>
                    <w:spacing w:line="240" w:lineRule="auto"/>
                    <w:jc w:val="center"/>
                    <w:rPr>
                      <w:color w:val="auto"/>
                      <w:kern w:val="0"/>
                      <w:sz w:val="21"/>
                      <w:szCs w:val="21"/>
                    </w:rPr>
                  </w:pPr>
                  <w:r>
                    <w:rPr>
                      <w:rFonts w:hAnsi="宋体"/>
                      <w:color w:val="auto"/>
                      <w:kern w:val="0"/>
                      <w:sz w:val="21"/>
                      <w:szCs w:val="21"/>
                    </w:rPr>
                    <w:t>污染防</w:t>
                  </w:r>
                </w:p>
                <w:p w14:paraId="6E44703A">
                  <w:pPr>
                    <w:topLinePunct/>
                    <w:adjustRightInd w:val="0"/>
                    <w:snapToGrid w:val="0"/>
                    <w:spacing w:line="240" w:lineRule="auto"/>
                    <w:jc w:val="center"/>
                    <w:rPr>
                      <w:color w:val="auto"/>
                      <w:kern w:val="0"/>
                      <w:sz w:val="21"/>
                      <w:szCs w:val="21"/>
                    </w:rPr>
                  </w:pPr>
                  <w:r>
                    <w:rPr>
                      <w:rFonts w:hAnsi="宋体"/>
                      <w:color w:val="auto"/>
                      <w:kern w:val="0"/>
                      <w:sz w:val="21"/>
                      <w:szCs w:val="21"/>
                    </w:rPr>
                    <w:t>治措施</w:t>
                  </w:r>
                </w:p>
              </w:tc>
            </w:tr>
            <w:tr w14:paraId="09EE9C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Mar>
                    <w:top w:w="0" w:type="dxa"/>
                    <w:left w:w="0" w:type="dxa"/>
                    <w:bottom w:w="0" w:type="dxa"/>
                    <w:right w:w="0" w:type="dxa"/>
                  </w:tcMar>
                  <w:vAlign w:val="center"/>
                </w:tcPr>
                <w:p w14:paraId="61D0EF9A">
                  <w:pPr>
                    <w:topLinePunct/>
                    <w:adjustRightInd w:val="0"/>
                    <w:snapToGrid w:val="0"/>
                    <w:spacing w:line="240" w:lineRule="auto"/>
                    <w:jc w:val="center"/>
                    <w:rPr>
                      <w:color w:val="auto"/>
                      <w:kern w:val="0"/>
                      <w:sz w:val="21"/>
                      <w:szCs w:val="21"/>
                    </w:rPr>
                  </w:pPr>
                  <w:r>
                    <w:rPr>
                      <w:rFonts w:hint="eastAsia"/>
                      <w:color w:val="auto"/>
                      <w:kern w:val="0"/>
                      <w:sz w:val="21"/>
                      <w:szCs w:val="21"/>
                    </w:rPr>
                    <w:t>1</w:t>
                  </w:r>
                </w:p>
              </w:tc>
              <w:tc>
                <w:tcPr>
                  <w:tcW w:w="726" w:type="pct"/>
                  <w:tcMar>
                    <w:top w:w="0" w:type="dxa"/>
                    <w:left w:w="0" w:type="dxa"/>
                    <w:bottom w:w="0" w:type="dxa"/>
                    <w:right w:w="0" w:type="dxa"/>
                  </w:tcMar>
                  <w:vAlign w:val="center"/>
                </w:tcPr>
                <w:p w14:paraId="09A549A3">
                  <w:pPr>
                    <w:topLinePunct/>
                    <w:spacing w:line="240" w:lineRule="auto"/>
                    <w:jc w:val="center"/>
                    <w:rPr>
                      <w:rFonts w:hint="eastAsia" w:hAnsi="宋体"/>
                      <w:color w:val="auto"/>
                      <w:kern w:val="0"/>
                      <w:sz w:val="21"/>
                      <w:szCs w:val="21"/>
                    </w:rPr>
                  </w:pPr>
                  <w:r>
                    <w:rPr>
                      <w:rFonts w:hint="eastAsia" w:hAnsi="宋体"/>
                      <w:color w:val="auto"/>
                      <w:kern w:val="0"/>
                      <w:sz w:val="21"/>
                      <w:szCs w:val="21"/>
                    </w:rPr>
                    <w:t>废机油</w:t>
                  </w:r>
                </w:p>
              </w:tc>
              <w:tc>
                <w:tcPr>
                  <w:tcW w:w="335" w:type="pct"/>
                  <w:tcMar>
                    <w:top w:w="0" w:type="dxa"/>
                    <w:left w:w="0" w:type="dxa"/>
                    <w:bottom w:w="0" w:type="dxa"/>
                    <w:right w:w="0" w:type="dxa"/>
                  </w:tcMar>
                  <w:vAlign w:val="center"/>
                </w:tcPr>
                <w:p w14:paraId="5C09F812">
                  <w:pPr>
                    <w:topLinePunct/>
                    <w:adjustRightInd w:val="0"/>
                    <w:snapToGrid w:val="0"/>
                    <w:spacing w:line="240" w:lineRule="auto"/>
                    <w:jc w:val="center"/>
                    <w:rPr>
                      <w:color w:val="auto"/>
                      <w:sz w:val="21"/>
                      <w:szCs w:val="21"/>
                    </w:rPr>
                  </w:pPr>
                  <w:r>
                    <w:rPr>
                      <w:rFonts w:hint="eastAsia"/>
                      <w:color w:val="auto"/>
                      <w:sz w:val="21"/>
                      <w:szCs w:val="21"/>
                    </w:rPr>
                    <w:t>HW08</w:t>
                  </w:r>
                </w:p>
              </w:tc>
              <w:tc>
                <w:tcPr>
                  <w:tcW w:w="587" w:type="pct"/>
                  <w:tcMar>
                    <w:top w:w="0" w:type="dxa"/>
                    <w:left w:w="0" w:type="dxa"/>
                    <w:bottom w:w="0" w:type="dxa"/>
                    <w:right w:w="0" w:type="dxa"/>
                  </w:tcMar>
                  <w:vAlign w:val="center"/>
                </w:tcPr>
                <w:p w14:paraId="185D033A">
                  <w:pPr>
                    <w:topLinePunct/>
                    <w:adjustRightInd w:val="0"/>
                    <w:snapToGrid w:val="0"/>
                    <w:spacing w:line="240" w:lineRule="auto"/>
                    <w:jc w:val="center"/>
                    <w:rPr>
                      <w:bCs/>
                      <w:color w:val="auto"/>
                      <w:sz w:val="21"/>
                      <w:szCs w:val="21"/>
                    </w:rPr>
                  </w:pPr>
                  <w:r>
                    <w:rPr>
                      <w:rFonts w:hint="eastAsia"/>
                      <w:bCs/>
                      <w:color w:val="auto"/>
                      <w:sz w:val="21"/>
                      <w:szCs w:val="21"/>
                    </w:rPr>
                    <w:t>900-214-08</w:t>
                  </w:r>
                </w:p>
              </w:tc>
              <w:tc>
                <w:tcPr>
                  <w:tcW w:w="380" w:type="pct"/>
                  <w:tcMar>
                    <w:top w:w="0" w:type="dxa"/>
                    <w:left w:w="0" w:type="dxa"/>
                    <w:bottom w:w="0" w:type="dxa"/>
                    <w:right w:w="0" w:type="dxa"/>
                  </w:tcMar>
                  <w:vAlign w:val="center"/>
                </w:tcPr>
                <w:p w14:paraId="359382C1">
                  <w:pPr>
                    <w:topLinePunct/>
                    <w:adjustRightInd w:val="0"/>
                    <w:snapToGrid w:val="0"/>
                    <w:spacing w:line="240" w:lineRule="auto"/>
                    <w:jc w:val="center"/>
                    <w:rPr>
                      <w:color w:val="auto"/>
                      <w:kern w:val="0"/>
                      <w:sz w:val="21"/>
                      <w:szCs w:val="21"/>
                    </w:rPr>
                  </w:pPr>
                  <w:r>
                    <w:rPr>
                      <w:rFonts w:hint="eastAsia"/>
                      <w:color w:val="auto"/>
                      <w:kern w:val="0"/>
                      <w:sz w:val="21"/>
                      <w:szCs w:val="21"/>
                    </w:rPr>
                    <w:t>0.1</w:t>
                  </w:r>
                </w:p>
              </w:tc>
              <w:tc>
                <w:tcPr>
                  <w:tcW w:w="523" w:type="pct"/>
                  <w:vMerge w:val="restart"/>
                  <w:tcMar>
                    <w:top w:w="0" w:type="dxa"/>
                    <w:left w:w="0" w:type="dxa"/>
                    <w:bottom w:w="0" w:type="dxa"/>
                    <w:right w:w="0" w:type="dxa"/>
                  </w:tcMar>
                  <w:vAlign w:val="center"/>
                </w:tcPr>
                <w:p w14:paraId="7ACAD1C3">
                  <w:pPr>
                    <w:topLinePunct/>
                    <w:adjustRightInd w:val="0"/>
                    <w:snapToGrid w:val="0"/>
                    <w:spacing w:line="240" w:lineRule="auto"/>
                    <w:jc w:val="center"/>
                    <w:rPr>
                      <w:rFonts w:hint="eastAsia" w:hAnsi="宋体"/>
                      <w:color w:val="auto"/>
                      <w:kern w:val="0"/>
                      <w:sz w:val="21"/>
                      <w:szCs w:val="21"/>
                    </w:rPr>
                  </w:pPr>
                  <w:r>
                    <w:rPr>
                      <w:rFonts w:hint="eastAsia" w:hAnsi="宋体"/>
                      <w:color w:val="auto"/>
                      <w:kern w:val="0"/>
                      <w:sz w:val="21"/>
                      <w:szCs w:val="21"/>
                    </w:rPr>
                    <w:t>生产车间</w:t>
                  </w:r>
                </w:p>
              </w:tc>
              <w:tc>
                <w:tcPr>
                  <w:tcW w:w="251" w:type="pct"/>
                  <w:tcMar>
                    <w:top w:w="0" w:type="dxa"/>
                    <w:left w:w="0" w:type="dxa"/>
                    <w:bottom w:w="0" w:type="dxa"/>
                    <w:right w:w="0" w:type="dxa"/>
                  </w:tcMar>
                  <w:vAlign w:val="center"/>
                </w:tcPr>
                <w:p w14:paraId="483126A6">
                  <w:pPr>
                    <w:topLinePunct/>
                    <w:adjustRightInd w:val="0"/>
                    <w:snapToGrid w:val="0"/>
                    <w:spacing w:line="240" w:lineRule="auto"/>
                    <w:jc w:val="center"/>
                    <w:rPr>
                      <w:rFonts w:hint="eastAsia" w:hAnsi="宋体"/>
                      <w:color w:val="auto"/>
                      <w:kern w:val="0"/>
                      <w:sz w:val="21"/>
                      <w:szCs w:val="21"/>
                    </w:rPr>
                  </w:pPr>
                  <w:r>
                    <w:rPr>
                      <w:rFonts w:hint="eastAsia" w:hAnsi="宋体"/>
                      <w:color w:val="auto"/>
                      <w:kern w:val="0"/>
                      <w:sz w:val="21"/>
                      <w:szCs w:val="21"/>
                    </w:rPr>
                    <w:t>液态</w:t>
                  </w:r>
                </w:p>
              </w:tc>
              <w:tc>
                <w:tcPr>
                  <w:tcW w:w="260" w:type="pct"/>
                  <w:tcMar>
                    <w:top w:w="0" w:type="dxa"/>
                    <w:left w:w="0" w:type="dxa"/>
                    <w:bottom w:w="0" w:type="dxa"/>
                    <w:right w:w="0" w:type="dxa"/>
                  </w:tcMar>
                  <w:vAlign w:val="center"/>
                </w:tcPr>
                <w:p w14:paraId="70222548">
                  <w:pPr>
                    <w:topLinePunct/>
                    <w:adjustRightInd w:val="0"/>
                    <w:snapToGrid w:val="0"/>
                    <w:spacing w:line="240" w:lineRule="auto"/>
                    <w:jc w:val="center"/>
                    <w:rPr>
                      <w:rFonts w:hint="eastAsia" w:hAnsi="宋体"/>
                      <w:color w:val="auto"/>
                      <w:kern w:val="0"/>
                      <w:sz w:val="21"/>
                      <w:szCs w:val="21"/>
                    </w:rPr>
                  </w:pPr>
                  <w:r>
                    <w:rPr>
                      <w:rFonts w:hint="eastAsia" w:hAnsi="宋体"/>
                      <w:color w:val="auto"/>
                      <w:kern w:val="0"/>
                      <w:sz w:val="21"/>
                      <w:szCs w:val="21"/>
                    </w:rPr>
                    <w:t>机油</w:t>
                  </w:r>
                </w:p>
              </w:tc>
              <w:tc>
                <w:tcPr>
                  <w:tcW w:w="273" w:type="pct"/>
                  <w:vMerge w:val="restart"/>
                  <w:tcMar>
                    <w:top w:w="0" w:type="dxa"/>
                    <w:left w:w="0" w:type="dxa"/>
                    <w:bottom w:w="0" w:type="dxa"/>
                    <w:right w:w="0" w:type="dxa"/>
                  </w:tcMar>
                  <w:vAlign w:val="center"/>
                </w:tcPr>
                <w:p w14:paraId="19EADF65">
                  <w:pPr>
                    <w:adjustRightInd w:val="0"/>
                    <w:snapToGrid w:val="0"/>
                    <w:spacing w:line="240" w:lineRule="auto"/>
                    <w:jc w:val="center"/>
                    <w:rPr>
                      <w:rFonts w:hint="eastAsia" w:hAnsi="宋体"/>
                      <w:color w:val="auto"/>
                      <w:sz w:val="21"/>
                      <w:szCs w:val="21"/>
                    </w:rPr>
                  </w:pPr>
                  <w:r>
                    <w:rPr>
                      <w:rFonts w:hAnsi="宋体"/>
                      <w:color w:val="auto"/>
                      <w:sz w:val="21"/>
                      <w:szCs w:val="21"/>
                    </w:rPr>
                    <w:t>烷烃、多环芳烃等</w:t>
                  </w:r>
                </w:p>
              </w:tc>
              <w:tc>
                <w:tcPr>
                  <w:tcW w:w="297" w:type="pct"/>
                  <w:tcMar>
                    <w:top w:w="0" w:type="dxa"/>
                    <w:left w:w="0" w:type="dxa"/>
                    <w:bottom w:w="0" w:type="dxa"/>
                    <w:right w:w="0" w:type="dxa"/>
                  </w:tcMar>
                  <w:vAlign w:val="center"/>
                </w:tcPr>
                <w:p w14:paraId="022E0F27">
                  <w:pPr>
                    <w:topLinePunct/>
                    <w:adjustRightInd w:val="0"/>
                    <w:snapToGri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半年</w:t>
                  </w:r>
                </w:p>
              </w:tc>
              <w:tc>
                <w:tcPr>
                  <w:tcW w:w="294" w:type="pct"/>
                  <w:tcMar>
                    <w:top w:w="0" w:type="dxa"/>
                    <w:left w:w="0" w:type="dxa"/>
                    <w:bottom w:w="0" w:type="dxa"/>
                    <w:right w:w="0" w:type="dxa"/>
                  </w:tcMar>
                  <w:vAlign w:val="center"/>
                </w:tcPr>
                <w:p w14:paraId="1FDB00F2">
                  <w:pPr>
                    <w:topLinePunct/>
                    <w:adjustRightInd w:val="0"/>
                    <w:snapToGrid w:val="0"/>
                    <w:spacing w:line="240" w:lineRule="auto"/>
                    <w:jc w:val="center"/>
                    <w:rPr>
                      <w:rFonts w:hint="default"/>
                      <w:color w:val="auto"/>
                      <w:kern w:val="0"/>
                      <w:sz w:val="21"/>
                      <w:szCs w:val="21"/>
                      <w:u w:val="single"/>
                      <w:lang w:val="en-US" w:eastAsia="zh-CN"/>
                    </w:rPr>
                  </w:pPr>
                  <w:r>
                    <w:rPr>
                      <w:rFonts w:hint="eastAsia"/>
                      <w:color w:val="auto"/>
                      <w:kern w:val="0"/>
                      <w:sz w:val="21"/>
                      <w:szCs w:val="21"/>
                      <w:u w:val="single"/>
                      <w:lang w:val="en-US" w:eastAsia="zh-CN"/>
                    </w:rPr>
                    <w:t>30天</w:t>
                  </w:r>
                </w:p>
              </w:tc>
              <w:tc>
                <w:tcPr>
                  <w:tcW w:w="294" w:type="pct"/>
                  <w:tcMar>
                    <w:top w:w="0" w:type="dxa"/>
                    <w:left w:w="0" w:type="dxa"/>
                    <w:bottom w:w="0" w:type="dxa"/>
                    <w:right w:w="0" w:type="dxa"/>
                  </w:tcMar>
                  <w:vAlign w:val="center"/>
                </w:tcPr>
                <w:p w14:paraId="027436D2">
                  <w:pPr>
                    <w:topLinePunct/>
                    <w:adjustRightInd w:val="0"/>
                    <w:snapToGrid w:val="0"/>
                    <w:spacing w:line="240" w:lineRule="auto"/>
                    <w:jc w:val="center"/>
                    <w:rPr>
                      <w:color w:val="auto"/>
                      <w:sz w:val="21"/>
                      <w:szCs w:val="21"/>
                    </w:rPr>
                  </w:pPr>
                  <w:r>
                    <w:rPr>
                      <w:color w:val="auto"/>
                      <w:sz w:val="21"/>
                      <w:szCs w:val="21"/>
                    </w:rPr>
                    <w:t>T</w:t>
                  </w:r>
                  <w:r>
                    <w:rPr>
                      <w:rFonts w:hint="eastAsia"/>
                      <w:color w:val="auto"/>
                      <w:sz w:val="21"/>
                      <w:szCs w:val="21"/>
                    </w:rPr>
                    <w:t>/In</w:t>
                  </w:r>
                </w:p>
              </w:tc>
              <w:tc>
                <w:tcPr>
                  <w:tcW w:w="557" w:type="pct"/>
                  <w:vMerge w:val="restart"/>
                  <w:vAlign w:val="center"/>
                </w:tcPr>
                <w:p w14:paraId="7FA53A04">
                  <w:pPr>
                    <w:widowControl/>
                    <w:spacing w:line="240" w:lineRule="auto"/>
                    <w:jc w:val="center"/>
                    <w:rPr>
                      <w:rFonts w:hint="eastAsia" w:hAnsi="宋体"/>
                      <w:color w:val="auto"/>
                      <w:sz w:val="21"/>
                      <w:szCs w:val="21"/>
                    </w:rPr>
                  </w:pPr>
                  <w:r>
                    <w:rPr>
                      <w:rFonts w:hint="eastAsia" w:hAnsi="宋体"/>
                      <w:color w:val="auto"/>
                      <w:sz w:val="21"/>
                      <w:szCs w:val="21"/>
                    </w:rPr>
                    <w:t>由有资质的单位进行处理</w:t>
                  </w:r>
                </w:p>
              </w:tc>
            </w:tr>
            <w:tr w14:paraId="4FF884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Mar>
                    <w:top w:w="0" w:type="dxa"/>
                    <w:left w:w="0" w:type="dxa"/>
                    <w:bottom w:w="0" w:type="dxa"/>
                    <w:right w:w="0" w:type="dxa"/>
                  </w:tcMar>
                  <w:vAlign w:val="center"/>
                </w:tcPr>
                <w:p w14:paraId="53023020">
                  <w:pPr>
                    <w:topLinePunct/>
                    <w:adjustRightInd w:val="0"/>
                    <w:snapToGrid w:val="0"/>
                    <w:spacing w:line="240" w:lineRule="auto"/>
                    <w:jc w:val="center"/>
                    <w:rPr>
                      <w:color w:val="auto"/>
                      <w:kern w:val="0"/>
                      <w:sz w:val="21"/>
                      <w:szCs w:val="21"/>
                    </w:rPr>
                  </w:pPr>
                  <w:r>
                    <w:rPr>
                      <w:rFonts w:hint="eastAsia"/>
                      <w:color w:val="auto"/>
                      <w:kern w:val="0"/>
                      <w:sz w:val="21"/>
                      <w:szCs w:val="21"/>
                    </w:rPr>
                    <w:t>2</w:t>
                  </w:r>
                </w:p>
              </w:tc>
              <w:tc>
                <w:tcPr>
                  <w:tcW w:w="726" w:type="pct"/>
                  <w:tcMar>
                    <w:top w:w="0" w:type="dxa"/>
                    <w:left w:w="0" w:type="dxa"/>
                    <w:bottom w:w="0" w:type="dxa"/>
                    <w:right w:w="0" w:type="dxa"/>
                  </w:tcMar>
                  <w:vAlign w:val="center"/>
                </w:tcPr>
                <w:p w14:paraId="06CE9650">
                  <w:pPr>
                    <w:topLinePunct/>
                    <w:spacing w:line="240" w:lineRule="auto"/>
                    <w:jc w:val="center"/>
                    <w:rPr>
                      <w:rFonts w:hint="eastAsia" w:hAnsi="宋体"/>
                      <w:color w:val="auto"/>
                      <w:kern w:val="0"/>
                      <w:sz w:val="21"/>
                      <w:szCs w:val="21"/>
                    </w:rPr>
                  </w:pPr>
                  <w:r>
                    <w:rPr>
                      <w:rFonts w:hint="eastAsia" w:hAnsi="宋体"/>
                      <w:color w:val="auto"/>
                      <w:kern w:val="0"/>
                      <w:sz w:val="21"/>
                      <w:szCs w:val="21"/>
                    </w:rPr>
                    <w:t>废弃的含油抹布、劳保用品</w:t>
                  </w:r>
                </w:p>
              </w:tc>
              <w:tc>
                <w:tcPr>
                  <w:tcW w:w="335" w:type="pct"/>
                  <w:tcMar>
                    <w:top w:w="0" w:type="dxa"/>
                    <w:left w:w="0" w:type="dxa"/>
                    <w:bottom w:w="0" w:type="dxa"/>
                    <w:right w:w="0" w:type="dxa"/>
                  </w:tcMar>
                  <w:vAlign w:val="center"/>
                </w:tcPr>
                <w:p w14:paraId="774A58E7">
                  <w:pPr>
                    <w:topLinePunct/>
                    <w:adjustRightInd w:val="0"/>
                    <w:snapToGrid w:val="0"/>
                    <w:spacing w:line="240" w:lineRule="auto"/>
                    <w:jc w:val="center"/>
                    <w:rPr>
                      <w:color w:val="auto"/>
                      <w:sz w:val="21"/>
                      <w:szCs w:val="21"/>
                    </w:rPr>
                  </w:pPr>
                  <w:r>
                    <w:rPr>
                      <w:rFonts w:hint="eastAsia"/>
                      <w:color w:val="auto"/>
                      <w:sz w:val="21"/>
                      <w:szCs w:val="21"/>
                    </w:rPr>
                    <w:t>HW49</w:t>
                  </w:r>
                </w:p>
              </w:tc>
              <w:tc>
                <w:tcPr>
                  <w:tcW w:w="587" w:type="pct"/>
                  <w:tcMar>
                    <w:top w:w="0" w:type="dxa"/>
                    <w:left w:w="0" w:type="dxa"/>
                    <w:bottom w:w="0" w:type="dxa"/>
                    <w:right w:w="0" w:type="dxa"/>
                  </w:tcMar>
                  <w:vAlign w:val="center"/>
                </w:tcPr>
                <w:p w14:paraId="5EB8147E">
                  <w:pPr>
                    <w:topLinePunct/>
                    <w:adjustRightInd w:val="0"/>
                    <w:snapToGrid w:val="0"/>
                    <w:spacing w:line="240" w:lineRule="auto"/>
                    <w:jc w:val="center"/>
                    <w:rPr>
                      <w:bCs/>
                      <w:color w:val="auto"/>
                      <w:sz w:val="21"/>
                      <w:szCs w:val="21"/>
                    </w:rPr>
                  </w:pPr>
                  <w:r>
                    <w:rPr>
                      <w:color w:val="auto"/>
                      <w:sz w:val="21"/>
                      <w:szCs w:val="21"/>
                    </w:rPr>
                    <w:t>900-041-49</w:t>
                  </w:r>
                </w:p>
              </w:tc>
              <w:tc>
                <w:tcPr>
                  <w:tcW w:w="380" w:type="pct"/>
                  <w:tcMar>
                    <w:top w:w="0" w:type="dxa"/>
                    <w:left w:w="0" w:type="dxa"/>
                    <w:bottom w:w="0" w:type="dxa"/>
                    <w:right w:w="0" w:type="dxa"/>
                  </w:tcMar>
                  <w:vAlign w:val="center"/>
                </w:tcPr>
                <w:p w14:paraId="411B47BC">
                  <w:pPr>
                    <w:topLinePunct/>
                    <w:adjustRightInd w:val="0"/>
                    <w:snapToGrid w:val="0"/>
                    <w:spacing w:line="240" w:lineRule="auto"/>
                    <w:jc w:val="center"/>
                    <w:rPr>
                      <w:color w:val="auto"/>
                      <w:kern w:val="0"/>
                      <w:sz w:val="21"/>
                      <w:szCs w:val="21"/>
                    </w:rPr>
                  </w:pPr>
                  <w:r>
                    <w:rPr>
                      <w:color w:val="auto"/>
                      <w:kern w:val="0"/>
                      <w:sz w:val="21"/>
                      <w:szCs w:val="21"/>
                    </w:rPr>
                    <w:t>0.</w:t>
                  </w:r>
                  <w:r>
                    <w:rPr>
                      <w:rFonts w:hint="eastAsia"/>
                      <w:color w:val="auto"/>
                      <w:kern w:val="0"/>
                      <w:sz w:val="21"/>
                      <w:szCs w:val="21"/>
                    </w:rPr>
                    <w:t>0</w:t>
                  </w:r>
                  <w:r>
                    <w:rPr>
                      <w:color w:val="auto"/>
                      <w:kern w:val="0"/>
                      <w:sz w:val="21"/>
                      <w:szCs w:val="21"/>
                    </w:rPr>
                    <w:t>1</w:t>
                  </w:r>
                </w:p>
              </w:tc>
              <w:tc>
                <w:tcPr>
                  <w:tcW w:w="523" w:type="pct"/>
                  <w:vMerge w:val="continue"/>
                  <w:tcMar>
                    <w:top w:w="0" w:type="dxa"/>
                    <w:left w:w="0" w:type="dxa"/>
                    <w:bottom w:w="0" w:type="dxa"/>
                    <w:right w:w="0" w:type="dxa"/>
                  </w:tcMar>
                  <w:vAlign w:val="center"/>
                </w:tcPr>
                <w:p w14:paraId="0336FF7A">
                  <w:pPr>
                    <w:topLinePunct/>
                    <w:adjustRightInd w:val="0"/>
                    <w:snapToGrid w:val="0"/>
                    <w:spacing w:line="240" w:lineRule="auto"/>
                    <w:jc w:val="center"/>
                    <w:rPr>
                      <w:rFonts w:hint="eastAsia" w:hAnsi="宋体"/>
                      <w:color w:val="auto"/>
                      <w:kern w:val="0"/>
                      <w:sz w:val="21"/>
                      <w:szCs w:val="21"/>
                    </w:rPr>
                  </w:pPr>
                </w:p>
              </w:tc>
              <w:tc>
                <w:tcPr>
                  <w:tcW w:w="251" w:type="pct"/>
                  <w:tcMar>
                    <w:top w:w="0" w:type="dxa"/>
                    <w:left w:w="0" w:type="dxa"/>
                    <w:bottom w:w="0" w:type="dxa"/>
                    <w:right w:w="0" w:type="dxa"/>
                  </w:tcMar>
                  <w:vAlign w:val="center"/>
                </w:tcPr>
                <w:p w14:paraId="0CB8A034">
                  <w:pPr>
                    <w:topLinePunct/>
                    <w:adjustRightInd w:val="0"/>
                    <w:snapToGrid w:val="0"/>
                    <w:spacing w:line="240" w:lineRule="auto"/>
                    <w:jc w:val="center"/>
                    <w:rPr>
                      <w:rFonts w:hint="eastAsia" w:hAnsi="宋体"/>
                      <w:color w:val="auto"/>
                      <w:kern w:val="0"/>
                      <w:sz w:val="21"/>
                      <w:szCs w:val="21"/>
                    </w:rPr>
                  </w:pPr>
                  <w:r>
                    <w:rPr>
                      <w:rFonts w:hAnsi="宋体"/>
                      <w:color w:val="auto"/>
                      <w:kern w:val="0"/>
                      <w:sz w:val="21"/>
                      <w:szCs w:val="21"/>
                    </w:rPr>
                    <w:t>固态</w:t>
                  </w:r>
                </w:p>
              </w:tc>
              <w:tc>
                <w:tcPr>
                  <w:tcW w:w="260" w:type="pct"/>
                  <w:tcMar>
                    <w:top w:w="0" w:type="dxa"/>
                    <w:left w:w="0" w:type="dxa"/>
                    <w:bottom w:w="0" w:type="dxa"/>
                    <w:right w:w="0" w:type="dxa"/>
                  </w:tcMar>
                  <w:vAlign w:val="center"/>
                </w:tcPr>
                <w:p w14:paraId="7EDADAC0">
                  <w:pPr>
                    <w:topLinePunct/>
                    <w:adjustRightInd w:val="0"/>
                    <w:snapToGrid w:val="0"/>
                    <w:spacing w:line="240" w:lineRule="auto"/>
                    <w:jc w:val="center"/>
                    <w:rPr>
                      <w:rFonts w:hint="eastAsia" w:hAnsi="宋体"/>
                      <w:color w:val="auto"/>
                      <w:kern w:val="0"/>
                      <w:sz w:val="21"/>
                      <w:szCs w:val="21"/>
                    </w:rPr>
                  </w:pPr>
                  <w:r>
                    <w:rPr>
                      <w:rFonts w:hAnsi="宋体"/>
                      <w:color w:val="auto"/>
                      <w:kern w:val="0"/>
                      <w:sz w:val="21"/>
                      <w:szCs w:val="21"/>
                    </w:rPr>
                    <w:t>沾染机油</w:t>
                  </w:r>
                </w:p>
              </w:tc>
              <w:tc>
                <w:tcPr>
                  <w:tcW w:w="273" w:type="pct"/>
                  <w:vMerge w:val="continue"/>
                  <w:tcMar>
                    <w:top w:w="0" w:type="dxa"/>
                    <w:left w:w="0" w:type="dxa"/>
                    <w:bottom w:w="0" w:type="dxa"/>
                    <w:right w:w="0" w:type="dxa"/>
                  </w:tcMar>
                  <w:vAlign w:val="center"/>
                </w:tcPr>
                <w:p w14:paraId="7A0D1D6B">
                  <w:pPr>
                    <w:adjustRightInd w:val="0"/>
                    <w:snapToGrid w:val="0"/>
                    <w:spacing w:line="240" w:lineRule="auto"/>
                    <w:jc w:val="center"/>
                    <w:rPr>
                      <w:rFonts w:hint="eastAsia" w:hAnsi="宋体"/>
                      <w:color w:val="auto"/>
                      <w:sz w:val="21"/>
                      <w:szCs w:val="21"/>
                    </w:rPr>
                  </w:pPr>
                </w:p>
              </w:tc>
              <w:tc>
                <w:tcPr>
                  <w:tcW w:w="297" w:type="pct"/>
                  <w:tcMar>
                    <w:top w:w="0" w:type="dxa"/>
                    <w:left w:w="0" w:type="dxa"/>
                    <w:bottom w:w="0" w:type="dxa"/>
                    <w:right w:w="0" w:type="dxa"/>
                  </w:tcMar>
                  <w:vAlign w:val="center"/>
                </w:tcPr>
                <w:p w14:paraId="12392A46">
                  <w:pPr>
                    <w:topLinePunct/>
                    <w:adjustRightInd w:val="0"/>
                    <w:snapToGrid w:val="0"/>
                    <w:spacing w:line="240" w:lineRule="auto"/>
                    <w:jc w:val="center"/>
                    <w:rPr>
                      <w:color w:val="auto"/>
                      <w:kern w:val="0"/>
                      <w:sz w:val="21"/>
                      <w:szCs w:val="21"/>
                    </w:rPr>
                  </w:pPr>
                  <w:r>
                    <w:rPr>
                      <w:rFonts w:hint="eastAsia"/>
                      <w:color w:val="auto"/>
                      <w:kern w:val="0"/>
                      <w:sz w:val="21"/>
                      <w:szCs w:val="21"/>
                    </w:rPr>
                    <w:t>半年</w:t>
                  </w:r>
                </w:p>
              </w:tc>
              <w:tc>
                <w:tcPr>
                  <w:tcW w:w="294" w:type="pct"/>
                  <w:tcMar>
                    <w:top w:w="0" w:type="dxa"/>
                    <w:left w:w="0" w:type="dxa"/>
                    <w:bottom w:w="0" w:type="dxa"/>
                    <w:right w:w="0" w:type="dxa"/>
                  </w:tcMar>
                  <w:vAlign w:val="center"/>
                </w:tcPr>
                <w:p w14:paraId="0F28FC3C">
                  <w:pPr>
                    <w:topLinePunct/>
                    <w:adjustRightInd w:val="0"/>
                    <w:snapToGrid w:val="0"/>
                    <w:spacing w:line="240" w:lineRule="auto"/>
                    <w:jc w:val="center"/>
                    <w:rPr>
                      <w:rFonts w:hint="eastAsia"/>
                      <w:color w:val="auto"/>
                      <w:kern w:val="0"/>
                      <w:sz w:val="21"/>
                      <w:szCs w:val="21"/>
                      <w:u w:val="single"/>
                    </w:rPr>
                  </w:pPr>
                  <w:r>
                    <w:rPr>
                      <w:rFonts w:hint="eastAsia"/>
                      <w:color w:val="auto"/>
                      <w:kern w:val="0"/>
                      <w:sz w:val="21"/>
                      <w:szCs w:val="21"/>
                      <w:u w:val="single"/>
                      <w:lang w:val="en-US" w:eastAsia="zh-CN"/>
                    </w:rPr>
                    <w:t>30天</w:t>
                  </w:r>
                </w:p>
              </w:tc>
              <w:tc>
                <w:tcPr>
                  <w:tcW w:w="294" w:type="pct"/>
                  <w:tcMar>
                    <w:top w:w="0" w:type="dxa"/>
                    <w:left w:w="0" w:type="dxa"/>
                    <w:bottom w:w="0" w:type="dxa"/>
                    <w:right w:w="0" w:type="dxa"/>
                  </w:tcMar>
                  <w:vAlign w:val="center"/>
                </w:tcPr>
                <w:p w14:paraId="23F749C0">
                  <w:pPr>
                    <w:topLinePunct/>
                    <w:adjustRightInd w:val="0"/>
                    <w:snapToGrid w:val="0"/>
                    <w:spacing w:line="240" w:lineRule="auto"/>
                    <w:jc w:val="center"/>
                    <w:rPr>
                      <w:color w:val="auto"/>
                      <w:sz w:val="21"/>
                      <w:szCs w:val="21"/>
                    </w:rPr>
                  </w:pPr>
                  <w:r>
                    <w:rPr>
                      <w:color w:val="auto"/>
                      <w:sz w:val="21"/>
                      <w:szCs w:val="21"/>
                    </w:rPr>
                    <w:t>T</w:t>
                  </w:r>
                </w:p>
              </w:tc>
              <w:tc>
                <w:tcPr>
                  <w:tcW w:w="557" w:type="pct"/>
                  <w:vMerge w:val="continue"/>
                  <w:vAlign w:val="center"/>
                </w:tcPr>
                <w:p w14:paraId="46EEA350">
                  <w:pPr>
                    <w:widowControl/>
                    <w:spacing w:line="240" w:lineRule="auto"/>
                    <w:jc w:val="center"/>
                    <w:rPr>
                      <w:rFonts w:hint="eastAsia" w:hAnsi="宋体"/>
                      <w:color w:val="auto"/>
                      <w:sz w:val="21"/>
                      <w:szCs w:val="21"/>
                    </w:rPr>
                  </w:pPr>
                </w:p>
              </w:tc>
            </w:tr>
            <w:tr w14:paraId="2FF88B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shd w:val="clear" w:color="auto" w:fill="auto"/>
                  <w:tcMar>
                    <w:top w:w="0" w:type="dxa"/>
                    <w:left w:w="0" w:type="dxa"/>
                    <w:bottom w:w="0" w:type="dxa"/>
                    <w:right w:w="0" w:type="dxa"/>
                  </w:tcMar>
                  <w:vAlign w:val="center"/>
                </w:tcPr>
                <w:p w14:paraId="4FFD3DCF">
                  <w:pPr>
                    <w:topLinePunct/>
                    <w:adjustRightInd w:val="0"/>
                    <w:snapToGrid w:val="0"/>
                    <w:spacing w:line="240" w:lineRule="auto"/>
                    <w:jc w:val="center"/>
                    <w:rPr>
                      <w:color w:val="auto"/>
                      <w:kern w:val="0"/>
                      <w:sz w:val="21"/>
                      <w:szCs w:val="21"/>
                    </w:rPr>
                  </w:pPr>
                  <w:r>
                    <w:rPr>
                      <w:rFonts w:hint="eastAsia"/>
                      <w:color w:val="auto"/>
                      <w:kern w:val="0"/>
                      <w:sz w:val="21"/>
                      <w:szCs w:val="21"/>
                    </w:rPr>
                    <w:t>3</w:t>
                  </w:r>
                </w:p>
              </w:tc>
              <w:tc>
                <w:tcPr>
                  <w:tcW w:w="726" w:type="pct"/>
                  <w:shd w:val="clear" w:color="auto" w:fill="auto"/>
                  <w:tcMar>
                    <w:top w:w="0" w:type="dxa"/>
                    <w:left w:w="0" w:type="dxa"/>
                    <w:bottom w:w="0" w:type="dxa"/>
                    <w:right w:w="0" w:type="dxa"/>
                  </w:tcMar>
                  <w:vAlign w:val="center"/>
                </w:tcPr>
                <w:p w14:paraId="647AE01E">
                  <w:pPr>
                    <w:topLinePunct/>
                    <w:spacing w:line="240" w:lineRule="auto"/>
                    <w:jc w:val="center"/>
                    <w:rPr>
                      <w:rFonts w:hint="eastAsia" w:hAnsi="宋体"/>
                      <w:color w:val="auto"/>
                      <w:kern w:val="0"/>
                      <w:sz w:val="21"/>
                      <w:szCs w:val="21"/>
                    </w:rPr>
                  </w:pPr>
                  <w:r>
                    <w:rPr>
                      <w:rFonts w:hint="eastAsia" w:hAnsi="宋体"/>
                      <w:color w:val="auto"/>
                      <w:kern w:val="0"/>
                      <w:sz w:val="21"/>
                      <w:szCs w:val="21"/>
                    </w:rPr>
                    <w:t>废机油桶</w:t>
                  </w:r>
                </w:p>
              </w:tc>
              <w:tc>
                <w:tcPr>
                  <w:tcW w:w="335" w:type="pct"/>
                  <w:shd w:val="clear" w:color="auto" w:fill="auto"/>
                  <w:tcMar>
                    <w:top w:w="0" w:type="dxa"/>
                    <w:left w:w="0" w:type="dxa"/>
                    <w:bottom w:w="0" w:type="dxa"/>
                    <w:right w:w="0" w:type="dxa"/>
                  </w:tcMar>
                  <w:vAlign w:val="center"/>
                </w:tcPr>
                <w:p w14:paraId="46B8FE31">
                  <w:pPr>
                    <w:topLinePunct/>
                    <w:adjustRightInd w:val="0"/>
                    <w:snapToGrid w:val="0"/>
                    <w:spacing w:line="240" w:lineRule="auto"/>
                    <w:jc w:val="center"/>
                    <w:rPr>
                      <w:color w:val="auto"/>
                      <w:sz w:val="21"/>
                      <w:szCs w:val="21"/>
                    </w:rPr>
                  </w:pPr>
                  <w:r>
                    <w:rPr>
                      <w:rFonts w:hint="eastAsia"/>
                      <w:color w:val="auto"/>
                      <w:sz w:val="21"/>
                      <w:szCs w:val="21"/>
                    </w:rPr>
                    <w:t>HW08</w:t>
                  </w:r>
                </w:p>
              </w:tc>
              <w:tc>
                <w:tcPr>
                  <w:tcW w:w="587" w:type="pct"/>
                  <w:shd w:val="clear" w:color="auto" w:fill="auto"/>
                  <w:tcMar>
                    <w:top w:w="0" w:type="dxa"/>
                    <w:left w:w="0" w:type="dxa"/>
                    <w:bottom w:w="0" w:type="dxa"/>
                    <w:right w:w="0" w:type="dxa"/>
                  </w:tcMar>
                  <w:vAlign w:val="center"/>
                </w:tcPr>
                <w:p w14:paraId="01D7A37D">
                  <w:pPr>
                    <w:topLinePunct/>
                    <w:adjustRightInd w:val="0"/>
                    <w:snapToGrid w:val="0"/>
                    <w:spacing w:line="240" w:lineRule="auto"/>
                    <w:jc w:val="center"/>
                    <w:rPr>
                      <w:bCs/>
                      <w:color w:val="auto"/>
                      <w:sz w:val="21"/>
                      <w:szCs w:val="21"/>
                    </w:rPr>
                  </w:pPr>
                  <w:r>
                    <w:rPr>
                      <w:rFonts w:hint="eastAsia"/>
                      <w:bCs/>
                      <w:color w:val="auto"/>
                      <w:sz w:val="21"/>
                      <w:szCs w:val="21"/>
                    </w:rPr>
                    <w:t>900-249-08</w:t>
                  </w:r>
                </w:p>
              </w:tc>
              <w:tc>
                <w:tcPr>
                  <w:tcW w:w="380" w:type="pct"/>
                  <w:shd w:val="clear" w:color="auto" w:fill="auto"/>
                  <w:tcMar>
                    <w:top w:w="0" w:type="dxa"/>
                    <w:left w:w="0" w:type="dxa"/>
                    <w:bottom w:w="0" w:type="dxa"/>
                    <w:right w:w="0" w:type="dxa"/>
                  </w:tcMar>
                  <w:vAlign w:val="center"/>
                </w:tcPr>
                <w:p w14:paraId="040DFAF6">
                  <w:pPr>
                    <w:topLinePunct/>
                    <w:adjustRightInd w:val="0"/>
                    <w:snapToGrid w:val="0"/>
                    <w:spacing w:line="240" w:lineRule="auto"/>
                    <w:jc w:val="center"/>
                    <w:rPr>
                      <w:color w:val="auto"/>
                      <w:kern w:val="0"/>
                      <w:sz w:val="21"/>
                      <w:szCs w:val="21"/>
                    </w:rPr>
                  </w:pPr>
                  <w:r>
                    <w:rPr>
                      <w:rFonts w:hint="eastAsia"/>
                      <w:color w:val="auto"/>
                      <w:kern w:val="0"/>
                      <w:sz w:val="21"/>
                      <w:szCs w:val="21"/>
                    </w:rPr>
                    <w:t>0.1</w:t>
                  </w:r>
                </w:p>
              </w:tc>
              <w:tc>
                <w:tcPr>
                  <w:tcW w:w="523" w:type="pct"/>
                  <w:vMerge w:val="continue"/>
                  <w:tcMar>
                    <w:top w:w="0" w:type="dxa"/>
                    <w:left w:w="0" w:type="dxa"/>
                    <w:bottom w:w="0" w:type="dxa"/>
                    <w:right w:w="0" w:type="dxa"/>
                  </w:tcMar>
                  <w:vAlign w:val="center"/>
                </w:tcPr>
                <w:p w14:paraId="6AD3E96C">
                  <w:pPr>
                    <w:topLinePunct/>
                    <w:adjustRightInd w:val="0"/>
                    <w:snapToGrid w:val="0"/>
                    <w:spacing w:line="240" w:lineRule="auto"/>
                    <w:jc w:val="center"/>
                    <w:rPr>
                      <w:rFonts w:hint="eastAsia" w:hAnsi="宋体"/>
                      <w:color w:val="auto"/>
                      <w:kern w:val="0"/>
                      <w:sz w:val="21"/>
                      <w:szCs w:val="21"/>
                    </w:rPr>
                  </w:pPr>
                </w:p>
              </w:tc>
              <w:tc>
                <w:tcPr>
                  <w:tcW w:w="251" w:type="pct"/>
                  <w:shd w:val="clear" w:color="auto" w:fill="auto"/>
                  <w:tcMar>
                    <w:top w:w="0" w:type="dxa"/>
                    <w:left w:w="0" w:type="dxa"/>
                    <w:bottom w:w="0" w:type="dxa"/>
                    <w:right w:w="0" w:type="dxa"/>
                  </w:tcMar>
                  <w:vAlign w:val="center"/>
                </w:tcPr>
                <w:p w14:paraId="030713B4">
                  <w:pPr>
                    <w:topLinePunct/>
                    <w:adjustRightInd w:val="0"/>
                    <w:snapToGrid w:val="0"/>
                    <w:spacing w:line="240" w:lineRule="auto"/>
                    <w:jc w:val="center"/>
                    <w:rPr>
                      <w:rFonts w:hint="eastAsia" w:hAnsi="宋体"/>
                      <w:color w:val="auto"/>
                      <w:kern w:val="0"/>
                      <w:sz w:val="21"/>
                      <w:szCs w:val="21"/>
                    </w:rPr>
                  </w:pPr>
                  <w:r>
                    <w:rPr>
                      <w:rFonts w:hAnsi="宋体"/>
                      <w:color w:val="auto"/>
                      <w:kern w:val="0"/>
                      <w:sz w:val="21"/>
                      <w:szCs w:val="21"/>
                    </w:rPr>
                    <w:t>固态</w:t>
                  </w:r>
                </w:p>
              </w:tc>
              <w:tc>
                <w:tcPr>
                  <w:tcW w:w="260" w:type="pct"/>
                  <w:shd w:val="clear" w:color="auto" w:fill="auto"/>
                  <w:tcMar>
                    <w:top w:w="0" w:type="dxa"/>
                    <w:left w:w="0" w:type="dxa"/>
                    <w:bottom w:w="0" w:type="dxa"/>
                    <w:right w:w="0" w:type="dxa"/>
                  </w:tcMar>
                  <w:vAlign w:val="center"/>
                </w:tcPr>
                <w:p w14:paraId="6CFC2B52">
                  <w:pPr>
                    <w:topLinePunct/>
                    <w:adjustRightInd w:val="0"/>
                    <w:snapToGrid w:val="0"/>
                    <w:spacing w:line="240" w:lineRule="auto"/>
                    <w:jc w:val="center"/>
                    <w:rPr>
                      <w:rFonts w:hint="eastAsia" w:hAnsi="宋体"/>
                      <w:color w:val="auto"/>
                      <w:kern w:val="0"/>
                      <w:sz w:val="21"/>
                      <w:szCs w:val="21"/>
                    </w:rPr>
                  </w:pPr>
                  <w:r>
                    <w:rPr>
                      <w:rFonts w:hAnsi="宋体"/>
                      <w:color w:val="auto"/>
                      <w:kern w:val="0"/>
                      <w:sz w:val="21"/>
                      <w:szCs w:val="21"/>
                    </w:rPr>
                    <w:t>沾染机油</w:t>
                  </w:r>
                </w:p>
              </w:tc>
              <w:tc>
                <w:tcPr>
                  <w:tcW w:w="273" w:type="pct"/>
                  <w:vMerge w:val="continue"/>
                  <w:tcMar>
                    <w:top w:w="0" w:type="dxa"/>
                    <w:left w:w="0" w:type="dxa"/>
                    <w:bottom w:w="0" w:type="dxa"/>
                    <w:right w:w="0" w:type="dxa"/>
                  </w:tcMar>
                  <w:vAlign w:val="center"/>
                </w:tcPr>
                <w:p w14:paraId="72167179">
                  <w:pPr>
                    <w:adjustRightInd w:val="0"/>
                    <w:snapToGrid w:val="0"/>
                    <w:spacing w:line="240" w:lineRule="auto"/>
                    <w:jc w:val="center"/>
                    <w:rPr>
                      <w:rFonts w:hint="eastAsia" w:hAnsi="宋体"/>
                      <w:color w:val="auto"/>
                      <w:sz w:val="21"/>
                      <w:szCs w:val="21"/>
                    </w:rPr>
                  </w:pPr>
                </w:p>
              </w:tc>
              <w:tc>
                <w:tcPr>
                  <w:tcW w:w="297" w:type="pct"/>
                  <w:shd w:val="clear" w:color="auto" w:fill="auto"/>
                  <w:tcMar>
                    <w:top w:w="0" w:type="dxa"/>
                    <w:left w:w="0" w:type="dxa"/>
                    <w:bottom w:w="0" w:type="dxa"/>
                    <w:right w:w="0" w:type="dxa"/>
                  </w:tcMar>
                  <w:vAlign w:val="center"/>
                </w:tcPr>
                <w:p w14:paraId="788F309D">
                  <w:pPr>
                    <w:topLinePunct/>
                    <w:adjustRightInd w:val="0"/>
                    <w:snapToGrid w:val="0"/>
                    <w:spacing w:line="240" w:lineRule="auto"/>
                    <w:jc w:val="center"/>
                    <w:rPr>
                      <w:color w:val="auto"/>
                      <w:kern w:val="0"/>
                      <w:sz w:val="21"/>
                      <w:szCs w:val="21"/>
                    </w:rPr>
                  </w:pPr>
                  <w:r>
                    <w:rPr>
                      <w:color w:val="auto"/>
                      <w:kern w:val="0"/>
                      <w:sz w:val="21"/>
                      <w:szCs w:val="21"/>
                    </w:rPr>
                    <w:t>/</w:t>
                  </w:r>
                </w:p>
              </w:tc>
              <w:tc>
                <w:tcPr>
                  <w:tcW w:w="294" w:type="pct"/>
                  <w:shd w:val="clear" w:color="auto" w:fill="auto"/>
                  <w:tcMar>
                    <w:top w:w="0" w:type="dxa"/>
                    <w:left w:w="0" w:type="dxa"/>
                    <w:bottom w:w="0" w:type="dxa"/>
                    <w:right w:w="0" w:type="dxa"/>
                  </w:tcMar>
                  <w:vAlign w:val="center"/>
                </w:tcPr>
                <w:p w14:paraId="2A39E746">
                  <w:pPr>
                    <w:topLinePunct/>
                    <w:adjustRightInd w:val="0"/>
                    <w:snapToGrid w:val="0"/>
                    <w:spacing w:line="240" w:lineRule="auto"/>
                    <w:jc w:val="center"/>
                    <w:rPr>
                      <w:color w:val="auto"/>
                      <w:kern w:val="0"/>
                      <w:sz w:val="21"/>
                      <w:szCs w:val="21"/>
                      <w:u w:val="single"/>
                    </w:rPr>
                  </w:pPr>
                  <w:r>
                    <w:rPr>
                      <w:rFonts w:hint="eastAsia"/>
                      <w:color w:val="auto"/>
                      <w:kern w:val="0"/>
                      <w:sz w:val="21"/>
                      <w:szCs w:val="21"/>
                      <w:u w:val="single"/>
                      <w:lang w:val="en-US" w:eastAsia="zh-CN"/>
                    </w:rPr>
                    <w:t>30天</w:t>
                  </w:r>
                </w:p>
              </w:tc>
              <w:tc>
                <w:tcPr>
                  <w:tcW w:w="294" w:type="pct"/>
                  <w:shd w:val="clear" w:color="auto" w:fill="auto"/>
                  <w:tcMar>
                    <w:top w:w="0" w:type="dxa"/>
                    <w:left w:w="0" w:type="dxa"/>
                    <w:bottom w:w="0" w:type="dxa"/>
                    <w:right w:w="0" w:type="dxa"/>
                  </w:tcMar>
                  <w:vAlign w:val="center"/>
                </w:tcPr>
                <w:p w14:paraId="492611E9">
                  <w:pPr>
                    <w:topLinePunct/>
                    <w:adjustRightInd w:val="0"/>
                    <w:snapToGrid w:val="0"/>
                    <w:spacing w:line="240" w:lineRule="auto"/>
                    <w:jc w:val="center"/>
                    <w:rPr>
                      <w:color w:val="auto"/>
                      <w:sz w:val="21"/>
                      <w:szCs w:val="21"/>
                    </w:rPr>
                  </w:pPr>
                  <w:r>
                    <w:rPr>
                      <w:color w:val="auto"/>
                      <w:sz w:val="21"/>
                      <w:szCs w:val="21"/>
                    </w:rPr>
                    <w:t>T</w:t>
                  </w:r>
                </w:p>
                <w:p w14:paraId="5ABF10BC">
                  <w:pPr>
                    <w:topLinePunct/>
                    <w:adjustRightInd w:val="0"/>
                    <w:snapToGrid w:val="0"/>
                    <w:spacing w:line="240" w:lineRule="auto"/>
                    <w:jc w:val="center"/>
                    <w:rPr>
                      <w:color w:val="auto"/>
                      <w:sz w:val="21"/>
                      <w:szCs w:val="21"/>
                    </w:rPr>
                  </w:pPr>
                </w:p>
              </w:tc>
              <w:tc>
                <w:tcPr>
                  <w:tcW w:w="557" w:type="pct"/>
                  <w:vMerge w:val="continue"/>
                  <w:vAlign w:val="center"/>
                </w:tcPr>
                <w:p w14:paraId="3CCC5183">
                  <w:pPr>
                    <w:widowControl/>
                    <w:spacing w:line="240" w:lineRule="auto"/>
                    <w:jc w:val="center"/>
                    <w:rPr>
                      <w:bCs/>
                      <w:color w:val="auto"/>
                      <w:sz w:val="21"/>
                      <w:szCs w:val="21"/>
                    </w:rPr>
                  </w:pPr>
                </w:p>
              </w:tc>
            </w:tr>
            <w:tr w14:paraId="7578FF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8" w:type="pct"/>
                  <w:tcMar>
                    <w:top w:w="0" w:type="dxa"/>
                    <w:left w:w="0" w:type="dxa"/>
                    <w:bottom w:w="0" w:type="dxa"/>
                    <w:right w:w="0" w:type="dxa"/>
                  </w:tcMar>
                  <w:vAlign w:val="center"/>
                </w:tcPr>
                <w:p w14:paraId="6BC39ACF">
                  <w:pPr>
                    <w:topLinePunct/>
                    <w:adjustRightInd w:val="0"/>
                    <w:snapToGrid w:val="0"/>
                    <w:spacing w:line="240" w:lineRule="auto"/>
                    <w:jc w:val="center"/>
                    <w:rPr>
                      <w:color w:val="auto"/>
                      <w:kern w:val="0"/>
                      <w:sz w:val="21"/>
                      <w:szCs w:val="21"/>
                    </w:rPr>
                  </w:pPr>
                  <w:r>
                    <w:rPr>
                      <w:rFonts w:hint="eastAsia"/>
                      <w:color w:val="auto"/>
                      <w:kern w:val="0"/>
                      <w:sz w:val="21"/>
                      <w:szCs w:val="21"/>
                    </w:rPr>
                    <w:t>4</w:t>
                  </w:r>
                </w:p>
              </w:tc>
              <w:tc>
                <w:tcPr>
                  <w:tcW w:w="726" w:type="pct"/>
                  <w:tcMar>
                    <w:top w:w="0" w:type="dxa"/>
                    <w:left w:w="0" w:type="dxa"/>
                    <w:bottom w:w="0" w:type="dxa"/>
                    <w:right w:w="0" w:type="dxa"/>
                  </w:tcMar>
                  <w:vAlign w:val="center"/>
                </w:tcPr>
                <w:p w14:paraId="155F1A15">
                  <w:pPr>
                    <w:pStyle w:val="139"/>
                    <w:rPr>
                      <w:rFonts w:hint="eastAsia" w:hAnsi="宋体"/>
                      <w:color w:val="auto"/>
                      <w:szCs w:val="21"/>
                    </w:rPr>
                  </w:pPr>
                  <w:r>
                    <w:rPr>
                      <w:rFonts w:hint="eastAsia"/>
                      <w:color w:val="auto"/>
                    </w:rPr>
                    <w:t>废活性炭</w:t>
                  </w:r>
                </w:p>
              </w:tc>
              <w:tc>
                <w:tcPr>
                  <w:tcW w:w="335" w:type="pct"/>
                  <w:tcMar>
                    <w:top w:w="0" w:type="dxa"/>
                    <w:left w:w="0" w:type="dxa"/>
                    <w:bottom w:w="0" w:type="dxa"/>
                    <w:right w:w="0" w:type="dxa"/>
                  </w:tcMar>
                  <w:vAlign w:val="center"/>
                </w:tcPr>
                <w:p w14:paraId="133DFEDB">
                  <w:pPr>
                    <w:pStyle w:val="139"/>
                    <w:rPr>
                      <w:color w:val="auto"/>
                      <w:szCs w:val="21"/>
                    </w:rPr>
                  </w:pPr>
                  <w:r>
                    <w:rPr>
                      <w:rFonts w:hint="eastAsia"/>
                      <w:color w:val="auto"/>
                    </w:rPr>
                    <w:t>HW39</w:t>
                  </w:r>
                </w:p>
              </w:tc>
              <w:tc>
                <w:tcPr>
                  <w:tcW w:w="587" w:type="pct"/>
                  <w:tcMar>
                    <w:top w:w="0" w:type="dxa"/>
                    <w:left w:w="0" w:type="dxa"/>
                    <w:bottom w:w="0" w:type="dxa"/>
                    <w:right w:w="0" w:type="dxa"/>
                  </w:tcMar>
                  <w:vAlign w:val="center"/>
                </w:tcPr>
                <w:p w14:paraId="7ADF860E">
                  <w:pPr>
                    <w:pStyle w:val="139"/>
                    <w:rPr>
                      <w:bCs/>
                      <w:color w:val="auto"/>
                      <w:szCs w:val="21"/>
                    </w:rPr>
                  </w:pPr>
                  <w:r>
                    <w:rPr>
                      <w:rFonts w:hint="eastAsia"/>
                      <w:color w:val="auto"/>
                    </w:rPr>
                    <w:t>900-039-49</w:t>
                  </w:r>
                </w:p>
              </w:tc>
              <w:tc>
                <w:tcPr>
                  <w:tcW w:w="380" w:type="pct"/>
                  <w:tcMar>
                    <w:top w:w="0" w:type="dxa"/>
                    <w:left w:w="0" w:type="dxa"/>
                    <w:bottom w:w="0" w:type="dxa"/>
                    <w:right w:w="0" w:type="dxa"/>
                  </w:tcMar>
                  <w:vAlign w:val="center"/>
                </w:tcPr>
                <w:p w14:paraId="7D3D0ED4">
                  <w:pPr>
                    <w:pStyle w:val="139"/>
                    <w:rPr>
                      <w:color w:val="auto"/>
                      <w:szCs w:val="21"/>
                    </w:rPr>
                  </w:pPr>
                  <w:r>
                    <w:rPr>
                      <w:rFonts w:hint="eastAsia"/>
                      <w:color w:val="auto"/>
                    </w:rPr>
                    <w:t>35.9</w:t>
                  </w:r>
                </w:p>
              </w:tc>
              <w:tc>
                <w:tcPr>
                  <w:tcW w:w="523" w:type="pct"/>
                  <w:vMerge w:val="continue"/>
                  <w:tcMar>
                    <w:top w:w="0" w:type="dxa"/>
                    <w:left w:w="0" w:type="dxa"/>
                    <w:bottom w:w="0" w:type="dxa"/>
                    <w:right w:w="0" w:type="dxa"/>
                  </w:tcMar>
                  <w:vAlign w:val="center"/>
                </w:tcPr>
                <w:p w14:paraId="319B28FA">
                  <w:pPr>
                    <w:topLinePunct/>
                    <w:adjustRightInd w:val="0"/>
                    <w:snapToGrid w:val="0"/>
                    <w:spacing w:line="240" w:lineRule="auto"/>
                    <w:jc w:val="center"/>
                    <w:rPr>
                      <w:rFonts w:hint="eastAsia" w:hAnsi="宋体"/>
                      <w:color w:val="auto"/>
                      <w:kern w:val="0"/>
                      <w:sz w:val="21"/>
                      <w:szCs w:val="21"/>
                    </w:rPr>
                  </w:pPr>
                </w:p>
              </w:tc>
              <w:tc>
                <w:tcPr>
                  <w:tcW w:w="251" w:type="pct"/>
                  <w:tcMar>
                    <w:top w:w="0" w:type="dxa"/>
                    <w:left w:w="0" w:type="dxa"/>
                    <w:bottom w:w="0" w:type="dxa"/>
                    <w:right w:w="0" w:type="dxa"/>
                  </w:tcMar>
                  <w:vAlign w:val="center"/>
                </w:tcPr>
                <w:p w14:paraId="7402A374">
                  <w:pPr>
                    <w:pStyle w:val="139"/>
                    <w:rPr>
                      <w:rFonts w:hint="eastAsia" w:hAnsi="宋体" w:cs="Times New Roman"/>
                      <w:color w:val="auto"/>
                      <w:szCs w:val="21"/>
                    </w:rPr>
                  </w:pPr>
                  <w:r>
                    <w:rPr>
                      <w:rFonts w:hint="eastAsia"/>
                      <w:color w:val="auto"/>
                    </w:rPr>
                    <w:t>固态</w:t>
                  </w:r>
                </w:p>
              </w:tc>
              <w:tc>
                <w:tcPr>
                  <w:tcW w:w="260" w:type="pct"/>
                  <w:tcMar>
                    <w:top w:w="0" w:type="dxa"/>
                    <w:left w:w="0" w:type="dxa"/>
                    <w:bottom w:w="0" w:type="dxa"/>
                    <w:right w:w="0" w:type="dxa"/>
                  </w:tcMar>
                  <w:vAlign w:val="center"/>
                </w:tcPr>
                <w:p w14:paraId="147DFCEC">
                  <w:pPr>
                    <w:pStyle w:val="139"/>
                    <w:rPr>
                      <w:rFonts w:hint="eastAsia" w:hAnsi="宋体" w:cs="Times New Roman"/>
                      <w:color w:val="auto"/>
                      <w:szCs w:val="21"/>
                    </w:rPr>
                  </w:pPr>
                  <w:r>
                    <w:rPr>
                      <w:rFonts w:hint="eastAsia"/>
                      <w:color w:val="auto"/>
                    </w:rPr>
                    <w:t>沾染有机废气</w:t>
                  </w:r>
                </w:p>
              </w:tc>
              <w:tc>
                <w:tcPr>
                  <w:tcW w:w="273" w:type="pct"/>
                  <w:vMerge w:val="continue"/>
                  <w:tcMar>
                    <w:top w:w="0" w:type="dxa"/>
                    <w:left w:w="0" w:type="dxa"/>
                    <w:bottom w:w="0" w:type="dxa"/>
                    <w:right w:w="0" w:type="dxa"/>
                  </w:tcMar>
                  <w:vAlign w:val="center"/>
                </w:tcPr>
                <w:p w14:paraId="59F1D2DD">
                  <w:pPr>
                    <w:adjustRightInd w:val="0"/>
                    <w:snapToGrid w:val="0"/>
                    <w:spacing w:line="240" w:lineRule="auto"/>
                    <w:jc w:val="center"/>
                    <w:rPr>
                      <w:rFonts w:hint="eastAsia" w:hAnsi="宋体"/>
                      <w:color w:val="auto"/>
                      <w:sz w:val="21"/>
                      <w:szCs w:val="21"/>
                    </w:rPr>
                  </w:pPr>
                </w:p>
              </w:tc>
              <w:tc>
                <w:tcPr>
                  <w:tcW w:w="297" w:type="pct"/>
                  <w:shd w:val="clear" w:color="auto" w:fill="auto"/>
                  <w:tcMar>
                    <w:top w:w="0" w:type="dxa"/>
                    <w:left w:w="0" w:type="dxa"/>
                    <w:bottom w:w="0" w:type="dxa"/>
                    <w:right w:w="0" w:type="dxa"/>
                  </w:tcMar>
                  <w:vAlign w:val="center"/>
                </w:tcPr>
                <w:p w14:paraId="18BB97C7">
                  <w:pPr>
                    <w:topLinePunct/>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66天</w:t>
                  </w:r>
                </w:p>
              </w:tc>
              <w:tc>
                <w:tcPr>
                  <w:tcW w:w="294" w:type="pct"/>
                  <w:shd w:val="clear" w:color="auto" w:fill="auto"/>
                  <w:tcMar>
                    <w:top w:w="0" w:type="dxa"/>
                    <w:left w:w="0" w:type="dxa"/>
                    <w:bottom w:w="0" w:type="dxa"/>
                    <w:right w:w="0" w:type="dxa"/>
                  </w:tcMar>
                  <w:vAlign w:val="center"/>
                </w:tcPr>
                <w:p w14:paraId="6D597FAA">
                  <w:pPr>
                    <w:topLinePunct/>
                    <w:adjustRightInd w:val="0"/>
                    <w:snapToGrid w:val="0"/>
                    <w:spacing w:line="240" w:lineRule="auto"/>
                    <w:jc w:val="center"/>
                    <w:rPr>
                      <w:rFonts w:hint="eastAsia" w:cs="Times New Roman"/>
                      <w:color w:val="auto"/>
                      <w:kern w:val="0"/>
                      <w:sz w:val="21"/>
                      <w:szCs w:val="21"/>
                      <w:u w:val="single"/>
                      <w:lang w:val="en-US" w:eastAsia="zh-CN" w:bidi="ar-SA"/>
                    </w:rPr>
                  </w:pPr>
                  <w:r>
                    <w:rPr>
                      <w:rFonts w:hint="eastAsia"/>
                      <w:color w:val="auto"/>
                      <w:kern w:val="0"/>
                      <w:sz w:val="21"/>
                      <w:szCs w:val="21"/>
                      <w:u w:val="single"/>
                      <w:lang w:val="en-US" w:eastAsia="zh-CN"/>
                    </w:rPr>
                    <w:t>30天</w:t>
                  </w:r>
                </w:p>
              </w:tc>
              <w:tc>
                <w:tcPr>
                  <w:tcW w:w="294" w:type="pct"/>
                  <w:shd w:val="clear" w:color="auto" w:fill="auto"/>
                  <w:tcMar>
                    <w:top w:w="0" w:type="dxa"/>
                    <w:left w:w="0" w:type="dxa"/>
                    <w:bottom w:w="0" w:type="dxa"/>
                    <w:right w:w="0" w:type="dxa"/>
                  </w:tcMar>
                  <w:vAlign w:val="center"/>
                </w:tcPr>
                <w:p w14:paraId="778887E2">
                  <w:pPr>
                    <w:topLinePunct/>
                    <w:adjustRightInd w:val="0"/>
                    <w:snapToGrid w:val="0"/>
                    <w:spacing w:line="240" w:lineRule="auto"/>
                    <w:jc w:val="center"/>
                    <w:rPr>
                      <w:rFonts w:ascii="Times New Roman" w:hAnsi="Times New Roman" w:eastAsia="宋体" w:cs="Times New Roman"/>
                      <w:color w:val="auto"/>
                      <w:kern w:val="2"/>
                      <w:sz w:val="21"/>
                      <w:szCs w:val="21"/>
                      <w:lang w:val="en-US" w:eastAsia="zh-CN" w:bidi="ar-SA"/>
                    </w:rPr>
                  </w:pPr>
                  <w:r>
                    <w:rPr>
                      <w:color w:val="auto"/>
                      <w:sz w:val="21"/>
                      <w:szCs w:val="21"/>
                    </w:rPr>
                    <w:t>T</w:t>
                  </w:r>
                </w:p>
              </w:tc>
              <w:tc>
                <w:tcPr>
                  <w:tcW w:w="557" w:type="pct"/>
                  <w:vMerge w:val="continue"/>
                  <w:vAlign w:val="center"/>
                </w:tcPr>
                <w:p w14:paraId="45AE9CE9">
                  <w:pPr>
                    <w:widowControl/>
                    <w:spacing w:line="240" w:lineRule="auto"/>
                    <w:jc w:val="center"/>
                    <w:rPr>
                      <w:bCs/>
                      <w:color w:val="auto"/>
                      <w:sz w:val="21"/>
                      <w:szCs w:val="21"/>
                    </w:rPr>
                  </w:pPr>
                </w:p>
              </w:tc>
            </w:tr>
          </w:tbl>
          <w:p w14:paraId="32AFA71A">
            <w:pPr>
              <w:ind w:firstLine="482" w:firstLineChars="200"/>
              <w:rPr>
                <w:b/>
                <w:bCs/>
                <w:color w:val="auto"/>
              </w:rPr>
            </w:pPr>
            <w:r>
              <w:rPr>
                <w:rFonts w:hint="eastAsia"/>
                <w:b/>
                <w:bCs/>
                <w:color w:val="auto"/>
              </w:rPr>
              <w:t>3、生活垃圾</w:t>
            </w:r>
          </w:p>
          <w:p w14:paraId="5ADAE8FB">
            <w:pPr>
              <w:ind w:firstLine="480" w:firstLineChars="200"/>
              <w:rPr>
                <w:color w:val="auto"/>
              </w:rPr>
            </w:pPr>
            <w:r>
              <w:rPr>
                <w:rFonts w:hint="eastAsia"/>
                <w:color w:val="auto"/>
              </w:rPr>
              <w:t>项目设置员工5人，均不在厂内食宿，按不住宿员工生活垃圾产生量为0.2kg/d·人，则每年生活垃圾产生量合计为0.3t/a。生活垃圾经过垃圾收集桶收集后交由环卫部门处置。</w:t>
            </w:r>
          </w:p>
          <w:p w14:paraId="6B0D7B3A">
            <w:pPr>
              <w:adjustRightInd w:val="0"/>
              <w:snapToGrid w:val="0"/>
              <w:spacing w:before="120" w:beforeLines="50"/>
              <w:ind w:firstLine="482" w:firstLineChars="200"/>
              <w:rPr>
                <w:b/>
                <w:bCs/>
                <w:snapToGrid w:val="0"/>
                <w:color w:val="auto"/>
                <w:kern w:val="0"/>
              </w:rPr>
            </w:pPr>
            <w:r>
              <w:rPr>
                <w:rFonts w:hint="eastAsia"/>
                <w:b/>
                <w:bCs/>
                <w:snapToGrid w:val="0"/>
                <w:color w:val="auto"/>
                <w:kern w:val="0"/>
              </w:rPr>
              <w:t>4、环境管理要求</w:t>
            </w:r>
          </w:p>
          <w:p w14:paraId="31FF3C79">
            <w:pPr>
              <w:adjustRightInd w:val="0"/>
              <w:snapToGrid w:val="0"/>
              <w:ind w:firstLine="480" w:firstLineChars="200"/>
              <w:rPr>
                <w:snapToGrid w:val="0"/>
                <w:color w:val="auto"/>
                <w:kern w:val="0"/>
              </w:rPr>
            </w:pPr>
            <w:r>
              <w:rPr>
                <w:rFonts w:hint="eastAsia"/>
                <w:snapToGrid w:val="0"/>
                <w:color w:val="auto"/>
                <w:kern w:val="0"/>
              </w:rPr>
              <w:t>（1）一般工业固体废物</w:t>
            </w:r>
          </w:p>
          <w:p w14:paraId="7255CE2B">
            <w:pPr>
              <w:adjustRightInd w:val="0"/>
              <w:ind w:firstLine="470" w:firstLineChars="196"/>
              <w:jc w:val="left"/>
              <w:rPr>
                <w:color w:val="auto"/>
              </w:rPr>
            </w:pPr>
            <w:r>
              <w:rPr>
                <w:rFonts w:hint="eastAsia"/>
                <w:color w:val="auto"/>
              </w:rPr>
              <w:t>项目</w:t>
            </w:r>
            <w:r>
              <w:rPr>
                <w:rFonts w:hint="eastAsia"/>
                <w:color w:val="auto"/>
                <w:lang w:eastAsia="zh-CN"/>
              </w:rPr>
              <w:t>家庭式净水器废活性炭过滤器</w:t>
            </w:r>
            <w:r>
              <w:rPr>
                <w:rFonts w:hint="eastAsia"/>
                <w:color w:val="auto"/>
                <w:lang w:val="en-US" w:eastAsia="zh-CN"/>
              </w:rPr>
              <w:t>不暂存，更换后直接由厂家清运处理；</w:t>
            </w:r>
            <w:r>
              <w:rPr>
                <w:rFonts w:hint="eastAsia"/>
                <w:color w:val="auto"/>
              </w:rPr>
              <w:t>不合格产品、废包装袋暂存</w:t>
            </w:r>
            <w:r>
              <w:rPr>
                <w:rFonts w:hint="eastAsia"/>
                <w:color w:val="auto"/>
                <w:lang w:val="en-US" w:eastAsia="zh-CN"/>
              </w:rPr>
              <w:t>放置于</w:t>
            </w:r>
            <w:r>
              <w:rPr>
                <w:rFonts w:hint="eastAsia"/>
                <w:color w:val="auto"/>
              </w:rPr>
              <w:t>一般固废暂存间，位于厂区西南面地块，其占地面积为10m</w:t>
            </w:r>
            <w:r>
              <w:rPr>
                <w:rFonts w:hint="eastAsia"/>
                <w:color w:val="auto"/>
                <w:vertAlign w:val="superscript"/>
              </w:rPr>
              <w:t>2</w:t>
            </w:r>
            <w:r>
              <w:rPr>
                <w:rFonts w:hint="eastAsia"/>
                <w:color w:val="auto"/>
              </w:rPr>
              <w:t>，设置根据《排污许可证申请与核发技术规范 工业固体废物（试行）》（HJ 1200-2021）第5.3.2条，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设置清晰、完整的一般工业固体废物标志牌等。排污单位生产运营期间一般工业固体废物自行贮存/利用/处置设施的环境管理和相关设施运行维护要求还应符合 GB 15562.2、GB 18599等相关标准规范要求，对周围环境无明显影响。</w:t>
            </w:r>
          </w:p>
          <w:p w14:paraId="31B035AB">
            <w:pPr>
              <w:ind w:firstLine="480" w:firstLineChars="200"/>
              <w:rPr>
                <w:color w:val="auto"/>
              </w:rPr>
            </w:pPr>
            <w:r>
              <w:rPr>
                <w:rFonts w:hint="eastAsia"/>
                <w:color w:val="auto"/>
              </w:rPr>
              <w:t>（2）危险废物</w:t>
            </w:r>
          </w:p>
          <w:p w14:paraId="17672629">
            <w:pPr>
              <w:adjustRightInd w:val="0"/>
              <w:snapToGrid w:val="0"/>
              <w:ind w:firstLine="480" w:firstLineChars="200"/>
              <w:rPr>
                <w:rFonts w:hint="eastAsia" w:eastAsia="宋体"/>
                <w:color w:val="auto"/>
                <w:u w:val="single"/>
                <w:lang w:val="en-US" w:eastAsia="zh-CN"/>
              </w:rPr>
            </w:pPr>
            <w:r>
              <w:rPr>
                <w:rFonts w:hint="eastAsia"/>
                <w:color w:val="auto"/>
                <w:u w:val="single"/>
                <w:lang w:eastAsia="zh-CN"/>
              </w:rPr>
              <w:t>根据</w:t>
            </w:r>
            <w:r>
              <w:rPr>
                <w:color w:val="auto"/>
                <w:u w:val="single"/>
              </w:rPr>
              <w:t>《危险废物贮存污染控制标准》（GB18597-2023）</w:t>
            </w:r>
            <w:r>
              <w:rPr>
                <w:rFonts w:hint="eastAsia"/>
                <w:color w:val="auto"/>
                <w:u w:val="single"/>
                <w:lang w:eastAsia="zh-CN"/>
              </w:rPr>
              <w:t>，危险废物需临时置于特定设施或者场所中。本项目在厂区西南面设置</w:t>
            </w:r>
            <w:r>
              <w:rPr>
                <w:rFonts w:hint="eastAsia"/>
                <w:color w:val="auto"/>
                <w:u w:val="single"/>
              </w:rPr>
              <w:t>一</w:t>
            </w:r>
            <w:r>
              <w:rPr>
                <w:rFonts w:hint="eastAsia"/>
                <w:color w:val="auto"/>
                <w:u w:val="single"/>
                <w:lang w:eastAsia="zh-CN"/>
              </w:rPr>
              <w:t>个危废暂存间</w:t>
            </w:r>
            <w:r>
              <w:rPr>
                <w:rFonts w:hint="eastAsia"/>
                <w:color w:val="auto"/>
                <w:u w:val="single"/>
              </w:rPr>
              <w:t>（占地面积</w:t>
            </w:r>
            <w:r>
              <w:rPr>
                <w:rFonts w:hint="eastAsia"/>
                <w:color w:val="auto"/>
                <w:u w:val="single"/>
                <w:lang w:val="en-US" w:eastAsia="zh-CN"/>
              </w:rPr>
              <w:t>15</w:t>
            </w:r>
            <w:r>
              <w:rPr>
                <w:rFonts w:hint="eastAsia"/>
                <w:color w:val="auto"/>
                <w:u w:val="single"/>
              </w:rPr>
              <w:t>m</w:t>
            </w:r>
            <w:r>
              <w:rPr>
                <w:rFonts w:hint="eastAsia"/>
                <w:color w:val="auto"/>
                <w:u w:val="single"/>
                <w:vertAlign w:val="superscript"/>
              </w:rPr>
              <w:t>3</w:t>
            </w:r>
            <w:r>
              <w:rPr>
                <w:rFonts w:hint="eastAsia"/>
                <w:color w:val="auto"/>
                <w:u w:val="single"/>
              </w:rPr>
              <w:t>），</w:t>
            </w:r>
            <w:r>
              <w:rPr>
                <w:rFonts w:hint="eastAsia"/>
                <w:color w:val="auto"/>
                <w:u w:val="single"/>
                <w:lang w:eastAsia="zh-CN"/>
              </w:rPr>
              <w:t>危废暂存间设置若干个密闭塑料桶，分别用于存放废活性炭、废机油、含油抹布和废油桶等。</w:t>
            </w:r>
            <w:r>
              <w:rPr>
                <w:rFonts w:hint="eastAsia"/>
                <w:color w:val="auto"/>
                <w:u w:val="single"/>
                <w:lang w:val="en-US" w:eastAsia="zh-CN"/>
              </w:rPr>
              <w:t>根据查阅到的废活性炭脱附方式，如水蒸气、热气体脱附法和容积置换法、电热解吸法等说明，本项目饱和废活性炭中的有机废气不易进行自行转化和挥发；另外，项目废活性炭每2个月、废机油、含油抹布等每半年产生一次，产生周期较长，产生后分别储存于</w:t>
            </w:r>
            <w:r>
              <w:rPr>
                <w:rFonts w:hint="eastAsia"/>
                <w:color w:val="auto"/>
                <w:u w:val="single"/>
                <w:lang w:eastAsia="zh-CN"/>
              </w:rPr>
              <w:t>密闭塑料桶中，且每</w:t>
            </w:r>
            <w:r>
              <w:rPr>
                <w:rFonts w:hint="eastAsia"/>
                <w:color w:val="auto"/>
                <w:u w:val="single"/>
                <w:lang w:val="en-US" w:eastAsia="zh-CN"/>
              </w:rPr>
              <w:t>30天委托有资质的单位进行处置，综合考虑，本项目严格按照</w:t>
            </w:r>
            <w:r>
              <w:rPr>
                <w:color w:val="auto"/>
                <w:u w:val="single"/>
              </w:rPr>
              <w:t>《危险废物贮存污染控制标准》（GB18597-2023）</w:t>
            </w:r>
            <w:r>
              <w:rPr>
                <w:rFonts w:hint="eastAsia"/>
                <w:color w:val="auto"/>
                <w:u w:val="single"/>
                <w:lang w:eastAsia="zh-CN"/>
              </w:rPr>
              <w:t>进行管理的情况下，其危废暂存对周边环境影响不大。</w:t>
            </w:r>
          </w:p>
          <w:p w14:paraId="6416FC49">
            <w:pPr>
              <w:adjustRightInd w:val="0"/>
              <w:snapToGrid w:val="0"/>
              <w:ind w:firstLine="480" w:firstLineChars="200"/>
              <w:rPr>
                <w:rFonts w:hint="default"/>
                <w:color w:val="auto"/>
                <w:lang w:val="en-US" w:eastAsia="zh-CN"/>
              </w:rPr>
            </w:pPr>
            <w:r>
              <w:rPr>
                <w:rFonts w:hint="eastAsia"/>
                <w:color w:val="auto"/>
                <w:u w:val="single"/>
                <w:lang w:eastAsia="zh-CN"/>
              </w:rPr>
              <w:t>项目废活性炭每</w:t>
            </w:r>
            <w:r>
              <w:rPr>
                <w:rFonts w:hint="eastAsia"/>
                <w:color w:val="auto"/>
                <w:u w:val="single"/>
                <w:lang w:val="en-US" w:eastAsia="zh-CN"/>
              </w:rPr>
              <w:t>66天</w:t>
            </w:r>
            <w:r>
              <w:rPr>
                <w:rFonts w:hint="eastAsia"/>
                <w:color w:val="auto"/>
                <w:u w:val="single"/>
                <w:lang w:eastAsia="zh-CN"/>
              </w:rPr>
              <w:t>更换一次，一次</w:t>
            </w:r>
            <w:r>
              <w:rPr>
                <w:rFonts w:hint="eastAsia"/>
                <w:color w:val="auto"/>
                <w:u w:val="single"/>
                <w:vertAlign w:val="baseline"/>
                <w:lang w:val="en-US" w:eastAsia="zh-CN"/>
              </w:rPr>
              <w:t>2.082</w:t>
            </w:r>
            <w:r>
              <w:rPr>
                <w:rFonts w:hint="eastAsia"/>
                <w:color w:val="auto"/>
                <w:u w:val="single"/>
                <w:lang w:val="en-US" w:eastAsia="zh-CN"/>
              </w:rPr>
              <w:t>m</w:t>
            </w:r>
            <w:r>
              <w:rPr>
                <w:rFonts w:hint="eastAsia"/>
                <w:color w:val="auto"/>
                <w:u w:val="single"/>
                <w:vertAlign w:val="superscript"/>
                <w:lang w:val="en-US" w:eastAsia="zh-CN"/>
              </w:rPr>
              <w:t>3</w:t>
            </w:r>
            <w:r>
              <w:rPr>
                <w:rFonts w:hint="eastAsia"/>
                <w:color w:val="auto"/>
                <w:u w:val="single"/>
                <w:lang w:val="en-US" w:eastAsia="zh-CN"/>
              </w:rPr>
              <w:t>，</w:t>
            </w:r>
            <w:r>
              <w:rPr>
                <w:rFonts w:hint="eastAsia"/>
                <w:color w:val="auto"/>
                <w:u w:val="single"/>
                <w:lang w:eastAsia="zh-CN"/>
              </w:rPr>
              <w:t>废机油、含油抹布和废油桶极小，因此，综合项目危废</w:t>
            </w:r>
            <w:r>
              <w:rPr>
                <w:rFonts w:hint="eastAsia"/>
                <w:color w:val="auto"/>
                <w:u w:val="single"/>
                <w:lang w:val="en-US" w:eastAsia="zh-CN"/>
              </w:rPr>
              <w:t>所占空间较小，</w:t>
            </w:r>
            <w:r>
              <w:rPr>
                <w:rFonts w:hint="eastAsia"/>
                <w:color w:val="auto"/>
                <w:u w:val="single"/>
                <w:lang w:eastAsia="zh-CN"/>
              </w:rPr>
              <w:t>危废暂存间的空间</w:t>
            </w:r>
            <w:r>
              <w:rPr>
                <w:rFonts w:hint="eastAsia"/>
                <w:color w:val="auto"/>
                <w:u w:val="single"/>
                <w:lang w:val="en-US" w:eastAsia="zh-CN"/>
              </w:rPr>
              <w:t>可满足储存周期。</w:t>
            </w:r>
          </w:p>
          <w:p w14:paraId="1A6F117E">
            <w:pPr>
              <w:adjustRightInd w:val="0"/>
              <w:snapToGrid w:val="0"/>
              <w:ind w:firstLine="480" w:firstLineChars="200"/>
              <w:rPr>
                <w:color w:val="auto"/>
              </w:rPr>
            </w:pPr>
            <w:r>
              <w:rPr>
                <w:color w:val="auto"/>
              </w:rPr>
              <w:t>为了使各种危险废物</w:t>
            </w:r>
            <w:r>
              <w:rPr>
                <w:rFonts w:hint="eastAsia"/>
                <w:color w:val="auto"/>
                <w:lang w:eastAsia="zh-CN"/>
              </w:rPr>
              <w:t>能更好地</w:t>
            </w:r>
            <w:r>
              <w:rPr>
                <w:color w:val="auto"/>
              </w:rPr>
              <w:t>达到合法合理处置的目的，本评价拟按照《危险废物贮存污染控制标准》（GB18597-2023）等国家相关法律，提出相应的治理措施，以进一步规范项目在收集、贮运、处置方式等操作过程。</w:t>
            </w:r>
          </w:p>
          <w:p w14:paraId="67891F91">
            <w:pPr>
              <w:adjustRightInd w:val="0"/>
              <w:snapToGrid w:val="0"/>
              <w:ind w:firstLine="480" w:firstLineChars="200"/>
              <w:rPr>
                <w:color w:val="auto"/>
              </w:rPr>
            </w:pPr>
            <w:r>
              <w:rPr>
                <w:rFonts w:hint="eastAsia"/>
                <w:color w:val="auto"/>
              </w:rPr>
              <w:t>1）</w:t>
            </w:r>
            <w:r>
              <w:rPr>
                <w:color w:val="auto"/>
              </w:rPr>
              <w:t>收集、贮存</w:t>
            </w:r>
          </w:p>
          <w:p w14:paraId="614DBED1">
            <w:pPr>
              <w:adjustRightInd w:val="0"/>
              <w:snapToGrid w:val="0"/>
              <w:ind w:firstLine="480" w:firstLineChars="200"/>
              <w:rPr>
                <w:color w:val="auto"/>
              </w:rPr>
            </w:pPr>
            <w:r>
              <w:rPr>
                <w:rFonts w:hint="eastAsia"/>
                <w:color w:val="auto"/>
              </w:rPr>
              <w:t>根据《危险废物贮存污染控制标准》（GB18597-2023）中第6条，项目</w:t>
            </w:r>
            <w:r>
              <w:rPr>
                <w:rFonts w:hint="eastAsia"/>
                <w:color w:val="auto"/>
                <w:lang w:eastAsia="zh-CN"/>
              </w:rPr>
              <w:t>危废暂存间</w:t>
            </w:r>
            <w:r>
              <w:rPr>
                <w:rFonts w:hint="eastAsia"/>
                <w:color w:val="auto"/>
              </w:rPr>
              <w:t>采取以下措施：</w:t>
            </w:r>
          </w:p>
          <w:p w14:paraId="536DC7A2">
            <w:pPr>
              <w:adjustRightInd w:val="0"/>
              <w:snapToGrid w:val="0"/>
              <w:ind w:firstLine="480" w:firstLineChars="200"/>
              <w:rPr>
                <w:color w:val="auto"/>
              </w:rPr>
            </w:pPr>
            <w:r>
              <w:rPr>
                <w:rFonts w:hint="eastAsia"/>
                <w:color w:val="auto"/>
              </w:rPr>
              <w:t>①贮存设施需根据危险废物的形态、物理化学性质、包装形式和污染物迁移途径，采取必要的防风、防晒、防雨、防漏、防渗、防腐以及其他环境污染防治措施，不能露天堆放危险废物。</w:t>
            </w:r>
          </w:p>
          <w:p w14:paraId="23B18392">
            <w:pPr>
              <w:adjustRightInd w:val="0"/>
              <w:snapToGrid w:val="0"/>
              <w:ind w:firstLine="480" w:firstLineChars="200"/>
              <w:rPr>
                <w:color w:val="auto"/>
              </w:rPr>
            </w:pPr>
            <w:r>
              <w:rPr>
                <w:rFonts w:hint="eastAsia"/>
                <w:color w:val="auto"/>
              </w:rPr>
              <w:t>②贮存设施根据危废的类别、数量、形态、物理化学性质和污染防治等要求设置必要的贮存分区，避免不相容的危险废物接触、混合。</w:t>
            </w:r>
          </w:p>
          <w:p w14:paraId="0FC47C0E">
            <w:pPr>
              <w:adjustRightInd w:val="0"/>
              <w:snapToGrid w:val="0"/>
              <w:ind w:firstLine="480" w:firstLineChars="200"/>
              <w:rPr>
                <w:color w:val="auto"/>
              </w:rPr>
            </w:pPr>
            <w:r>
              <w:rPr>
                <w:rFonts w:hint="eastAsia"/>
                <w:color w:val="auto"/>
              </w:rPr>
              <w:t>③贮存设施或贮存分区内地面、墙面裙脚、堵截泄露的围堰、接触危险废物的隔板和墙体等采用坚固的材料建造，表面无裂缝。</w:t>
            </w:r>
          </w:p>
          <w:p w14:paraId="37DFA8FD">
            <w:pPr>
              <w:adjustRightInd w:val="0"/>
              <w:snapToGrid w:val="0"/>
              <w:ind w:firstLine="480" w:firstLineChars="200"/>
              <w:rPr>
                <w:color w:val="auto"/>
              </w:rPr>
            </w:pPr>
            <w:r>
              <w:rPr>
                <w:rFonts w:hint="eastAsia"/>
                <w:color w:val="auto"/>
              </w:rPr>
              <w:t>④贮存设施地面与裙脚采取表面防渗措施：表面防渗材料应与所接触的物料或污染物相容，采用抗渗混凝土防渗性能等效的材料，防渗层为至少1m 厚黏层(渗透系数不大于10</w:t>
            </w:r>
            <w:r>
              <w:rPr>
                <w:rFonts w:hint="eastAsia"/>
                <w:color w:val="auto"/>
                <w:vertAlign w:val="superscript"/>
              </w:rPr>
              <w:t>-7</w:t>
            </w:r>
            <w:r>
              <w:rPr>
                <w:rFonts w:hint="eastAsia"/>
                <w:color w:val="auto"/>
              </w:rPr>
              <w:t>cm/s)，或至少2mm厚高密度聚乙烯膜等人工防渗材料 (渗透系数不大于10</w:t>
            </w:r>
            <w:r>
              <w:rPr>
                <w:rFonts w:hint="eastAsia"/>
                <w:color w:val="auto"/>
                <w:vertAlign w:val="superscript"/>
              </w:rPr>
              <w:t>-10</w:t>
            </w:r>
            <w:r>
              <w:rPr>
                <w:rFonts w:hint="eastAsia"/>
                <w:color w:val="auto"/>
              </w:rPr>
              <w:t>cm/s)。</w:t>
            </w:r>
          </w:p>
          <w:p w14:paraId="404185F2">
            <w:pPr>
              <w:adjustRightInd w:val="0"/>
              <w:snapToGrid w:val="0"/>
              <w:ind w:firstLine="480" w:firstLineChars="200"/>
              <w:rPr>
                <w:color w:val="auto"/>
              </w:rPr>
            </w:pPr>
            <w:r>
              <w:rPr>
                <w:rFonts w:hint="eastAsia"/>
                <w:color w:val="auto"/>
              </w:rPr>
              <w:t>⑤同一贮存设施宜采用相同的防渗、防腐工艺（包括防渗、防腐结构或材料），防渗、防腐材料应覆盖所有可能与废物及其渗滤液、渗漏液等接触的构筑物表面；采用不同防渗、防腐工艺应分别建设贮存分区。</w:t>
            </w:r>
          </w:p>
          <w:p w14:paraId="20499150">
            <w:pPr>
              <w:adjustRightInd w:val="0"/>
              <w:snapToGrid w:val="0"/>
              <w:ind w:firstLine="480" w:firstLineChars="200"/>
              <w:rPr>
                <w:color w:val="auto"/>
              </w:rPr>
            </w:pPr>
            <w:r>
              <w:rPr>
                <w:rFonts w:hint="eastAsia"/>
                <w:color w:val="auto"/>
              </w:rPr>
              <w:t>⑥危险废物临时贮存场所安装门锁且有专人管理，禁止无关人员进入。</w:t>
            </w:r>
          </w:p>
          <w:p w14:paraId="5BA45192">
            <w:pPr>
              <w:adjustRightInd w:val="0"/>
              <w:snapToGrid w:val="0"/>
              <w:ind w:firstLine="480" w:firstLineChars="200"/>
              <w:rPr>
                <w:color w:val="auto"/>
              </w:rPr>
            </w:pPr>
            <w:r>
              <w:rPr>
                <w:rFonts w:hint="eastAsia"/>
                <w:color w:val="auto"/>
              </w:rPr>
              <w:t>2）</w:t>
            </w:r>
            <w:r>
              <w:rPr>
                <w:color w:val="auto"/>
              </w:rPr>
              <w:t>运输</w:t>
            </w:r>
          </w:p>
          <w:p w14:paraId="7606DA9C">
            <w:pPr>
              <w:adjustRightInd w:val="0"/>
              <w:snapToGrid w:val="0"/>
              <w:ind w:firstLine="480" w:firstLineChars="200"/>
              <w:rPr>
                <w:color w:val="auto"/>
              </w:rPr>
            </w:pPr>
            <w:r>
              <w:rPr>
                <w:color w:val="auto"/>
              </w:rPr>
              <w:t>对危险废物的运输要求安全可靠，要严格按照危险废物运输的管理规定进行危险废物的运输，减少运输过程中的二次污染和可能造成的环境风险，运输车辆需有特殊标志。</w:t>
            </w:r>
          </w:p>
          <w:p w14:paraId="3A2C9B52">
            <w:pPr>
              <w:adjustRightInd w:val="0"/>
              <w:snapToGrid w:val="0"/>
              <w:ind w:firstLine="480" w:firstLineChars="200"/>
              <w:rPr>
                <w:color w:val="auto"/>
              </w:rPr>
            </w:pPr>
            <w:r>
              <w:rPr>
                <w:rFonts w:hint="eastAsia"/>
                <w:color w:val="auto"/>
              </w:rPr>
              <w:t>3）</w:t>
            </w:r>
            <w:r>
              <w:rPr>
                <w:color w:val="auto"/>
              </w:rPr>
              <w:t>处置</w:t>
            </w:r>
          </w:p>
          <w:p w14:paraId="1533FB25">
            <w:pPr>
              <w:adjustRightInd w:val="0"/>
              <w:snapToGrid w:val="0"/>
              <w:ind w:firstLine="480" w:firstLineChars="200"/>
              <w:rPr>
                <w:color w:val="auto"/>
              </w:rPr>
            </w:pPr>
            <w:r>
              <w:rPr>
                <w:color w:val="auto"/>
              </w:rPr>
              <w:t>建设单位拟将危险废物交由有危废处置资质单位处理。企业须根据管理台账和近年生产计划，制订危险废物管理计划，并报当地环保部门备案。台帐应如实记载产生危险废物的种类、数量、利用、贮存、处置、流向等信息，以此作为向当地环保部门申报危险废物管理计划的编制依据。产生的危险废物实行分类收集后置于贮存设施内，贮存时限一般不得超过一年，并设专人管理。盛装危险废物的容器和包装物以及产生、收集、贮存、运输、处置危险废物的场所，必须依法设置相应标识、警示标志和标签，标签上应注明贮存的废物类别、危害性以及开始贮存时间等内容。企业必须严格执行危险废物转移计划报批和依法运行危险废物转移联单，并通过信息系统登记转移计划和电子转移联单。企业还需健全</w:t>
            </w:r>
            <w:r>
              <w:rPr>
                <w:rFonts w:hint="eastAsia"/>
                <w:color w:val="auto"/>
                <w:lang w:eastAsia="zh-CN"/>
              </w:rPr>
              <w:t>生产</w:t>
            </w:r>
            <w:r>
              <w:rPr>
                <w:color w:val="auto"/>
              </w:rPr>
              <w:t>单位内部管理制度，包括落实危险废物产生信息公开制度，建立员工培训和固体废物管理员制度完善危险废物相关档案管理制度；建立和完善突发危险废物环境应急预案，并报当地环保部门备案。危险废物按要求妥善处理后，对环境影响不明显。</w:t>
            </w:r>
          </w:p>
          <w:p w14:paraId="61731BD6">
            <w:pPr>
              <w:adjustRightInd w:val="0"/>
              <w:snapToGrid w:val="0"/>
              <w:ind w:firstLine="454"/>
              <w:rPr>
                <w:color w:val="auto"/>
              </w:rPr>
            </w:pPr>
            <w:r>
              <w:rPr>
                <w:color w:val="auto"/>
              </w:rPr>
              <w:t>综上，在采取上述措施后，本项目产生的</w:t>
            </w:r>
            <w:r>
              <w:rPr>
                <w:rFonts w:hint="eastAsia"/>
                <w:color w:val="auto"/>
              </w:rPr>
              <w:t>危废</w:t>
            </w:r>
            <w:r>
              <w:rPr>
                <w:color w:val="auto"/>
              </w:rPr>
              <w:t>能得到妥善处置，同时建议建设单位在项目建成投运后，完善固废台账，明确本项目固废的去向，防止因随意丢弃造成的固废污染，本项目产生的固体废物不会对周围环境产生明显影响</w:t>
            </w:r>
            <w:r>
              <w:rPr>
                <w:rFonts w:hint="eastAsia"/>
                <w:color w:val="auto"/>
              </w:rPr>
              <w:t>。</w:t>
            </w:r>
          </w:p>
          <w:p w14:paraId="296B79CD">
            <w:pPr>
              <w:ind w:firstLine="480" w:firstLineChars="200"/>
              <w:rPr>
                <w:color w:val="auto"/>
              </w:rPr>
            </w:pPr>
            <w:r>
              <w:rPr>
                <w:rFonts w:hint="eastAsia"/>
                <w:color w:val="auto"/>
              </w:rPr>
              <w:t>（3）生活垃圾</w:t>
            </w:r>
          </w:p>
          <w:p w14:paraId="5FF3D1D8">
            <w:pPr>
              <w:ind w:firstLine="480" w:firstLineChars="200"/>
              <w:rPr>
                <w:color w:val="auto"/>
              </w:rPr>
            </w:pPr>
            <w:r>
              <w:rPr>
                <w:rFonts w:hint="eastAsia"/>
                <w:color w:val="auto"/>
              </w:rPr>
              <w:t>员工产生的生活垃圾集中收集后，由环卫部门统一收集后清运处理，不外排，对环境影响较小，不会产生二次污染。</w:t>
            </w:r>
          </w:p>
          <w:p w14:paraId="5DB4352E">
            <w:pPr>
              <w:pStyle w:val="5"/>
              <w:adjustRightInd w:val="0"/>
              <w:snapToGrid w:val="0"/>
              <w:ind w:firstLine="482"/>
              <w:rPr>
                <w:rFonts w:ascii="Times New Roman" w:hAnsi="Times New Roman"/>
                <w:b/>
                <w:bCs/>
                <w:color w:val="auto"/>
                <w:sz w:val="24"/>
                <w:szCs w:val="24"/>
              </w:rPr>
            </w:pPr>
            <w:r>
              <w:rPr>
                <w:rFonts w:ascii="Times New Roman" w:hAnsi="Times New Roman"/>
                <w:b/>
                <w:bCs/>
                <w:color w:val="auto"/>
                <w:sz w:val="24"/>
                <w:szCs w:val="24"/>
              </w:rPr>
              <w:t>6、地下水和土壤环境影响分析</w:t>
            </w:r>
          </w:p>
          <w:p w14:paraId="120FD60B">
            <w:pPr>
              <w:pStyle w:val="5"/>
              <w:adjustRightInd w:val="0"/>
              <w:snapToGrid w:val="0"/>
              <w:ind w:firstLine="480"/>
              <w:rPr>
                <w:rFonts w:ascii="Times New Roman" w:hAnsi="Times New Roman"/>
                <w:color w:val="auto"/>
                <w:sz w:val="24"/>
                <w:szCs w:val="24"/>
              </w:rPr>
            </w:pPr>
            <w:r>
              <w:rPr>
                <w:rFonts w:hint="eastAsia" w:ascii="Times New Roman" w:hAnsi="Times New Roman"/>
                <w:color w:val="auto"/>
                <w:sz w:val="24"/>
                <w:szCs w:val="24"/>
              </w:rPr>
              <w:t>本项目将防渗区域划分为简单防渗区、一般防渗区和重点防渗区。其中办公区做简单防渗，采用水泥硬化；生产区做一般防渗，采用钢筋混凝土硬化，等效黏土防渗层Mb≥1.5m，K≤1×10</w:t>
            </w:r>
            <w:r>
              <w:rPr>
                <w:rFonts w:hint="eastAsia" w:ascii="Times New Roman" w:hAnsi="Times New Roman"/>
                <w:color w:val="auto"/>
                <w:sz w:val="24"/>
                <w:szCs w:val="24"/>
                <w:vertAlign w:val="superscript"/>
              </w:rPr>
              <w:t>-7</w:t>
            </w:r>
            <w:r>
              <w:rPr>
                <w:rFonts w:hint="eastAsia" w:ascii="Times New Roman" w:hAnsi="Times New Roman"/>
                <w:color w:val="auto"/>
                <w:sz w:val="24"/>
                <w:szCs w:val="24"/>
              </w:rPr>
              <w:t>cm/s，一般固废暂存间参照《一般工业固体废物贮存和填埋污染控制标准》(GB18599-2020)设计；</w:t>
            </w:r>
            <w:r>
              <w:rPr>
                <w:rFonts w:hint="eastAsia" w:ascii="Times New Roman" w:hAnsi="Times New Roman"/>
                <w:color w:val="auto"/>
                <w:sz w:val="24"/>
                <w:szCs w:val="24"/>
                <w:lang w:eastAsia="zh-CN"/>
              </w:rPr>
              <w:t>危废暂存间</w:t>
            </w:r>
            <w:r>
              <w:rPr>
                <w:rFonts w:hint="eastAsia" w:ascii="Times New Roman" w:hAnsi="Times New Roman"/>
                <w:color w:val="auto"/>
                <w:sz w:val="24"/>
                <w:szCs w:val="24"/>
              </w:rPr>
              <w:t>做重点防渗，参照《危险废物贮存污染控制标准》(GB18597-2023)设计，采用防渗水泥硬化，内表面涂覆防渗涂料，防渗性能等效黏土防渗层Mb≥6.0m，K≤1×10</w:t>
            </w:r>
            <w:r>
              <w:rPr>
                <w:rFonts w:hint="eastAsia" w:ascii="Times New Roman" w:hAnsi="Times New Roman"/>
                <w:color w:val="auto"/>
                <w:sz w:val="24"/>
                <w:szCs w:val="24"/>
                <w:vertAlign w:val="superscript"/>
              </w:rPr>
              <w:t>-7</w:t>
            </w:r>
            <w:r>
              <w:rPr>
                <w:rFonts w:hint="eastAsia" w:ascii="Times New Roman" w:hAnsi="Times New Roman"/>
                <w:color w:val="auto"/>
                <w:sz w:val="24"/>
                <w:szCs w:val="24"/>
              </w:rPr>
              <w:t>cm/s。项目加强管理，对地下水和土壤环境影响不大。</w:t>
            </w:r>
          </w:p>
          <w:p w14:paraId="6A95D37F">
            <w:pPr>
              <w:ind w:firstLine="482" w:firstLineChars="200"/>
              <w:rPr>
                <w:b/>
                <w:bCs/>
                <w:color w:val="auto"/>
              </w:rPr>
            </w:pPr>
            <w:r>
              <w:rPr>
                <w:rFonts w:hint="eastAsia"/>
                <w:b/>
                <w:bCs/>
                <w:color w:val="auto"/>
              </w:rPr>
              <w:t>7</w:t>
            </w:r>
            <w:r>
              <w:rPr>
                <w:b/>
                <w:bCs/>
                <w:color w:val="auto"/>
              </w:rPr>
              <w:t>、</w:t>
            </w:r>
            <w:r>
              <w:rPr>
                <w:rFonts w:hint="eastAsia"/>
                <w:b/>
                <w:bCs/>
                <w:color w:val="auto"/>
              </w:rPr>
              <w:t>项目对茅尾海红树林自然保护区、金窝水库饮用水源保护区的影响分析</w:t>
            </w:r>
          </w:p>
          <w:p w14:paraId="1E079F1B">
            <w:pPr>
              <w:ind w:firstLine="480" w:firstLineChars="200"/>
              <w:rPr>
                <w:color w:val="auto"/>
              </w:rPr>
            </w:pPr>
            <w:r>
              <w:rPr>
                <w:rFonts w:hint="eastAsia"/>
                <w:color w:val="auto"/>
              </w:rPr>
              <w:t>项目距离茅尾海红树林自然保护区最近为西南面11.6</w:t>
            </w:r>
            <w:r>
              <w:rPr>
                <w:color w:val="auto"/>
              </w:rPr>
              <w:t>km，距离金窝水库饮用水源保护区</w:t>
            </w:r>
            <w:r>
              <w:rPr>
                <w:rFonts w:hint="eastAsia"/>
                <w:color w:val="auto"/>
              </w:rPr>
              <w:t>陆域</w:t>
            </w:r>
            <w:r>
              <w:rPr>
                <w:color w:val="auto"/>
              </w:rPr>
              <w:t>最近为东面</w:t>
            </w:r>
            <w:r>
              <w:rPr>
                <w:rFonts w:hint="eastAsia"/>
                <w:color w:val="auto"/>
              </w:rPr>
              <w:t>2600</w:t>
            </w:r>
            <w:r>
              <w:rPr>
                <w:color w:val="auto"/>
              </w:rPr>
              <w:t>m</w:t>
            </w:r>
            <w:r>
              <w:rPr>
                <w:rFonts w:hint="eastAsia"/>
                <w:color w:val="auto"/>
              </w:rPr>
              <w:t>，水域最近为东面3400m。项目冷却水循环使用，不外排；生活污水经化粪池处理后排污园区污水管网，均不排向红树林分布区域和金窝水库饮用水源保护区，不在红树林分布区域和金窝水库饮用水源保护区的汇水区域范围内，不会对红树林保护区和金窝水库饮用水源保护区产生影响；固体废物均得到合理处置或有效利用，不会对红树林保护区和金窝水库饮用水源保护区产生影响；项目废气污染物经采取措施后均能满足达标排放要求，项目距离红树林保护区较远对其影响很小，金窝水库饮用水源保护区属于项目侧风向，因此废气对其影响不大。</w:t>
            </w:r>
          </w:p>
          <w:p w14:paraId="14A13E68">
            <w:pPr>
              <w:ind w:firstLine="480" w:firstLineChars="200"/>
              <w:rPr>
                <w:color w:val="auto"/>
              </w:rPr>
            </w:pPr>
            <w:r>
              <w:rPr>
                <w:rFonts w:hint="eastAsia"/>
                <w:color w:val="auto"/>
              </w:rPr>
              <w:t>综上，运营期对红树林保护区和金窝水库饮用水源保护区的环境影响很小。</w:t>
            </w:r>
          </w:p>
          <w:p w14:paraId="1A96592D">
            <w:pPr>
              <w:ind w:firstLine="482" w:firstLineChars="200"/>
              <w:rPr>
                <w:b/>
                <w:bCs/>
                <w:color w:val="auto"/>
              </w:rPr>
            </w:pPr>
            <w:r>
              <w:rPr>
                <w:rFonts w:hint="eastAsia"/>
                <w:b/>
                <w:bCs/>
                <w:color w:val="auto"/>
              </w:rPr>
              <w:t>8</w:t>
            </w:r>
            <w:r>
              <w:rPr>
                <w:b/>
                <w:bCs/>
                <w:color w:val="auto"/>
              </w:rPr>
              <w:t>、环境风险分析</w:t>
            </w:r>
          </w:p>
          <w:p w14:paraId="72578398">
            <w:pPr>
              <w:pStyle w:val="5"/>
              <w:adjustRightInd w:val="0"/>
              <w:snapToGrid w:val="0"/>
              <w:ind w:firstLine="482"/>
              <w:rPr>
                <w:rFonts w:ascii="Times New Roman" w:hAnsi="Times New Roman"/>
                <w:b/>
                <w:bCs/>
                <w:color w:val="auto"/>
                <w:sz w:val="24"/>
                <w:szCs w:val="24"/>
              </w:rPr>
            </w:pPr>
            <w:r>
              <w:rPr>
                <w:rFonts w:hint="eastAsia" w:ascii="Times New Roman" w:hAnsi="Times New Roman"/>
                <w:b/>
                <w:bCs/>
                <w:color w:val="auto"/>
                <w:sz w:val="24"/>
                <w:szCs w:val="24"/>
              </w:rPr>
              <w:t>（1）危险物质识别</w:t>
            </w:r>
          </w:p>
          <w:p w14:paraId="64E136F5">
            <w:pPr>
              <w:pStyle w:val="5"/>
              <w:adjustRightInd w:val="0"/>
              <w:snapToGrid w:val="0"/>
              <w:ind w:firstLine="480"/>
              <w:rPr>
                <w:rFonts w:ascii="Times New Roman" w:hAnsi="Times New Roman"/>
                <w:color w:val="auto"/>
                <w:sz w:val="24"/>
                <w:szCs w:val="24"/>
              </w:rPr>
            </w:pPr>
            <w:r>
              <w:rPr>
                <w:rFonts w:hint="eastAsia" w:ascii="Times New Roman" w:hAnsi="Times New Roman"/>
                <w:color w:val="auto"/>
                <w:sz w:val="24"/>
                <w:szCs w:val="24"/>
              </w:rPr>
              <w:t>项目主要为塑料制品生产项目，原辅料主要为PET和PE原料，成品主要是PET瓶坯和PE</w:t>
            </w:r>
            <w:r>
              <w:rPr>
                <w:rFonts w:hint="eastAsia" w:ascii="Times New Roman" w:hAnsi="Times New Roman"/>
                <w:color w:val="auto"/>
                <w:sz w:val="24"/>
                <w:szCs w:val="24"/>
                <w:lang w:eastAsia="zh-CN"/>
              </w:rPr>
              <w:t>盖体</w:t>
            </w:r>
            <w:r>
              <w:rPr>
                <w:rFonts w:hint="eastAsia" w:ascii="Times New Roman" w:hAnsi="Times New Roman"/>
                <w:color w:val="auto"/>
                <w:sz w:val="24"/>
                <w:szCs w:val="24"/>
              </w:rPr>
              <w:t>。根据《建设项目环境风险评价技术导则》（HJ169-2018）中附录 B ，不属于（HJ169-2018）中的风险物质。</w:t>
            </w:r>
          </w:p>
          <w:p w14:paraId="1B2479EF">
            <w:pPr>
              <w:pStyle w:val="5"/>
              <w:adjustRightInd w:val="0"/>
              <w:snapToGrid w:val="0"/>
              <w:ind w:firstLine="480"/>
              <w:rPr>
                <w:rFonts w:ascii="Times New Roman" w:hAnsi="Times New Roman"/>
                <w:color w:val="auto"/>
                <w:sz w:val="24"/>
                <w:szCs w:val="24"/>
              </w:rPr>
            </w:pPr>
            <w:r>
              <w:rPr>
                <w:rFonts w:hint="eastAsia" w:ascii="Times New Roman" w:hAnsi="Times New Roman"/>
                <w:color w:val="auto"/>
                <w:sz w:val="24"/>
                <w:szCs w:val="24"/>
              </w:rPr>
              <w:t>项目涉及的废机油属于矿物油类，产生量约0.1t/a。根据《建设项目环境风险评价技术导则》（HJ169-2018）中附录 B ，属于风险物质。其理化性质如下表所示：</w:t>
            </w:r>
          </w:p>
          <w:p w14:paraId="40BF5C63">
            <w:pPr>
              <w:keepNext/>
              <w:spacing w:line="400" w:lineRule="exact"/>
              <w:jc w:val="center"/>
              <w:rPr>
                <w:rFonts w:eastAsia="黑体"/>
                <w:color w:val="auto"/>
              </w:rPr>
            </w:pPr>
            <w:r>
              <w:rPr>
                <w:rFonts w:hint="eastAsia" w:eastAsia="黑体"/>
                <w:color w:val="auto"/>
              </w:rPr>
              <w:t>表4-15 润滑油（机油）的理化性质及危险特性表</w:t>
            </w:r>
          </w:p>
          <w:tbl>
            <w:tblPr>
              <w:tblStyle w:val="2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08"/>
              <w:gridCol w:w="646"/>
              <w:gridCol w:w="686"/>
              <w:gridCol w:w="1284"/>
              <w:gridCol w:w="1217"/>
              <w:gridCol w:w="924"/>
              <w:gridCol w:w="284"/>
              <w:gridCol w:w="501"/>
              <w:gridCol w:w="601"/>
              <w:gridCol w:w="460"/>
              <w:gridCol w:w="1352"/>
            </w:tblGrid>
            <w:tr w14:paraId="393FC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tcBorders>
                    <w:tl2br w:val="nil"/>
                    <w:tr2bl w:val="nil"/>
                  </w:tcBorders>
                  <w:tcMar>
                    <w:top w:w="0" w:type="dxa"/>
                    <w:left w:w="0" w:type="dxa"/>
                    <w:bottom w:w="0" w:type="dxa"/>
                    <w:right w:w="0" w:type="dxa"/>
                  </w:tcMar>
                  <w:vAlign w:val="center"/>
                </w:tcPr>
                <w:p w14:paraId="68E166C3">
                  <w:pPr>
                    <w:pStyle w:val="71"/>
                    <w:adjustRightInd/>
                    <w:snapToGrid/>
                    <w:spacing w:line="260" w:lineRule="exact"/>
                    <w:rPr>
                      <w:rFonts w:ascii="Times New Roman"/>
                      <w:color w:val="auto"/>
                      <w:szCs w:val="21"/>
                    </w:rPr>
                  </w:pPr>
                  <w:r>
                    <w:rPr>
                      <w:rFonts w:ascii="Times New Roman"/>
                      <w:color w:val="auto"/>
                      <w:szCs w:val="21"/>
                    </w:rPr>
                    <w:t>标识</w:t>
                  </w:r>
                </w:p>
              </w:tc>
              <w:tc>
                <w:tcPr>
                  <w:tcW w:w="412" w:type="pct"/>
                  <w:tcBorders>
                    <w:tl2br w:val="nil"/>
                    <w:tr2bl w:val="nil"/>
                  </w:tcBorders>
                  <w:tcMar>
                    <w:top w:w="0" w:type="dxa"/>
                    <w:left w:w="0" w:type="dxa"/>
                    <w:bottom w:w="0" w:type="dxa"/>
                    <w:right w:w="0" w:type="dxa"/>
                  </w:tcMar>
                  <w:vAlign w:val="center"/>
                </w:tcPr>
                <w:p w14:paraId="7CD87C81">
                  <w:pPr>
                    <w:pStyle w:val="71"/>
                    <w:adjustRightInd/>
                    <w:snapToGrid/>
                    <w:spacing w:line="260" w:lineRule="exact"/>
                    <w:rPr>
                      <w:rFonts w:ascii="Times New Roman"/>
                      <w:color w:val="auto"/>
                      <w:szCs w:val="21"/>
                    </w:rPr>
                  </w:pPr>
                  <w:r>
                    <w:rPr>
                      <w:rFonts w:ascii="Times New Roman"/>
                      <w:color w:val="auto"/>
                      <w:szCs w:val="21"/>
                    </w:rPr>
                    <w:t>中文名</w:t>
                  </w:r>
                </w:p>
              </w:tc>
              <w:tc>
                <w:tcPr>
                  <w:tcW w:w="435" w:type="pct"/>
                  <w:tcBorders>
                    <w:tl2br w:val="nil"/>
                    <w:tr2bl w:val="nil"/>
                  </w:tcBorders>
                  <w:tcMar>
                    <w:top w:w="0" w:type="dxa"/>
                    <w:left w:w="0" w:type="dxa"/>
                    <w:bottom w:w="0" w:type="dxa"/>
                    <w:right w:w="0" w:type="dxa"/>
                  </w:tcMar>
                  <w:vAlign w:val="center"/>
                </w:tcPr>
                <w:p w14:paraId="5A8038BD">
                  <w:pPr>
                    <w:pStyle w:val="71"/>
                    <w:adjustRightInd/>
                    <w:snapToGrid/>
                    <w:spacing w:line="260" w:lineRule="exact"/>
                    <w:rPr>
                      <w:rFonts w:ascii="Times New Roman"/>
                      <w:color w:val="auto"/>
                      <w:szCs w:val="21"/>
                    </w:rPr>
                  </w:pPr>
                  <w:r>
                    <w:rPr>
                      <w:rFonts w:ascii="Times New Roman"/>
                      <w:color w:val="auto"/>
                      <w:szCs w:val="21"/>
                    </w:rPr>
                    <w:t>润滑油</w:t>
                  </w:r>
                </w:p>
              </w:tc>
              <w:tc>
                <w:tcPr>
                  <w:tcW w:w="789" w:type="pct"/>
                  <w:tcBorders>
                    <w:tl2br w:val="nil"/>
                    <w:tr2bl w:val="nil"/>
                  </w:tcBorders>
                  <w:tcMar>
                    <w:top w:w="0" w:type="dxa"/>
                    <w:left w:w="0" w:type="dxa"/>
                    <w:bottom w:w="0" w:type="dxa"/>
                    <w:right w:w="0" w:type="dxa"/>
                  </w:tcMar>
                  <w:vAlign w:val="center"/>
                </w:tcPr>
                <w:p w14:paraId="1C622480">
                  <w:pPr>
                    <w:pStyle w:val="71"/>
                    <w:adjustRightInd/>
                    <w:snapToGrid/>
                    <w:spacing w:line="260" w:lineRule="exact"/>
                    <w:rPr>
                      <w:rFonts w:ascii="Times New Roman"/>
                      <w:color w:val="auto"/>
                      <w:szCs w:val="21"/>
                    </w:rPr>
                  </w:pPr>
                  <w:r>
                    <w:rPr>
                      <w:rFonts w:ascii="Times New Roman"/>
                      <w:color w:val="auto"/>
                      <w:szCs w:val="21"/>
                    </w:rPr>
                    <w:t>英文名</w:t>
                  </w:r>
                </w:p>
              </w:tc>
              <w:tc>
                <w:tcPr>
                  <w:tcW w:w="1523" w:type="pct"/>
                  <w:gridSpan w:val="3"/>
                  <w:tcBorders>
                    <w:tl2br w:val="nil"/>
                    <w:tr2bl w:val="nil"/>
                  </w:tcBorders>
                  <w:tcMar>
                    <w:top w:w="0" w:type="dxa"/>
                    <w:left w:w="0" w:type="dxa"/>
                    <w:bottom w:w="0" w:type="dxa"/>
                    <w:right w:w="0" w:type="dxa"/>
                  </w:tcMar>
                  <w:vAlign w:val="center"/>
                </w:tcPr>
                <w:p w14:paraId="5530BC7D">
                  <w:pPr>
                    <w:pStyle w:val="71"/>
                    <w:adjustRightInd/>
                    <w:snapToGrid/>
                    <w:spacing w:line="260" w:lineRule="exact"/>
                    <w:rPr>
                      <w:rFonts w:ascii="Times New Roman"/>
                      <w:color w:val="auto"/>
                      <w:szCs w:val="21"/>
                    </w:rPr>
                  </w:pPr>
                  <w:r>
                    <w:rPr>
                      <w:rFonts w:ascii="Times New Roman"/>
                      <w:color w:val="auto"/>
                      <w:szCs w:val="21"/>
                    </w:rPr>
                    <w:t>Lubricating oil；Lube oil</w:t>
                  </w:r>
                </w:p>
              </w:tc>
              <w:tc>
                <w:tcPr>
                  <w:tcW w:w="1013" w:type="pct"/>
                  <w:gridSpan w:val="3"/>
                  <w:tcBorders>
                    <w:tl2br w:val="nil"/>
                    <w:tr2bl w:val="nil"/>
                  </w:tcBorders>
                  <w:tcMar>
                    <w:top w:w="0" w:type="dxa"/>
                    <w:left w:w="0" w:type="dxa"/>
                    <w:bottom w:w="0" w:type="dxa"/>
                    <w:right w:w="0" w:type="dxa"/>
                  </w:tcMar>
                  <w:vAlign w:val="center"/>
                </w:tcPr>
                <w:p w14:paraId="50F45796">
                  <w:pPr>
                    <w:pStyle w:val="71"/>
                    <w:adjustRightInd/>
                    <w:snapToGrid/>
                    <w:spacing w:line="260" w:lineRule="exact"/>
                    <w:rPr>
                      <w:rFonts w:ascii="Times New Roman"/>
                      <w:color w:val="auto"/>
                      <w:szCs w:val="21"/>
                    </w:rPr>
                  </w:pPr>
                  <w:r>
                    <w:rPr>
                      <w:rFonts w:ascii="Times New Roman"/>
                      <w:color w:val="auto"/>
                      <w:szCs w:val="21"/>
                    </w:rPr>
                    <w:t>危险货物编号</w:t>
                  </w:r>
                </w:p>
              </w:tc>
              <w:tc>
                <w:tcPr>
                  <w:tcW w:w="494" w:type="pct"/>
                  <w:tcBorders>
                    <w:tl2br w:val="nil"/>
                    <w:tr2bl w:val="nil"/>
                  </w:tcBorders>
                  <w:tcMar>
                    <w:top w:w="0" w:type="dxa"/>
                    <w:left w:w="0" w:type="dxa"/>
                    <w:bottom w:w="0" w:type="dxa"/>
                    <w:right w:w="0" w:type="dxa"/>
                  </w:tcMar>
                  <w:vAlign w:val="center"/>
                </w:tcPr>
                <w:p w14:paraId="4B12A0E7">
                  <w:pPr>
                    <w:pStyle w:val="71"/>
                    <w:adjustRightInd/>
                    <w:snapToGrid/>
                    <w:spacing w:line="260" w:lineRule="exact"/>
                    <w:rPr>
                      <w:rFonts w:ascii="Times New Roman"/>
                      <w:color w:val="auto"/>
                      <w:szCs w:val="21"/>
                    </w:rPr>
                  </w:pPr>
                  <w:r>
                    <w:rPr>
                      <w:rFonts w:ascii="Times New Roman"/>
                      <w:color w:val="auto"/>
                      <w:szCs w:val="21"/>
                    </w:rPr>
                    <w:t>/</w:t>
                  </w:r>
                </w:p>
              </w:tc>
            </w:tr>
            <w:tr w14:paraId="3F817A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restart"/>
                  <w:tcBorders>
                    <w:tl2br w:val="nil"/>
                    <w:tr2bl w:val="nil"/>
                  </w:tcBorders>
                  <w:tcMar>
                    <w:top w:w="0" w:type="dxa"/>
                    <w:left w:w="0" w:type="dxa"/>
                    <w:bottom w:w="0" w:type="dxa"/>
                    <w:right w:w="0" w:type="dxa"/>
                  </w:tcMar>
                  <w:vAlign w:val="center"/>
                </w:tcPr>
                <w:p w14:paraId="7733AE89">
                  <w:pPr>
                    <w:pStyle w:val="71"/>
                    <w:adjustRightInd/>
                    <w:snapToGrid/>
                    <w:spacing w:line="260" w:lineRule="exact"/>
                    <w:rPr>
                      <w:rFonts w:ascii="Times New Roman"/>
                      <w:color w:val="auto"/>
                      <w:szCs w:val="21"/>
                    </w:rPr>
                  </w:pPr>
                  <w:r>
                    <w:rPr>
                      <w:rFonts w:ascii="Times New Roman"/>
                      <w:color w:val="auto"/>
                      <w:szCs w:val="21"/>
                    </w:rPr>
                    <w:t>理化性质</w:t>
                  </w:r>
                </w:p>
              </w:tc>
              <w:tc>
                <w:tcPr>
                  <w:tcW w:w="412" w:type="pct"/>
                  <w:tcBorders>
                    <w:tl2br w:val="nil"/>
                    <w:tr2bl w:val="nil"/>
                  </w:tcBorders>
                  <w:tcMar>
                    <w:top w:w="0" w:type="dxa"/>
                    <w:left w:w="0" w:type="dxa"/>
                    <w:bottom w:w="0" w:type="dxa"/>
                    <w:right w:w="0" w:type="dxa"/>
                  </w:tcMar>
                  <w:vAlign w:val="center"/>
                </w:tcPr>
                <w:p w14:paraId="34D60747">
                  <w:pPr>
                    <w:pStyle w:val="71"/>
                    <w:adjustRightInd/>
                    <w:snapToGrid/>
                    <w:spacing w:line="260" w:lineRule="exact"/>
                    <w:rPr>
                      <w:rFonts w:ascii="Times New Roman"/>
                      <w:color w:val="auto"/>
                      <w:szCs w:val="21"/>
                    </w:rPr>
                  </w:pPr>
                  <w:r>
                    <w:rPr>
                      <w:rFonts w:ascii="Times New Roman"/>
                      <w:color w:val="auto"/>
                      <w:szCs w:val="21"/>
                    </w:rPr>
                    <w:t>分子式</w:t>
                  </w:r>
                </w:p>
              </w:tc>
              <w:tc>
                <w:tcPr>
                  <w:tcW w:w="435" w:type="pct"/>
                  <w:tcBorders>
                    <w:tl2br w:val="nil"/>
                    <w:tr2bl w:val="nil"/>
                  </w:tcBorders>
                  <w:tcMar>
                    <w:top w:w="0" w:type="dxa"/>
                    <w:left w:w="0" w:type="dxa"/>
                    <w:bottom w:w="0" w:type="dxa"/>
                    <w:right w:w="0" w:type="dxa"/>
                  </w:tcMar>
                  <w:vAlign w:val="center"/>
                </w:tcPr>
                <w:p w14:paraId="3ACAFA4C">
                  <w:pPr>
                    <w:pStyle w:val="71"/>
                    <w:adjustRightInd/>
                    <w:snapToGrid/>
                    <w:spacing w:line="260" w:lineRule="exact"/>
                    <w:rPr>
                      <w:rFonts w:ascii="Times New Roman"/>
                      <w:color w:val="auto"/>
                      <w:szCs w:val="21"/>
                    </w:rPr>
                  </w:pPr>
                  <w:r>
                    <w:rPr>
                      <w:rFonts w:ascii="Times New Roman"/>
                      <w:color w:val="auto"/>
                      <w:szCs w:val="21"/>
                    </w:rPr>
                    <w:t>/</w:t>
                  </w:r>
                </w:p>
              </w:tc>
              <w:tc>
                <w:tcPr>
                  <w:tcW w:w="789" w:type="pct"/>
                  <w:tcBorders>
                    <w:tl2br w:val="nil"/>
                    <w:tr2bl w:val="nil"/>
                  </w:tcBorders>
                  <w:tcMar>
                    <w:top w:w="0" w:type="dxa"/>
                    <w:left w:w="0" w:type="dxa"/>
                    <w:bottom w:w="0" w:type="dxa"/>
                    <w:right w:w="0" w:type="dxa"/>
                  </w:tcMar>
                  <w:vAlign w:val="center"/>
                </w:tcPr>
                <w:p w14:paraId="45E8937C">
                  <w:pPr>
                    <w:pStyle w:val="71"/>
                    <w:adjustRightInd/>
                    <w:snapToGrid/>
                    <w:spacing w:line="260" w:lineRule="exact"/>
                    <w:rPr>
                      <w:rFonts w:ascii="Times New Roman"/>
                      <w:color w:val="auto"/>
                      <w:szCs w:val="21"/>
                    </w:rPr>
                  </w:pPr>
                  <w:r>
                    <w:rPr>
                      <w:rFonts w:ascii="Times New Roman"/>
                      <w:color w:val="auto"/>
                      <w:szCs w:val="21"/>
                    </w:rPr>
                    <w:t>分子量</w:t>
                  </w:r>
                </w:p>
              </w:tc>
              <w:tc>
                <w:tcPr>
                  <w:tcW w:w="749" w:type="pct"/>
                  <w:tcBorders>
                    <w:tl2br w:val="nil"/>
                    <w:tr2bl w:val="nil"/>
                  </w:tcBorders>
                  <w:tcMar>
                    <w:top w:w="0" w:type="dxa"/>
                    <w:left w:w="0" w:type="dxa"/>
                    <w:bottom w:w="0" w:type="dxa"/>
                    <w:right w:w="0" w:type="dxa"/>
                  </w:tcMar>
                  <w:vAlign w:val="center"/>
                </w:tcPr>
                <w:p w14:paraId="6A7FB687">
                  <w:pPr>
                    <w:pStyle w:val="71"/>
                    <w:adjustRightInd/>
                    <w:snapToGrid/>
                    <w:spacing w:line="260" w:lineRule="exact"/>
                    <w:rPr>
                      <w:rFonts w:ascii="Times New Roman"/>
                      <w:color w:val="auto"/>
                      <w:szCs w:val="21"/>
                    </w:rPr>
                  </w:pPr>
                  <w:r>
                    <w:rPr>
                      <w:rFonts w:ascii="Times New Roman"/>
                      <w:color w:val="auto"/>
                      <w:szCs w:val="21"/>
                    </w:rPr>
                    <w:t>230~500</w:t>
                  </w:r>
                </w:p>
              </w:tc>
              <w:tc>
                <w:tcPr>
                  <w:tcW w:w="773" w:type="pct"/>
                  <w:gridSpan w:val="2"/>
                  <w:tcBorders>
                    <w:tl2br w:val="nil"/>
                    <w:tr2bl w:val="nil"/>
                  </w:tcBorders>
                  <w:tcMar>
                    <w:top w:w="0" w:type="dxa"/>
                    <w:left w:w="0" w:type="dxa"/>
                    <w:bottom w:w="0" w:type="dxa"/>
                    <w:right w:w="0" w:type="dxa"/>
                  </w:tcMar>
                  <w:vAlign w:val="center"/>
                </w:tcPr>
                <w:p w14:paraId="52944C26">
                  <w:pPr>
                    <w:pStyle w:val="71"/>
                    <w:adjustRightInd/>
                    <w:snapToGrid/>
                    <w:spacing w:line="260" w:lineRule="exact"/>
                    <w:rPr>
                      <w:rFonts w:ascii="Times New Roman"/>
                      <w:color w:val="auto"/>
                      <w:szCs w:val="21"/>
                    </w:rPr>
                  </w:pPr>
                  <w:r>
                    <w:rPr>
                      <w:rFonts w:ascii="Times New Roman"/>
                      <w:color w:val="auto"/>
                      <w:szCs w:val="21"/>
                    </w:rPr>
                    <w:t>UN编号</w:t>
                  </w:r>
                </w:p>
              </w:tc>
              <w:tc>
                <w:tcPr>
                  <w:tcW w:w="326" w:type="pct"/>
                  <w:tcBorders>
                    <w:tl2br w:val="nil"/>
                    <w:tr2bl w:val="nil"/>
                  </w:tcBorders>
                  <w:tcMar>
                    <w:top w:w="0" w:type="dxa"/>
                    <w:left w:w="0" w:type="dxa"/>
                    <w:bottom w:w="0" w:type="dxa"/>
                    <w:right w:w="0" w:type="dxa"/>
                  </w:tcMar>
                  <w:vAlign w:val="center"/>
                </w:tcPr>
                <w:p w14:paraId="28A25A87">
                  <w:pPr>
                    <w:pStyle w:val="71"/>
                    <w:adjustRightInd/>
                    <w:snapToGrid/>
                    <w:spacing w:line="260" w:lineRule="exact"/>
                    <w:rPr>
                      <w:rFonts w:ascii="Times New Roman"/>
                      <w:color w:val="auto"/>
                      <w:szCs w:val="21"/>
                    </w:rPr>
                  </w:pPr>
                  <w:r>
                    <w:rPr>
                      <w:rFonts w:ascii="Times New Roman"/>
                      <w:color w:val="auto"/>
                      <w:szCs w:val="21"/>
                    </w:rPr>
                    <w:t>/</w:t>
                  </w:r>
                </w:p>
              </w:tc>
              <w:tc>
                <w:tcPr>
                  <w:tcW w:w="687" w:type="pct"/>
                  <w:gridSpan w:val="2"/>
                  <w:tcBorders>
                    <w:tl2br w:val="nil"/>
                    <w:tr2bl w:val="nil"/>
                  </w:tcBorders>
                  <w:tcMar>
                    <w:top w:w="0" w:type="dxa"/>
                    <w:left w:w="0" w:type="dxa"/>
                    <w:bottom w:w="0" w:type="dxa"/>
                    <w:right w:w="0" w:type="dxa"/>
                  </w:tcMar>
                  <w:vAlign w:val="center"/>
                </w:tcPr>
                <w:p w14:paraId="67509EAA">
                  <w:pPr>
                    <w:pStyle w:val="71"/>
                    <w:adjustRightInd/>
                    <w:snapToGrid/>
                    <w:spacing w:line="260" w:lineRule="exact"/>
                    <w:rPr>
                      <w:rFonts w:ascii="Times New Roman"/>
                      <w:color w:val="auto"/>
                      <w:szCs w:val="21"/>
                    </w:rPr>
                  </w:pPr>
                  <w:r>
                    <w:rPr>
                      <w:rFonts w:ascii="Times New Roman"/>
                      <w:color w:val="auto"/>
                      <w:szCs w:val="21"/>
                    </w:rPr>
                    <w:t>CAS编号</w:t>
                  </w:r>
                </w:p>
              </w:tc>
              <w:tc>
                <w:tcPr>
                  <w:tcW w:w="494" w:type="pct"/>
                  <w:tcBorders>
                    <w:tl2br w:val="nil"/>
                    <w:tr2bl w:val="nil"/>
                  </w:tcBorders>
                  <w:tcMar>
                    <w:top w:w="0" w:type="dxa"/>
                    <w:left w:w="0" w:type="dxa"/>
                    <w:bottom w:w="0" w:type="dxa"/>
                    <w:right w:w="0" w:type="dxa"/>
                  </w:tcMar>
                  <w:vAlign w:val="center"/>
                </w:tcPr>
                <w:p w14:paraId="078206A7">
                  <w:pPr>
                    <w:pStyle w:val="71"/>
                    <w:adjustRightInd/>
                    <w:snapToGrid/>
                    <w:spacing w:line="260" w:lineRule="exact"/>
                    <w:rPr>
                      <w:rFonts w:ascii="Times New Roman"/>
                      <w:color w:val="auto"/>
                      <w:szCs w:val="21"/>
                    </w:rPr>
                  </w:pPr>
                  <w:r>
                    <w:rPr>
                      <w:rFonts w:ascii="Times New Roman"/>
                      <w:color w:val="auto"/>
                      <w:szCs w:val="21"/>
                    </w:rPr>
                    <w:t>/</w:t>
                  </w:r>
                </w:p>
              </w:tc>
            </w:tr>
            <w:tr w14:paraId="0300C5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6B5F22AD">
                  <w:pPr>
                    <w:pStyle w:val="71"/>
                    <w:adjustRightInd/>
                    <w:snapToGrid/>
                    <w:spacing w:line="260" w:lineRule="exact"/>
                    <w:rPr>
                      <w:rFonts w:ascii="Times New Roman"/>
                      <w:color w:val="auto"/>
                      <w:szCs w:val="21"/>
                    </w:rPr>
                  </w:pPr>
                </w:p>
              </w:tc>
              <w:tc>
                <w:tcPr>
                  <w:tcW w:w="412" w:type="pct"/>
                  <w:tcBorders>
                    <w:tl2br w:val="nil"/>
                    <w:tr2bl w:val="nil"/>
                  </w:tcBorders>
                  <w:tcMar>
                    <w:top w:w="0" w:type="dxa"/>
                    <w:left w:w="0" w:type="dxa"/>
                    <w:bottom w:w="0" w:type="dxa"/>
                    <w:right w:w="0" w:type="dxa"/>
                  </w:tcMar>
                  <w:vAlign w:val="center"/>
                </w:tcPr>
                <w:p w14:paraId="055B515F">
                  <w:pPr>
                    <w:pStyle w:val="71"/>
                    <w:adjustRightInd/>
                    <w:snapToGrid/>
                    <w:spacing w:line="260" w:lineRule="exact"/>
                    <w:rPr>
                      <w:rFonts w:ascii="Times New Roman"/>
                      <w:color w:val="auto"/>
                      <w:szCs w:val="21"/>
                    </w:rPr>
                  </w:pPr>
                  <w:r>
                    <w:rPr>
                      <w:rFonts w:ascii="Times New Roman"/>
                      <w:color w:val="auto"/>
                      <w:szCs w:val="21"/>
                    </w:rPr>
                    <w:t>性状</w:t>
                  </w:r>
                </w:p>
              </w:tc>
              <w:tc>
                <w:tcPr>
                  <w:tcW w:w="4255" w:type="pct"/>
                  <w:gridSpan w:val="9"/>
                  <w:tcBorders>
                    <w:tl2br w:val="nil"/>
                    <w:tr2bl w:val="nil"/>
                  </w:tcBorders>
                  <w:tcMar>
                    <w:top w:w="0" w:type="dxa"/>
                    <w:left w:w="0" w:type="dxa"/>
                    <w:bottom w:w="0" w:type="dxa"/>
                    <w:right w:w="0" w:type="dxa"/>
                  </w:tcMar>
                  <w:vAlign w:val="center"/>
                </w:tcPr>
                <w:p w14:paraId="38A8B1C0">
                  <w:pPr>
                    <w:pStyle w:val="71"/>
                    <w:adjustRightInd/>
                    <w:snapToGrid/>
                    <w:spacing w:line="260" w:lineRule="exact"/>
                    <w:rPr>
                      <w:rFonts w:ascii="Times New Roman"/>
                      <w:color w:val="auto"/>
                      <w:szCs w:val="21"/>
                    </w:rPr>
                  </w:pPr>
                  <w:r>
                    <w:rPr>
                      <w:rFonts w:ascii="Times New Roman"/>
                      <w:color w:val="auto"/>
                      <w:szCs w:val="21"/>
                    </w:rPr>
                    <w:t>油状液体，淡黄色至褐色，无气味或略带以为。</w:t>
                  </w:r>
                </w:p>
              </w:tc>
            </w:tr>
            <w:tr w14:paraId="58E16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52A4D8D9">
                  <w:pPr>
                    <w:pStyle w:val="71"/>
                    <w:adjustRightInd/>
                    <w:snapToGrid/>
                    <w:spacing w:line="260" w:lineRule="exact"/>
                    <w:rPr>
                      <w:rFonts w:ascii="Times New Roman"/>
                      <w:color w:val="auto"/>
                      <w:szCs w:val="21"/>
                    </w:rPr>
                  </w:pPr>
                </w:p>
              </w:tc>
              <w:tc>
                <w:tcPr>
                  <w:tcW w:w="848" w:type="pct"/>
                  <w:gridSpan w:val="2"/>
                  <w:tcBorders>
                    <w:tl2br w:val="nil"/>
                    <w:tr2bl w:val="nil"/>
                  </w:tcBorders>
                  <w:tcMar>
                    <w:top w:w="0" w:type="dxa"/>
                    <w:left w:w="0" w:type="dxa"/>
                    <w:bottom w:w="0" w:type="dxa"/>
                    <w:right w:w="0" w:type="dxa"/>
                  </w:tcMar>
                  <w:vAlign w:val="center"/>
                </w:tcPr>
                <w:p w14:paraId="7B75D9C2">
                  <w:pPr>
                    <w:pStyle w:val="71"/>
                    <w:adjustRightInd/>
                    <w:snapToGrid/>
                    <w:spacing w:line="260" w:lineRule="exact"/>
                    <w:rPr>
                      <w:rFonts w:ascii="Times New Roman"/>
                      <w:color w:val="auto"/>
                      <w:szCs w:val="21"/>
                    </w:rPr>
                  </w:pPr>
                  <w:r>
                    <w:rPr>
                      <w:rFonts w:ascii="Times New Roman"/>
                      <w:color w:val="auto"/>
                      <w:szCs w:val="21"/>
                    </w:rPr>
                    <w:t>溶解性</w:t>
                  </w:r>
                </w:p>
              </w:tc>
              <w:tc>
                <w:tcPr>
                  <w:tcW w:w="1538" w:type="pct"/>
                  <w:gridSpan w:val="2"/>
                  <w:tcBorders>
                    <w:tl2br w:val="nil"/>
                    <w:tr2bl w:val="nil"/>
                  </w:tcBorders>
                  <w:tcMar>
                    <w:top w:w="0" w:type="dxa"/>
                    <w:left w:w="0" w:type="dxa"/>
                    <w:bottom w:w="0" w:type="dxa"/>
                    <w:right w:w="0" w:type="dxa"/>
                  </w:tcMar>
                  <w:vAlign w:val="center"/>
                </w:tcPr>
                <w:p w14:paraId="236B010C">
                  <w:pPr>
                    <w:pStyle w:val="71"/>
                    <w:adjustRightInd/>
                    <w:snapToGrid/>
                    <w:spacing w:line="260" w:lineRule="exact"/>
                    <w:rPr>
                      <w:rFonts w:ascii="Times New Roman"/>
                      <w:color w:val="auto"/>
                      <w:szCs w:val="21"/>
                    </w:rPr>
                  </w:pPr>
                  <w:r>
                    <w:rPr>
                      <w:rFonts w:ascii="Times New Roman"/>
                      <w:color w:val="auto"/>
                      <w:szCs w:val="21"/>
                    </w:rPr>
                    <w:t>不溶于水</w:t>
                  </w:r>
                </w:p>
              </w:tc>
              <w:tc>
                <w:tcPr>
                  <w:tcW w:w="1787" w:type="pct"/>
                  <w:gridSpan w:val="5"/>
                  <w:tcBorders>
                    <w:tl2br w:val="nil"/>
                    <w:tr2bl w:val="nil"/>
                  </w:tcBorders>
                  <w:tcMar>
                    <w:top w:w="0" w:type="dxa"/>
                    <w:left w:w="0" w:type="dxa"/>
                    <w:bottom w:w="0" w:type="dxa"/>
                    <w:right w:w="0" w:type="dxa"/>
                  </w:tcMar>
                  <w:vAlign w:val="center"/>
                </w:tcPr>
                <w:p w14:paraId="43935B8F">
                  <w:pPr>
                    <w:pStyle w:val="71"/>
                    <w:adjustRightInd/>
                    <w:snapToGrid/>
                    <w:spacing w:line="260" w:lineRule="exact"/>
                    <w:rPr>
                      <w:rFonts w:ascii="Times New Roman"/>
                      <w:color w:val="auto"/>
                      <w:szCs w:val="21"/>
                    </w:rPr>
                  </w:pPr>
                  <w:r>
                    <w:rPr>
                      <w:rFonts w:ascii="Times New Roman"/>
                      <w:color w:val="auto"/>
                      <w:szCs w:val="21"/>
                    </w:rPr>
                    <w:t>相对密度（水=1）</w:t>
                  </w:r>
                </w:p>
              </w:tc>
              <w:tc>
                <w:tcPr>
                  <w:tcW w:w="494" w:type="pct"/>
                  <w:tcBorders>
                    <w:tl2br w:val="nil"/>
                    <w:tr2bl w:val="nil"/>
                  </w:tcBorders>
                  <w:tcMar>
                    <w:top w:w="0" w:type="dxa"/>
                    <w:left w:w="0" w:type="dxa"/>
                    <w:bottom w:w="0" w:type="dxa"/>
                    <w:right w:w="0" w:type="dxa"/>
                  </w:tcMar>
                  <w:vAlign w:val="center"/>
                </w:tcPr>
                <w:p w14:paraId="4FDBC6FF">
                  <w:pPr>
                    <w:pStyle w:val="71"/>
                    <w:adjustRightInd/>
                    <w:snapToGrid/>
                    <w:spacing w:line="260" w:lineRule="exact"/>
                    <w:rPr>
                      <w:rFonts w:ascii="Times New Roman"/>
                      <w:color w:val="auto"/>
                      <w:szCs w:val="21"/>
                    </w:rPr>
                  </w:pPr>
                  <w:r>
                    <w:rPr>
                      <w:rFonts w:hint="eastAsia" w:ascii="Times New Roman"/>
                      <w:color w:val="auto"/>
                      <w:szCs w:val="21"/>
                    </w:rPr>
                    <w:t>0.91×1</w:t>
                  </w:r>
                  <w:r>
                    <w:rPr>
                      <w:rFonts w:ascii="Times New Roman" w:hAnsi="Times New Roman" w:cs="Times New Roman"/>
                      <w:color w:val="auto"/>
                      <w:szCs w:val="21"/>
                    </w:rPr>
                    <w:t>0³kg/m³</w:t>
                  </w:r>
                </w:p>
              </w:tc>
            </w:tr>
            <w:tr w14:paraId="5DE8E6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restart"/>
                  <w:tcBorders>
                    <w:tl2br w:val="nil"/>
                    <w:tr2bl w:val="nil"/>
                  </w:tcBorders>
                  <w:tcMar>
                    <w:top w:w="0" w:type="dxa"/>
                    <w:left w:w="0" w:type="dxa"/>
                    <w:bottom w:w="0" w:type="dxa"/>
                    <w:right w:w="0" w:type="dxa"/>
                  </w:tcMar>
                  <w:vAlign w:val="center"/>
                </w:tcPr>
                <w:p w14:paraId="0EF8D3F5">
                  <w:pPr>
                    <w:pStyle w:val="71"/>
                    <w:adjustRightInd/>
                    <w:snapToGrid/>
                    <w:spacing w:line="260" w:lineRule="exact"/>
                    <w:rPr>
                      <w:rFonts w:ascii="Times New Roman"/>
                      <w:color w:val="auto"/>
                      <w:szCs w:val="21"/>
                    </w:rPr>
                  </w:pPr>
                  <w:r>
                    <w:rPr>
                      <w:rFonts w:ascii="Times New Roman"/>
                      <w:color w:val="auto"/>
                      <w:szCs w:val="21"/>
                    </w:rPr>
                    <w:t>燃烧爆炸危险性</w:t>
                  </w:r>
                </w:p>
              </w:tc>
              <w:tc>
                <w:tcPr>
                  <w:tcW w:w="848" w:type="pct"/>
                  <w:gridSpan w:val="2"/>
                  <w:tcBorders>
                    <w:tl2br w:val="nil"/>
                    <w:tr2bl w:val="nil"/>
                  </w:tcBorders>
                  <w:tcMar>
                    <w:top w:w="0" w:type="dxa"/>
                    <w:left w:w="0" w:type="dxa"/>
                    <w:bottom w:w="0" w:type="dxa"/>
                    <w:right w:w="0" w:type="dxa"/>
                  </w:tcMar>
                  <w:vAlign w:val="center"/>
                </w:tcPr>
                <w:p w14:paraId="453BE39D">
                  <w:pPr>
                    <w:pStyle w:val="71"/>
                    <w:adjustRightInd/>
                    <w:snapToGrid/>
                    <w:spacing w:line="260" w:lineRule="exact"/>
                    <w:rPr>
                      <w:rFonts w:ascii="Times New Roman"/>
                      <w:color w:val="auto"/>
                      <w:szCs w:val="21"/>
                    </w:rPr>
                  </w:pPr>
                  <w:r>
                    <w:rPr>
                      <w:rFonts w:ascii="Times New Roman"/>
                      <w:color w:val="auto"/>
                      <w:szCs w:val="21"/>
                    </w:rPr>
                    <w:t>燃烧性</w:t>
                  </w:r>
                </w:p>
              </w:tc>
              <w:tc>
                <w:tcPr>
                  <w:tcW w:w="1538" w:type="pct"/>
                  <w:gridSpan w:val="2"/>
                  <w:tcBorders>
                    <w:tl2br w:val="nil"/>
                    <w:tr2bl w:val="nil"/>
                  </w:tcBorders>
                  <w:tcMar>
                    <w:top w:w="0" w:type="dxa"/>
                    <w:left w:w="0" w:type="dxa"/>
                    <w:bottom w:w="0" w:type="dxa"/>
                    <w:right w:w="0" w:type="dxa"/>
                  </w:tcMar>
                  <w:vAlign w:val="center"/>
                </w:tcPr>
                <w:p w14:paraId="3725AABC">
                  <w:pPr>
                    <w:pStyle w:val="71"/>
                    <w:adjustRightInd/>
                    <w:snapToGrid/>
                    <w:spacing w:line="260" w:lineRule="exact"/>
                    <w:rPr>
                      <w:rFonts w:ascii="Times New Roman"/>
                      <w:color w:val="auto"/>
                      <w:szCs w:val="21"/>
                    </w:rPr>
                  </w:pPr>
                  <w:r>
                    <w:rPr>
                      <w:rFonts w:ascii="Times New Roman"/>
                      <w:color w:val="auto"/>
                      <w:szCs w:val="21"/>
                    </w:rPr>
                    <w:t>可燃</w:t>
                  </w:r>
                </w:p>
              </w:tc>
              <w:tc>
                <w:tcPr>
                  <w:tcW w:w="1485" w:type="pct"/>
                  <w:gridSpan w:val="4"/>
                  <w:tcBorders>
                    <w:tl2br w:val="nil"/>
                    <w:tr2bl w:val="nil"/>
                  </w:tcBorders>
                  <w:tcMar>
                    <w:top w:w="0" w:type="dxa"/>
                    <w:left w:w="0" w:type="dxa"/>
                    <w:bottom w:w="0" w:type="dxa"/>
                    <w:right w:w="0" w:type="dxa"/>
                  </w:tcMar>
                  <w:vAlign w:val="center"/>
                </w:tcPr>
                <w:p w14:paraId="032C2398">
                  <w:pPr>
                    <w:pStyle w:val="71"/>
                    <w:adjustRightInd/>
                    <w:snapToGrid/>
                    <w:spacing w:line="260" w:lineRule="exact"/>
                    <w:rPr>
                      <w:rFonts w:ascii="Times New Roman"/>
                      <w:color w:val="auto"/>
                      <w:szCs w:val="21"/>
                    </w:rPr>
                  </w:pPr>
                  <w:r>
                    <w:rPr>
                      <w:rFonts w:ascii="Times New Roman"/>
                      <w:color w:val="auto"/>
                      <w:szCs w:val="21"/>
                    </w:rPr>
                    <w:t>闪点（</w:t>
                  </w:r>
                  <w:r>
                    <w:rPr>
                      <w:rFonts w:hint="eastAsia" w:hAnsi="宋体" w:cs="宋体"/>
                      <w:color w:val="auto"/>
                      <w:szCs w:val="21"/>
                    </w:rPr>
                    <w:t>℃</w:t>
                  </w:r>
                  <w:r>
                    <w:rPr>
                      <w:rFonts w:ascii="Times New Roman"/>
                      <w:color w:val="auto"/>
                      <w:szCs w:val="21"/>
                    </w:rPr>
                    <w:t>）</w:t>
                  </w:r>
                </w:p>
              </w:tc>
              <w:tc>
                <w:tcPr>
                  <w:tcW w:w="796" w:type="pct"/>
                  <w:gridSpan w:val="2"/>
                  <w:tcBorders>
                    <w:tl2br w:val="nil"/>
                    <w:tr2bl w:val="nil"/>
                  </w:tcBorders>
                  <w:tcMar>
                    <w:top w:w="0" w:type="dxa"/>
                    <w:left w:w="0" w:type="dxa"/>
                    <w:bottom w:w="0" w:type="dxa"/>
                    <w:right w:w="0" w:type="dxa"/>
                  </w:tcMar>
                  <w:vAlign w:val="center"/>
                </w:tcPr>
                <w:p w14:paraId="3784447C">
                  <w:pPr>
                    <w:pStyle w:val="71"/>
                    <w:adjustRightInd/>
                    <w:snapToGrid/>
                    <w:spacing w:line="260" w:lineRule="exact"/>
                    <w:rPr>
                      <w:rFonts w:ascii="Times New Roman"/>
                      <w:color w:val="auto"/>
                      <w:szCs w:val="21"/>
                    </w:rPr>
                  </w:pPr>
                  <w:r>
                    <w:rPr>
                      <w:rFonts w:ascii="Times New Roman"/>
                      <w:color w:val="auto"/>
                      <w:szCs w:val="21"/>
                    </w:rPr>
                    <w:t>76</w:t>
                  </w:r>
                </w:p>
              </w:tc>
            </w:tr>
            <w:tr w14:paraId="784BE8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654F7B1F">
                  <w:pPr>
                    <w:pStyle w:val="71"/>
                    <w:adjustRightInd/>
                    <w:snapToGrid/>
                    <w:spacing w:line="260" w:lineRule="exact"/>
                    <w:rPr>
                      <w:rFonts w:ascii="Times New Roman"/>
                      <w:color w:val="auto"/>
                      <w:szCs w:val="21"/>
                    </w:rPr>
                  </w:pPr>
                </w:p>
              </w:tc>
              <w:tc>
                <w:tcPr>
                  <w:tcW w:w="848" w:type="pct"/>
                  <w:gridSpan w:val="2"/>
                  <w:tcBorders>
                    <w:tl2br w:val="nil"/>
                    <w:tr2bl w:val="nil"/>
                  </w:tcBorders>
                  <w:tcMar>
                    <w:top w:w="0" w:type="dxa"/>
                    <w:left w:w="0" w:type="dxa"/>
                    <w:bottom w:w="0" w:type="dxa"/>
                    <w:right w:w="0" w:type="dxa"/>
                  </w:tcMar>
                  <w:vAlign w:val="center"/>
                </w:tcPr>
                <w:p w14:paraId="0A2742F1">
                  <w:pPr>
                    <w:pStyle w:val="71"/>
                    <w:adjustRightInd/>
                    <w:snapToGrid/>
                    <w:spacing w:line="260" w:lineRule="exact"/>
                    <w:rPr>
                      <w:rFonts w:ascii="Times New Roman"/>
                      <w:color w:val="auto"/>
                      <w:szCs w:val="21"/>
                    </w:rPr>
                  </w:pPr>
                  <w:r>
                    <w:rPr>
                      <w:rFonts w:ascii="Times New Roman"/>
                      <w:color w:val="auto"/>
                      <w:szCs w:val="21"/>
                    </w:rPr>
                    <w:t>爆炸极限（%）</w:t>
                  </w:r>
                </w:p>
              </w:tc>
              <w:tc>
                <w:tcPr>
                  <w:tcW w:w="1538" w:type="pct"/>
                  <w:gridSpan w:val="2"/>
                  <w:tcBorders>
                    <w:tl2br w:val="nil"/>
                    <w:tr2bl w:val="nil"/>
                  </w:tcBorders>
                  <w:tcMar>
                    <w:top w:w="0" w:type="dxa"/>
                    <w:left w:w="0" w:type="dxa"/>
                    <w:bottom w:w="0" w:type="dxa"/>
                    <w:right w:w="0" w:type="dxa"/>
                  </w:tcMar>
                  <w:vAlign w:val="center"/>
                </w:tcPr>
                <w:p w14:paraId="2799E59A">
                  <w:pPr>
                    <w:pStyle w:val="71"/>
                    <w:adjustRightInd/>
                    <w:snapToGrid/>
                    <w:spacing w:line="260" w:lineRule="exact"/>
                    <w:rPr>
                      <w:rFonts w:ascii="Times New Roman"/>
                      <w:color w:val="auto"/>
                      <w:szCs w:val="21"/>
                    </w:rPr>
                  </w:pPr>
                  <w:r>
                    <w:rPr>
                      <w:rFonts w:ascii="Times New Roman"/>
                      <w:color w:val="auto"/>
                      <w:szCs w:val="21"/>
                    </w:rPr>
                    <w:t>无资料</w:t>
                  </w:r>
                </w:p>
              </w:tc>
              <w:tc>
                <w:tcPr>
                  <w:tcW w:w="1485" w:type="pct"/>
                  <w:gridSpan w:val="4"/>
                  <w:tcBorders>
                    <w:tl2br w:val="nil"/>
                    <w:tr2bl w:val="nil"/>
                  </w:tcBorders>
                  <w:tcMar>
                    <w:top w:w="0" w:type="dxa"/>
                    <w:left w:w="0" w:type="dxa"/>
                    <w:bottom w:w="0" w:type="dxa"/>
                    <w:right w:w="0" w:type="dxa"/>
                  </w:tcMar>
                  <w:vAlign w:val="center"/>
                </w:tcPr>
                <w:p w14:paraId="228C39FF">
                  <w:pPr>
                    <w:pStyle w:val="71"/>
                    <w:adjustRightInd/>
                    <w:snapToGrid/>
                    <w:spacing w:line="260" w:lineRule="exact"/>
                    <w:rPr>
                      <w:rFonts w:ascii="Times New Roman"/>
                      <w:color w:val="auto"/>
                      <w:szCs w:val="21"/>
                    </w:rPr>
                  </w:pPr>
                  <w:r>
                    <w:rPr>
                      <w:rFonts w:ascii="Times New Roman"/>
                      <w:color w:val="auto"/>
                      <w:szCs w:val="21"/>
                    </w:rPr>
                    <w:t>最小点火能（MJ）</w:t>
                  </w:r>
                </w:p>
              </w:tc>
              <w:tc>
                <w:tcPr>
                  <w:tcW w:w="796" w:type="pct"/>
                  <w:gridSpan w:val="2"/>
                  <w:tcBorders>
                    <w:tl2br w:val="nil"/>
                    <w:tr2bl w:val="nil"/>
                  </w:tcBorders>
                  <w:tcMar>
                    <w:top w:w="0" w:type="dxa"/>
                    <w:left w:w="0" w:type="dxa"/>
                    <w:bottom w:w="0" w:type="dxa"/>
                    <w:right w:w="0" w:type="dxa"/>
                  </w:tcMar>
                  <w:vAlign w:val="center"/>
                </w:tcPr>
                <w:p w14:paraId="6C192666">
                  <w:pPr>
                    <w:pStyle w:val="71"/>
                    <w:adjustRightInd/>
                    <w:snapToGrid/>
                    <w:spacing w:line="260" w:lineRule="exact"/>
                    <w:rPr>
                      <w:rFonts w:ascii="Times New Roman"/>
                      <w:color w:val="auto"/>
                      <w:szCs w:val="21"/>
                    </w:rPr>
                  </w:pPr>
                </w:p>
              </w:tc>
            </w:tr>
            <w:tr w14:paraId="3ABEC2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2FA42928">
                  <w:pPr>
                    <w:pStyle w:val="71"/>
                    <w:adjustRightInd/>
                    <w:snapToGrid/>
                    <w:spacing w:line="260" w:lineRule="exact"/>
                    <w:rPr>
                      <w:rFonts w:ascii="Times New Roman"/>
                      <w:color w:val="auto"/>
                      <w:szCs w:val="21"/>
                    </w:rPr>
                  </w:pPr>
                </w:p>
              </w:tc>
              <w:tc>
                <w:tcPr>
                  <w:tcW w:w="848" w:type="pct"/>
                  <w:gridSpan w:val="2"/>
                  <w:tcBorders>
                    <w:tl2br w:val="nil"/>
                    <w:tr2bl w:val="nil"/>
                  </w:tcBorders>
                  <w:tcMar>
                    <w:top w:w="0" w:type="dxa"/>
                    <w:left w:w="0" w:type="dxa"/>
                    <w:bottom w:w="0" w:type="dxa"/>
                    <w:right w:w="0" w:type="dxa"/>
                  </w:tcMar>
                  <w:vAlign w:val="center"/>
                </w:tcPr>
                <w:p w14:paraId="1C68DD9C">
                  <w:pPr>
                    <w:pStyle w:val="71"/>
                    <w:adjustRightInd/>
                    <w:snapToGrid/>
                    <w:spacing w:line="260" w:lineRule="exact"/>
                    <w:rPr>
                      <w:rFonts w:ascii="Times New Roman"/>
                      <w:color w:val="auto"/>
                      <w:szCs w:val="21"/>
                    </w:rPr>
                  </w:pPr>
                  <w:r>
                    <w:rPr>
                      <w:rFonts w:ascii="Times New Roman"/>
                      <w:color w:val="auto"/>
                      <w:szCs w:val="21"/>
                    </w:rPr>
                    <w:t>引燃温度（</w:t>
                  </w:r>
                  <w:r>
                    <w:rPr>
                      <w:rFonts w:hint="eastAsia" w:hAnsi="宋体" w:cs="宋体"/>
                      <w:color w:val="auto"/>
                      <w:szCs w:val="21"/>
                    </w:rPr>
                    <w:t>℃</w:t>
                  </w:r>
                  <w:r>
                    <w:rPr>
                      <w:rFonts w:ascii="Times New Roman"/>
                      <w:color w:val="auto"/>
                      <w:szCs w:val="21"/>
                    </w:rPr>
                    <w:t>）</w:t>
                  </w:r>
                </w:p>
              </w:tc>
              <w:tc>
                <w:tcPr>
                  <w:tcW w:w="1538" w:type="pct"/>
                  <w:gridSpan w:val="2"/>
                  <w:tcBorders>
                    <w:tl2br w:val="nil"/>
                    <w:tr2bl w:val="nil"/>
                  </w:tcBorders>
                  <w:tcMar>
                    <w:top w:w="0" w:type="dxa"/>
                    <w:left w:w="0" w:type="dxa"/>
                    <w:bottom w:w="0" w:type="dxa"/>
                    <w:right w:w="0" w:type="dxa"/>
                  </w:tcMar>
                  <w:vAlign w:val="center"/>
                </w:tcPr>
                <w:p w14:paraId="361BFFBC">
                  <w:pPr>
                    <w:pStyle w:val="71"/>
                    <w:adjustRightInd/>
                    <w:snapToGrid/>
                    <w:spacing w:line="260" w:lineRule="exact"/>
                    <w:rPr>
                      <w:rFonts w:ascii="Times New Roman"/>
                      <w:color w:val="auto"/>
                      <w:szCs w:val="21"/>
                    </w:rPr>
                  </w:pPr>
                  <w:r>
                    <w:rPr>
                      <w:rFonts w:ascii="Times New Roman"/>
                      <w:color w:val="auto"/>
                      <w:szCs w:val="21"/>
                    </w:rPr>
                    <w:t>248</w:t>
                  </w:r>
                </w:p>
              </w:tc>
              <w:tc>
                <w:tcPr>
                  <w:tcW w:w="1485" w:type="pct"/>
                  <w:gridSpan w:val="4"/>
                  <w:tcBorders>
                    <w:tl2br w:val="nil"/>
                    <w:tr2bl w:val="nil"/>
                  </w:tcBorders>
                  <w:tcMar>
                    <w:top w:w="0" w:type="dxa"/>
                    <w:left w:w="0" w:type="dxa"/>
                    <w:bottom w:w="0" w:type="dxa"/>
                    <w:right w:w="0" w:type="dxa"/>
                  </w:tcMar>
                  <w:vAlign w:val="center"/>
                </w:tcPr>
                <w:p w14:paraId="13910A14">
                  <w:pPr>
                    <w:pStyle w:val="71"/>
                    <w:adjustRightInd/>
                    <w:snapToGrid/>
                    <w:spacing w:line="260" w:lineRule="exact"/>
                    <w:rPr>
                      <w:rFonts w:ascii="Times New Roman"/>
                      <w:color w:val="auto"/>
                      <w:szCs w:val="21"/>
                    </w:rPr>
                  </w:pPr>
                  <w:r>
                    <w:rPr>
                      <w:rFonts w:ascii="Times New Roman"/>
                      <w:color w:val="auto"/>
                      <w:szCs w:val="21"/>
                    </w:rPr>
                    <w:t>最大爆炸压力（MPa）</w:t>
                  </w:r>
                </w:p>
              </w:tc>
              <w:tc>
                <w:tcPr>
                  <w:tcW w:w="796" w:type="pct"/>
                  <w:gridSpan w:val="2"/>
                  <w:tcBorders>
                    <w:tl2br w:val="nil"/>
                    <w:tr2bl w:val="nil"/>
                  </w:tcBorders>
                  <w:tcMar>
                    <w:top w:w="0" w:type="dxa"/>
                    <w:left w:w="0" w:type="dxa"/>
                    <w:bottom w:w="0" w:type="dxa"/>
                    <w:right w:w="0" w:type="dxa"/>
                  </w:tcMar>
                  <w:vAlign w:val="center"/>
                </w:tcPr>
                <w:p w14:paraId="2022640D">
                  <w:pPr>
                    <w:pStyle w:val="71"/>
                    <w:adjustRightInd/>
                    <w:snapToGrid/>
                    <w:spacing w:line="260" w:lineRule="exact"/>
                    <w:rPr>
                      <w:rFonts w:ascii="Times New Roman"/>
                      <w:color w:val="auto"/>
                      <w:szCs w:val="21"/>
                    </w:rPr>
                  </w:pPr>
                </w:p>
              </w:tc>
            </w:tr>
            <w:tr w14:paraId="5798E9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391B8E8F">
                  <w:pPr>
                    <w:pStyle w:val="71"/>
                    <w:adjustRightInd/>
                    <w:snapToGrid/>
                    <w:spacing w:line="260" w:lineRule="exact"/>
                    <w:rPr>
                      <w:rFonts w:ascii="Times New Roman"/>
                      <w:color w:val="auto"/>
                      <w:szCs w:val="21"/>
                    </w:rPr>
                  </w:pPr>
                </w:p>
              </w:tc>
              <w:tc>
                <w:tcPr>
                  <w:tcW w:w="848" w:type="pct"/>
                  <w:gridSpan w:val="2"/>
                  <w:tcBorders>
                    <w:tl2br w:val="nil"/>
                    <w:tr2bl w:val="nil"/>
                  </w:tcBorders>
                  <w:tcMar>
                    <w:top w:w="0" w:type="dxa"/>
                    <w:left w:w="0" w:type="dxa"/>
                    <w:bottom w:w="0" w:type="dxa"/>
                    <w:right w:w="0" w:type="dxa"/>
                  </w:tcMar>
                  <w:vAlign w:val="center"/>
                </w:tcPr>
                <w:p w14:paraId="51BC7ABC">
                  <w:pPr>
                    <w:pStyle w:val="71"/>
                    <w:adjustRightInd/>
                    <w:snapToGrid/>
                    <w:spacing w:line="260" w:lineRule="exact"/>
                    <w:rPr>
                      <w:rFonts w:ascii="Times New Roman"/>
                      <w:color w:val="auto"/>
                      <w:szCs w:val="21"/>
                    </w:rPr>
                  </w:pPr>
                  <w:r>
                    <w:rPr>
                      <w:rFonts w:ascii="Times New Roman"/>
                      <w:color w:val="auto"/>
                      <w:szCs w:val="21"/>
                    </w:rPr>
                    <w:t>危险特性</w:t>
                  </w:r>
                </w:p>
              </w:tc>
              <w:tc>
                <w:tcPr>
                  <w:tcW w:w="3820" w:type="pct"/>
                  <w:gridSpan w:val="8"/>
                  <w:tcBorders>
                    <w:tl2br w:val="nil"/>
                    <w:tr2bl w:val="nil"/>
                  </w:tcBorders>
                  <w:tcMar>
                    <w:top w:w="0" w:type="dxa"/>
                    <w:left w:w="0" w:type="dxa"/>
                    <w:bottom w:w="0" w:type="dxa"/>
                    <w:right w:w="0" w:type="dxa"/>
                  </w:tcMar>
                  <w:vAlign w:val="center"/>
                </w:tcPr>
                <w:p w14:paraId="685D9588">
                  <w:pPr>
                    <w:pStyle w:val="71"/>
                    <w:adjustRightInd/>
                    <w:snapToGrid/>
                    <w:spacing w:line="260" w:lineRule="exact"/>
                    <w:rPr>
                      <w:rFonts w:ascii="Times New Roman"/>
                      <w:color w:val="auto"/>
                      <w:szCs w:val="21"/>
                    </w:rPr>
                  </w:pPr>
                  <w:r>
                    <w:rPr>
                      <w:rFonts w:ascii="Times New Roman"/>
                      <w:color w:val="auto"/>
                      <w:szCs w:val="21"/>
                    </w:rPr>
                    <w:t>遇明火、高热可燃。</w:t>
                  </w:r>
                </w:p>
              </w:tc>
            </w:tr>
            <w:tr w14:paraId="6787DC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37906DB2">
                  <w:pPr>
                    <w:pStyle w:val="71"/>
                    <w:adjustRightInd/>
                    <w:snapToGrid/>
                    <w:spacing w:line="260" w:lineRule="exact"/>
                    <w:rPr>
                      <w:rFonts w:ascii="Times New Roman"/>
                      <w:color w:val="auto"/>
                      <w:szCs w:val="21"/>
                    </w:rPr>
                  </w:pPr>
                </w:p>
              </w:tc>
              <w:tc>
                <w:tcPr>
                  <w:tcW w:w="848" w:type="pct"/>
                  <w:gridSpan w:val="2"/>
                  <w:tcBorders>
                    <w:tl2br w:val="nil"/>
                    <w:tr2bl w:val="nil"/>
                  </w:tcBorders>
                  <w:tcMar>
                    <w:top w:w="0" w:type="dxa"/>
                    <w:left w:w="0" w:type="dxa"/>
                    <w:bottom w:w="0" w:type="dxa"/>
                    <w:right w:w="0" w:type="dxa"/>
                  </w:tcMar>
                  <w:vAlign w:val="center"/>
                </w:tcPr>
                <w:p w14:paraId="625A6BDC">
                  <w:pPr>
                    <w:pStyle w:val="71"/>
                    <w:adjustRightInd/>
                    <w:snapToGrid/>
                    <w:spacing w:line="260" w:lineRule="exact"/>
                    <w:rPr>
                      <w:rFonts w:ascii="Times New Roman"/>
                      <w:color w:val="auto"/>
                      <w:szCs w:val="21"/>
                    </w:rPr>
                  </w:pPr>
                  <w:r>
                    <w:rPr>
                      <w:rFonts w:ascii="Times New Roman"/>
                      <w:color w:val="auto"/>
                      <w:szCs w:val="21"/>
                    </w:rPr>
                    <w:t>灭火方法</w:t>
                  </w:r>
                </w:p>
              </w:tc>
              <w:tc>
                <w:tcPr>
                  <w:tcW w:w="3820" w:type="pct"/>
                  <w:gridSpan w:val="8"/>
                  <w:tcBorders>
                    <w:tl2br w:val="nil"/>
                    <w:tr2bl w:val="nil"/>
                  </w:tcBorders>
                  <w:tcMar>
                    <w:top w:w="0" w:type="dxa"/>
                    <w:left w:w="0" w:type="dxa"/>
                    <w:bottom w:w="0" w:type="dxa"/>
                    <w:right w:w="0" w:type="dxa"/>
                  </w:tcMar>
                  <w:vAlign w:val="center"/>
                </w:tcPr>
                <w:p w14:paraId="07D32345">
                  <w:pPr>
                    <w:pStyle w:val="71"/>
                    <w:adjustRightInd/>
                    <w:snapToGrid/>
                    <w:spacing w:line="260" w:lineRule="exact"/>
                    <w:rPr>
                      <w:rFonts w:ascii="Times New Roman"/>
                      <w:color w:val="auto"/>
                      <w:szCs w:val="21"/>
                    </w:rPr>
                  </w:pPr>
                  <w:r>
                    <w:rPr>
                      <w:rFonts w:ascii="Times New Roman"/>
                      <w:color w:val="auto"/>
                      <w:szCs w:val="21"/>
                    </w:rPr>
                    <w:t>消防人员须佩戴防毒面具、穿全身消防服，在上风向灭火。尽可能将容器从火场移至空旷处。喷水保持火场容器冷却，直至灭火结束。处在火场中的容器若已变色从安全泄压装置中产生声音，必须马上撤离。灭火剂：雾状水、泡沫、干粉、二氧化碳、砂土。</w:t>
                  </w:r>
                </w:p>
              </w:tc>
            </w:tr>
            <w:tr w14:paraId="543719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55F8DCC8">
                  <w:pPr>
                    <w:pStyle w:val="71"/>
                    <w:adjustRightInd/>
                    <w:snapToGrid/>
                    <w:spacing w:line="260" w:lineRule="exact"/>
                    <w:rPr>
                      <w:rFonts w:ascii="Times New Roman"/>
                      <w:color w:val="auto"/>
                      <w:szCs w:val="21"/>
                    </w:rPr>
                  </w:pPr>
                </w:p>
              </w:tc>
              <w:tc>
                <w:tcPr>
                  <w:tcW w:w="848" w:type="pct"/>
                  <w:gridSpan w:val="2"/>
                  <w:tcBorders>
                    <w:tl2br w:val="nil"/>
                    <w:tr2bl w:val="nil"/>
                  </w:tcBorders>
                  <w:tcMar>
                    <w:top w:w="0" w:type="dxa"/>
                    <w:left w:w="0" w:type="dxa"/>
                    <w:bottom w:w="0" w:type="dxa"/>
                    <w:right w:w="0" w:type="dxa"/>
                  </w:tcMar>
                  <w:vAlign w:val="center"/>
                </w:tcPr>
                <w:p w14:paraId="5F1BF1EF">
                  <w:pPr>
                    <w:pStyle w:val="71"/>
                    <w:adjustRightInd/>
                    <w:snapToGrid/>
                    <w:spacing w:line="260" w:lineRule="exact"/>
                    <w:rPr>
                      <w:rFonts w:ascii="Times New Roman"/>
                      <w:color w:val="auto"/>
                      <w:szCs w:val="21"/>
                    </w:rPr>
                  </w:pPr>
                  <w:r>
                    <w:rPr>
                      <w:rFonts w:ascii="Times New Roman"/>
                      <w:color w:val="auto"/>
                      <w:szCs w:val="21"/>
                    </w:rPr>
                    <w:t>禁忌物</w:t>
                  </w:r>
                </w:p>
              </w:tc>
              <w:tc>
                <w:tcPr>
                  <w:tcW w:w="1538" w:type="pct"/>
                  <w:gridSpan w:val="2"/>
                  <w:tcBorders>
                    <w:tl2br w:val="nil"/>
                    <w:tr2bl w:val="nil"/>
                  </w:tcBorders>
                  <w:tcMar>
                    <w:top w:w="0" w:type="dxa"/>
                    <w:left w:w="0" w:type="dxa"/>
                    <w:bottom w:w="0" w:type="dxa"/>
                    <w:right w:w="0" w:type="dxa"/>
                  </w:tcMar>
                  <w:vAlign w:val="center"/>
                </w:tcPr>
                <w:p w14:paraId="3DB1A63C">
                  <w:pPr>
                    <w:pStyle w:val="71"/>
                    <w:adjustRightInd/>
                    <w:snapToGrid/>
                    <w:spacing w:line="260" w:lineRule="exact"/>
                    <w:rPr>
                      <w:rFonts w:ascii="Times New Roman"/>
                      <w:color w:val="auto"/>
                      <w:szCs w:val="21"/>
                    </w:rPr>
                  </w:pPr>
                </w:p>
              </w:tc>
              <w:tc>
                <w:tcPr>
                  <w:tcW w:w="1485" w:type="pct"/>
                  <w:gridSpan w:val="4"/>
                  <w:tcBorders>
                    <w:tl2br w:val="nil"/>
                    <w:tr2bl w:val="nil"/>
                  </w:tcBorders>
                  <w:tcMar>
                    <w:top w:w="0" w:type="dxa"/>
                    <w:left w:w="0" w:type="dxa"/>
                    <w:bottom w:w="0" w:type="dxa"/>
                    <w:right w:w="0" w:type="dxa"/>
                  </w:tcMar>
                  <w:vAlign w:val="center"/>
                </w:tcPr>
                <w:p w14:paraId="54183F24">
                  <w:pPr>
                    <w:pStyle w:val="71"/>
                    <w:adjustRightInd/>
                    <w:snapToGrid/>
                    <w:spacing w:line="260" w:lineRule="exact"/>
                    <w:rPr>
                      <w:rFonts w:ascii="Times New Roman"/>
                      <w:color w:val="auto"/>
                      <w:szCs w:val="21"/>
                    </w:rPr>
                  </w:pPr>
                  <w:r>
                    <w:rPr>
                      <w:rFonts w:ascii="Times New Roman"/>
                      <w:color w:val="auto"/>
                      <w:szCs w:val="21"/>
                    </w:rPr>
                    <w:t>稳定性</w:t>
                  </w:r>
                </w:p>
              </w:tc>
              <w:tc>
                <w:tcPr>
                  <w:tcW w:w="796" w:type="pct"/>
                  <w:gridSpan w:val="2"/>
                  <w:tcBorders>
                    <w:tl2br w:val="nil"/>
                    <w:tr2bl w:val="nil"/>
                  </w:tcBorders>
                  <w:tcMar>
                    <w:top w:w="0" w:type="dxa"/>
                    <w:left w:w="0" w:type="dxa"/>
                    <w:bottom w:w="0" w:type="dxa"/>
                    <w:right w:w="0" w:type="dxa"/>
                  </w:tcMar>
                  <w:vAlign w:val="center"/>
                </w:tcPr>
                <w:p w14:paraId="1CE291B6">
                  <w:pPr>
                    <w:pStyle w:val="71"/>
                    <w:adjustRightInd/>
                    <w:snapToGrid/>
                    <w:spacing w:line="260" w:lineRule="exact"/>
                    <w:rPr>
                      <w:rFonts w:ascii="Times New Roman"/>
                      <w:color w:val="auto"/>
                      <w:szCs w:val="21"/>
                    </w:rPr>
                  </w:pPr>
                  <w:r>
                    <w:rPr>
                      <w:rFonts w:ascii="Times New Roman"/>
                      <w:color w:val="auto"/>
                      <w:szCs w:val="21"/>
                    </w:rPr>
                    <w:t>稳定</w:t>
                  </w:r>
                </w:p>
              </w:tc>
            </w:tr>
            <w:tr w14:paraId="44EAC9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5747D4AF">
                  <w:pPr>
                    <w:pStyle w:val="71"/>
                    <w:adjustRightInd/>
                    <w:snapToGrid/>
                    <w:spacing w:line="260" w:lineRule="exact"/>
                    <w:rPr>
                      <w:rFonts w:ascii="Times New Roman"/>
                      <w:color w:val="auto"/>
                      <w:szCs w:val="21"/>
                    </w:rPr>
                  </w:pPr>
                </w:p>
              </w:tc>
              <w:tc>
                <w:tcPr>
                  <w:tcW w:w="848" w:type="pct"/>
                  <w:gridSpan w:val="2"/>
                  <w:tcBorders>
                    <w:tl2br w:val="nil"/>
                    <w:tr2bl w:val="nil"/>
                  </w:tcBorders>
                  <w:tcMar>
                    <w:top w:w="0" w:type="dxa"/>
                    <w:left w:w="0" w:type="dxa"/>
                    <w:bottom w:w="0" w:type="dxa"/>
                    <w:right w:w="0" w:type="dxa"/>
                  </w:tcMar>
                  <w:vAlign w:val="center"/>
                </w:tcPr>
                <w:p w14:paraId="66D5C6A4">
                  <w:pPr>
                    <w:pStyle w:val="71"/>
                    <w:adjustRightInd/>
                    <w:snapToGrid/>
                    <w:spacing w:line="260" w:lineRule="exact"/>
                    <w:rPr>
                      <w:rFonts w:ascii="Times New Roman"/>
                      <w:color w:val="auto"/>
                      <w:szCs w:val="21"/>
                    </w:rPr>
                  </w:pPr>
                  <w:r>
                    <w:rPr>
                      <w:rFonts w:ascii="Times New Roman"/>
                      <w:color w:val="auto"/>
                      <w:szCs w:val="21"/>
                    </w:rPr>
                    <w:t>燃烧产物</w:t>
                  </w:r>
                </w:p>
              </w:tc>
              <w:tc>
                <w:tcPr>
                  <w:tcW w:w="1538" w:type="pct"/>
                  <w:gridSpan w:val="2"/>
                  <w:tcBorders>
                    <w:tl2br w:val="nil"/>
                    <w:tr2bl w:val="nil"/>
                  </w:tcBorders>
                  <w:tcMar>
                    <w:top w:w="0" w:type="dxa"/>
                    <w:left w:w="0" w:type="dxa"/>
                    <w:bottom w:w="0" w:type="dxa"/>
                    <w:right w:w="0" w:type="dxa"/>
                  </w:tcMar>
                  <w:vAlign w:val="center"/>
                </w:tcPr>
                <w:p w14:paraId="673BC3AC">
                  <w:pPr>
                    <w:pStyle w:val="71"/>
                    <w:adjustRightInd/>
                    <w:snapToGrid/>
                    <w:spacing w:line="260" w:lineRule="exact"/>
                    <w:rPr>
                      <w:rFonts w:ascii="Times New Roman"/>
                      <w:color w:val="auto"/>
                      <w:szCs w:val="21"/>
                    </w:rPr>
                  </w:pPr>
                  <w:r>
                    <w:rPr>
                      <w:rFonts w:ascii="Times New Roman"/>
                      <w:color w:val="auto"/>
                      <w:szCs w:val="21"/>
                    </w:rPr>
                    <w:t>一氧化碳、二氧化碳</w:t>
                  </w:r>
                </w:p>
              </w:tc>
              <w:tc>
                <w:tcPr>
                  <w:tcW w:w="1485" w:type="pct"/>
                  <w:gridSpan w:val="4"/>
                  <w:tcBorders>
                    <w:tl2br w:val="nil"/>
                    <w:tr2bl w:val="nil"/>
                  </w:tcBorders>
                  <w:tcMar>
                    <w:top w:w="0" w:type="dxa"/>
                    <w:left w:w="0" w:type="dxa"/>
                    <w:bottom w:w="0" w:type="dxa"/>
                    <w:right w:w="0" w:type="dxa"/>
                  </w:tcMar>
                  <w:vAlign w:val="center"/>
                </w:tcPr>
                <w:p w14:paraId="6F9572D5">
                  <w:pPr>
                    <w:pStyle w:val="71"/>
                    <w:adjustRightInd/>
                    <w:snapToGrid/>
                    <w:spacing w:line="260" w:lineRule="exact"/>
                    <w:rPr>
                      <w:rFonts w:ascii="Times New Roman"/>
                      <w:color w:val="auto"/>
                      <w:szCs w:val="21"/>
                    </w:rPr>
                  </w:pPr>
                  <w:r>
                    <w:rPr>
                      <w:rFonts w:ascii="Times New Roman"/>
                      <w:color w:val="auto"/>
                      <w:szCs w:val="21"/>
                    </w:rPr>
                    <w:t>聚合危害</w:t>
                  </w:r>
                </w:p>
              </w:tc>
              <w:tc>
                <w:tcPr>
                  <w:tcW w:w="796" w:type="pct"/>
                  <w:gridSpan w:val="2"/>
                  <w:tcBorders>
                    <w:tl2br w:val="nil"/>
                    <w:tr2bl w:val="nil"/>
                  </w:tcBorders>
                  <w:tcMar>
                    <w:top w:w="0" w:type="dxa"/>
                    <w:left w:w="0" w:type="dxa"/>
                    <w:bottom w:w="0" w:type="dxa"/>
                    <w:right w:w="0" w:type="dxa"/>
                  </w:tcMar>
                  <w:vAlign w:val="center"/>
                </w:tcPr>
                <w:p w14:paraId="26881432">
                  <w:pPr>
                    <w:pStyle w:val="71"/>
                    <w:adjustRightInd/>
                    <w:snapToGrid/>
                    <w:spacing w:line="260" w:lineRule="exact"/>
                    <w:rPr>
                      <w:rFonts w:ascii="Times New Roman"/>
                      <w:color w:val="auto"/>
                      <w:szCs w:val="21"/>
                    </w:rPr>
                  </w:pPr>
                  <w:r>
                    <w:rPr>
                      <w:rFonts w:ascii="Times New Roman"/>
                      <w:color w:val="auto"/>
                      <w:szCs w:val="21"/>
                    </w:rPr>
                    <w:t>不聚合</w:t>
                  </w:r>
                </w:p>
              </w:tc>
            </w:tr>
            <w:tr w14:paraId="63DC39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restart"/>
                  <w:tcBorders>
                    <w:tl2br w:val="nil"/>
                    <w:tr2bl w:val="nil"/>
                  </w:tcBorders>
                  <w:tcMar>
                    <w:top w:w="0" w:type="dxa"/>
                    <w:left w:w="0" w:type="dxa"/>
                    <w:bottom w:w="0" w:type="dxa"/>
                    <w:right w:w="0" w:type="dxa"/>
                  </w:tcMar>
                  <w:vAlign w:val="center"/>
                </w:tcPr>
                <w:p w14:paraId="2E35A746">
                  <w:pPr>
                    <w:pStyle w:val="71"/>
                    <w:adjustRightInd/>
                    <w:snapToGrid/>
                    <w:spacing w:line="260" w:lineRule="exact"/>
                    <w:rPr>
                      <w:rFonts w:ascii="Times New Roman"/>
                      <w:color w:val="auto"/>
                      <w:szCs w:val="21"/>
                    </w:rPr>
                  </w:pPr>
                  <w:r>
                    <w:rPr>
                      <w:rFonts w:ascii="Times New Roman"/>
                      <w:color w:val="auto"/>
                      <w:szCs w:val="21"/>
                    </w:rPr>
                    <w:t>毒性及健康危害</w:t>
                  </w:r>
                </w:p>
              </w:tc>
              <w:tc>
                <w:tcPr>
                  <w:tcW w:w="848" w:type="pct"/>
                  <w:gridSpan w:val="2"/>
                  <w:tcBorders>
                    <w:tl2br w:val="nil"/>
                    <w:tr2bl w:val="nil"/>
                  </w:tcBorders>
                  <w:tcMar>
                    <w:top w:w="0" w:type="dxa"/>
                    <w:left w:w="0" w:type="dxa"/>
                    <w:bottom w:w="0" w:type="dxa"/>
                    <w:right w:w="0" w:type="dxa"/>
                  </w:tcMar>
                  <w:vAlign w:val="center"/>
                </w:tcPr>
                <w:p w14:paraId="3A59084C">
                  <w:pPr>
                    <w:pStyle w:val="71"/>
                    <w:adjustRightInd/>
                    <w:snapToGrid/>
                    <w:spacing w:line="260" w:lineRule="exact"/>
                    <w:rPr>
                      <w:rFonts w:ascii="Times New Roman"/>
                      <w:color w:val="auto"/>
                      <w:szCs w:val="21"/>
                    </w:rPr>
                  </w:pPr>
                  <w:r>
                    <w:rPr>
                      <w:rFonts w:ascii="Times New Roman"/>
                      <w:color w:val="auto"/>
                      <w:szCs w:val="21"/>
                    </w:rPr>
                    <w:t>急性毒性</w:t>
                  </w:r>
                </w:p>
              </w:tc>
              <w:tc>
                <w:tcPr>
                  <w:tcW w:w="1538" w:type="pct"/>
                  <w:gridSpan w:val="2"/>
                  <w:tcBorders>
                    <w:tl2br w:val="nil"/>
                    <w:tr2bl w:val="nil"/>
                  </w:tcBorders>
                  <w:tcMar>
                    <w:top w:w="0" w:type="dxa"/>
                    <w:left w:w="0" w:type="dxa"/>
                    <w:bottom w:w="0" w:type="dxa"/>
                    <w:right w:w="0" w:type="dxa"/>
                  </w:tcMar>
                  <w:vAlign w:val="center"/>
                </w:tcPr>
                <w:p w14:paraId="349509D1">
                  <w:pPr>
                    <w:pStyle w:val="71"/>
                    <w:adjustRightInd/>
                    <w:snapToGrid/>
                    <w:spacing w:line="260" w:lineRule="exact"/>
                    <w:rPr>
                      <w:rFonts w:ascii="Times New Roman"/>
                      <w:color w:val="auto"/>
                      <w:szCs w:val="21"/>
                    </w:rPr>
                  </w:pPr>
                  <w:r>
                    <w:rPr>
                      <w:rFonts w:ascii="Times New Roman"/>
                      <w:color w:val="auto"/>
                      <w:szCs w:val="21"/>
                    </w:rPr>
                    <w:t>LD</w:t>
                  </w:r>
                  <w:r>
                    <w:rPr>
                      <w:rFonts w:ascii="Times New Roman"/>
                      <w:color w:val="auto"/>
                      <w:szCs w:val="21"/>
                      <w:vertAlign w:val="subscript"/>
                    </w:rPr>
                    <w:t>50</w:t>
                  </w:r>
                  <w:r>
                    <w:rPr>
                      <w:rFonts w:ascii="Times New Roman"/>
                      <w:color w:val="auto"/>
                      <w:szCs w:val="21"/>
                    </w:rPr>
                    <w:t>（mg/kg，大鼠经口）</w:t>
                  </w:r>
                </w:p>
              </w:tc>
              <w:tc>
                <w:tcPr>
                  <w:tcW w:w="576" w:type="pct"/>
                  <w:tcBorders>
                    <w:tl2br w:val="nil"/>
                    <w:tr2bl w:val="nil"/>
                  </w:tcBorders>
                  <w:tcMar>
                    <w:top w:w="0" w:type="dxa"/>
                    <w:left w:w="0" w:type="dxa"/>
                    <w:bottom w:w="0" w:type="dxa"/>
                    <w:right w:w="0" w:type="dxa"/>
                  </w:tcMar>
                  <w:vAlign w:val="center"/>
                </w:tcPr>
                <w:p w14:paraId="2833DBCA">
                  <w:pPr>
                    <w:pStyle w:val="71"/>
                    <w:adjustRightInd/>
                    <w:snapToGrid/>
                    <w:spacing w:line="260" w:lineRule="exact"/>
                    <w:rPr>
                      <w:rFonts w:ascii="Times New Roman"/>
                      <w:color w:val="auto"/>
                      <w:szCs w:val="21"/>
                    </w:rPr>
                  </w:pPr>
                  <w:r>
                    <w:rPr>
                      <w:rFonts w:ascii="Times New Roman"/>
                      <w:color w:val="auto"/>
                      <w:szCs w:val="21"/>
                    </w:rPr>
                    <w:t>无资料</w:t>
                  </w:r>
                </w:p>
              </w:tc>
              <w:tc>
                <w:tcPr>
                  <w:tcW w:w="909" w:type="pct"/>
                  <w:gridSpan w:val="3"/>
                  <w:tcBorders>
                    <w:tl2br w:val="nil"/>
                    <w:tr2bl w:val="nil"/>
                  </w:tcBorders>
                  <w:tcMar>
                    <w:top w:w="0" w:type="dxa"/>
                    <w:left w:w="0" w:type="dxa"/>
                    <w:bottom w:w="0" w:type="dxa"/>
                    <w:right w:w="0" w:type="dxa"/>
                  </w:tcMar>
                  <w:vAlign w:val="center"/>
                </w:tcPr>
                <w:p w14:paraId="16965D22">
                  <w:pPr>
                    <w:pStyle w:val="71"/>
                    <w:adjustRightInd/>
                    <w:snapToGrid/>
                    <w:spacing w:line="260" w:lineRule="exact"/>
                    <w:rPr>
                      <w:rFonts w:ascii="Times New Roman"/>
                      <w:color w:val="auto"/>
                      <w:szCs w:val="21"/>
                    </w:rPr>
                  </w:pPr>
                  <w:r>
                    <w:rPr>
                      <w:rFonts w:ascii="Times New Roman"/>
                      <w:color w:val="auto"/>
                      <w:szCs w:val="21"/>
                    </w:rPr>
                    <w:t>LC</w:t>
                  </w:r>
                  <w:r>
                    <w:rPr>
                      <w:rFonts w:ascii="Times New Roman"/>
                      <w:color w:val="auto"/>
                      <w:szCs w:val="21"/>
                      <w:vertAlign w:val="subscript"/>
                    </w:rPr>
                    <w:t>50</w:t>
                  </w:r>
                  <w:r>
                    <w:rPr>
                      <w:rFonts w:ascii="Times New Roman"/>
                      <w:color w:val="auto"/>
                      <w:szCs w:val="21"/>
                    </w:rPr>
                    <w:t>（mg/kg）</w:t>
                  </w:r>
                </w:p>
              </w:tc>
              <w:tc>
                <w:tcPr>
                  <w:tcW w:w="796" w:type="pct"/>
                  <w:gridSpan w:val="2"/>
                  <w:tcBorders>
                    <w:tl2br w:val="nil"/>
                    <w:tr2bl w:val="nil"/>
                  </w:tcBorders>
                  <w:tcMar>
                    <w:top w:w="0" w:type="dxa"/>
                    <w:left w:w="0" w:type="dxa"/>
                    <w:bottom w:w="0" w:type="dxa"/>
                    <w:right w:w="0" w:type="dxa"/>
                  </w:tcMar>
                  <w:vAlign w:val="center"/>
                </w:tcPr>
                <w:p w14:paraId="2D27B680">
                  <w:pPr>
                    <w:pStyle w:val="71"/>
                    <w:adjustRightInd/>
                    <w:snapToGrid/>
                    <w:spacing w:line="260" w:lineRule="exact"/>
                    <w:rPr>
                      <w:rFonts w:ascii="Times New Roman"/>
                      <w:color w:val="auto"/>
                      <w:szCs w:val="21"/>
                    </w:rPr>
                  </w:pPr>
                  <w:r>
                    <w:rPr>
                      <w:rFonts w:ascii="Times New Roman"/>
                      <w:color w:val="auto"/>
                      <w:szCs w:val="21"/>
                    </w:rPr>
                    <w:t>无资料</w:t>
                  </w:r>
                </w:p>
              </w:tc>
            </w:tr>
            <w:tr w14:paraId="608EDF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tcBorders>
                    <w:tl2br w:val="nil"/>
                    <w:tr2bl w:val="nil"/>
                  </w:tcBorders>
                  <w:tcMar>
                    <w:top w:w="0" w:type="dxa"/>
                    <w:left w:w="0" w:type="dxa"/>
                    <w:bottom w:w="0" w:type="dxa"/>
                    <w:right w:w="0" w:type="dxa"/>
                  </w:tcMar>
                  <w:vAlign w:val="center"/>
                </w:tcPr>
                <w:p w14:paraId="4C00978A">
                  <w:pPr>
                    <w:pStyle w:val="71"/>
                    <w:adjustRightInd/>
                    <w:snapToGrid/>
                    <w:spacing w:line="260" w:lineRule="exact"/>
                    <w:rPr>
                      <w:rFonts w:ascii="Times New Roman"/>
                      <w:color w:val="auto"/>
                      <w:szCs w:val="21"/>
                    </w:rPr>
                  </w:pPr>
                </w:p>
              </w:tc>
              <w:tc>
                <w:tcPr>
                  <w:tcW w:w="848" w:type="pct"/>
                  <w:gridSpan w:val="2"/>
                  <w:tcBorders>
                    <w:tl2br w:val="nil"/>
                    <w:tr2bl w:val="nil"/>
                  </w:tcBorders>
                  <w:tcMar>
                    <w:top w:w="0" w:type="dxa"/>
                    <w:left w:w="0" w:type="dxa"/>
                    <w:bottom w:w="0" w:type="dxa"/>
                    <w:right w:w="0" w:type="dxa"/>
                  </w:tcMar>
                  <w:vAlign w:val="center"/>
                </w:tcPr>
                <w:p w14:paraId="69050979">
                  <w:pPr>
                    <w:pStyle w:val="71"/>
                    <w:adjustRightInd/>
                    <w:snapToGrid/>
                    <w:spacing w:line="260" w:lineRule="exact"/>
                    <w:rPr>
                      <w:rFonts w:ascii="Times New Roman"/>
                      <w:color w:val="auto"/>
                      <w:szCs w:val="21"/>
                    </w:rPr>
                  </w:pPr>
                  <w:r>
                    <w:rPr>
                      <w:rFonts w:ascii="Times New Roman"/>
                      <w:color w:val="auto"/>
                      <w:szCs w:val="21"/>
                    </w:rPr>
                    <w:t>健康危害</w:t>
                  </w:r>
                </w:p>
              </w:tc>
              <w:tc>
                <w:tcPr>
                  <w:tcW w:w="3820" w:type="pct"/>
                  <w:gridSpan w:val="8"/>
                  <w:tcBorders>
                    <w:tl2br w:val="nil"/>
                    <w:tr2bl w:val="nil"/>
                  </w:tcBorders>
                  <w:tcMar>
                    <w:top w:w="0" w:type="dxa"/>
                    <w:left w:w="0" w:type="dxa"/>
                    <w:bottom w:w="0" w:type="dxa"/>
                    <w:right w:w="0" w:type="dxa"/>
                  </w:tcMar>
                  <w:vAlign w:val="center"/>
                </w:tcPr>
                <w:p w14:paraId="5A33B104">
                  <w:pPr>
                    <w:pStyle w:val="71"/>
                    <w:adjustRightInd/>
                    <w:snapToGrid/>
                    <w:spacing w:line="260" w:lineRule="exact"/>
                    <w:jc w:val="both"/>
                    <w:rPr>
                      <w:rFonts w:ascii="Times New Roman"/>
                      <w:color w:val="auto"/>
                      <w:szCs w:val="21"/>
                    </w:rPr>
                  </w:pPr>
                  <w:r>
                    <w:rPr>
                      <w:rFonts w:ascii="Times New Roman"/>
                      <w:color w:val="auto"/>
                      <w:szCs w:val="21"/>
                    </w:rPr>
                    <w:t>侵入途径：吸入、食入；</w:t>
                  </w:r>
                </w:p>
                <w:p w14:paraId="33FC08B8">
                  <w:pPr>
                    <w:pStyle w:val="71"/>
                    <w:adjustRightInd/>
                    <w:snapToGrid/>
                    <w:spacing w:line="260" w:lineRule="exact"/>
                    <w:jc w:val="both"/>
                    <w:rPr>
                      <w:rFonts w:ascii="Times New Roman"/>
                      <w:color w:val="auto"/>
                      <w:szCs w:val="21"/>
                    </w:rPr>
                  </w:pPr>
                  <w:r>
                    <w:rPr>
                      <w:rFonts w:ascii="Times New Roman"/>
                      <w:color w:val="auto"/>
                      <w:szCs w:val="21"/>
                    </w:rPr>
                    <w:t>急性吸入可出现乏力、头晕、头痛、恶心，严重者可引起油脂性肺炎。慢接触者，暴露部位可发生油性痤疮和接触性皮炎。可引起神经衰弱综合征，呼吸道和眼刺激症状及慢性油脂性肺炎。有资料报道，接触石油润滑类的工人，有致癌的病例报告。</w:t>
                  </w:r>
                </w:p>
              </w:tc>
            </w:tr>
            <w:tr w14:paraId="695291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tcBorders>
                    <w:tl2br w:val="nil"/>
                    <w:tr2bl w:val="nil"/>
                  </w:tcBorders>
                  <w:tcMar>
                    <w:top w:w="0" w:type="dxa"/>
                    <w:left w:w="0" w:type="dxa"/>
                    <w:bottom w:w="0" w:type="dxa"/>
                    <w:right w:w="0" w:type="dxa"/>
                  </w:tcMar>
                  <w:vAlign w:val="center"/>
                </w:tcPr>
                <w:p w14:paraId="2BBADB91">
                  <w:pPr>
                    <w:pStyle w:val="71"/>
                    <w:adjustRightInd/>
                    <w:snapToGrid/>
                    <w:spacing w:line="260" w:lineRule="exact"/>
                    <w:rPr>
                      <w:rFonts w:ascii="Times New Roman"/>
                      <w:color w:val="auto"/>
                      <w:szCs w:val="21"/>
                    </w:rPr>
                  </w:pPr>
                  <w:r>
                    <w:rPr>
                      <w:rFonts w:ascii="Times New Roman"/>
                      <w:color w:val="auto"/>
                      <w:szCs w:val="21"/>
                    </w:rPr>
                    <w:t>急救</w:t>
                  </w:r>
                </w:p>
              </w:tc>
              <w:tc>
                <w:tcPr>
                  <w:tcW w:w="4668" w:type="pct"/>
                  <w:gridSpan w:val="10"/>
                  <w:tcBorders>
                    <w:tl2br w:val="nil"/>
                    <w:tr2bl w:val="nil"/>
                  </w:tcBorders>
                  <w:tcMar>
                    <w:top w:w="0" w:type="dxa"/>
                    <w:left w:w="0" w:type="dxa"/>
                    <w:bottom w:w="0" w:type="dxa"/>
                    <w:right w:w="0" w:type="dxa"/>
                  </w:tcMar>
                  <w:vAlign w:val="center"/>
                </w:tcPr>
                <w:p w14:paraId="73B5E7A2">
                  <w:pPr>
                    <w:pStyle w:val="71"/>
                    <w:adjustRightInd/>
                    <w:snapToGrid/>
                    <w:spacing w:line="260" w:lineRule="exact"/>
                    <w:jc w:val="both"/>
                    <w:rPr>
                      <w:rFonts w:ascii="Times New Roman"/>
                      <w:color w:val="auto"/>
                      <w:szCs w:val="21"/>
                    </w:rPr>
                  </w:pPr>
                  <w:r>
                    <w:rPr>
                      <w:rFonts w:ascii="Times New Roman"/>
                      <w:color w:val="auto"/>
                      <w:szCs w:val="21"/>
                    </w:rPr>
                    <w:t>皮肤接触：立即脱去被污染的衣着，用大量清水冲洗；</w:t>
                  </w:r>
                </w:p>
                <w:p w14:paraId="7BA47761">
                  <w:pPr>
                    <w:pStyle w:val="71"/>
                    <w:adjustRightInd/>
                    <w:snapToGrid/>
                    <w:spacing w:line="260" w:lineRule="exact"/>
                    <w:jc w:val="both"/>
                    <w:rPr>
                      <w:rFonts w:ascii="Times New Roman"/>
                      <w:color w:val="auto"/>
                      <w:szCs w:val="21"/>
                    </w:rPr>
                  </w:pPr>
                  <w:r>
                    <w:rPr>
                      <w:rFonts w:ascii="Times New Roman"/>
                      <w:color w:val="auto"/>
                      <w:szCs w:val="21"/>
                    </w:rPr>
                    <w:t>眼睛接触：立即提起眼睑，用大量流动清水或生理盐水冲洗，就医；</w:t>
                  </w:r>
                </w:p>
                <w:p w14:paraId="3C2723CB">
                  <w:pPr>
                    <w:pStyle w:val="71"/>
                    <w:adjustRightInd/>
                    <w:snapToGrid/>
                    <w:spacing w:line="260" w:lineRule="exact"/>
                    <w:jc w:val="both"/>
                    <w:rPr>
                      <w:rFonts w:ascii="Times New Roman"/>
                      <w:color w:val="auto"/>
                      <w:szCs w:val="21"/>
                    </w:rPr>
                  </w:pPr>
                  <w:r>
                    <w:rPr>
                      <w:rFonts w:ascii="Times New Roman"/>
                      <w:color w:val="auto"/>
                      <w:szCs w:val="21"/>
                    </w:rPr>
                    <w:t>吸入：迅速脱离现场至空气新鲜处，保持呼吸道通畅，如呼吸困难，给输氧；如呼吸停止，立即进行人工呼吸，就医；</w:t>
                  </w:r>
                </w:p>
                <w:p w14:paraId="510F4379">
                  <w:pPr>
                    <w:pStyle w:val="71"/>
                    <w:adjustRightInd/>
                    <w:snapToGrid/>
                    <w:spacing w:line="260" w:lineRule="exact"/>
                    <w:jc w:val="both"/>
                    <w:rPr>
                      <w:rFonts w:ascii="Times New Roman"/>
                      <w:color w:val="auto"/>
                      <w:szCs w:val="21"/>
                    </w:rPr>
                  </w:pPr>
                  <w:r>
                    <w:rPr>
                      <w:rFonts w:ascii="Times New Roman"/>
                      <w:color w:val="auto"/>
                      <w:szCs w:val="21"/>
                    </w:rPr>
                    <w:t>食入：饮足量温水，催吐，就医。</w:t>
                  </w:r>
                </w:p>
              </w:tc>
            </w:tr>
            <w:tr w14:paraId="4B7CE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tcBorders>
                    <w:tl2br w:val="nil"/>
                    <w:tr2bl w:val="nil"/>
                  </w:tcBorders>
                  <w:tcMar>
                    <w:top w:w="0" w:type="dxa"/>
                    <w:left w:w="0" w:type="dxa"/>
                    <w:bottom w:w="0" w:type="dxa"/>
                    <w:right w:w="0" w:type="dxa"/>
                  </w:tcMar>
                  <w:vAlign w:val="center"/>
                </w:tcPr>
                <w:p w14:paraId="2F38658E">
                  <w:pPr>
                    <w:pStyle w:val="71"/>
                    <w:adjustRightInd/>
                    <w:snapToGrid/>
                    <w:spacing w:line="260" w:lineRule="exact"/>
                    <w:rPr>
                      <w:rFonts w:ascii="Times New Roman"/>
                      <w:color w:val="auto"/>
                      <w:szCs w:val="21"/>
                    </w:rPr>
                  </w:pPr>
                  <w:r>
                    <w:rPr>
                      <w:rFonts w:ascii="Times New Roman"/>
                      <w:color w:val="auto"/>
                      <w:szCs w:val="21"/>
                    </w:rPr>
                    <w:t>防护</w:t>
                  </w:r>
                </w:p>
              </w:tc>
              <w:tc>
                <w:tcPr>
                  <w:tcW w:w="4668" w:type="pct"/>
                  <w:gridSpan w:val="10"/>
                  <w:tcBorders>
                    <w:tl2br w:val="nil"/>
                    <w:tr2bl w:val="nil"/>
                  </w:tcBorders>
                  <w:tcMar>
                    <w:top w:w="0" w:type="dxa"/>
                    <w:left w:w="0" w:type="dxa"/>
                    <w:bottom w:w="0" w:type="dxa"/>
                    <w:right w:w="0" w:type="dxa"/>
                  </w:tcMar>
                  <w:vAlign w:val="center"/>
                </w:tcPr>
                <w:p w14:paraId="0D450F12">
                  <w:pPr>
                    <w:pStyle w:val="71"/>
                    <w:adjustRightInd/>
                    <w:snapToGrid/>
                    <w:spacing w:line="260" w:lineRule="exact"/>
                    <w:jc w:val="both"/>
                    <w:rPr>
                      <w:rFonts w:ascii="Times New Roman"/>
                      <w:color w:val="auto"/>
                      <w:szCs w:val="21"/>
                    </w:rPr>
                  </w:pPr>
                  <w:r>
                    <w:rPr>
                      <w:rFonts w:ascii="Times New Roman"/>
                      <w:color w:val="auto"/>
                      <w:szCs w:val="21"/>
                    </w:rPr>
                    <w:t>工程控制：密闭操作，注意通风；</w:t>
                  </w:r>
                </w:p>
                <w:p w14:paraId="528ED3CA">
                  <w:pPr>
                    <w:pStyle w:val="71"/>
                    <w:adjustRightInd/>
                    <w:snapToGrid/>
                    <w:spacing w:line="260" w:lineRule="exact"/>
                    <w:jc w:val="both"/>
                    <w:rPr>
                      <w:rFonts w:ascii="Times New Roman"/>
                      <w:color w:val="auto"/>
                      <w:szCs w:val="21"/>
                    </w:rPr>
                  </w:pPr>
                  <w:r>
                    <w:rPr>
                      <w:rFonts w:ascii="Times New Roman"/>
                      <w:color w:val="auto"/>
                      <w:szCs w:val="21"/>
                    </w:rPr>
                    <w:t>呼吸系统防护：空气中浓度超标时，建议佩戴自吸过滤式防毒面具（半面罩）。紧急事态抢救或撤离时，应该佩戴空气呼吸器；</w:t>
                  </w:r>
                </w:p>
                <w:p w14:paraId="101B9753">
                  <w:pPr>
                    <w:pStyle w:val="71"/>
                    <w:adjustRightInd/>
                    <w:snapToGrid/>
                    <w:spacing w:line="260" w:lineRule="exact"/>
                    <w:jc w:val="both"/>
                    <w:rPr>
                      <w:rFonts w:ascii="Times New Roman"/>
                      <w:color w:val="auto"/>
                      <w:szCs w:val="21"/>
                    </w:rPr>
                  </w:pPr>
                  <w:r>
                    <w:rPr>
                      <w:rFonts w:ascii="Times New Roman"/>
                      <w:color w:val="auto"/>
                      <w:szCs w:val="21"/>
                    </w:rPr>
                    <w:t>眼睛防护：戴化学安全防护眼镜；</w:t>
                  </w:r>
                </w:p>
                <w:p w14:paraId="0063F455">
                  <w:pPr>
                    <w:pStyle w:val="71"/>
                    <w:adjustRightInd/>
                    <w:snapToGrid/>
                    <w:spacing w:line="260" w:lineRule="exact"/>
                    <w:jc w:val="both"/>
                    <w:rPr>
                      <w:rFonts w:ascii="Times New Roman"/>
                      <w:color w:val="auto"/>
                      <w:szCs w:val="21"/>
                    </w:rPr>
                  </w:pPr>
                  <w:r>
                    <w:rPr>
                      <w:rFonts w:ascii="Times New Roman"/>
                      <w:color w:val="auto"/>
                      <w:szCs w:val="21"/>
                    </w:rPr>
                    <w:t>身体防护：穿防毒物渗透工作服；</w:t>
                  </w:r>
                </w:p>
                <w:p w14:paraId="1A351C64">
                  <w:pPr>
                    <w:pStyle w:val="71"/>
                    <w:adjustRightInd/>
                    <w:snapToGrid/>
                    <w:spacing w:line="260" w:lineRule="exact"/>
                    <w:jc w:val="both"/>
                    <w:rPr>
                      <w:rFonts w:ascii="Times New Roman"/>
                      <w:color w:val="auto"/>
                      <w:szCs w:val="21"/>
                    </w:rPr>
                  </w:pPr>
                  <w:r>
                    <w:rPr>
                      <w:rFonts w:ascii="Times New Roman"/>
                      <w:color w:val="auto"/>
                      <w:szCs w:val="21"/>
                    </w:rPr>
                    <w:t>手防护：戴橡胶耐油手套；</w:t>
                  </w:r>
                </w:p>
                <w:p w14:paraId="33A6E710">
                  <w:pPr>
                    <w:pStyle w:val="71"/>
                    <w:adjustRightInd/>
                    <w:snapToGrid/>
                    <w:spacing w:line="260" w:lineRule="exact"/>
                    <w:jc w:val="both"/>
                    <w:rPr>
                      <w:rFonts w:ascii="Times New Roman"/>
                      <w:color w:val="auto"/>
                      <w:szCs w:val="21"/>
                    </w:rPr>
                  </w:pPr>
                  <w:r>
                    <w:rPr>
                      <w:rFonts w:ascii="Times New Roman"/>
                      <w:color w:val="auto"/>
                      <w:szCs w:val="21"/>
                    </w:rPr>
                    <w:t>其他：工作现场严禁吸烟，避免长期反复接触。</w:t>
                  </w:r>
                </w:p>
              </w:tc>
            </w:tr>
            <w:tr w14:paraId="3F9028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tcBorders>
                    <w:tl2br w:val="nil"/>
                    <w:tr2bl w:val="nil"/>
                  </w:tcBorders>
                  <w:tcMar>
                    <w:top w:w="0" w:type="dxa"/>
                    <w:left w:w="0" w:type="dxa"/>
                    <w:bottom w:w="0" w:type="dxa"/>
                    <w:right w:w="0" w:type="dxa"/>
                  </w:tcMar>
                  <w:vAlign w:val="center"/>
                </w:tcPr>
                <w:p w14:paraId="02334BFC">
                  <w:pPr>
                    <w:pStyle w:val="71"/>
                    <w:adjustRightInd/>
                    <w:snapToGrid/>
                    <w:spacing w:line="260" w:lineRule="exact"/>
                    <w:rPr>
                      <w:rFonts w:ascii="Times New Roman"/>
                      <w:color w:val="auto"/>
                      <w:szCs w:val="21"/>
                    </w:rPr>
                  </w:pPr>
                  <w:r>
                    <w:rPr>
                      <w:rFonts w:ascii="Times New Roman"/>
                      <w:color w:val="auto"/>
                      <w:szCs w:val="21"/>
                    </w:rPr>
                    <w:t>泄露处理</w:t>
                  </w:r>
                </w:p>
              </w:tc>
              <w:tc>
                <w:tcPr>
                  <w:tcW w:w="4668" w:type="pct"/>
                  <w:gridSpan w:val="10"/>
                  <w:tcBorders>
                    <w:tl2br w:val="nil"/>
                    <w:tr2bl w:val="nil"/>
                  </w:tcBorders>
                  <w:tcMar>
                    <w:top w:w="0" w:type="dxa"/>
                    <w:left w:w="0" w:type="dxa"/>
                    <w:bottom w:w="0" w:type="dxa"/>
                    <w:right w:w="0" w:type="dxa"/>
                  </w:tcMar>
                  <w:vAlign w:val="center"/>
                </w:tcPr>
                <w:p w14:paraId="66FF7DFB">
                  <w:pPr>
                    <w:pStyle w:val="71"/>
                    <w:adjustRightInd/>
                    <w:snapToGrid/>
                    <w:spacing w:line="260" w:lineRule="exact"/>
                    <w:jc w:val="both"/>
                    <w:rPr>
                      <w:rFonts w:ascii="Times New Roman"/>
                      <w:color w:val="auto"/>
                      <w:szCs w:val="21"/>
                    </w:rPr>
                  </w:pPr>
                  <w:r>
                    <w:rPr>
                      <w:rFonts w:ascii="Times New Roman"/>
                      <w:color w:val="auto"/>
                      <w:szCs w:val="21"/>
                    </w:rPr>
                    <w:t>迅速撤离泄露污染区人员至安全区，并进行隔离，严格限制出入。切断火源。建议应急处理人员戴自给正压式呼吸器，穿防毒服。尽可能切断泄露源。防止流入下水道、排洪沟等限制性空间。</w:t>
                  </w:r>
                </w:p>
                <w:p w14:paraId="4E11474C">
                  <w:pPr>
                    <w:pStyle w:val="71"/>
                    <w:adjustRightInd/>
                    <w:snapToGrid/>
                    <w:spacing w:line="260" w:lineRule="exact"/>
                    <w:jc w:val="both"/>
                    <w:rPr>
                      <w:rFonts w:ascii="Times New Roman"/>
                      <w:color w:val="auto"/>
                      <w:szCs w:val="21"/>
                    </w:rPr>
                  </w:pPr>
                  <w:r>
                    <w:rPr>
                      <w:rFonts w:ascii="Times New Roman"/>
                      <w:color w:val="auto"/>
                      <w:szCs w:val="21"/>
                    </w:rPr>
                    <w:t>少量泄露：用砂土或其他不燃材料吸附或吸收。</w:t>
                  </w:r>
                </w:p>
                <w:p w14:paraId="52FE6038">
                  <w:pPr>
                    <w:pStyle w:val="71"/>
                    <w:adjustRightInd/>
                    <w:snapToGrid/>
                    <w:spacing w:line="260" w:lineRule="exact"/>
                    <w:jc w:val="both"/>
                    <w:rPr>
                      <w:rFonts w:ascii="Times New Roman"/>
                      <w:color w:val="auto"/>
                      <w:szCs w:val="21"/>
                    </w:rPr>
                  </w:pPr>
                  <w:r>
                    <w:rPr>
                      <w:rFonts w:ascii="Times New Roman"/>
                      <w:color w:val="auto"/>
                      <w:szCs w:val="21"/>
                    </w:rPr>
                    <w:t>大量泄露：构筑围堤或挖坑收容。用泵转移至槽车或专用收集器内，回收或运至废物处理场所处置。</w:t>
                  </w:r>
                </w:p>
              </w:tc>
            </w:tr>
            <w:tr w14:paraId="5963CC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tcBorders>
                    <w:tl2br w:val="nil"/>
                    <w:tr2bl w:val="nil"/>
                  </w:tcBorders>
                  <w:tcMar>
                    <w:top w:w="0" w:type="dxa"/>
                    <w:left w:w="0" w:type="dxa"/>
                    <w:bottom w:w="0" w:type="dxa"/>
                    <w:right w:w="0" w:type="dxa"/>
                  </w:tcMar>
                  <w:vAlign w:val="center"/>
                </w:tcPr>
                <w:p w14:paraId="2DBF1491">
                  <w:pPr>
                    <w:pStyle w:val="71"/>
                    <w:adjustRightInd/>
                    <w:snapToGrid/>
                    <w:spacing w:line="260" w:lineRule="exact"/>
                    <w:rPr>
                      <w:rFonts w:ascii="Times New Roman"/>
                      <w:color w:val="auto"/>
                      <w:szCs w:val="21"/>
                    </w:rPr>
                  </w:pPr>
                  <w:r>
                    <w:rPr>
                      <w:rFonts w:ascii="Times New Roman"/>
                      <w:color w:val="auto"/>
                      <w:szCs w:val="21"/>
                    </w:rPr>
                    <w:t>储运</w:t>
                  </w:r>
                </w:p>
              </w:tc>
              <w:tc>
                <w:tcPr>
                  <w:tcW w:w="4668" w:type="pct"/>
                  <w:gridSpan w:val="10"/>
                  <w:tcBorders>
                    <w:tl2br w:val="nil"/>
                    <w:tr2bl w:val="nil"/>
                  </w:tcBorders>
                  <w:tcMar>
                    <w:top w:w="0" w:type="dxa"/>
                    <w:left w:w="0" w:type="dxa"/>
                    <w:bottom w:w="0" w:type="dxa"/>
                    <w:right w:w="0" w:type="dxa"/>
                  </w:tcMar>
                  <w:vAlign w:val="center"/>
                </w:tcPr>
                <w:p w14:paraId="437FC83B">
                  <w:pPr>
                    <w:pStyle w:val="71"/>
                    <w:adjustRightInd/>
                    <w:snapToGrid/>
                    <w:spacing w:line="260" w:lineRule="exact"/>
                    <w:jc w:val="both"/>
                    <w:rPr>
                      <w:rFonts w:ascii="Times New Roman"/>
                      <w:color w:val="auto"/>
                      <w:szCs w:val="21"/>
                    </w:rPr>
                  </w:pPr>
                  <w:r>
                    <w:rPr>
                      <w:rFonts w:ascii="Times New Roman"/>
                      <w:color w:val="auto"/>
                      <w:szCs w:val="21"/>
                    </w:rPr>
                    <w:t>储存于阴凉、通风的库房。远离火种、热源。应与氧化剂分开存放，切记混储。配备相应品种和数量的消防器材。储区应备有泄露应急处理设备和收容材料。</w:t>
                  </w:r>
                </w:p>
                <w:p w14:paraId="4A1373E3">
                  <w:pPr>
                    <w:pStyle w:val="71"/>
                    <w:adjustRightInd/>
                    <w:snapToGrid/>
                    <w:spacing w:line="260" w:lineRule="exact"/>
                    <w:jc w:val="both"/>
                    <w:rPr>
                      <w:rFonts w:ascii="Times New Roman"/>
                      <w:color w:val="auto"/>
                      <w:szCs w:val="21"/>
                    </w:rPr>
                  </w:pPr>
                  <w:r>
                    <w:rPr>
                      <w:rFonts w:ascii="Times New Roman"/>
                      <w:color w:val="auto"/>
                      <w:szCs w:val="21"/>
                    </w:rPr>
                    <w:t>运输前应先检查包装容器是否完整、密封，运输过程中要确保容器不泄露、不倒塌、不坠落、不损坏。严禁与氧化剂、食用化学品等混装混运。运输车必须彻底清洗消毒，否则不得装运其他物品。公路运输要按规定路线行驶。</w:t>
                  </w:r>
                </w:p>
              </w:tc>
            </w:tr>
          </w:tbl>
          <w:p w14:paraId="0321A8B0">
            <w:pPr>
              <w:spacing w:before="120" w:beforeLines="50" w:line="240" w:lineRule="auto"/>
              <w:ind w:firstLine="480" w:firstLineChars="200"/>
              <w:rPr>
                <w:bCs/>
                <w:color w:val="auto"/>
              </w:rPr>
            </w:pPr>
            <w:r>
              <w:rPr>
                <w:rFonts w:hint="eastAsia"/>
                <w:bCs/>
                <w:color w:val="auto"/>
              </w:rPr>
              <w:t>项目危险物质贮存及分布情况如表4-16所示：</w:t>
            </w:r>
          </w:p>
          <w:p w14:paraId="20D5C5FD">
            <w:pPr>
              <w:keepNext/>
              <w:spacing w:line="400" w:lineRule="exact"/>
              <w:jc w:val="center"/>
              <w:rPr>
                <w:rFonts w:eastAsia="黑体"/>
                <w:color w:val="auto"/>
              </w:rPr>
            </w:pPr>
            <w:r>
              <w:rPr>
                <w:rFonts w:hint="eastAsia" w:eastAsia="黑体"/>
                <w:color w:val="auto"/>
              </w:rPr>
              <w:t>表4-16  项目危险物质贮存及分布情况一览表</w:t>
            </w:r>
          </w:p>
          <w:tbl>
            <w:tblPr>
              <w:tblStyle w:val="25"/>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67"/>
              <w:gridCol w:w="1569"/>
              <w:gridCol w:w="946"/>
              <w:gridCol w:w="569"/>
              <w:gridCol w:w="1090"/>
              <w:gridCol w:w="1205"/>
              <w:gridCol w:w="1112"/>
              <w:gridCol w:w="1400"/>
            </w:tblGrid>
            <w:tr w14:paraId="01C8C3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335" w:type="pct"/>
                  <w:tcBorders>
                    <w:tl2br w:val="nil"/>
                    <w:tr2bl w:val="nil"/>
                  </w:tcBorders>
                  <w:vAlign w:val="center"/>
                </w:tcPr>
                <w:p w14:paraId="2BC55C17">
                  <w:pPr>
                    <w:autoSpaceDE w:val="0"/>
                    <w:autoSpaceDN w:val="0"/>
                    <w:adjustRightInd w:val="0"/>
                    <w:spacing w:line="240" w:lineRule="auto"/>
                    <w:jc w:val="center"/>
                    <w:rPr>
                      <w:b/>
                      <w:color w:val="auto"/>
                      <w:kern w:val="0"/>
                      <w:sz w:val="21"/>
                      <w:szCs w:val="21"/>
                      <w:lang w:val="zh-CN"/>
                    </w:rPr>
                  </w:pPr>
                  <w:r>
                    <w:rPr>
                      <w:b/>
                      <w:color w:val="auto"/>
                      <w:kern w:val="0"/>
                      <w:sz w:val="21"/>
                      <w:szCs w:val="21"/>
                      <w:lang w:val="zh-CN"/>
                    </w:rPr>
                    <w:t>序号</w:t>
                  </w:r>
                </w:p>
              </w:tc>
              <w:tc>
                <w:tcPr>
                  <w:tcW w:w="927" w:type="pct"/>
                  <w:tcBorders>
                    <w:tl2br w:val="nil"/>
                    <w:tr2bl w:val="nil"/>
                  </w:tcBorders>
                  <w:vAlign w:val="center"/>
                </w:tcPr>
                <w:p w14:paraId="7297F9E1">
                  <w:pPr>
                    <w:autoSpaceDE w:val="0"/>
                    <w:autoSpaceDN w:val="0"/>
                    <w:adjustRightInd w:val="0"/>
                    <w:spacing w:line="240" w:lineRule="auto"/>
                    <w:jc w:val="center"/>
                    <w:rPr>
                      <w:b/>
                      <w:color w:val="auto"/>
                      <w:kern w:val="0"/>
                      <w:sz w:val="21"/>
                      <w:szCs w:val="21"/>
                      <w:lang w:val="zh-CN"/>
                    </w:rPr>
                  </w:pPr>
                  <w:r>
                    <w:rPr>
                      <w:rFonts w:hint="eastAsia"/>
                      <w:b/>
                      <w:color w:val="auto"/>
                      <w:kern w:val="0"/>
                      <w:sz w:val="21"/>
                      <w:szCs w:val="21"/>
                      <w:lang w:val="zh-CN"/>
                    </w:rPr>
                    <w:t>危险物质名称</w:t>
                  </w:r>
                </w:p>
              </w:tc>
              <w:tc>
                <w:tcPr>
                  <w:tcW w:w="559" w:type="pct"/>
                  <w:tcBorders>
                    <w:tl2br w:val="nil"/>
                    <w:tr2bl w:val="nil"/>
                  </w:tcBorders>
                  <w:vAlign w:val="center"/>
                </w:tcPr>
                <w:p w14:paraId="505B7E8F">
                  <w:pPr>
                    <w:autoSpaceDE w:val="0"/>
                    <w:autoSpaceDN w:val="0"/>
                    <w:adjustRightInd w:val="0"/>
                    <w:spacing w:line="240" w:lineRule="auto"/>
                    <w:jc w:val="center"/>
                    <w:rPr>
                      <w:b/>
                      <w:color w:val="auto"/>
                      <w:kern w:val="0"/>
                      <w:sz w:val="21"/>
                      <w:szCs w:val="21"/>
                      <w:lang w:val="zh-CN"/>
                    </w:rPr>
                  </w:pPr>
                  <w:r>
                    <w:rPr>
                      <w:rFonts w:hint="eastAsia"/>
                      <w:b/>
                      <w:color w:val="auto"/>
                      <w:kern w:val="0"/>
                      <w:sz w:val="21"/>
                      <w:szCs w:val="21"/>
                      <w:lang w:val="zh-CN"/>
                    </w:rPr>
                    <w:t>CAS号</w:t>
                  </w:r>
                </w:p>
              </w:tc>
              <w:tc>
                <w:tcPr>
                  <w:tcW w:w="336" w:type="pct"/>
                  <w:tcBorders>
                    <w:tl2br w:val="nil"/>
                    <w:tr2bl w:val="nil"/>
                  </w:tcBorders>
                  <w:vAlign w:val="center"/>
                </w:tcPr>
                <w:p w14:paraId="6D096696">
                  <w:pPr>
                    <w:autoSpaceDE w:val="0"/>
                    <w:autoSpaceDN w:val="0"/>
                    <w:adjustRightInd w:val="0"/>
                    <w:spacing w:line="240" w:lineRule="auto"/>
                    <w:jc w:val="center"/>
                    <w:rPr>
                      <w:b/>
                      <w:color w:val="auto"/>
                      <w:kern w:val="0"/>
                      <w:sz w:val="21"/>
                      <w:szCs w:val="21"/>
                      <w:lang w:val="zh-CN"/>
                    </w:rPr>
                  </w:pPr>
                  <w:r>
                    <w:rPr>
                      <w:b/>
                      <w:color w:val="auto"/>
                      <w:kern w:val="0"/>
                      <w:sz w:val="21"/>
                      <w:szCs w:val="21"/>
                      <w:lang w:val="zh-CN"/>
                    </w:rPr>
                    <w:t>毒性</w:t>
                  </w:r>
                </w:p>
              </w:tc>
              <w:tc>
                <w:tcPr>
                  <w:tcW w:w="644" w:type="pct"/>
                  <w:tcBorders>
                    <w:tl2br w:val="nil"/>
                    <w:tr2bl w:val="nil"/>
                  </w:tcBorders>
                  <w:vAlign w:val="center"/>
                </w:tcPr>
                <w:p w14:paraId="06CFCE4D">
                  <w:pPr>
                    <w:autoSpaceDE w:val="0"/>
                    <w:autoSpaceDN w:val="0"/>
                    <w:adjustRightInd w:val="0"/>
                    <w:spacing w:line="240" w:lineRule="auto"/>
                    <w:jc w:val="center"/>
                    <w:rPr>
                      <w:b/>
                      <w:color w:val="auto"/>
                      <w:kern w:val="0"/>
                      <w:sz w:val="21"/>
                      <w:szCs w:val="21"/>
                      <w:lang w:val="zh-CN"/>
                    </w:rPr>
                  </w:pPr>
                  <w:r>
                    <w:rPr>
                      <w:b/>
                      <w:color w:val="auto"/>
                      <w:kern w:val="0"/>
                      <w:sz w:val="21"/>
                      <w:szCs w:val="21"/>
                      <w:lang w:val="zh-CN"/>
                    </w:rPr>
                    <w:t>易燃、易爆性</w:t>
                  </w:r>
                </w:p>
              </w:tc>
              <w:tc>
                <w:tcPr>
                  <w:tcW w:w="712" w:type="pct"/>
                  <w:tcBorders>
                    <w:tl2br w:val="nil"/>
                    <w:tr2bl w:val="nil"/>
                  </w:tcBorders>
                  <w:vAlign w:val="center"/>
                </w:tcPr>
                <w:p w14:paraId="7FE8050E">
                  <w:pPr>
                    <w:autoSpaceDE w:val="0"/>
                    <w:autoSpaceDN w:val="0"/>
                    <w:adjustRightInd w:val="0"/>
                    <w:spacing w:line="240" w:lineRule="auto"/>
                    <w:jc w:val="center"/>
                    <w:rPr>
                      <w:b/>
                      <w:color w:val="auto"/>
                      <w:kern w:val="0"/>
                      <w:sz w:val="21"/>
                      <w:szCs w:val="21"/>
                      <w:lang w:val="zh-CN"/>
                    </w:rPr>
                  </w:pPr>
                  <w:r>
                    <w:rPr>
                      <w:b/>
                      <w:color w:val="auto"/>
                      <w:kern w:val="0"/>
                      <w:sz w:val="21"/>
                      <w:szCs w:val="21"/>
                      <w:lang w:val="zh-CN"/>
                    </w:rPr>
                    <w:t>最大总储存量</w:t>
                  </w:r>
                  <w:r>
                    <w:rPr>
                      <w:rFonts w:hint="eastAsia"/>
                      <w:b/>
                      <w:color w:val="auto"/>
                      <w:kern w:val="0"/>
                      <w:sz w:val="21"/>
                      <w:szCs w:val="21"/>
                      <w:lang w:val="zh-CN"/>
                    </w:rPr>
                    <w:t>（t）</w:t>
                  </w:r>
                </w:p>
              </w:tc>
              <w:tc>
                <w:tcPr>
                  <w:tcW w:w="657" w:type="pct"/>
                  <w:tcBorders>
                    <w:tl2br w:val="nil"/>
                    <w:tr2bl w:val="nil"/>
                  </w:tcBorders>
                  <w:vAlign w:val="center"/>
                </w:tcPr>
                <w:p w14:paraId="5831B014">
                  <w:pPr>
                    <w:autoSpaceDE w:val="0"/>
                    <w:autoSpaceDN w:val="0"/>
                    <w:adjustRightInd w:val="0"/>
                    <w:spacing w:line="240" w:lineRule="auto"/>
                    <w:jc w:val="center"/>
                    <w:rPr>
                      <w:b/>
                      <w:color w:val="auto"/>
                      <w:kern w:val="0"/>
                      <w:sz w:val="21"/>
                      <w:szCs w:val="21"/>
                      <w:lang w:val="zh-CN"/>
                    </w:rPr>
                  </w:pPr>
                  <w:r>
                    <w:rPr>
                      <w:rFonts w:hint="eastAsia"/>
                      <w:b/>
                      <w:color w:val="auto"/>
                      <w:kern w:val="0"/>
                      <w:sz w:val="21"/>
                      <w:szCs w:val="21"/>
                      <w:lang w:val="zh-CN"/>
                    </w:rPr>
                    <w:t>临界量（t）</w:t>
                  </w:r>
                </w:p>
              </w:tc>
              <w:tc>
                <w:tcPr>
                  <w:tcW w:w="827" w:type="pct"/>
                  <w:tcBorders>
                    <w:tl2br w:val="nil"/>
                    <w:tr2bl w:val="nil"/>
                  </w:tcBorders>
                  <w:vAlign w:val="center"/>
                </w:tcPr>
                <w:p w14:paraId="72CE1AB7">
                  <w:pPr>
                    <w:autoSpaceDE w:val="0"/>
                    <w:autoSpaceDN w:val="0"/>
                    <w:adjustRightInd w:val="0"/>
                    <w:spacing w:line="240" w:lineRule="auto"/>
                    <w:jc w:val="center"/>
                    <w:rPr>
                      <w:b/>
                      <w:color w:val="auto"/>
                      <w:kern w:val="0"/>
                      <w:sz w:val="21"/>
                      <w:szCs w:val="21"/>
                      <w:lang w:val="zh-CN"/>
                    </w:rPr>
                  </w:pPr>
                  <w:r>
                    <w:rPr>
                      <w:rFonts w:hint="eastAsia"/>
                      <w:b/>
                      <w:color w:val="auto"/>
                      <w:kern w:val="0"/>
                      <w:sz w:val="21"/>
                      <w:szCs w:val="21"/>
                      <w:lang w:val="zh-CN"/>
                    </w:rPr>
                    <w:t>贮存位置</w:t>
                  </w:r>
                </w:p>
              </w:tc>
            </w:tr>
            <w:tr w14:paraId="19F4B4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335" w:type="pct"/>
                  <w:tcBorders>
                    <w:tl2br w:val="nil"/>
                    <w:tr2bl w:val="nil"/>
                  </w:tcBorders>
                  <w:vAlign w:val="center"/>
                </w:tcPr>
                <w:p w14:paraId="5D08C387">
                  <w:pPr>
                    <w:autoSpaceDE w:val="0"/>
                    <w:autoSpaceDN w:val="0"/>
                    <w:adjustRightInd w:val="0"/>
                    <w:spacing w:line="240" w:lineRule="auto"/>
                    <w:jc w:val="center"/>
                    <w:rPr>
                      <w:color w:val="auto"/>
                      <w:kern w:val="0"/>
                      <w:sz w:val="21"/>
                      <w:szCs w:val="21"/>
                    </w:rPr>
                  </w:pPr>
                  <w:r>
                    <w:rPr>
                      <w:color w:val="auto"/>
                      <w:kern w:val="0"/>
                      <w:sz w:val="21"/>
                      <w:szCs w:val="21"/>
                    </w:rPr>
                    <w:t>1</w:t>
                  </w:r>
                </w:p>
              </w:tc>
              <w:tc>
                <w:tcPr>
                  <w:tcW w:w="927" w:type="pct"/>
                  <w:tcBorders>
                    <w:tl2br w:val="nil"/>
                    <w:tr2bl w:val="nil"/>
                  </w:tcBorders>
                  <w:vAlign w:val="center"/>
                </w:tcPr>
                <w:p w14:paraId="73887021">
                  <w:pPr>
                    <w:autoSpaceDE w:val="0"/>
                    <w:autoSpaceDN w:val="0"/>
                    <w:adjustRightInd w:val="0"/>
                    <w:spacing w:line="240" w:lineRule="auto"/>
                    <w:jc w:val="center"/>
                    <w:rPr>
                      <w:color w:val="auto"/>
                      <w:kern w:val="0"/>
                      <w:sz w:val="21"/>
                      <w:szCs w:val="21"/>
                      <w:lang w:val="zh-CN"/>
                    </w:rPr>
                  </w:pPr>
                  <w:r>
                    <w:rPr>
                      <w:rFonts w:hint="eastAsia"/>
                      <w:color w:val="auto"/>
                      <w:spacing w:val="10"/>
                      <w:sz w:val="21"/>
                      <w:szCs w:val="21"/>
                      <w:lang w:val="en-GB"/>
                    </w:rPr>
                    <w:t>废机油</w:t>
                  </w:r>
                </w:p>
              </w:tc>
              <w:tc>
                <w:tcPr>
                  <w:tcW w:w="559" w:type="pct"/>
                  <w:tcBorders>
                    <w:tl2br w:val="nil"/>
                    <w:tr2bl w:val="nil"/>
                  </w:tcBorders>
                  <w:vAlign w:val="center"/>
                </w:tcPr>
                <w:p w14:paraId="676C8380">
                  <w:pPr>
                    <w:autoSpaceDE w:val="0"/>
                    <w:autoSpaceDN w:val="0"/>
                    <w:adjustRightInd w:val="0"/>
                    <w:spacing w:line="240" w:lineRule="auto"/>
                    <w:jc w:val="center"/>
                    <w:rPr>
                      <w:color w:val="auto"/>
                      <w:sz w:val="21"/>
                      <w:szCs w:val="21"/>
                      <w:lang w:val="zh-CN"/>
                    </w:rPr>
                  </w:pPr>
                  <w:r>
                    <w:rPr>
                      <w:rFonts w:hint="eastAsia"/>
                      <w:color w:val="auto"/>
                      <w:sz w:val="21"/>
                      <w:szCs w:val="21"/>
                      <w:lang w:val="zh-CN"/>
                    </w:rPr>
                    <w:t>/</w:t>
                  </w:r>
                </w:p>
              </w:tc>
              <w:tc>
                <w:tcPr>
                  <w:tcW w:w="336" w:type="pct"/>
                  <w:tcBorders>
                    <w:tl2br w:val="nil"/>
                    <w:tr2bl w:val="nil"/>
                  </w:tcBorders>
                  <w:vAlign w:val="center"/>
                </w:tcPr>
                <w:p w14:paraId="32F3ECD5">
                  <w:pPr>
                    <w:autoSpaceDE w:val="0"/>
                    <w:autoSpaceDN w:val="0"/>
                    <w:adjustRightInd w:val="0"/>
                    <w:spacing w:line="240" w:lineRule="auto"/>
                    <w:jc w:val="center"/>
                    <w:rPr>
                      <w:color w:val="auto"/>
                      <w:sz w:val="21"/>
                      <w:szCs w:val="21"/>
                      <w:lang w:val="zh-CN"/>
                    </w:rPr>
                  </w:pPr>
                  <w:r>
                    <w:rPr>
                      <w:rFonts w:hint="eastAsia"/>
                      <w:color w:val="auto"/>
                      <w:sz w:val="21"/>
                      <w:szCs w:val="21"/>
                      <w:lang w:val="zh-CN"/>
                    </w:rPr>
                    <w:t>否</w:t>
                  </w:r>
                </w:p>
              </w:tc>
              <w:tc>
                <w:tcPr>
                  <w:tcW w:w="644" w:type="pct"/>
                  <w:tcBorders>
                    <w:tl2br w:val="nil"/>
                    <w:tr2bl w:val="nil"/>
                  </w:tcBorders>
                  <w:vAlign w:val="center"/>
                </w:tcPr>
                <w:p w14:paraId="67EB3D98">
                  <w:pPr>
                    <w:autoSpaceDE w:val="0"/>
                    <w:autoSpaceDN w:val="0"/>
                    <w:adjustRightInd w:val="0"/>
                    <w:spacing w:line="240" w:lineRule="auto"/>
                    <w:jc w:val="center"/>
                    <w:rPr>
                      <w:color w:val="auto"/>
                      <w:sz w:val="21"/>
                      <w:szCs w:val="21"/>
                      <w:lang w:val="zh-CN"/>
                    </w:rPr>
                  </w:pPr>
                  <w:r>
                    <w:rPr>
                      <w:color w:val="auto"/>
                      <w:sz w:val="21"/>
                      <w:szCs w:val="21"/>
                      <w:lang w:val="zh-CN"/>
                    </w:rPr>
                    <w:t>是</w:t>
                  </w:r>
                </w:p>
              </w:tc>
              <w:tc>
                <w:tcPr>
                  <w:tcW w:w="712" w:type="pct"/>
                  <w:tcBorders>
                    <w:tl2br w:val="nil"/>
                    <w:tr2bl w:val="nil"/>
                  </w:tcBorders>
                  <w:vAlign w:val="center"/>
                </w:tcPr>
                <w:p w14:paraId="3FBC01C7">
                  <w:pPr>
                    <w:autoSpaceDE w:val="0"/>
                    <w:autoSpaceDN w:val="0"/>
                    <w:adjustRightInd w:val="0"/>
                    <w:spacing w:line="240" w:lineRule="auto"/>
                    <w:jc w:val="center"/>
                    <w:rPr>
                      <w:color w:val="auto"/>
                      <w:kern w:val="0"/>
                      <w:sz w:val="21"/>
                      <w:szCs w:val="21"/>
                    </w:rPr>
                  </w:pPr>
                  <w:r>
                    <w:rPr>
                      <w:rFonts w:hint="eastAsia"/>
                      <w:color w:val="auto"/>
                      <w:kern w:val="0"/>
                      <w:sz w:val="21"/>
                      <w:szCs w:val="21"/>
                    </w:rPr>
                    <w:t>0.05</w:t>
                  </w:r>
                </w:p>
              </w:tc>
              <w:tc>
                <w:tcPr>
                  <w:tcW w:w="657" w:type="pct"/>
                  <w:tcBorders>
                    <w:tl2br w:val="nil"/>
                    <w:tr2bl w:val="nil"/>
                  </w:tcBorders>
                  <w:vAlign w:val="center"/>
                </w:tcPr>
                <w:p w14:paraId="6B105E54">
                  <w:pPr>
                    <w:autoSpaceDE w:val="0"/>
                    <w:autoSpaceDN w:val="0"/>
                    <w:adjustRightInd w:val="0"/>
                    <w:spacing w:line="240" w:lineRule="auto"/>
                    <w:jc w:val="center"/>
                    <w:rPr>
                      <w:color w:val="auto"/>
                      <w:kern w:val="0"/>
                      <w:sz w:val="21"/>
                      <w:szCs w:val="21"/>
                    </w:rPr>
                  </w:pPr>
                  <w:r>
                    <w:rPr>
                      <w:color w:val="auto"/>
                      <w:sz w:val="21"/>
                      <w:szCs w:val="21"/>
                    </w:rPr>
                    <w:t>2500</w:t>
                  </w:r>
                </w:p>
              </w:tc>
              <w:tc>
                <w:tcPr>
                  <w:tcW w:w="827" w:type="pct"/>
                  <w:tcBorders>
                    <w:tl2br w:val="nil"/>
                    <w:tr2bl w:val="nil"/>
                  </w:tcBorders>
                  <w:vAlign w:val="center"/>
                </w:tcPr>
                <w:p w14:paraId="0DBC168A">
                  <w:pPr>
                    <w:autoSpaceDE w:val="0"/>
                    <w:autoSpaceDN w:val="0"/>
                    <w:adjustRightInd w:val="0"/>
                    <w:spacing w:line="240" w:lineRule="auto"/>
                    <w:jc w:val="center"/>
                    <w:rPr>
                      <w:rFonts w:hint="eastAsia" w:eastAsia="宋体"/>
                      <w:color w:val="auto"/>
                      <w:kern w:val="0"/>
                      <w:sz w:val="21"/>
                      <w:szCs w:val="21"/>
                      <w:lang w:eastAsia="zh-CN"/>
                    </w:rPr>
                  </w:pPr>
                  <w:r>
                    <w:rPr>
                      <w:rFonts w:hint="eastAsia"/>
                      <w:color w:val="auto"/>
                      <w:kern w:val="0"/>
                      <w:sz w:val="21"/>
                      <w:szCs w:val="21"/>
                      <w:lang w:eastAsia="zh-CN"/>
                    </w:rPr>
                    <w:t>危废暂存间</w:t>
                  </w:r>
                </w:p>
              </w:tc>
            </w:tr>
          </w:tbl>
          <w:p w14:paraId="5A96B229">
            <w:pPr>
              <w:ind w:firstLine="360" w:firstLineChars="200"/>
              <w:rPr>
                <w:color w:val="auto"/>
                <w:sz w:val="18"/>
                <w:szCs w:val="18"/>
              </w:rPr>
            </w:pPr>
            <w:r>
              <w:rPr>
                <w:rFonts w:hint="eastAsia"/>
                <w:color w:val="auto"/>
                <w:sz w:val="18"/>
                <w:szCs w:val="18"/>
              </w:rPr>
              <w:t>备注：考虑危险废物半年处理一次，废机油最大储存量为半年的产生量。</w:t>
            </w:r>
          </w:p>
          <w:p w14:paraId="33F90C2B">
            <w:pPr>
              <w:ind w:firstLine="480" w:firstLineChars="200"/>
              <w:rPr>
                <w:color w:val="auto"/>
                <w:highlight w:val="yellow"/>
              </w:rPr>
            </w:pPr>
            <w:r>
              <w:rPr>
                <w:rFonts w:hint="eastAsia"/>
                <w:color w:val="auto"/>
              </w:rPr>
              <w:t>项目废机油储存量及其临界量见表4-17：</w:t>
            </w:r>
          </w:p>
          <w:p w14:paraId="4E744F45">
            <w:pPr>
              <w:keepNext/>
              <w:spacing w:line="400" w:lineRule="exact"/>
              <w:jc w:val="center"/>
              <w:rPr>
                <w:rFonts w:eastAsia="黑体"/>
                <w:color w:val="auto"/>
              </w:rPr>
            </w:pPr>
            <w:r>
              <w:rPr>
                <w:rFonts w:hint="eastAsia" w:eastAsia="黑体"/>
                <w:color w:val="auto"/>
              </w:rPr>
              <w:t>表4-17  项目厂区风险物质危险性分级表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217"/>
              <w:gridCol w:w="1422"/>
              <w:gridCol w:w="1441"/>
              <w:gridCol w:w="1327"/>
              <w:gridCol w:w="2372"/>
            </w:tblGrid>
            <w:tr w14:paraId="15A51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05" w:type="pct"/>
                  <w:tcBorders>
                    <w:top w:val="single" w:color="auto" w:sz="2" w:space="0"/>
                    <w:left w:val="single" w:color="auto" w:sz="0" w:space="0"/>
                    <w:bottom w:val="single" w:color="auto" w:sz="2" w:space="0"/>
                    <w:right w:val="single" w:color="auto" w:sz="2" w:space="0"/>
                  </w:tcBorders>
                  <w:vAlign w:val="center"/>
                </w:tcPr>
                <w:p w14:paraId="15E8C8C2">
                  <w:pPr>
                    <w:spacing w:line="240" w:lineRule="auto"/>
                    <w:jc w:val="center"/>
                    <w:rPr>
                      <w:color w:val="auto"/>
                      <w:sz w:val="21"/>
                      <w:szCs w:val="21"/>
                    </w:rPr>
                  </w:pPr>
                  <w:r>
                    <w:rPr>
                      <w:rFonts w:hint="eastAsia"/>
                      <w:color w:val="auto"/>
                      <w:sz w:val="21"/>
                      <w:szCs w:val="21"/>
                    </w:rPr>
                    <w:t>序号</w:t>
                  </w:r>
                </w:p>
              </w:tc>
              <w:tc>
                <w:tcPr>
                  <w:tcW w:w="719" w:type="pct"/>
                  <w:tcBorders>
                    <w:top w:val="single" w:color="auto" w:sz="2" w:space="0"/>
                    <w:left w:val="single" w:color="auto" w:sz="2" w:space="0"/>
                    <w:bottom w:val="single" w:color="auto" w:sz="2" w:space="0"/>
                    <w:right w:val="single" w:color="auto" w:sz="2" w:space="0"/>
                  </w:tcBorders>
                  <w:vAlign w:val="center"/>
                </w:tcPr>
                <w:p w14:paraId="5D362276">
                  <w:pPr>
                    <w:spacing w:line="240" w:lineRule="auto"/>
                    <w:jc w:val="center"/>
                    <w:rPr>
                      <w:color w:val="auto"/>
                      <w:sz w:val="21"/>
                      <w:szCs w:val="21"/>
                    </w:rPr>
                  </w:pPr>
                  <w:r>
                    <w:rPr>
                      <w:rFonts w:hint="eastAsia"/>
                      <w:color w:val="auto"/>
                      <w:sz w:val="21"/>
                      <w:szCs w:val="21"/>
                    </w:rPr>
                    <w:t>物质名称</w:t>
                  </w:r>
                </w:p>
              </w:tc>
              <w:tc>
                <w:tcPr>
                  <w:tcW w:w="840" w:type="pct"/>
                  <w:tcBorders>
                    <w:top w:val="single" w:color="auto" w:sz="2" w:space="0"/>
                    <w:left w:val="single" w:color="auto" w:sz="2" w:space="0"/>
                    <w:bottom w:val="single" w:color="auto" w:sz="2" w:space="0"/>
                    <w:right w:val="single" w:color="auto" w:sz="2" w:space="0"/>
                  </w:tcBorders>
                  <w:vAlign w:val="center"/>
                </w:tcPr>
                <w:p w14:paraId="532D41DE">
                  <w:pPr>
                    <w:spacing w:line="240" w:lineRule="auto"/>
                    <w:jc w:val="center"/>
                    <w:rPr>
                      <w:color w:val="auto"/>
                      <w:sz w:val="21"/>
                      <w:szCs w:val="21"/>
                    </w:rPr>
                  </w:pPr>
                  <w:r>
                    <w:rPr>
                      <w:color w:val="auto"/>
                      <w:sz w:val="21"/>
                      <w:szCs w:val="21"/>
                    </w:rPr>
                    <w:t>q（t）</w:t>
                  </w:r>
                </w:p>
              </w:tc>
              <w:tc>
                <w:tcPr>
                  <w:tcW w:w="851" w:type="pct"/>
                  <w:tcBorders>
                    <w:top w:val="single" w:color="auto" w:sz="2" w:space="0"/>
                    <w:left w:val="single" w:color="auto" w:sz="2" w:space="0"/>
                    <w:bottom w:val="single" w:color="auto" w:sz="2" w:space="0"/>
                    <w:right w:val="single" w:color="auto" w:sz="2" w:space="0"/>
                  </w:tcBorders>
                  <w:vAlign w:val="center"/>
                </w:tcPr>
                <w:p w14:paraId="58951727">
                  <w:pPr>
                    <w:spacing w:line="240" w:lineRule="auto"/>
                    <w:jc w:val="center"/>
                    <w:rPr>
                      <w:color w:val="auto"/>
                      <w:sz w:val="21"/>
                      <w:szCs w:val="21"/>
                    </w:rPr>
                  </w:pPr>
                  <w:r>
                    <w:rPr>
                      <w:color w:val="auto"/>
                      <w:sz w:val="21"/>
                      <w:szCs w:val="21"/>
                    </w:rPr>
                    <w:t>Q（t）</w:t>
                  </w:r>
                </w:p>
              </w:tc>
              <w:tc>
                <w:tcPr>
                  <w:tcW w:w="784" w:type="pct"/>
                  <w:tcBorders>
                    <w:top w:val="single" w:color="auto" w:sz="2" w:space="0"/>
                    <w:left w:val="single" w:color="auto" w:sz="2" w:space="0"/>
                    <w:bottom w:val="single" w:color="auto" w:sz="2" w:space="0"/>
                    <w:right w:val="single" w:color="auto" w:sz="2" w:space="0"/>
                  </w:tcBorders>
                  <w:vAlign w:val="center"/>
                </w:tcPr>
                <w:p w14:paraId="374D736F">
                  <w:pPr>
                    <w:spacing w:line="240" w:lineRule="auto"/>
                    <w:jc w:val="center"/>
                    <w:rPr>
                      <w:color w:val="auto"/>
                      <w:sz w:val="21"/>
                      <w:szCs w:val="21"/>
                    </w:rPr>
                  </w:pPr>
                  <w:r>
                    <w:rPr>
                      <w:color w:val="auto"/>
                      <w:sz w:val="21"/>
                      <w:szCs w:val="21"/>
                    </w:rPr>
                    <w:t>q/Q</w:t>
                  </w:r>
                </w:p>
              </w:tc>
              <w:tc>
                <w:tcPr>
                  <w:tcW w:w="1401" w:type="pct"/>
                  <w:tcBorders>
                    <w:top w:val="single" w:color="auto" w:sz="2" w:space="0"/>
                    <w:left w:val="single" w:color="auto" w:sz="2" w:space="0"/>
                    <w:bottom w:val="single" w:color="auto" w:sz="2" w:space="0"/>
                    <w:right w:val="single" w:color="auto" w:sz="2" w:space="0"/>
                  </w:tcBorders>
                  <w:vAlign w:val="center"/>
                </w:tcPr>
                <w:p w14:paraId="7EFB77C5">
                  <w:pPr>
                    <w:spacing w:line="240" w:lineRule="auto"/>
                    <w:jc w:val="center"/>
                    <w:rPr>
                      <w:color w:val="auto"/>
                      <w:sz w:val="21"/>
                      <w:szCs w:val="21"/>
                    </w:rPr>
                  </w:pPr>
                  <w:r>
                    <w:rPr>
                      <w:color w:val="auto"/>
                      <w:sz w:val="21"/>
                      <w:szCs w:val="21"/>
                    </w:rPr>
                    <w:t>临界量取值说明</w:t>
                  </w:r>
                </w:p>
              </w:tc>
            </w:tr>
            <w:tr w14:paraId="40129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405" w:type="pct"/>
                  <w:tcBorders>
                    <w:top w:val="single" w:color="auto" w:sz="2" w:space="0"/>
                    <w:left w:val="single" w:color="auto" w:sz="4" w:space="0"/>
                    <w:bottom w:val="single" w:color="auto" w:sz="2" w:space="0"/>
                    <w:right w:val="single" w:color="auto" w:sz="2" w:space="0"/>
                  </w:tcBorders>
                  <w:vAlign w:val="center"/>
                </w:tcPr>
                <w:p w14:paraId="4753393E">
                  <w:pPr>
                    <w:spacing w:line="240" w:lineRule="auto"/>
                    <w:jc w:val="center"/>
                    <w:rPr>
                      <w:color w:val="auto"/>
                      <w:sz w:val="21"/>
                      <w:szCs w:val="21"/>
                    </w:rPr>
                  </w:pPr>
                  <w:r>
                    <w:rPr>
                      <w:rFonts w:hint="eastAsia"/>
                      <w:color w:val="auto"/>
                      <w:sz w:val="21"/>
                      <w:szCs w:val="21"/>
                    </w:rPr>
                    <w:t>1</w:t>
                  </w:r>
                </w:p>
              </w:tc>
              <w:tc>
                <w:tcPr>
                  <w:tcW w:w="719" w:type="pct"/>
                  <w:tcBorders>
                    <w:top w:val="single" w:color="auto" w:sz="2" w:space="0"/>
                    <w:left w:val="single" w:color="auto" w:sz="2" w:space="0"/>
                    <w:bottom w:val="single" w:color="auto" w:sz="2" w:space="0"/>
                    <w:right w:val="single" w:color="auto" w:sz="2" w:space="0"/>
                  </w:tcBorders>
                  <w:vAlign w:val="center"/>
                </w:tcPr>
                <w:p w14:paraId="1B73202C">
                  <w:pPr>
                    <w:spacing w:line="240" w:lineRule="auto"/>
                    <w:jc w:val="center"/>
                    <w:rPr>
                      <w:color w:val="auto"/>
                      <w:sz w:val="21"/>
                      <w:szCs w:val="21"/>
                    </w:rPr>
                  </w:pPr>
                  <w:r>
                    <w:rPr>
                      <w:rFonts w:hint="eastAsia"/>
                      <w:color w:val="auto"/>
                      <w:sz w:val="21"/>
                      <w:szCs w:val="21"/>
                    </w:rPr>
                    <w:t>废机油</w:t>
                  </w:r>
                </w:p>
              </w:tc>
              <w:tc>
                <w:tcPr>
                  <w:tcW w:w="840" w:type="pct"/>
                  <w:tcBorders>
                    <w:top w:val="single" w:color="auto" w:sz="2" w:space="0"/>
                    <w:left w:val="single" w:color="auto" w:sz="2" w:space="0"/>
                    <w:bottom w:val="single" w:color="auto" w:sz="2" w:space="0"/>
                    <w:right w:val="single" w:color="auto" w:sz="2" w:space="0"/>
                  </w:tcBorders>
                  <w:vAlign w:val="center"/>
                </w:tcPr>
                <w:p w14:paraId="5C27E575">
                  <w:pPr>
                    <w:spacing w:line="240" w:lineRule="auto"/>
                    <w:jc w:val="center"/>
                    <w:rPr>
                      <w:color w:val="auto"/>
                      <w:sz w:val="21"/>
                      <w:szCs w:val="21"/>
                    </w:rPr>
                  </w:pPr>
                  <w:r>
                    <w:rPr>
                      <w:rFonts w:hint="eastAsia"/>
                      <w:color w:val="auto"/>
                      <w:sz w:val="21"/>
                      <w:szCs w:val="21"/>
                    </w:rPr>
                    <w:t>0.05</w:t>
                  </w:r>
                </w:p>
              </w:tc>
              <w:tc>
                <w:tcPr>
                  <w:tcW w:w="851" w:type="pct"/>
                  <w:tcBorders>
                    <w:top w:val="single" w:color="auto" w:sz="2" w:space="0"/>
                    <w:left w:val="single" w:color="auto" w:sz="2" w:space="0"/>
                    <w:bottom w:val="single" w:color="auto" w:sz="2" w:space="0"/>
                    <w:right w:val="single" w:color="auto" w:sz="2" w:space="0"/>
                  </w:tcBorders>
                  <w:vAlign w:val="center"/>
                </w:tcPr>
                <w:p w14:paraId="7FDC4ED4">
                  <w:pPr>
                    <w:spacing w:line="240" w:lineRule="auto"/>
                    <w:jc w:val="center"/>
                    <w:rPr>
                      <w:color w:val="auto"/>
                      <w:sz w:val="21"/>
                      <w:szCs w:val="21"/>
                    </w:rPr>
                  </w:pPr>
                  <w:r>
                    <w:rPr>
                      <w:rFonts w:hint="eastAsia"/>
                      <w:color w:val="auto"/>
                      <w:sz w:val="21"/>
                      <w:szCs w:val="21"/>
                    </w:rPr>
                    <w:t>2500</w:t>
                  </w:r>
                </w:p>
              </w:tc>
              <w:tc>
                <w:tcPr>
                  <w:tcW w:w="784" w:type="pct"/>
                  <w:tcBorders>
                    <w:top w:val="single" w:color="auto" w:sz="2" w:space="0"/>
                    <w:left w:val="single" w:color="auto" w:sz="2" w:space="0"/>
                    <w:bottom w:val="single" w:color="auto" w:sz="2" w:space="0"/>
                    <w:right w:val="single" w:color="auto" w:sz="2" w:space="0"/>
                  </w:tcBorders>
                  <w:vAlign w:val="center"/>
                </w:tcPr>
                <w:p w14:paraId="00060ED3">
                  <w:pPr>
                    <w:spacing w:line="240" w:lineRule="auto"/>
                    <w:jc w:val="center"/>
                    <w:rPr>
                      <w:color w:val="auto"/>
                      <w:sz w:val="21"/>
                      <w:szCs w:val="21"/>
                    </w:rPr>
                  </w:pPr>
                  <w:r>
                    <w:rPr>
                      <w:rFonts w:hint="eastAsia"/>
                      <w:color w:val="auto"/>
                      <w:sz w:val="21"/>
                      <w:szCs w:val="21"/>
                    </w:rPr>
                    <w:t>0.00002</w:t>
                  </w:r>
                </w:p>
              </w:tc>
              <w:tc>
                <w:tcPr>
                  <w:tcW w:w="1401" w:type="pct"/>
                  <w:tcBorders>
                    <w:top w:val="single" w:color="auto" w:sz="2" w:space="0"/>
                    <w:left w:val="single" w:color="auto" w:sz="2" w:space="0"/>
                    <w:bottom w:val="single" w:color="auto" w:sz="2" w:space="0"/>
                    <w:right w:val="single" w:color="auto" w:sz="2" w:space="0"/>
                  </w:tcBorders>
                  <w:vAlign w:val="center"/>
                </w:tcPr>
                <w:p w14:paraId="6E15BB95">
                  <w:pPr>
                    <w:spacing w:line="240" w:lineRule="auto"/>
                    <w:jc w:val="center"/>
                    <w:rPr>
                      <w:color w:val="auto"/>
                      <w:sz w:val="21"/>
                      <w:szCs w:val="21"/>
                    </w:rPr>
                  </w:pPr>
                  <w:r>
                    <w:rPr>
                      <w:color w:val="auto"/>
                      <w:sz w:val="21"/>
                      <w:szCs w:val="21"/>
                    </w:rPr>
                    <w:t>《HJ 169-2018》附录B</w:t>
                  </w:r>
                </w:p>
              </w:tc>
            </w:tr>
            <w:tr w14:paraId="6E34E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5000" w:type="pct"/>
                  <w:gridSpan w:val="6"/>
                  <w:tcBorders>
                    <w:top w:val="single" w:color="auto" w:sz="2" w:space="0"/>
                    <w:left w:val="single" w:color="auto" w:sz="4" w:space="0"/>
                    <w:bottom w:val="single" w:color="auto" w:sz="2" w:space="0"/>
                    <w:right w:val="single" w:color="auto" w:sz="2" w:space="0"/>
                  </w:tcBorders>
                  <w:vAlign w:val="center"/>
                </w:tcPr>
                <w:p w14:paraId="7832EC4D">
                  <w:pPr>
                    <w:spacing w:line="240" w:lineRule="auto"/>
                    <w:jc w:val="center"/>
                    <w:rPr>
                      <w:color w:val="auto"/>
                      <w:sz w:val="21"/>
                      <w:szCs w:val="21"/>
                    </w:rPr>
                  </w:pPr>
                  <w:r>
                    <w:rPr>
                      <w:color w:val="auto"/>
                      <w:sz w:val="21"/>
                      <w:szCs w:val="21"/>
                    </w:rPr>
                    <w:t>q</w:t>
                  </w:r>
                  <w:r>
                    <w:rPr>
                      <w:color w:val="auto"/>
                      <w:sz w:val="21"/>
                      <w:szCs w:val="21"/>
                      <w:vertAlign w:val="subscript"/>
                    </w:rPr>
                    <w:t>1</w:t>
                  </w:r>
                  <w:r>
                    <w:rPr>
                      <w:color w:val="auto"/>
                      <w:sz w:val="21"/>
                      <w:szCs w:val="21"/>
                    </w:rPr>
                    <w:t>/Q</w:t>
                  </w:r>
                  <w:r>
                    <w:rPr>
                      <w:color w:val="auto"/>
                      <w:sz w:val="21"/>
                      <w:szCs w:val="21"/>
                      <w:vertAlign w:val="subscript"/>
                    </w:rPr>
                    <w:t>1</w:t>
                  </w:r>
                  <w:r>
                    <w:rPr>
                      <w:color w:val="auto"/>
                      <w:sz w:val="21"/>
                      <w:szCs w:val="21"/>
                    </w:rPr>
                    <w:t>=0.0000</w:t>
                  </w:r>
                  <w:r>
                    <w:rPr>
                      <w:rFonts w:hint="eastAsia"/>
                      <w:color w:val="auto"/>
                      <w:sz w:val="21"/>
                      <w:szCs w:val="21"/>
                    </w:rPr>
                    <w:t>2</w:t>
                  </w:r>
                  <w:r>
                    <w:rPr>
                      <w:color w:val="auto"/>
                      <w:sz w:val="21"/>
                      <w:szCs w:val="21"/>
                    </w:rPr>
                    <w:t>＜1</w:t>
                  </w:r>
                </w:p>
              </w:tc>
            </w:tr>
          </w:tbl>
          <w:p w14:paraId="74197B82">
            <w:pPr>
              <w:spacing w:before="120" w:beforeLines="50"/>
              <w:ind w:firstLine="480" w:firstLineChars="200"/>
              <w:rPr>
                <w:bCs/>
                <w:color w:val="auto"/>
              </w:rPr>
            </w:pPr>
            <w:r>
              <w:rPr>
                <w:rFonts w:hint="eastAsia"/>
                <w:color w:val="auto"/>
              </w:rPr>
              <w:t>根据《建设项目环境风险评价技术导则》（HJ 169-2018），当Q＜1，风险潜势为I，评价工作等级为“简单分析”，危险</w:t>
            </w:r>
            <w:r>
              <w:rPr>
                <w:color w:val="auto"/>
              </w:rPr>
              <w:t>物质贮存未超过临界量，不需开展专项评价。</w:t>
            </w:r>
          </w:p>
          <w:p w14:paraId="7EC43E3F">
            <w:pPr>
              <w:pStyle w:val="5"/>
              <w:adjustRightInd w:val="0"/>
              <w:snapToGrid w:val="0"/>
              <w:ind w:firstLine="482"/>
              <w:rPr>
                <w:rFonts w:ascii="Times New Roman" w:hAnsi="Times New Roman"/>
                <w:b/>
                <w:bCs/>
                <w:color w:val="auto"/>
                <w:sz w:val="24"/>
                <w:szCs w:val="24"/>
              </w:rPr>
            </w:pPr>
            <w:r>
              <w:rPr>
                <w:rFonts w:hint="eastAsia" w:ascii="Times New Roman" w:hAnsi="Times New Roman"/>
                <w:b/>
                <w:bCs/>
                <w:color w:val="auto"/>
                <w:sz w:val="24"/>
                <w:szCs w:val="24"/>
              </w:rPr>
              <w:t>（2）风险影响分析</w:t>
            </w:r>
          </w:p>
          <w:p w14:paraId="743EF2AE">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eastAsia" w:ascii="Times New Roman" w:hAnsi="Times New Roman" w:eastAsia="宋体"/>
                <w:color w:val="auto"/>
                <w:sz w:val="24"/>
                <w:szCs w:val="24"/>
                <w:lang w:eastAsia="zh-CN"/>
              </w:rPr>
            </w:pPr>
            <w:r>
              <w:rPr>
                <w:rFonts w:hint="eastAsia" w:ascii="Times New Roman" w:hAnsi="Times New Roman"/>
                <w:color w:val="auto"/>
                <w:sz w:val="24"/>
                <w:szCs w:val="24"/>
              </w:rPr>
              <w:t>废机油存储不当，以及危险废物未及时放置于</w:t>
            </w:r>
            <w:r>
              <w:rPr>
                <w:rFonts w:hint="eastAsia" w:ascii="Times New Roman" w:hAnsi="Times New Roman"/>
                <w:color w:val="auto"/>
                <w:sz w:val="24"/>
                <w:szCs w:val="24"/>
                <w:lang w:eastAsia="zh-CN"/>
              </w:rPr>
              <w:t>危废暂存间</w:t>
            </w:r>
            <w:r>
              <w:rPr>
                <w:rFonts w:hint="eastAsia" w:ascii="Times New Roman" w:hAnsi="Times New Roman"/>
                <w:color w:val="auto"/>
                <w:sz w:val="24"/>
                <w:szCs w:val="24"/>
              </w:rPr>
              <w:t>，随意丢弃，可能会泄漏到周围环境中，在其迁移过程中，大多数情况下，其初期影响仅限于厂区范围内，后期进入水环境造成地表水和地下水污染</w:t>
            </w:r>
            <w:r>
              <w:rPr>
                <w:rFonts w:hint="eastAsia" w:ascii="Times New Roman" w:hAnsi="Times New Roman"/>
                <w:color w:val="auto"/>
                <w:sz w:val="24"/>
                <w:szCs w:val="24"/>
                <w:lang w:eastAsia="zh-CN"/>
              </w:rPr>
              <w:t>。</w:t>
            </w:r>
          </w:p>
          <w:p w14:paraId="1E46411A">
            <w:pPr>
              <w:pStyle w:val="145"/>
              <w:keepNext w:val="0"/>
              <w:keepLines w:val="0"/>
              <w:pageBreakBefore w:val="0"/>
              <w:widowControl w:val="0"/>
              <w:kinsoku/>
              <w:wordWrap/>
              <w:overflowPunct/>
              <w:topLinePunct w:val="0"/>
              <w:autoSpaceDE/>
              <w:autoSpaceDN/>
              <w:bidi w:val="0"/>
              <w:spacing w:line="360" w:lineRule="auto"/>
              <w:ind w:left="0" w:right="0" w:firstLine="471"/>
              <w:textAlignment w:val="auto"/>
              <w:rPr>
                <w:rFonts w:ascii="Times New Roman" w:hAnsi="Times New Roman"/>
                <w:color w:val="auto"/>
                <w:sz w:val="24"/>
                <w:szCs w:val="24"/>
              </w:rPr>
            </w:pPr>
            <w:r>
              <w:rPr>
                <w:color w:val="auto"/>
                <w:spacing w:val="-4"/>
              </w:rPr>
              <w:t>本项目</w:t>
            </w:r>
            <w:r>
              <w:rPr>
                <w:rFonts w:hint="eastAsia"/>
                <w:color w:val="auto"/>
                <w:spacing w:val="-4"/>
                <w:lang w:eastAsia="zh-CN"/>
              </w:rPr>
              <w:t>危险废物废机油有</w:t>
            </w:r>
            <w:r>
              <w:rPr>
                <w:color w:val="auto"/>
                <w:spacing w:val="-5"/>
              </w:rPr>
              <w:t>可燃物质</w:t>
            </w:r>
            <w:r>
              <w:rPr>
                <w:rFonts w:hint="eastAsia"/>
                <w:color w:val="auto"/>
                <w:spacing w:val="-5"/>
                <w:lang w:eastAsia="zh-CN"/>
              </w:rPr>
              <w:t>，</w:t>
            </w:r>
            <w:r>
              <w:rPr>
                <w:color w:val="auto"/>
                <w:spacing w:val="-5"/>
              </w:rPr>
              <w:t>一旦</w:t>
            </w:r>
            <w:r>
              <w:rPr>
                <w:color w:val="auto"/>
                <w:spacing w:val="-4"/>
              </w:rPr>
              <w:t>发生</w:t>
            </w:r>
            <w:r>
              <w:rPr>
                <w:rFonts w:hint="eastAsia"/>
                <w:color w:val="auto"/>
                <w:spacing w:val="-4"/>
                <w:lang w:eastAsia="zh-CN"/>
              </w:rPr>
              <w:t>火灾</w:t>
            </w:r>
            <w:r>
              <w:rPr>
                <w:color w:val="auto"/>
                <w:spacing w:val="-4"/>
              </w:rPr>
              <w:t>事故，若采取措施不当，消防过程中可能会产</w:t>
            </w:r>
            <w:r>
              <w:rPr>
                <w:color w:val="auto"/>
                <w:spacing w:val="-5"/>
              </w:rPr>
              <w:t>生伴生、次生污染物，对周围环境带来二次污染。发生火灾、爆炸时，由于</w:t>
            </w:r>
            <w:r>
              <w:rPr>
                <w:rFonts w:hint="eastAsia"/>
                <w:color w:val="auto"/>
                <w:spacing w:val="-5"/>
                <w:lang w:eastAsia="zh-CN"/>
              </w:rPr>
              <w:t>废机油</w:t>
            </w:r>
            <w:r>
              <w:rPr>
                <w:color w:val="auto"/>
                <w:spacing w:val="-5"/>
              </w:rPr>
              <w:t>的不完全燃烧，会产生大量的黑烟、刺激气体，</w:t>
            </w:r>
            <w:r>
              <w:rPr>
                <w:color w:val="auto"/>
                <w:spacing w:val="-8"/>
              </w:rPr>
              <w:t>含有高浓度的</w:t>
            </w:r>
            <w:r>
              <w:rPr>
                <w:color w:val="auto"/>
                <w:spacing w:val="-39"/>
              </w:rPr>
              <w:t xml:space="preserve"> </w:t>
            </w:r>
            <w:r>
              <w:rPr>
                <w:rFonts w:ascii="Times New Roman" w:hAnsi="Times New Roman" w:eastAsia="Times New Roman" w:cs="Times New Roman"/>
                <w:color w:val="auto"/>
                <w:spacing w:val="-8"/>
              </w:rPr>
              <w:t>CO</w:t>
            </w:r>
            <w:r>
              <w:rPr>
                <w:color w:val="auto"/>
                <w:spacing w:val="-8"/>
              </w:rPr>
              <w:t>、氮氧化物、</w:t>
            </w:r>
            <w:r>
              <w:rPr>
                <w:rFonts w:ascii="Times New Roman" w:hAnsi="Times New Roman" w:eastAsia="Times New Roman" w:cs="Times New Roman"/>
                <w:color w:val="auto"/>
                <w:spacing w:val="-8"/>
              </w:rPr>
              <w:t>VOCs</w:t>
            </w:r>
            <w:r>
              <w:rPr>
                <w:color w:val="auto"/>
                <w:spacing w:val="-8"/>
              </w:rPr>
              <w:t>以及一些复杂的有毒有害气体</w:t>
            </w:r>
            <w:r>
              <w:rPr>
                <w:rFonts w:hint="eastAsia"/>
                <w:color w:val="auto"/>
                <w:spacing w:val="-8"/>
                <w:lang w:eastAsia="zh-CN"/>
              </w:rPr>
              <w:t>，影响周边环境及人员健康</w:t>
            </w:r>
            <w:r>
              <w:rPr>
                <w:rFonts w:hint="eastAsia" w:ascii="Times New Roman" w:hAnsi="Times New Roman"/>
                <w:color w:val="auto"/>
                <w:sz w:val="24"/>
                <w:szCs w:val="24"/>
              </w:rPr>
              <w:t>。</w:t>
            </w:r>
          </w:p>
          <w:p w14:paraId="065BE446">
            <w:pPr>
              <w:pStyle w:val="5"/>
              <w:adjustRightInd w:val="0"/>
              <w:snapToGrid w:val="0"/>
              <w:spacing w:line="440" w:lineRule="exact"/>
              <w:ind w:firstLine="482"/>
              <w:rPr>
                <w:rFonts w:ascii="Times New Roman" w:hAnsi="Times New Roman"/>
                <w:b/>
                <w:bCs/>
                <w:color w:val="auto"/>
                <w:sz w:val="24"/>
                <w:szCs w:val="24"/>
              </w:rPr>
            </w:pPr>
            <w:r>
              <w:rPr>
                <w:rFonts w:hint="eastAsia" w:ascii="Times New Roman" w:hAnsi="Times New Roman"/>
                <w:b/>
                <w:bCs/>
                <w:color w:val="auto"/>
                <w:sz w:val="24"/>
                <w:szCs w:val="24"/>
              </w:rPr>
              <w:t>（3）环境风险防范措施</w:t>
            </w:r>
          </w:p>
          <w:p w14:paraId="0647C6F0">
            <w:pPr>
              <w:spacing w:line="440" w:lineRule="exact"/>
              <w:ind w:firstLine="480" w:firstLineChars="200"/>
              <w:rPr>
                <w:color w:val="auto"/>
              </w:rPr>
            </w:pPr>
            <w:r>
              <w:rPr>
                <w:rFonts w:hint="eastAsia"/>
                <w:color w:val="auto"/>
              </w:rPr>
              <w:t>A、</w:t>
            </w:r>
            <w:r>
              <w:rPr>
                <w:color w:val="auto"/>
              </w:rPr>
              <w:t>加强</w:t>
            </w:r>
            <w:r>
              <w:rPr>
                <w:rFonts w:hint="eastAsia"/>
                <w:color w:val="auto"/>
              </w:rPr>
              <w:t>废机油</w:t>
            </w:r>
            <w:r>
              <w:rPr>
                <w:color w:val="auto"/>
              </w:rPr>
              <w:t>的管理，远离火种、热源；配备相应品种和数量的消防器材。</w:t>
            </w:r>
          </w:p>
          <w:p w14:paraId="3D0F09BC">
            <w:pPr>
              <w:spacing w:line="440" w:lineRule="exact"/>
              <w:ind w:firstLine="480" w:firstLineChars="200"/>
              <w:rPr>
                <w:color w:val="auto"/>
              </w:rPr>
            </w:pPr>
            <w:r>
              <w:rPr>
                <w:rFonts w:hint="eastAsia"/>
                <w:color w:val="auto"/>
              </w:rPr>
              <w:t>B、</w:t>
            </w:r>
            <w:r>
              <w:rPr>
                <w:color w:val="auto"/>
              </w:rPr>
              <w:t>设定专门的危废存储场所，并按照《危险废物贮存污染控制标准》（GB18597-20</w:t>
            </w:r>
            <w:r>
              <w:rPr>
                <w:rFonts w:hint="eastAsia"/>
                <w:color w:val="auto"/>
              </w:rPr>
              <w:t>23</w:t>
            </w:r>
            <w:r>
              <w:rPr>
                <w:color w:val="auto"/>
              </w:rPr>
              <w:t>）的相关要求采取相应的“防风、防雨、防晒</w:t>
            </w:r>
            <w:r>
              <w:rPr>
                <w:rFonts w:hint="eastAsia"/>
                <w:color w:val="auto"/>
              </w:rPr>
              <w:t>、防渗漏</w:t>
            </w:r>
            <w:r>
              <w:rPr>
                <w:color w:val="auto"/>
              </w:rPr>
              <w:t>”的</w:t>
            </w:r>
            <w:r>
              <w:rPr>
                <w:rFonts w:hint="eastAsia"/>
                <w:color w:val="auto"/>
              </w:rPr>
              <w:t>四</w:t>
            </w:r>
            <w:r>
              <w:rPr>
                <w:color w:val="auto"/>
              </w:rPr>
              <w:t>防要求，避免产生二次污染。危废不得与其他垃圾混存，委托具有危废处理资质的单位回收进行处置，禁止私自处理。</w:t>
            </w:r>
          </w:p>
          <w:p w14:paraId="5AB1FAC7">
            <w:pPr>
              <w:pStyle w:val="114"/>
              <w:spacing w:line="440" w:lineRule="exact"/>
              <w:ind w:firstLine="480"/>
              <w:rPr>
                <w:color w:val="auto"/>
                <w:szCs w:val="22"/>
              </w:rPr>
            </w:pPr>
            <w:r>
              <w:rPr>
                <w:rFonts w:hint="eastAsia"/>
                <w:color w:val="auto"/>
                <w:szCs w:val="22"/>
              </w:rPr>
              <w:t>C、</w:t>
            </w:r>
            <w:r>
              <w:rPr>
                <w:color w:val="auto"/>
                <w:szCs w:val="22"/>
              </w:rPr>
              <w:t>当发生</w:t>
            </w:r>
            <w:r>
              <w:rPr>
                <w:rFonts w:hint="eastAsia"/>
                <w:color w:val="auto"/>
                <w:szCs w:val="22"/>
              </w:rPr>
              <w:t>废机油</w:t>
            </w:r>
            <w:r>
              <w:rPr>
                <w:color w:val="auto"/>
                <w:szCs w:val="22"/>
              </w:rPr>
              <w:t>泄漏时，</w:t>
            </w:r>
            <w:r>
              <w:rPr>
                <w:rFonts w:hint="eastAsia"/>
                <w:color w:val="auto"/>
                <w:szCs w:val="22"/>
              </w:rPr>
              <w:t>泄漏量按废机油最大总储存量计，约0.05t/a</w:t>
            </w:r>
            <w:r>
              <w:rPr>
                <w:color w:val="auto"/>
                <w:szCs w:val="22"/>
              </w:rPr>
              <w:t>，</w:t>
            </w:r>
            <w:r>
              <w:rPr>
                <w:rFonts w:hint="eastAsia"/>
                <w:color w:val="auto"/>
                <w:szCs w:val="22"/>
              </w:rPr>
              <w:t>泄漏量较小，可及时采用木糠拦截、桶装收集、抹布清理，</w:t>
            </w:r>
            <w:r>
              <w:rPr>
                <w:color w:val="auto"/>
                <w:szCs w:val="22"/>
              </w:rPr>
              <w:t>避免对大气环境、地下水环境和土壤环境造成污染。</w:t>
            </w:r>
          </w:p>
          <w:p w14:paraId="4EA6A63C">
            <w:pPr>
              <w:pStyle w:val="114"/>
              <w:spacing w:line="440" w:lineRule="exact"/>
              <w:ind w:firstLine="480"/>
              <w:rPr>
                <w:rFonts w:hint="eastAsia" w:eastAsia="宋体"/>
                <w:color w:val="auto"/>
                <w:szCs w:val="22"/>
                <w:lang w:val="en-US" w:eastAsia="zh-CN"/>
              </w:rPr>
            </w:pPr>
            <w:r>
              <w:rPr>
                <w:rFonts w:hint="eastAsia"/>
                <w:color w:val="auto"/>
                <w:szCs w:val="22"/>
                <w:lang w:val="en-US" w:eastAsia="zh-CN"/>
              </w:rPr>
              <w:t>D、</w:t>
            </w:r>
            <w:r>
              <w:rPr>
                <w:color w:val="auto"/>
                <w:spacing w:val="-8"/>
              </w:rPr>
              <w:t>当</w:t>
            </w:r>
            <w:r>
              <w:rPr>
                <w:rFonts w:hint="eastAsia"/>
                <w:color w:val="auto"/>
                <w:spacing w:val="-8"/>
                <w:lang w:eastAsia="zh-CN"/>
              </w:rPr>
              <w:t>废机油发生火灾</w:t>
            </w:r>
            <w:r>
              <w:rPr>
                <w:color w:val="auto"/>
                <w:spacing w:val="-8"/>
              </w:rPr>
              <w:t>产生有毒有</w:t>
            </w:r>
            <w:r>
              <w:rPr>
                <w:color w:val="auto"/>
                <w:spacing w:val="-4"/>
              </w:rPr>
              <w:t>害气体时，迅速撤离泄漏污染区人员至上风处，并立</w:t>
            </w:r>
            <w:r>
              <w:rPr>
                <w:color w:val="auto"/>
                <w:spacing w:val="-5"/>
              </w:rPr>
              <w:t>即进行隔离。</w:t>
            </w:r>
            <w:r>
              <w:rPr>
                <w:color w:val="auto"/>
                <w:spacing w:val="-4"/>
              </w:rPr>
              <w:t>尽可能切断泄漏源</w:t>
            </w:r>
            <w:r>
              <w:rPr>
                <w:rFonts w:hint="eastAsia"/>
                <w:color w:val="auto"/>
                <w:spacing w:val="-4"/>
                <w:lang w:eastAsia="zh-CN"/>
              </w:rPr>
              <w:t>及采取灭火措施；</w:t>
            </w:r>
            <w:r>
              <w:rPr>
                <w:color w:val="auto"/>
                <w:spacing w:val="-4"/>
              </w:rPr>
              <w:t>合理通风，加速</w:t>
            </w:r>
            <w:r>
              <w:rPr>
                <w:color w:val="auto"/>
                <w:spacing w:val="-5"/>
              </w:rPr>
              <w:t>扩散</w:t>
            </w:r>
            <w:r>
              <w:rPr>
                <w:rFonts w:hint="eastAsia"/>
                <w:color w:val="auto"/>
                <w:spacing w:val="-5"/>
                <w:lang w:eastAsia="zh-CN"/>
              </w:rPr>
              <w:t>；危废暂存间附近配备干粉灭火器等应急救援物质。</w:t>
            </w:r>
          </w:p>
          <w:p w14:paraId="58B22891">
            <w:pPr>
              <w:pStyle w:val="114"/>
              <w:spacing w:line="440" w:lineRule="exact"/>
              <w:ind w:firstLine="482"/>
              <w:rPr>
                <w:b/>
                <w:bCs/>
                <w:color w:val="auto"/>
                <w:szCs w:val="24"/>
              </w:rPr>
            </w:pPr>
            <w:r>
              <w:rPr>
                <w:rFonts w:hint="eastAsia"/>
                <w:b/>
                <w:bCs/>
                <w:color w:val="auto"/>
                <w:szCs w:val="24"/>
              </w:rPr>
              <w:t>（4）应急预案</w:t>
            </w:r>
          </w:p>
          <w:p w14:paraId="2855881B">
            <w:pPr>
              <w:spacing w:line="440" w:lineRule="exact"/>
              <w:ind w:firstLine="480" w:firstLineChars="200"/>
              <w:rPr>
                <w:rFonts w:hint="eastAsia" w:hAnsi="宋体"/>
                <w:b/>
                <w:bCs/>
                <w:color w:val="auto"/>
              </w:rPr>
            </w:pPr>
            <w:r>
              <w:rPr>
                <w:rFonts w:hint="eastAsia" w:ascii="宋体" w:hAnsi="宋体" w:cs="宋体"/>
                <w:color w:val="auto"/>
              </w:rPr>
              <w:t xml:space="preserve">本项目应建立事故应急预案，加强事故应急演练，减小可能发生的事故影响。针对建设项目的特点，制订应急预案如表 </w:t>
            </w:r>
            <w:r>
              <w:rPr>
                <w:color w:val="auto"/>
              </w:rPr>
              <w:t>4-</w:t>
            </w:r>
            <w:r>
              <w:rPr>
                <w:rFonts w:hint="eastAsia"/>
                <w:color w:val="auto"/>
              </w:rPr>
              <w:t>18</w:t>
            </w:r>
            <w:r>
              <w:rPr>
                <w:color w:val="auto"/>
              </w:rPr>
              <w:t>。</w:t>
            </w:r>
          </w:p>
          <w:p w14:paraId="4D247235">
            <w:pPr>
              <w:spacing w:line="240" w:lineRule="auto"/>
              <w:jc w:val="center"/>
              <w:rPr>
                <w:rFonts w:hint="eastAsia" w:ascii="宋体" w:hAnsi="宋体" w:cs="宋体"/>
                <w:b/>
                <w:bCs/>
                <w:color w:val="auto"/>
              </w:rPr>
            </w:pPr>
            <w:r>
              <w:rPr>
                <w:rFonts w:hAnsi="宋体"/>
                <w:b/>
                <w:bCs/>
                <w:color w:val="auto"/>
              </w:rPr>
              <w:t>表</w:t>
            </w:r>
            <w:r>
              <w:rPr>
                <w:rFonts w:hint="eastAsia"/>
                <w:b/>
                <w:bCs/>
                <w:color w:val="auto"/>
              </w:rPr>
              <w:t>4-18</w:t>
            </w:r>
            <w:r>
              <w:rPr>
                <w:rFonts w:hint="eastAsia" w:ascii="宋体" w:hAnsi="宋体" w:cs="宋体"/>
                <w:b/>
                <w:bCs/>
                <w:color w:val="auto"/>
              </w:rPr>
              <w:t xml:space="preserve">    项目突发环境事故应急预案的内容</w:t>
            </w:r>
          </w:p>
          <w:tbl>
            <w:tblPr>
              <w:tblStyle w:val="25"/>
              <w:tblW w:w="4999"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2622"/>
              <w:gridCol w:w="5018"/>
            </w:tblGrid>
            <w:tr w14:paraId="724855F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637A8872">
                  <w:pPr>
                    <w:spacing w:line="240" w:lineRule="auto"/>
                    <w:jc w:val="center"/>
                    <w:rPr>
                      <w:color w:val="auto"/>
                      <w:sz w:val="21"/>
                      <w:szCs w:val="21"/>
                    </w:rPr>
                  </w:pPr>
                  <w:r>
                    <w:rPr>
                      <w:rFonts w:hAnsi="宋体"/>
                      <w:color w:val="auto"/>
                      <w:sz w:val="21"/>
                      <w:szCs w:val="21"/>
                    </w:rPr>
                    <w:t>序号</w:t>
                  </w:r>
                </w:p>
              </w:tc>
              <w:tc>
                <w:tcPr>
                  <w:tcW w:w="1549" w:type="pct"/>
                  <w:vAlign w:val="center"/>
                </w:tcPr>
                <w:p w14:paraId="7B768EB1">
                  <w:pPr>
                    <w:spacing w:line="240" w:lineRule="auto"/>
                    <w:jc w:val="center"/>
                    <w:rPr>
                      <w:color w:val="auto"/>
                      <w:sz w:val="21"/>
                      <w:szCs w:val="21"/>
                    </w:rPr>
                  </w:pPr>
                  <w:r>
                    <w:rPr>
                      <w:rFonts w:hAnsi="宋体"/>
                      <w:color w:val="auto"/>
                      <w:sz w:val="21"/>
                      <w:szCs w:val="21"/>
                    </w:rPr>
                    <w:t>项目</w:t>
                  </w:r>
                </w:p>
              </w:tc>
              <w:tc>
                <w:tcPr>
                  <w:tcW w:w="2964" w:type="pct"/>
                  <w:vAlign w:val="center"/>
                </w:tcPr>
                <w:p w14:paraId="5D574FCE">
                  <w:pPr>
                    <w:spacing w:line="240" w:lineRule="auto"/>
                    <w:jc w:val="center"/>
                    <w:rPr>
                      <w:color w:val="auto"/>
                      <w:sz w:val="21"/>
                      <w:szCs w:val="21"/>
                    </w:rPr>
                  </w:pPr>
                  <w:r>
                    <w:rPr>
                      <w:rFonts w:hAnsi="宋体"/>
                      <w:color w:val="auto"/>
                      <w:sz w:val="21"/>
                      <w:szCs w:val="21"/>
                    </w:rPr>
                    <w:t>内容及要求</w:t>
                  </w:r>
                </w:p>
              </w:tc>
            </w:tr>
            <w:tr w14:paraId="75EF554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pct"/>
                  <w:vAlign w:val="center"/>
                </w:tcPr>
                <w:p w14:paraId="5E53ED52">
                  <w:pPr>
                    <w:spacing w:line="240" w:lineRule="auto"/>
                    <w:jc w:val="center"/>
                    <w:rPr>
                      <w:color w:val="auto"/>
                      <w:sz w:val="21"/>
                      <w:szCs w:val="21"/>
                    </w:rPr>
                  </w:pPr>
                  <w:r>
                    <w:rPr>
                      <w:color w:val="auto"/>
                      <w:sz w:val="21"/>
                      <w:szCs w:val="21"/>
                    </w:rPr>
                    <w:t>1</w:t>
                  </w:r>
                </w:p>
              </w:tc>
              <w:tc>
                <w:tcPr>
                  <w:tcW w:w="1549" w:type="pct"/>
                  <w:vAlign w:val="center"/>
                </w:tcPr>
                <w:p w14:paraId="265C3AB1">
                  <w:pPr>
                    <w:spacing w:line="240" w:lineRule="auto"/>
                    <w:jc w:val="center"/>
                    <w:rPr>
                      <w:color w:val="auto"/>
                      <w:sz w:val="21"/>
                      <w:szCs w:val="21"/>
                    </w:rPr>
                  </w:pPr>
                  <w:r>
                    <w:rPr>
                      <w:rFonts w:hAnsi="宋体"/>
                      <w:color w:val="auto"/>
                      <w:sz w:val="21"/>
                      <w:szCs w:val="21"/>
                    </w:rPr>
                    <w:t>应急计划区</w:t>
                  </w:r>
                </w:p>
              </w:tc>
              <w:tc>
                <w:tcPr>
                  <w:tcW w:w="2964" w:type="pct"/>
                  <w:vAlign w:val="center"/>
                </w:tcPr>
                <w:p w14:paraId="2D39433F">
                  <w:pPr>
                    <w:spacing w:line="240" w:lineRule="auto"/>
                    <w:jc w:val="center"/>
                    <w:rPr>
                      <w:color w:val="auto"/>
                      <w:sz w:val="21"/>
                      <w:szCs w:val="21"/>
                    </w:rPr>
                  </w:pPr>
                  <w:r>
                    <w:rPr>
                      <w:rFonts w:hint="eastAsia" w:hAnsi="宋体"/>
                      <w:color w:val="auto"/>
                      <w:sz w:val="21"/>
                      <w:szCs w:val="21"/>
                      <w:lang w:eastAsia="zh-CN"/>
                    </w:rPr>
                    <w:t>危废暂存间</w:t>
                  </w:r>
                  <w:r>
                    <w:rPr>
                      <w:rFonts w:hAnsi="宋体"/>
                      <w:color w:val="auto"/>
                      <w:sz w:val="21"/>
                      <w:szCs w:val="21"/>
                    </w:rPr>
                    <w:t>，环境保护目标等</w:t>
                  </w:r>
                </w:p>
              </w:tc>
            </w:tr>
            <w:tr w14:paraId="45B119E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0FA78AB3">
                  <w:pPr>
                    <w:spacing w:line="240" w:lineRule="auto"/>
                    <w:jc w:val="center"/>
                    <w:rPr>
                      <w:color w:val="auto"/>
                      <w:sz w:val="21"/>
                      <w:szCs w:val="21"/>
                    </w:rPr>
                  </w:pPr>
                  <w:r>
                    <w:rPr>
                      <w:color w:val="auto"/>
                      <w:sz w:val="21"/>
                      <w:szCs w:val="21"/>
                    </w:rPr>
                    <w:t>2</w:t>
                  </w:r>
                </w:p>
              </w:tc>
              <w:tc>
                <w:tcPr>
                  <w:tcW w:w="1549" w:type="pct"/>
                  <w:vAlign w:val="center"/>
                </w:tcPr>
                <w:p w14:paraId="2F8BFFD3">
                  <w:pPr>
                    <w:spacing w:line="240" w:lineRule="auto"/>
                    <w:jc w:val="center"/>
                    <w:rPr>
                      <w:color w:val="auto"/>
                      <w:sz w:val="21"/>
                      <w:szCs w:val="21"/>
                    </w:rPr>
                  </w:pPr>
                  <w:r>
                    <w:rPr>
                      <w:rFonts w:hAnsi="宋体"/>
                      <w:color w:val="auto"/>
                      <w:sz w:val="21"/>
                      <w:szCs w:val="21"/>
                    </w:rPr>
                    <w:t>应急组织机构、人员</w:t>
                  </w:r>
                </w:p>
              </w:tc>
              <w:tc>
                <w:tcPr>
                  <w:tcW w:w="2964" w:type="pct"/>
                  <w:vAlign w:val="center"/>
                </w:tcPr>
                <w:p w14:paraId="79CD2DB4">
                  <w:pPr>
                    <w:spacing w:line="240" w:lineRule="auto"/>
                    <w:jc w:val="center"/>
                    <w:rPr>
                      <w:color w:val="auto"/>
                      <w:sz w:val="21"/>
                      <w:szCs w:val="21"/>
                    </w:rPr>
                  </w:pPr>
                  <w:r>
                    <w:rPr>
                      <w:rFonts w:hAnsi="宋体"/>
                      <w:color w:val="auto"/>
                      <w:sz w:val="21"/>
                      <w:szCs w:val="21"/>
                    </w:rPr>
                    <w:t>工厂、地区应急组织机构、人员</w:t>
                  </w:r>
                </w:p>
              </w:tc>
            </w:tr>
            <w:tr w14:paraId="2152A82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3A399C76">
                  <w:pPr>
                    <w:spacing w:line="240" w:lineRule="auto"/>
                    <w:jc w:val="center"/>
                    <w:rPr>
                      <w:color w:val="auto"/>
                      <w:sz w:val="21"/>
                      <w:szCs w:val="21"/>
                    </w:rPr>
                  </w:pPr>
                  <w:r>
                    <w:rPr>
                      <w:color w:val="auto"/>
                      <w:sz w:val="21"/>
                      <w:szCs w:val="21"/>
                    </w:rPr>
                    <w:t>3</w:t>
                  </w:r>
                </w:p>
              </w:tc>
              <w:tc>
                <w:tcPr>
                  <w:tcW w:w="1549" w:type="pct"/>
                  <w:vAlign w:val="center"/>
                </w:tcPr>
                <w:p w14:paraId="1030BD7C">
                  <w:pPr>
                    <w:spacing w:line="240" w:lineRule="auto"/>
                    <w:jc w:val="center"/>
                    <w:rPr>
                      <w:color w:val="auto"/>
                      <w:sz w:val="21"/>
                      <w:szCs w:val="21"/>
                    </w:rPr>
                  </w:pPr>
                  <w:r>
                    <w:rPr>
                      <w:rFonts w:hAnsi="宋体"/>
                      <w:color w:val="auto"/>
                      <w:sz w:val="21"/>
                      <w:szCs w:val="21"/>
                    </w:rPr>
                    <w:t>预案分级响应条件</w:t>
                  </w:r>
                </w:p>
              </w:tc>
              <w:tc>
                <w:tcPr>
                  <w:tcW w:w="2964" w:type="pct"/>
                  <w:vAlign w:val="center"/>
                </w:tcPr>
                <w:p w14:paraId="4C435AED">
                  <w:pPr>
                    <w:spacing w:line="240" w:lineRule="auto"/>
                    <w:jc w:val="center"/>
                    <w:rPr>
                      <w:color w:val="auto"/>
                      <w:sz w:val="21"/>
                      <w:szCs w:val="21"/>
                    </w:rPr>
                  </w:pPr>
                  <w:r>
                    <w:rPr>
                      <w:rFonts w:hAnsi="宋体"/>
                      <w:color w:val="auto"/>
                      <w:sz w:val="21"/>
                      <w:szCs w:val="21"/>
                    </w:rPr>
                    <w:t>规定预案的级别及分级响应程序</w:t>
                  </w:r>
                </w:p>
              </w:tc>
            </w:tr>
            <w:tr w14:paraId="3ACBC46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60185F53">
                  <w:pPr>
                    <w:spacing w:line="240" w:lineRule="auto"/>
                    <w:jc w:val="center"/>
                    <w:rPr>
                      <w:color w:val="auto"/>
                      <w:sz w:val="21"/>
                      <w:szCs w:val="21"/>
                    </w:rPr>
                  </w:pPr>
                  <w:r>
                    <w:rPr>
                      <w:color w:val="auto"/>
                      <w:sz w:val="21"/>
                      <w:szCs w:val="21"/>
                    </w:rPr>
                    <w:t>4</w:t>
                  </w:r>
                </w:p>
              </w:tc>
              <w:tc>
                <w:tcPr>
                  <w:tcW w:w="1549" w:type="pct"/>
                  <w:vAlign w:val="center"/>
                </w:tcPr>
                <w:p w14:paraId="014E2B2C">
                  <w:pPr>
                    <w:spacing w:line="240" w:lineRule="auto"/>
                    <w:jc w:val="center"/>
                    <w:rPr>
                      <w:color w:val="auto"/>
                      <w:sz w:val="21"/>
                      <w:szCs w:val="21"/>
                    </w:rPr>
                  </w:pPr>
                  <w:r>
                    <w:rPr>
                      <w:rFonts w:hAnsi="宋体"/>
                      <w:color w:val="auto"/>
                      <w:sz w:val="21"/>
                      <w:szCs w:val="21"/>
                    </w:rPr>
                    <w:t>应急救援保障</w:t>
                  </w:r>
                </w:p>
              </w:tc>
              <w:tc>
                <w:tcPr>
                  <w:tcW w:w="2964" w:type="pct"/>
                  <w:vAlign w:val="center"/>
                </w:tcPr>
                <w:p w14:paraId="3C22C159">
                  <w:pPr>
                    <w:spacing w:line="240" w:lineRule="auto"/>
                    <w:jc w:val="center"/>
                    <w:rPr>
                      <w:color w:val="auto"/>
                      <w:sz w:val="21"/>
                      <w:szCs w:val="21"/>
                    </w:rPr>
                  </w:pPr>
                  <w:r>
                    <w:rPr>
                      <w:rFonts w:hAnsi="宋体"/>
                      <w:color w:val="auto"/>
                      <w:sz w:val="21"/>
                      <w:szCs w:val="21"/>
                    </w:rPr>
                    <w:t>应急设施、设备与器材等</w:t>
                  </w:r>
                </w:p>
              </w:tc>
            </w:tr>
            <w:tr w14:paraId="2A0A904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1D7CEF11">
                  <w:pPr>
                    <w:spacing w:line="240" w:lineRule="auto"/>
                    <w:jc w:val="center"/>
                    <w:rPr>
                      <w:color w:val="auto"/>
                      <w:sz w:val="21"/>
                      <w:szCs w:val="21"/>
                    </w:rPr>
                  </w:pPr>
                  <w:r>
                    <w:rPr>
                      <w:color w:val="auto"/>
                      <w:sz w:val="21"/>
                      <w:szCs w:val="21"/>
                    </w:rPr>
                    <w:t>5</w:t>
                  </w:r>
                </w:p>
              </w:tc>
              <w:tc>
                <w:tcPr>
                  <w:tcW w:w="1549" w:type="pct"/>
                  <w:vAlign w:val="center"/>
                </w:tcPr>
                <w:p w14:paraId="09EF81BD">
                  <w:pPr>
                    <w:spacing w:line="240" w:lineRule="auto"/>
                    <w:jc w:val="center"/>
                    <w:rPr>
                      <w:color w:val="auto"/>
                      <w:sz w:val="21"/>
                      <w:szCs w:val="21"/>
                    </w:rPr>
                  </w:pPr>
                  <w:r>
                    <w:rPr>
                      <w:rFonts w:hAnsi="宋体"/>
                      <w:color w:val="auto"/>
                      <w:sz w:val="21"/>
                      <w:szCs w:val="21"/>
                    </w:rPr>
                    <w:t>报警、通讯联络方式</w:t>
                  </w:r>
                </w:p>
              </w:tc>
              <w:tc>
                <w:tcPr>
                  <w:tcW w:w="2964" w:type="pct"/>
                  <w:vAlign w:val="center"/>
                </w:tcPr>
                <w:p w14:paraId="0993F2E0">
                  <w:pPr>
                    <w:spacing w:line="240" w:lineRule="auto"/>
                    <w:jc w:val="center"/>
                    <w:rPr>
                      <w:color w:val="auto"/>
                      <w:sz w:val="21"/>
                      <w:szCs w:val="21"/>
                    </w:rPr>
                  </w:pPr>
                  <w:r>
                    <w:rPr>
                      <w:rFonts w:hAnsi="宋体"/>
                      <w:color w:val="auto"/>
                      <w:sz w:val="21"/>
                      <w:szCs w:val="21"/>
                    </w:rPr>
                    <w:t>规定应急状态下的报警通讯方式、通知方式和交通保障、管制</w:t>
                  </w:r>
                </w:p>
              </w:tc>
            </w:tr>
            <w:tr w14:paraId="30E2245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4C4F1FD1">
                  <w:pPr>
                    <w:spacing w:line="240" w:lineRule="auto"/>
                    <w:jc w:val="center"/>
                    <w:rPr>
                      <w:color w:val="auto"/>
                      <w:sz w:val="21"/>
                      <w:szCs w:val="21"/>
                    </w:rPr>
                  </w:pPr>
                  <w:r>
                    <w:rPr>
                      <w:color w:val="auto"/>
                      <w:sz w:val="21"/>
                      <w:szCs w:val="21"/>
                    </w:rPr>
                    <w:t>6</w:t>
                  </w:r>
                </w:p>
              </w:tc>
              <w:tc>
                <w:tcPr>
                  <w:tcW w:w="1549" w:type="pct"/>
                  <w:vAlign w:val="center"/>
                </w:tcPr>
                <w:p w14:paraId="0E87ABDB">
                  <w:pPr>
                    <w:spacing w:line="240" w:lineRule="auto"/>
                    <w:jc w:val="center"/>
                    <w:rPr>
                      <w:color w:val="auto"/>
                      <w:sz w:val="21"/>
                      <w:szCs w:val="21"/>
                    </w:rPr>
                  </w:pPr>
                  <w:r>
                    <w:rPr>
                      <w:rFonts w:hAnsi="宋体"/>
                      <w:color w:val="auto"/>
                      <w:sz w:val="21"/>
                      <w:szCs w:val="21"/>
                    </w:rPr>
                    <w:t>应急环境监测、抢险、清楚泄露措施和器材</w:t>
                  </w:r>
                </w:p>
              </w:tc>
              <w:tc>
                <w:tcPr>
                  <w:tcW w:w="2964" w:type="pct"/>
                  <w:vAlign w:val="center"/>
                </w:tcPr>
                <w:p w14:paraId="2246725A">
                  <w:pPr>
                    <w:spacing w:line="240" w:lineRule="auto"/>
                    <w:jc w:val="center"/>
                    <w:rPr>
                      <w:color w:val="auto"/>
                      <w:sz w:val="21"/>
                      <w:szCs w:val="21"/>
                    </w:rPr>
                  </w:pPr>
                  <w:r>
                    <w:rPr>
                      <w:rFonts w:hAnsi="宋体"/>
                      <w:color w:val="auto"/>
                      <w:sz w:val="21"/>
                      <w:szCs w:val="21"/>
                    </w:rPr>
                    <w:t>由</w:t>
                  </w:r>
                  <w:r>
                    <w:rPr>
                      <w:rFonts w:hint="eastAsia" w:hAnsi="宋体"/>
                      <w:color w:val="auto"/>
                      <w:sz w:val="21"/>
                      <w:szCs w:val="21"/>
                      <w:lang w:eastAsia="zh-CN"/>
                    </w:rPr>
                    <w:t>专业队伍</w:t>
                  </w:r>
                  <w:r>
                    <w:rPr>
                      <w:rFonts w:hAnsi="宋体"/>
                      <w:color w:val="auto"/>
                      <w:sz w:val="21"/>
                      <w:szCs w:val="21"/>
                    </w:rPr>
                    <w:t>负责对事故现场进行侦查监测，对事故性质、参数与后果进行评估，为指挥部门提供决策依据</w:t>
                  </w:r>
                </w:p>
              </w:tc>
            </w:tr>
            <w:tr w14:paraId="6CA863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41BA7D34">
                  <w:pPr>
                    <w:spacing w:line="240" w:lineRule="auto"/>
                    <w:jc w:val="center"/>
                    <w:rPr>
                      <w:color w:val="auto"/>
                      <w:sz w:val="21"/>
                      <w:szCs w:val="21"/>
                    </w:rPr>
                  </w:pPr>
                  <w:r>
                    <w:rPr>
                      <w:color w:val="auto"/>
                      <w:sz w:val="21"/>
                      <w:szCs w:val="21"/>
                    </w:rPr>
                    <w:t>7</w:t>
                  </w:r>
                </w:p>
              </w:tc>
              <w:tc>
                <w:tcPr>
                  <w:tcW w:w="1549" w:type="pct"/>
                  <w:vAlign w:val="center"/>
                </w:tcPr>
                <w:p w14:paraId="6DB7BCF3">
                  <w:pPr>
                    <w:spacing w:line="240" w:lineRule="auto"/>
                    <w:jc w:val="center"/>
                    <w:rPr>
                      <w:color w:val="auto"/>
                      <w:sz w:val="21"/>
                      <w:szCs w:val="21"/>
                    </w:rPr>
                  </w:pPr>
                  <w:r>
                    <w:rPr>
                      <w:rFonts w:hAnsi="宋体"/>
                      <w:color w:val="auto"/>
                      <w:sz w:val="21"/>
                      <w:szCs w:val="21"/>
                    </w:rPr>
                    <w:t>应急检测、防护措施，消除泄露措施和器材</w:t>
                  </w:r>
                </w:p>
              </w:tc>
              <w:tc>
                <w:tcPr>
                  <w:tcW w:w="2964" w:type="pct"/>
                  <w:vAlign w:val="center"/>
                </w:tcPr>
                <w:p w14:paraId="110DF766">
                  <w:pPr>
                    <w:spacing w:line="240" w:lineRule="auto"/>
                    <w:jc w:val="center"/>
                    <w:rPr>
                      <w:color w:val="auto"/>
                      <w:sz w:val="21"/>
                      <w:szCs w:val="21"/>
                    </w:rPr>
                  </w:pPr>
                  <w:r>
                    <w:rPr>
                      <w:rFonts w:hAnsi="宋体"/>
                      <w:color w:val="auto"/>
                      <w:sz w:val="21"/>
                      <w:szCs w:val="21"/>
                    </w:rPr>
                    <w:t>事故现场、邻近区域、控制防火区域，控制和清除污染措施及相应设备</w:t>
                  </w:r>
                </w:p>
              </w:tc>
            </w:tr>
            <w:tr w14:paraId="1DA03A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30B5D3D7">
                  <w:pPr>
                    <w:spacing w:line="240" w:lineRule="auto"/>
                    <w:jc w:val="center"/>
                    <w:rPr>
                      <w:color w:val="auto"/>
                      <w:sz w:val="21"/>
                      <w:szCs w:val="21"/>
                    </w:rPr>
                  </w:pPr>
                  <w:r>
                    <w:rPr>
                      <w:color w:val="auto"/>
                      <w:sz w:val="21"/>
                      <w:szCs w:val="21"/>
                    </w:rPr>
                    <w:t>8</w:t>
                  </w:r>
                </w:p>
              </w:tc>
              <w:tc>
                <w:tcPr>
                  <w:tcW w:w="1549" w:type="pct"/>
                  <w:vAlign w:val="center"/>
                </w:tcPr>
                <w:p w14:paraId="6F6F7378">
                  <w:pPr>
                    <w:autoSpaceDE w:val="0"/>
                    <w:autoSpaceDN w:val="0"/>
                    <w:adjustRightInd w:val="0"/>
                    <w:spacing w:line="240" w:lineRule="auto"/>
                    <w:jc w:val="center"/>
                    <w:rPr>
                      <w:color w:val="auto"/>
                      <w:kern w:val="0"/>
                      <w:sz w:val="21"/>
                      <w:szCs w:val="21"/>
                    </w:rPr>
                  </w:pPr>
                  <w:r>
                    <w:rPr>
                      <w:color w:val="auto"/>
                      <w:kern w:val="0"/>
                      <w:sz w:val="21"/>
                      <w:szCs w:val="21"/>
                    </w:rPr>
                    <w:t>应急控制撤离组织计划医疗救护与保护公众健康</w:t>
                  </w:r>
                </w:p>
              </w:tc>
              <w:tc>
                <w:tcPr>
                  <w:tcW w:w="2964" w:type="pct"/>
                  <w:vAlign w:val="center"/>
                </w:tcPr>
                <w:p w14:paraId="46D24AFA">
                  <w:pPr>
                    <w:autoSpaceDE w:val="0"/>
                    <w:autoSpaceDN w:val="0"/>
                    <w:adjustRightInd w:val="0"/>
                    <w:spacing w:line="240" w:lineRule="auto"/>
                    <w:jc w:val="center"/>
                    <w:rPr>
                      <w:color w:val="auto"/>
                      <w:kern w:val="0"/>
                      <w:sz w:val="21"/>
                      <w:szCs w:val="21"/>
                    </w:rPr>
                  </w:pPr>
                  <w:r>
                    <w:rPr>
                      <w:color w:val="auto"/>
                      <w:kern w:val="0"/>
                      <w:sz w:val="21"/>
                      <w:szCs w:val="21"/>
                    </w:rPr>
                    <w:t>事故现场：事故处理人员制定现场及临近装置人员的撤离组织计划和紧急救护方案；临近地区：制定受事故影响的临近地区内人员对事故防护、公众的疏散组织计划和紧急救护方案。</w:t>
                  </w:r>
                </w:p>
              </w:tc>
            </w:tr>
            <w:tr w14:paraId="7F6D9FF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79EB3640">
                  <w:pPr>
                    <w:spacing w:line="240" w:lineRule="auto"/>
                    <w:jc w:val="center"/>
                    <w:rPr>
                      <w:color w:val="auto"/>
                      <w:sz w:val="21"/>
                      <w:szCs w:val="21"/>
                    </w:rPr>
                  </w:pPr>
                  <w:r>
                    <w:rPr>
                      <w:color w:val="auto"/>
                      <w:sz w:val="21"/>
                      <w:szCs w:val="21"/>
                    </w:rPr>
                    <w:t>9</w:t>
                  </w:r>
                </w:p>
              </w:tc>
              <w:tc>
                <w:tcPr>
                  <w:tcW w:w="1549" w:type="pct"/>
                  <w:vAlign w:val="center"/>
                </w:tcPr>
                <w:p w14:paraId="1BFD46B5">
                  <w:pPr>
                    <w:spacing w:line="240" w:lineRule="auto"/>
                    <w:jc w:val="center"/>
                    <w:rPr>
                      <w:color w:val="auto"/>
                      <w:sz w:val="21"/>
                      <w:szCs w:val="21"/>
                    </w:rPr>
                  </w:pPr>
                  <w:r>
                    <w:rPr>
                      <w:rFonts w:hAnsi="宋体"/>
                      <w:color w:val="auto"/>
                      <w:sz w:val="21"/>
                      <w:szCs w:val="21"/>
                    </w:rPr>
                    <w:t>事故应急救援关闭程序与恢复措施</w:t>
                  </w:r>
                </w:p>
              </w:tc>
              <w:tc>
                <w:tcPr>
                  <w:tcW w:w="2964" w:type="pct"/>
                  <w:vAlign w:val="center"/>
                </w:tcPr>
                <w:p w14:paraId="62E01BFA">
                  <w:pPr>
                    <w:spacing w:line="240" w:lineRule="auto"/>
                    <w:jc w:val="center"/>
                    <w:rPr>
                      <w:color w:val="auto"/>
                      <w:sz w:val="21"/>
                      <w:szCs w:val="21"/>
                    </w:rPr>
                  </w:pPr>
                  <w:r>
                    <w:rPr>
                      <w:rFonts w:hAnsi="宋体"/>
                      <w:color w:val="auto"/>
                      <w:sz w:val="21"/>
                      <w:szCs w:val="21"/>
                    </w:rPr>
                    <w:t>规定应急状态终止程序事故现场善后处理，恢复措施邻近区域解除事故警戒及善后恢复措施</w:t>
                  </w:r>
                </w:p>
              </w:tc>
            </w:tr>
            <w:tr w14:paraId="787D2E7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6A4A6011">
                  <w:pPr>
                    <w:spacing w:line="240" w:lineRule="auto"/>
                    <w:jc w:val="center"/>
                    <w:rPr>
                      <w:color w:val="auto"/>
                      <w:sz w:val="21"/>
                      <w:szCs w:val="21"/>
                    </w:rPr>
                  </w:pPr>
                  <w:r>
                    <w:rPr>
                      <w:color w:val="auto"/>
                      <w:sz w:val="21"/>
                      <w:szCs w:val="21"/>
                    </w:rPr>
                    <w:t>10</w:t>
                  </w:r>
                </w:p>
              </w:tc>
              <w:tc>
                <w:tcPr>
                  <w:tcW w:w="1549" w:type="pct"/>
                  <w:vAlign w:val="center"/>
                </w:tcPr>
                <w:p w14:paraId="60395BA2">
                  <w:pPr>
                    <w:autoSpaceDE w:val="0"/>
                    <w:autoSpaceDN w:val="0"/>
                    <w:adjustRightInd w:val="0"/>
                    <w:spacing w:line="240" w:lineRule="auto"/>
                    <w:jc w:val="center"/>
                    <w:rPr>
                      <w:color w:val="auto"/>
                      <w:kern w:val="0"/>
                      <w:sz w:val="21"/>
                      <w:szCs w:val="21"/>
                    </w:rPr>
                  </w:pPr>
                  <w:r>
                    <w:rPr>
                      <w:color w:val="auto"/>
                      <w:kern w:val="0"/>
                      <w:sz w:val="21"/>
                      <w:szCs w:val="21"/>
                    </w:rPr>
                    <w:t>人员培训与演习</w:t>
                  </w:r>
                </w:p>
              </w:tc>
              <w:tc>
                <w:tcPr>
                  <w:tcW w:w="2964" w:type="pct"/>
                  <w:vAlign w:val="center"/>
                </w:tcPr>
                <w:p w14:paraId="2DAFB9A2">
                  <w:pPr>
                    <w:autoSpaceDE w:val="0"/>
                    <w:autoSpaceDN w:val="0"/>
                    <w:adjustRightInd w:val="0"/>
                    <w:spacing w:line="240" w:lineRule="auto"/>
                    <w:jc w:val="center"/>
                    <w:rPr>
                      <w:color w:val="auto"/>
                      <w:kern w:val="0"/>
                      <w:sz w:val="21"/>
                      <w:szCs w:val="21"/>
                    </w:rPr>
                  </w:pPr>
                  <w:r>
                    <w:rPr>
                      <w:color w:val="auto"/>
                      <w:kern w:val="0"/>
                      <w:sz w:val="21"/>
                      <w:szCs w:val="21"/>
                    </w:rPr>
                    <w:t>应急计划制定后，平时安排事故救援人员进行相关知识培训并进行事故应急处理演习</w:t>
                  </w:r>
                </w:p>
              </w:tc>
            </w:tr>
            <w:tr w14:paraId="790FA89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203B5253">
                  <w:pPr>
                    <w:spacing w:line="240" w:lineRule="auto"/>
                    <w:jc w:val="center"/>
                    <w:rPr>
                      <w:color w:val="auto"/>
                      <w:sz w:val="21"/>
                      <w:szCs w:val="21"/>
                    </w:rPr>
                  </w:pPr>
                  <w:r>
                    <w:rPr>
                      <w:color w:val="auto"/>
                      <w:sz w:val="21"/>
                      <w:szCs w:val="21"/>
                    </w:rPr>
                    <w:t>11</w:t>
                  </w:r>
                </w:p>
              </w:tc>
              <w:tc>
                <w:tcPr>
                  <w:tcW w:w="1549" w:type="pct"/>
                  <w:vAlign w:val="center"/>
                </w:tcPr>
                <w:p w14:paraId="3A8DCE66">
                  <w:pPr>
                    <w:autoSpaceDE w:val="0"/>
                    <w:autoSpaceDN w:val="0"/>
                    <w:adjustRightInd w:val="0"/>
                    <w:spacing w:line="240" w:lineRule="auto"/>
                    <w:jc w:val="center"/>
                    <w:rPr>
                      <w:color w:val="auto"/>
                      <w:kern w:val="0"/>
                      <w:sz w:val="21"/>
                      <w:szCs w:val="21"/>
                    </w:rPr>
                  </w:pPr>
                  <w:r>
                    <w:rPr>
                      <w:color w:val="auto"/>
                      <w:kern w:val="0"/>
                      <w:sz w:val="21"/>
                      <w:szCs w:val="21"/>
                    </w:rPr>
                    <w:t>记录和报告</w:t>
                  </w:r>
                </w:p>
              </w:tc>
              <w:tc>
                <w:tcPr>
                  <w:tcW w:w="2964" w:type="pct"/>
                  <w:vAlign w:val="center"/>
                </w:tcPr>
                <w:p w14:paraId="46F2A888">
                  <w:pPr>
                    <w:autoSpaceDE w:val="0"/>
                    <w:autoSpaceDN w:val="0"/>
                    <w:adjustRightInd w:val="0"/>
                    <w:spacing w:line="240" w:lineRule="auto"/>
                    <w:jc w:val="center"/>
                    <w:rPr>
                      <w:color w:val="auto"/>
                      <w:kern w:val="0"/>
                      <w:sz w:val="21"/>
                      <w:szCs w:val="21"/>
                    </w:rPr>
                  </w:pPr>
                  <w:r>
                    <w:rPr>
                      <w:color w:val="auto"/>
                      <w:kern w:val="0"/>
                      <w:sz w:val="21"/>
                      <w:szCs w:val="21"/>
                    </w:rPr>
                    <w:t>设应急事故专门记录，建立档案和报告制度，设专门部门负责管理。</w:t>
                  </w:r>
                </w:p>
              </w:tc>
            </w:tr>
          </w:tbl>
          <w:p w14:paraId="3F584915">
            <w:pPr>
              <w:pStyle w:val="107"/>
              <w:ind w:firstLine="482" w:firstLineChars="200"/>
              <w:jc w:val="both"/>
              <w:rPr>
                <w:rFonts w:ascii="Times New Roman" w:cs="Times New Roman"/>
                <w:color w:val="auto"/>
              </w:rPr>
            </w:pPr>
            <w:r>
              <w:rPr>
                <w:rFonts w:ascii="Times New Roman" w:hAnsi="Times New Roman" w:cs="Times New Roman"/>
                <w:b/>
                <w:bCs/>
                <w:color w:val="auto"/>
              </w:rPr>
              <w:t>（5）</w:t>
            </w:r>
            <w:r>
              <w:rPr>
                <w:rFonts w:ascii="Times New Roman" w:cs="Times New Roman"/>
                <w:b/>
                <w:bCs/>
                <w:color w:val="auto"/>
              </w:rPr>
              <w:t>结论</w:t>
            </w:r>
          </w:p>
          <w:p w14:paraId="7BAEF606">
            <w:pPr>
              <w:ind w:firstLine="480" w:firstLineChars="200"/>
              <w:rPr>
                <w:color w:val="auto"/>
              </w:rPr>
            </w:pPr>
            <w:r>
              <w:rPr>
                <w:bCs/>
                <w:color w:val="auto"/>
              </w:rPr>
              <w:t>项目运行过程中存在泄漏、火灾事故次生污染物的环境风险，必须严格执行国家的技术规范和操作规程要求，落实各项安全规章制度，避免事故的发生。</w:t>
            </w:r>
            <w:r>
              <w:rPr>
                <w:color w:val="auto"/>
              </w:rPr>
              <w:t>在认真落实工程拟采取的风险措施及评价所提出的风险措施及对策后，环境风险事故对周围环境的影响可以接受。</w:t>
            </w:r>
          </w:p>
          <w:p w14:paraId="7A46BADC">
            <w:pPr>
              <w:pStyle w:val="107"/>
              <w:spacing w:line="240" w:lineRule="auto"/>
              <w:rPr>
                <w:rFonts w:ascii="Times New Roman" w:cs="Times New Roman"/>
                <w:b/>
                <w:bCs/>
                <w:color w:val="auto"/>
              </w:rPr>
            </w:pPr>
            <w:r>
              <w:rPr>
                <w:rFonts w:ascii="Times New Roman" w:cs="Times New Roman"/>
                <w:b/>
                <w:bCs/>
                <w:color w:val="auto"/>
              </w:rPr>
              <w:t>表</w:t>
            </w:r>
            <w:r>
              <w:rPr>
                <w:rFonts w:hint="eastAsia" w:ascii="Times New Roman" w:cs="Times New Roman"/>
                <w:b/>
                <w:bCs/>
                <w:color w:val="auto"/>
              </w:rPr>
              <w:t>4-19</w:t>
            </w:r>
            <w:r>
              <w:rPr>
                <w:rFonts w:ascii="Times New Roman" w:cs="Times New Roman"/>
                <w:b/>
                <w:bCs/>
                <w:color w:val="auto"/>
              </w:rPr>
              <w:t xml:space="preserve">   建设项目环境风险简单分析内容表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6076"/>
            </w:tblGrid>
            <w:tr w14:paraId="0209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vAlign w:val="center"/>
                </w:tcPr>
                <w:p w14:paraId="0A12FE13">
                  <w:pPr>
                    <w:pStyle w:val="107"/>
                    <w:spacing w:line="240" w:lineRule="auto"/>
                    <w:rPr>
                      <w:rFonts w:ascii="Times New Roman" w:cs="Times New Roman"/>
                      <w:color w:val="auto"/>
                      <w:sz w:val="21"/>
                      <w:szCs w:val="21"/>
                    </w:rPr>
                  </w:pPr>
                  <w:r>
                    <w:rPr>
                      <w:rFonts w:ascii="Times New Roman" w:cs="Times New Roman"/>
                      <w:color w:val="auto"/>
                      <w:sz w:val="21"/>
                      <w:szCs w:val="21"/>
                    </w:rPr>
                    <w:t>建设项目名称</w:t>
                  </w:r>
                </w:p>
              </w:tc>
              <w:tc>
                <w:tcPr>
                  <w:tcW w:w="3592" w:type="pct"/>
                  <w:vAlign w:val="center"/>
                </w:tcPr>
                <w:p w14:paraId="38B19A88">
                  <w:pPr>
                    <w:pStyle w:val="107"/>
                    <w:spacing w:line="240" w:lineRule="auto"/>
                    <w:rPr>
                      <w:rFonts w:ascii="Times New Roman" w:cs="Times New Roman"/>
                      <w:color w:val="auto"/>
                      <w:sz w:val="21"/>
                      <w:szCs w:val="21"/>
                    </w:rPr>
                  </w:pPr>
                  <w:r>
                    <w:rPr>
                      <w:rFonts w:hint="eastAsia" w:ascii="Times New Roman" w:cs="Times New Roman"/>
                      <w:color w:val="auto"/>
                      <w:sz w:val="21"/>
                      <w:szCs w:val="21"/>
                    </w:rPr>
                    <w:t>年产</w:t>
                  </w:r>
                  <w:r>
                    <w:rPr>
                      <w:rFonts w:ascii="Times New Roman" w:cs="Times New Roman"/>
                      <w:color w:val="auto"/>
                      <w:sz w:val="21"/>
                      <w:szCs w:val="21"/>
                    </w:rPr>
                    <w:t>PET</w:t>
                  </w:r>
                  <w:r>
                    <w:rPr>
                      <w:rFonts w:hint="eastAsia" w:ascii="Times New Roman" w:cs="Times New Roman"/>
                      <w:color w:val="auto"/>
                      <w:sz w:val="21"/>
                      <w:szCs w:val="21"/>
                    </w:rPr>
                    <w:t>瓶坯</w:t>
                  </w:r>
                  <w:r>
                    <w:rPr>
                      <w:rFonts w:ascii="Times New Roman" w:cs="Times New Roman"/>
                      <w:color w:val="auto"/>
                      <w:sz w:val="21"/>
                      <w:szCs w:val="21"/>
                    </w:rPr>
                    <w:t>2400</w:t>
                  </w:r>
                  <w:r>
                    <w:rPr>
                      <w:rFonts w:hint="eastAsia" w:ascii="Times New Roman" w:cs="Times New Roman"/>
                      <w:color w:val="auto"/>
                      <w:sz w:val="21"/>
                      <w:szCs w:val="21"/>
                    </w:rPr>
                    <w:t>吨、</w:t>
                  </w:r>
                  <w:r>
                    <w:rPr>
                      <w:rFonts w:ascii="Times New Roman" w:cs="Times New Roman"/>
                      <w:color w:val="auto"/>
                      <w:sz w:val="21"/>
                      <w:szCs w:val="21"/>
                    </w:rPr>
                    <w:t>PE</w:t>
                  </w:r>
                  <w:r>
                    <w:rPr>
                      <w:rFonts w:hint="eastAsia" w:ascii="Times New Roman" w:cs="Times New Roman"/>
                      <w:color w:val="auto"/>
                      <w:sz w:val="21"/>
                      <w:szCs w:val="21"/>
                    </w:rPr>
                    <w:t>瓶盖和提手</w:t>
                  </w:r>
                  <w:r>
                    <w:rPr>
                      <w:rFonts w:ascii="Times New Roman" w:cs="Times New Roman"/>
                      <w:color w:val="auto"/>
                      <w:sz w:val="21"/>
                      <w:szCs w:val="21"/>
                    </w:rPr>
                    <w:t>480</w:t>
                  </w:r>
                  <w:r>
                    <w:rPr>
                      <w:rFonts w:hint="eastAsia" w:ascii="Times New Roman" w:cs="Times New Roman"/>
                      <w:color w:val="auto"/>
                      <w:sz w:val="21"/>
                      <w:szCs w:val="21"/>
                    </w:rPr>
                    <w:t xml:space="preserve">吨项目 </w:t>
                  </w:r>
                </w:p>
              </w:tc>
            </w:tr>
            <w:tr w14:paraId="5FEB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vAlign w:val="center"/>
                </w:tcPr>
                <w:p w14:paraId="6444D226">
                  <w:pPr>
                    <w:pStyle w:val="107"/>
                    <w:spacing w:line="240" w:lineRule="auto"/>
                    <w:rPr>
                      <w:rFonts w:ascii="Times New Roman" w:cs="Times New Roman"/>
                      <w:color w:val="auto"/>
                      <w:sz w:val="21"/>
                      <w:szCs w:val="21"/>
                    </w:rPr>
                  </w:pPr>
                  <w:r>
                    <w:rPr>
                      <w:rFonts w:ascii="Times New Roman" w:cs="Times New Roman"/>
                      <w:color w:val="auto"/>
                      <w:sz w:val="21"/>
                      <w:szCs w:val="21"/>
                    </w:rPr>
                    <w:t>建设地点</w:t>
                  </w:r>
                </w:p>
              </w:tc>
              <w:tc>
                <w:tcPr>
                  <w:tcW w:w="3592" w:type="pct"/>
                  <w:vAlign w:val="center"/>
                </w:tcPr>
                <w:p w14:paraId="47F4D508">
                  <w:pPr>
                    <w:pStyle w:val="107"/>
                    <w:spacing w:line="240" w:lineRule="auto"/>
                    <w:rPr>
                      <w:rFonts w:ascii="Times New Roman" w:cs="Times New Roman"/>
                      <w:color w:val="auto"/>
                      <w:sz w:val="21"/>
                      <w:szCs w:val="21"/>
                    </w:rPr>
                  </w:pPr>
                  <w:r>
                    <w:rPr>
                      <w:rFonts w:hint="eastAsia" w:ascii="Times New Roman" w:cs="Times New Roman"/>
                      <w:color w:val="auto"/>
                      <w:sz w:val="21"/>
                      <w:szCs w:val="21"/>
                    </w:rPr>
                    <w:t>钦州港片区中马钦州产业园区台湾中小企业园区2＃厂房第一层</w:t>
                  </w:r>
                </w:p>
              </w:tc>
            </w:tr>
            <w:tr w14:paraId="76AC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vAlign w:val="center"/>
                </w:tcPr>
                <w:p w14:paraId="797C9FC3">
                  <w:pPr>
                    <w:pStyle w:val="107"/>
                    <w:spacing w:line="240" w:lineRule="auto"/>
                    <w:rPr>
                      <w:rFonts w:ascii="Times New Roman" w:cs="Times New Roman"/>
                      <w:color w:val="auto"/>
                      <w:sz w:val="21"/>
                      <w:szCs w:val="21"/>
                    </w:rPr>
                  </w:pPr>
                  <w:r>
                    <w:rPr>
                      <w:rFonts w:ascii="Times New Roman" w:cs="Times New Roman"/>
                      <w:color w:val="auto"/>
                      <w:sz w:val="21"/>
                      <w:szCs w:val="21"/>
                    </w:rPr>
                    <w:t>地理坐标</w:t>
                  </w:r>
                </w:p>
              </w:tc>
              <w:tc>
                <w:tcPr>
                  <w:tcW w:w="3592" w:type="pct"/>
                  <w:vAlign w:val="center"/>
                </w:tcPr>
                <w:p w14:paraId="6B2B58DC">
                  <w:pPr>
                    <w:pStyle w:val="107"/>
                    <w:spacing w:line="240" w:lineRule="auto"/>
                    <w:rPr>
                      <w:rFonts w:ascii="Times New Roman" w:cs="Times New Roman"/>
                      <w:color w:val="auto"/>
                      <w:sz w:val="21"/>
                      <w:szCs w:val="21"/>
                    </w:rPr>
                  </w:pPr>
                  <w:r>
                    <w:rPr>
                      <w:rFonts w:ascii="Times New Roman" w:cs="Times New Roman"/>
                      <w:color w:val="auto"/>
                      <w:sz w:val="21"/>
                      <w:szCs w:val="21"/>
                    </w:rPr>
                    <w:t>中心地理坐标：东经108°4</w:t>
                  </w:r>
                  <w:r>
                    <w:rPr>
                      <w:rFonts w:hint="eastAsia" w:ascii="Times New Roman" w:cs="Times New Roman"/>
                      <w:color w:val="auto"/>
                      <w:sz w:val="21"/>
                      <w:szCs w:val="21"/>
                    </w:rPr>
                    <w:t>1</w:t>
                  </w:r>
                  <w:r>
                    <w:rPr>
                      <w:rFonts w:ascii="Times New Roman" w:cs="Times New Roman"/>
                      <w:color w:val="auto"/>
                      <w:sz w:val="21"/>
                      <w:szCs w:val="21"/>
                    </w:rPr>
                    <w:t>′</w:t>
                  </w:r>
                  <w:r>
                    <w:rPr>
                      <w:rFonts w:hint="eastAsia" w:ascii="Times New Roman" w:cs="Times New Roman"/>
                      <w:color w:val="auto"/>
                      <w:sz w:val="21"/>
                      <w:szCs w:val="21"/>
                    </w:rPr>
                    <w:t>6.527</w:t>
                  </w:r>
                  <w:r>
                    <w:rPr>
                      <w:rFonts w:ascii="Times New Roman" w:cs="Times New Roman"/>
                      <w:color w:val="auto"/>
                      <w:sz w:val="21"/>
                      <w:szCs w:val="21"/>
                    </w:rPr>
                    <w:t>″，北纬2</w:t>
                  </w:r>
                  <w:r>
                    <w:rPr>
                      <w:rFonts w:hint="eastAsia" w:ascii="Times New Roman" w:cs="Times New Roman"/>
                      <w:color w:val="auto"/>
                      <w:sz w:val="21"/>
                      <w:szCs w:val="21"/>
                    </w:rPr>
                    <w:t>4</w:t>
                  </w:r>
                  <w:r>
                    <w:rPr>
                      <w:rFonts w:ascii="Times New Roman" w:cs="Times New Roman"/>
                      <w:color w:val="auto"/>
                      <w:sz w:val="21"/>
                      <w:szCs w:val="21"/>
                    </w:rPr>
                    <w:t>°4</w:t>
                  </w:r>
                  <w:r>
                    <w:rPr>
                      <w:rFonts w:hint="eastAsia" w:ascii="Times New Roman" w:cs="Times New Roman"/>
                      <w:color w:val="auto"/>
                      <w:sz w:val="21"/>
                      <w:szCs w:val="21"/>
                    </w:rPr>
                    <w:t>7</w:t>
                  </w:r>
                  <w:r>
                    <w:rPr>
                      <w:rFonts w:ascii="Times New Roman" w:cs="Times New Roman"/>
                      <w:color w:val="auto"/>
                      <w:sz w:val="21"/>
                      <w:szCs w:val="21"/>
                    </w:rPr>
                    <w:t>′1</w:t>
                  </w:r>
                  <w:r>
                    <w:rPr>
                      <w:rFonts w:hint="eastAsia" w:ascii="Times New Roman" w:cs="Times New Roman"/>
                      <w:color w:val="auto"/>
                      <w:sz w:val="21"/>
                      <w:szCs w:val="21"/>
                    </w:rPr>
                    <w:t>6.637</w:t>
                  </w:r>
                  <w:r>
                    <w:rPr>
                      <w:rFonts w:ascii="Times New Roman" w:cs="Times New Roman"/>
                      <w:color w:val="auto"/>
                      <w:sz w:val="21"/>
                      <w:szCs w:val="21"/>
                    </w:rPr>
                    <w:t>″</w:t>
                  </w:r>
                </w:p>
              </w:tc>
            </w:tr>
            <w:tr w14:paraId="261E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vAlign w:val="center"/>
                </w:tcPr>
                <w:p w14:paraId="6AD0E94E">
                  <w:pPr>
                    <w:pStyle w:val="107"/>
                    <w:spacing w:line="240" w:lineRule="auto"/>
                    <w:rPr>
                      <w:rFonts w:ascii="Times New Roman" w:cs="Times New Roman"/>
                      <w:color w:val="auto"/>
                      <w:sz w:val="21"/>
                      <w:szCs w:val="21"/>
                    </w:rPr>
                  </w:pPr>
                  <w:r>
                    <w:rPr>
                      <w:rFonts w:ascii="Times New Roman" w:cs="Times New Roman"/>
                      <w:color w:val="auto"/>
                      <w:sz w:val="21"/>
                      <w:szCs w:val="21"/>
                    </w:rPr>
                    <w:t>主要危险物质分布</w:t>
                  </w:r>
                </w:p>
              </w:tc>
              <w:tc>
                <w:tcPr>
                  <w:tcW w:w="3592" w:type="pct"/>
                  <w:vAlign w:val="center"/>
                </w:tcPr>
                <w:p w14:paraId="30BF2E98">
                  <w:pPr>
                    <w:pStyle w:val="107"/>
                    <w:spacing w:line="240" w:lineRule="auto"/>
                    <w:rPr>
                      <w:rFonts w:ascii="Times New Roman" w:cs="Times New Roman"/>
                      <w:color w:val="auto"/>
                      <w:sz w:val="21"/>
                      <w:szCs w:val="21"/>
                    </w:rPr>
                  </w:pPr>
                  <w:r>
                    <w:rPr>
                      <w:rFonts w:ascii="Times New Roman" w:cs="Times New Roman"/>
                      <w:color w:val="auto"/>
                      <w:sz w:val="21"/>
                      <w:szCs w:val="21"/>
                    </w:rPr>
                    <w:t>项目涉及的危险物质为：</w:t>
                  </w:r>
                  <w:r>
                    <w:rPr>
                      <w:rFonts w:hint="eastAsia" w:ascii="Times New Roman" w:cs="Times New Roman"/>
                      <w:color w:val="auto"/>
                      <w:sz w:val="21"/>
                      <w:szCs w:val="21"/>
                    </w:rPr>
                    <w:t>废</w:t>
                  </w:r>
                  <w:r>
                    <w:rPr>
                      <w:rFonts w:ascii="Times New Roman" w:cs="Times New Roman"/>
                      <w:color w:val="auto"/>
                      <w:sz w:val="21"/>
                      <w:szCs w:val="21"/>
                    </w:rPr>
                    <w:t>机油。</w:t>
                  </w:r>
                </w:p>
                <w:p w14:paraId="076E1B0E">
                  <w:pPr>
                    <w:pStyle w:val="107"/>
                    <w:spacing w:line="240" w:lineRule="auto"/>
                    <w:rPr>
                      <w:rFonts w:ascii="Times New Roman" w:cs="Times New Roman"/>
                      <w:color w:val="auto"/>
                      <w:sz w:val="21"/>
                      <w:szCs w:val="21"/>
                    </w:rPr>
                  </w:pPr>
                  <w:r>
                    <w:rPr>
                      <w:rFonts w:hint="eastAsia" w:ascii="Times New Roman" w:cs="Times New Roman"/>
                      <w:color w:val="auto"/>
                      <w:sz w:val="21"/>
                      <w:szCs w:val="21"/>
                    </w:rPr>
                    <w:t>废</w:t>
                  </w:r>
                  <w:r>
                    <w:rPr>
                      <w:rFonts w:ascii="Times New Roman" w:cs="Times New Roman"/>
                      <w:color w:val="auto"/>
                      <w:sz w:val="21"/>
                      <w:szCs w:val="21"/>
                    </w:rPr>
                    <w:t>机油</w:t>
                  </w:r>
                  <w:r>
                    <w:rPr>
                      <w:rFonts w:hint="eastAsia" w:ascii="Times New Roman" w:cs="Times New Roman"/>
                      <w:color w:val="auto"/>
                      <w:sz w:val="21"/>
                      <w:szCs w:val="21"/>
                    </w:rPr>
                    <w:t>暂存</w:t>
                  </w:r>
                  <w:r>
                    <w:rPr>
                      <w:rFonts w:ascii="Times New Roman" w:cs="Times New Roman"/>
                      <w:color w:val="auto"/>
                      <w:sz w:val="21"/>
                      <w:szCs w:val="21"/>
                    </w:rPr>
                    <w:t>于</w:t>
                  </w:r>
                  <w:r>
                    <w:rPr>
                      <w:rFonts w:hint="eastAsia" w:ascii="Times New Roman" w:cs="Times New Roman"/>
                      <w:color w:val="auto"/>
                      <w:sz w:val="21"/>
                      <w:szCs w:val="21"/>
                      <w:lang w:eastAsia="zh-CN"/>
                    </w:rPr>
                    <w:t>危废暂存间</w:t>
                  </w:r>
                  <w:r>
                    <w:rPr>
                      <w:rFonts w:ascii="Times New Roman" w:cs="Times New Roman"/>
                      <w:color w:val="auto"/>
                      <w:sz w:val="21"/>
                      <w:szCs w:val="21"/>
                    </w:rPr>
                    <w:t>中。</w:t>
                  </w:r>
                </w:p>
              </w:tc>
            </w:tr>
            <w:tr w14:paraId="108D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vAlign w:val="center"/>
                </w:tcPr>
                <w:p w14:paraId="7DBA88BB">
                  <w:pPr>
                    <w:pStyle w:val="107"/>
                    <w:spacing w:line="240" w:lineRule="auto"/>
                    <w:rPr>
                      <w:rFonts w:ascii="Times New Roman" w:cs="Times New Roman"/>
                      <w:color w:val="auto"/>
                      <w:sz w:val="21"/>
                      <w:szCs w:val="21"/>
                    </w:rPr>
                  </w:pPr>
                  <w:r>
                    <w:rPr>
                      <w:rFonts w:ascii="Times New Roman" w:cs="Times New Roman"/>
                      <w:color w:val="auto"/>
                      <w:sz w:val="21"/>
                      <w:szCs w:val="21"/>
                    </w:rPr>
                    <w:t>环境影响途径及危害后果</w:t>
                  </w:r>
                </w:p>
              </w:tc>
              <w:tc>
                <w:tcPr>
                  <w:tcW w:w="3592" w:type="pct"/>
                  <w:vAlign w:val="center"/>
                </w:tcPr>
                <w:p w14:paraId="1C049FE4">
                  <w:pPr>
                    <w:pStyle w:val="107"/>
                    <w:spacing w:line="240" w:lineRule="auto"/>
                    <w:rPr>
                      <w:rFonts w:ascii="Times New Roman" w:cs="Times New Roman"/>
                      <w:color w:val="auto"/>
                      <w:sz w:val="21"/>
                      <w:szCs w:val="21"/>
                    </w:rPr>
                  </w:pPr>
                  <w:r>
                    <w:rPr>
                      <w:rFonts w:ascii="Times New Roman" w:cs="Times New Roman"/>
                      <w:color w:val="auto"/>
                      <w:sz w:val="21"/>
                      <w:szCs w:val="21"/>
                    </w:rPr>
                    <w:t>泄漏事故会对周围水环境、土壤环境造成污染。</w:t>
                  </w:r>
                </w:p>
              </w:tc>
            </w:tr>
            <w:tr w14:paraId="18EB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vAlign w:val="center"/>
                </w:tcPr>
                <w:p w14:paraId="33C7A282">
                  <w:pPr>
                    <w:pStyle w:val="107"/>
                    <w:spacing w:line="240" w:lineRule="auto"/>
                    <w:rPr>
                      <w:rFonts w:ascii="Times New Roman" w:cs="Times New Roman"/>
                      <w:color w:val="auto"/>
                      <w:sz w:val="21"/>
                      <w:szCs w:val="21"/>
                    </w:rPr>
                  </w:pPr>
                  <w:r>
                    <w:rPr>
                      <w:rFonts w:ascii="Times New Roman" w:cs="Times New Roman"/>
                      <w:color w:val="auto"/>
                      <w:sz w:val="21"/>
                      <w:szCs w:val="21"/>
                    </w:rPr>
                    <w:t>风险防范措施要求</w:t>
                  </w:r>
                </w:p>
              </w:tc>
              <w:tc>
                <w:tcPr>
                  <w:tcW w:w="3592" w:type="pct"/>
                  <w:vAlign w:val="center"/>
                </w:tcPr>
                <w:p w14:paraId="6AC6CA68">
                  <w:pPr>
                    <w:pStyle w:val="3"/>
                    <w:keepNext w:val="0"/>
                    <w:keepLines w:val="0"/>
                    <w:tabs>
                      <w:tab w:val="left" w:pos="1230"/>
                    </w:tabs>
                    <w:spacing w:line="240" w:lineRule="auto"/>
                    <w:ind w:firstLine="420" w:firstLineChars="200"/>
                    <w:rPr>
                      <w:b w:val="0"/>
                      <w:bCs w:val="0"/>
                      <w:color w:val="auto"/>
                      <w:sz w:val="21"/>
                      <w:szCs w:val="21"/>
                    </w:rPr>
                  </w:pPr>
                  <w:r>
                    <w:rPr>
                      <w:b w:val="0"/>
                      <w:bCs w:val="0"/>
                      <w:color w:val="auto"/>
                      <w:sz w:val="21"/>
                      <w:szCs w:val="21"/>
                    </w:rPr>
                    <w:t>①加强</w:t>
                  </w:r>
                  <w:r>
                    <w:rPr>
                      <w:rFonts w:hint="eastAsia"/>
                      <w:b w:val="0"/>
                      <w:bCs w:val="0"/>
                      <w:color w:val="auto"/>
                      <w:sz w:val="21"/>
                      <w:szCs w:val="21"/>
                    </w:rPr>
                    <w:t>废机油</w:t>
                  </w:r>
                  <w:r>
                    <w:rPr>
                      <w:b w:val="0"/>
                      <w:bCs w:val="0"/>
                      <w:color w:val="auto"/>
                      <w:sz w:val="21"/>
                      <w:szCs w:val="21"/>
                    </w:rPr>
                    <w:t>的管理，远离火种、热源；配备相应品种和数量的消防器材。</w:t>
                  </w:r>
                </w:p>
                <w:p w14:paraId="09A92D41">
                  <w:pPr>
                    <w:pStyle w:val="3"/>
                    <w:keepNext w:val="0"/>
                    <w:keepLines w:val="0"/>
                    <w:tabs>
                      <w:tab w:val="left" w:pos="1230"/>
                    </w:tabs>
                    <w:spacing w:line="240" w:lineRule="auto"/>
                    <w:ind w:firstLine="420" w:firstLineChars="200"/>
                    <w:rPr>
                      <w:b w:val="0"/>
                      <w:bCs w:val="0"/>
                      <w:color w:val="auto"/>
                      <w:sz w:val="21"/>
                      <w:szCs w:val="21"/>
                    </w:rPr>
                  </w:pPr>
                  <w:r>
                    <w:rPr>
                      <w:b w:val="0"/>
                      <w:bCs w:val="0"/>
                      <w:color w:val="auto"/>
                      <w:sz w:val="21"/>
                      <w:szCs w:val="21"/>
                    </w:rPr>
                    <w:t>②设定专门的</w:t>
                  </w:r>
                  <w:r>
                    <w:rPr>
                      <w:rFonts w:hint="eastAsia"/>
                      <w:b w:val="0"/>
                      <w:bCs w:val="0"/>
                      <w:color w:val="auto"/>
                      <w:sz w:val="21"/>
                      <w:szCs w:val="21"/>
                      <w:lang w:eastAsia="zh-CN"/>
                    </w:rPr>
                    <w:t>危废暂存间</w:t>
                  </w:r>
                  <w:r>
                    <w:rPr>
                      <w:b w:val="0"/>
                      <w:bCs w:val="0"/>
                      <w:color w:val="auto"/>
                      <w:sz w:val="21"/>
                      <w:szCs w:val="21"/>
                    </w:rPr>
                    <w:t>，并按照</w:t>
                  </w:r>
                  <w:r>
                    <w:rPr>
                      <w:rFonts w:hint="eastAsia" w:ascii="宋体" w:hAnsi="宋体" w:cs="宋体"/>
                      <w:b w:val="0"/>
                      <w:bCs w:val="0"/>
                      <w:color w:val="auto"/>
                      <w:sz w:val="21"/>
                      <w:szCs w:val="21"/>
                    </w:rPr>
                    <w:t>《危险废物贮存污染控制标准》（</w:t>
                  </w:r>
                  <w:r>
                    <w:rPr>
                      <w:b w:val="0"/>
                      <w:bCs w:val="0"/>
                      <w:color w:val="auto"/>
                      <w:sz w:val="21"/>
                      <w:szCs w:val="21"/>
                    </w:rPr>
                    <w:t>GB18597-2</w:t>
                  </w:r>
                  <w:r>
                    <w:rPr>
                      <w:rFonts w:hint="eastAsia"/>
                      <w:b w:val="0"/>
                      <w:bCs w:val="0"/>
                      <w:color w:val="auto"/>
                      <w:sz w:val="21"/>
                      <w:szCs w:val="21"/>
                    </w:rPr>
                    <w:t>023</w:t>
                  </w:r>
                  <w:r>
                    <w:rPr>
                      <w:rFonts w:hint="eastAsia" w:ascii="宋体" w:hAnsi="宋体" w:cs="宋体"/>
                      <w:b w:val="0"/>
                      <w:bCs w:val="0"/>
                      <w:color w:val="auto"/>
                      <w:sz w:val="21"/>
                      <w:szCs w:val="21"/>
                    </w:rPr>
                    <w:t>）</w:t>
                  </w:r>
                  <w:r>
                    <w:rPr>
                      <w:b w:val="0"/>
                      <w:bCs w:val="0"/>
                      <w:color w:val="auto"/>
                      <w:sz w:val="21"/>
                      <w:szCs w:val="21"/>
                    </w:rPr>
                    <w:t>的相关要求采取相应的防晒、防渗、防淋等措施，避免产生二次污染。危废不得与其他垃圾混存，委托具有危废处理资质的单位回收进行处置，禁止私自处理。</w:t>
                  </w:r>
                </w:p>
                <w:p w14:paraId="5AE17192">
                  <w:pPr>
                    <w:pStyle w:val="3"/>
                    <w:keepNext w:val="0"/>
                    <w:keepLines w:val="0"/>
                    <w:tabs>
                      <w:tab w:val="left" w:pos="1230"/>
                    </w:tabs>
                    <w:spacing w:line="240" w:lineRule="auto"/>
                    <w:ind w:firstLine="420" w:firstLineChars="200"/>
                    <w:rPr>
                      <w:rFonts w:hint="eastAsia"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③当发生</w:t>
                  </w:r>
                  <w:r>
                    <w:rPr>
                      <w:rFonts w:hint="eastAsia" w:ascii="Times New Roman" w:hAnsi="Times New Roman" w:eastAsia="宋体" w:cs="Times New Roman"/>
                      <w:b w:val="0"/>
                      <w:bCs w:val="0"/>
                      <w:color w:val="auto"/>
                      <w:sz w:val="21"/>
                      <w:szCs w:val="21"/>
                    </w:rPr>
                    <w:t>机油</w:t>
                  </w:r>
                  <w:r>
                    <w:rPr>
                      <w:rFonts w:ascii="Times New Roman" w:hAnsi="Times New Roman" w:eastAsia="宋体" w:cs="Times New Roman"/>
                      <w:b w:val="0"/>
                      <w:bCs w:val="0"/>
                      <w:color w:val="auto"/>
                      <w:sz w:val="21"/>
                      <w:szCs w:val="21"/>
                    </w:rPr>
                    <w:t>泄漏时，应及时</w:t>
                  </w:r>
                  <w:r>
                    <w:rPr>
                      <w:rFonts w:hint="eastAsia" w:ascii="Times New Roman" w:hAnsi="Times New Roman" w:eastAsia="宋体" w:cs="Times New Roman"/>
                      <w:b w:val="0"/>
                      <w:bCs w:val="0"/>
                      <w:color w:val="auto"/>
                      <w:sz w:val="21"/>
                      <w:szCs w:val="21"/>
                    </w:rPr>
                    <w:t>采用</w:t>
                  </w:r>
                  <w:bookmarkStart w:id="92" w:name="OLE_LINK76"/>
                  <w:r>
                    <w:rPr>
                      <w:rFonts w:hint="eastAsia" w:ascii="Times New Roman" w:hAnsi="Times New Roman" w:eastAsia="宋体" w:cs="Times New Roman"/>
                      <w:b w:val="0"/>
                      <w:bCs w:val="0"/>
                      <w:color w:val="auto"/>
                      <w:sz w:val="21"/>
                      <w:szCs w:val="21"/>
                    </w:rPr>
                    <w:t>木糠拦截、桶装</w:t>
                  </w:r>
                  <w:r>
                    <w:rPr>
                      <w:rFonts w:ascii="Times New Roman" w:hAnsi="Times New Roman" w:eastAsia="宋体" w:cs="Times New Roman"/>
                      <w:b w:val="0"/>
                      <w:bCs w:val="0"/>
                      <w:color w:val="auto"/>
                      <w:sz w:val="21"/>
                      <w:szCs w:val="21"/>
                    </w:rPr>
                    <w:t>收集</w:t>
                  </w:r>
                  <w:r>
                    <w:rPr>
                      <w:rFonts w:hint="eastAsia" w:ascii="Times New Roman" w:hAnsi="Times New Roman" w:eastAsia="宋体" w:cs="Times New Roman"/>
                      <w:b w:val="0"/>
                      <w:bCs w:val="0"/>
                      <w:color w:val="auto"/>
                      <w:sz w:val="21"/>
                      <w:szCs w:val="21"/>
                    </w:rPr>
                    <w:t>、抹布清理</w:t>
                  </w:r>
                  <w:bookmarkEnd w:id="92"/>
                  <w:r>
                    <w:rPr>
                      <w:rFonts w:hint="eastAsia" w:ascii="Times New Roman" w:hAnsi="Times New Roman" w:eastAsia="宋体" w:cs="Times New Roman"/>
                      <w:b w:val="0"/>
                      <w:bCs w:val="0"/>
                      <w:color w:val="auto"/>
                      <w:sz w:val="21"/>
                      <w:szCs w:val="21"/>
                    </w:rPr>
                    <w:t>，送至危险废物暂存间贮存，避免对大气环境、地下水环境和土壤环境造成污染。</w:t>
                  </w:r>
                </w:p>
                <w:p w14:paraId="3FC12EBB">
                  <w:pPr>
                    <w:pStyle w:val="3"/>
                    <w:keepNext w:val="0"/>
                    <w:keepLines w:val="0"/>
                    <w:tabs>
                      <w:tab w:val="left" w:pos="1230"/>
                    </w:tabs>
                    <w:spacing w:line="240" w:lineRule="auto"/>
                    <w:ind w:firstLine="420" w:firstLineChars="200"/>
                    <w:rPr>
                      <w:color w:val="auto"/>
                    </w:rPr>
                  </w:pPr>
                  <w:r>
                    <w:rPr>
                      <w:rFonts w:hint="eastAsia" w:ascii="宋体" w:hAnsi="宋体" w:eastAsia="宋体" w:cs="宋体"/>
                      <w:b w:val="0"/>
                      <w:bCs w:val="0"/>
                      <w:color w:val="auto"/>
                      <w:sz w:val="21"/>
                      <w:szCs w:val="21"/>
                      <w:lang w:val="en-US" w:eastAsia="zh-CN"/>
                    </w:rPr>
                    <w:t>④当发生废机油火灾时，迅速撤离泄漏污染区人员至上风处，并立即进行隔离。尽可能切断泄漏源及采取灭火措施；合理通风，加速扩散；危废暂存间附近配备干粉灭火器等应急救援物质。</w:t>
                  </w:r>
                </w:p>
              </w:tc>
            </w:tr>
            <w:tr w14:paraId="1A96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2"/>
                  <w:vAlign w:val="center"/>
                </w:tcPr>
                <w:p w14:paraId="0BE1E395">
                  <w:pPr>
                    <w:pStyle w:val="107"/>
                    <w:spacing w:line="240" w:lineRule="auto"/>
                    <w:jc w:val="both"/>
                    <w:rPr>
                      <w:rFonts w:ascii="Times New Roman" w:cs="Times New Roman"/>
                      <w:b/>
                      <w:bCs/>
                      <w:color w:val="auto"/>
                      <w:sz w:val="21"/>
                      <w:szCs w:val="21"/>
                    </w:rPr>
                  </w:pPr>
                  <w:r>
                    <w:rPr>
                      <w:rFonts w:ascii="Times New Roman" w:cs="Times New Roman"/>
                      <w:b/>
                      <w:bCs/>
                      <w:color w:val="auto"/>
                      <w:sz w:val="21"/>
                      <w:szCs w:val="21"/>
                    </w:rPr>
                    <w:t>填表说明（列出项目相关信息及评价说明）：</w:t>
                  </w:r>
                </w:p>
                <w:p w14:paraId="3AE90134">
                  <w:pPr>
                    <w:pStyle w:val="107"/>
                    <w:spacing w:line="240" w:lineRule="auto"/>
                    <w:ind w:firstLine="420" w:firstLineChars="200"/>
                    <w:jc w:val="both"/>
                    <w:textAlignment w:val="auto"/>
                    <w:rPr>
                      <w:rFonts w:ascii="Times New Roman" w:cs="Times New Roman"/>
                      <w:color w:val="auto"/>
                      <w:sz w:val="21"/>
                      <w:szCs w:val="21"/>
                    </w:rPr>
                  </w:pPr>
                  <w:r>
                    <w:rPr>
                      <w:rFonts w:ascii="Times New Roman" w:cs="Times New Roman"/>
                      <w:color w:val="auto"/>
                      <w:sz w:val="21"/>
                      <w:szCs w:val="21"/>
                    </w:rPr>
                    <w:t>本项目环境风险潜势为Ⅰ，本项目</w:t>
                  </w:r>
                  <w:r>
                    <w:rPr>
                      <w:rFonts w:hint="eastAsia" w:ascii="Times New Roman" w:cs="Times New Roman"/>
                      <w:color w:val="auto"/>
                      <w:sz w:val="21"/>
                      <w:szCs w:val="21"/>
                    </w:rPr>
                    <w:t>涉及环境风险的为废</w:t>
                  </w:r>
                  <w:r>
                    <w:rPr>
                      <w:rFonts w:ascii="Times New Roman" w:cs="Times New Roman"/>
                      <w:color w:val="auto"/>
                      <w:sz w:val="21"/>
                      <w:szCs w:val="21"/>
                    </w:rPr>
                    <w:t>机油，</w:t>
                  </w:r>
                  <w:r>
                    <w:rPr>
                      <w:rFonts w:hint="eastAsia" w:ascii="Times New Roman" w:cs="Times New Roman"/>
                      <w:color w:val="auto"/>
                      <w:sz w:val="21"/>
                      <w:szCs w:val="21"/>
                    </w:rPr>
                    <w:t>分别暂存于为</w:t>
                  </w:r>
                  <w:r>
                    <w:rPr>
                      <w:rFonts w:hint="eastAsia" w:ascii="Times New Roman" w:cs="Times New Roman"/>
                      <w:color w:val="auto"/>
                      <w:sz w:val="21"/>
                      <w:szCs w:val="21"/>
                      <w:lang w:eastAsia="zh-CN"/>
                    </w:rPr>
                    <w:t>危废暂存间</w:t>
                  </w:r>
                  <w:r>
                    <w:rPr>
                      <w:rFonts w:hint="eastAsia" w:ascii="Times New Roman" w:cs="Times New Roman"/>
                      <w:color w:val="auto"/>
                      <w:sz w:val="21"/>
                      <w:szCs w:val="21"/>
                    </w:rPr>
                    <w:t>中，在</w:t>
                  </w:r>
                  <w:r>
                    <w:rPr>
                      <w:rFonts w:ascii="Times New Roman" w:cs="Times New Roman"/>
                      <w:color w:val="auto"/>
                      <w:sz w:val="21"/>
                      <w:szCs w:val="21"/>
                    </w:rPr>
                    <w:t>运营单位加强管理及风险防范</w:t>
                  </w:r>
                  <w:r>
                    <w:rPr>
                      <w:rFonts w:hint="eastAsia" w:ascii="Times New Roman" w:cs="Times New Roman"/>
                      <w:color w:val="auto"/>
                      <w:sz w:val="21"/>
                      <w:szCs w:val="21"/>
                    </w:rPr>
                    <w:t>情况下</w:t>
                  </w:r>
                  <w:r>
                    <w:rPr>
                      <w:rFonts w:ascii="Times New Roman" w:cs="Times New Roman"/>
                      <w:color w:val="auto"/>
                      <w:sz w:val="21"/>
                      <w:szCs w:val="21"/>
                    </w:rPr>
                    <w:t>，其发生事故风险水平在可接受范围内。</w:t>
                  </w:r>
                </w:p>
              </w:tc>
            </w:tr>
          </w:tbl>
          <w:p w14:paraId="0721CB4A">
            <w:pPr>
              <w:keepNext w:val="0"/>
              <w:keepLines w:val="0"/>
              <w:pageBreakBefore w:val="0"/>
              <w:widowControl w:val="0"/>
              <w:kinsoku/>
              <w:wordWrap/>
              <w:overflowPunct/>
              <w:topLinePunct w:val="0"/>
              <w:autoSpaceDE/>
              <w:autoSpaceDN/>
              <w:bidi w:val="0"/>
              <w:adjustRightInd/>
              <w:snapToGrid/>
              <w:spacing w:before="164" w:beforeLines="50" w:line="360" w:lineRule="auto"/>
              <w:ind w:firstLine="482" w:firstLineChars="200"/>
              <w:textAlignment w:val="auto"/>
              <w:rPr>
                <w:rFonts w:hint="eastAsia" w:eastAsia="宋体"/>
                <w:b/>
                <w:bCs/>
                <w:color w:val="auto"/>
                <w:lang w:eastAsia="zh-CN"/>
              </w:rPr>
            </w:pPr>
            <w:r>
              <w:rPr>
                <w:rFonts w:hint="eastAsia"/>
                <w:b/>
                <w:bCs/>
                <w:color w:val="auto"/>
              </w:rPr>
              <w:t>8</w:t>
            </w:r>
            <w:r>
              <w:rPr>
                <w:b/>
                <w:bCs/>
                <w:color w:val="auto"/>
              </w:rPr>
              <w:t>、</w:t>
            </w:r>
            <w:r>
              <w:rPr>
                <w:rFonts w:hint="eastAsia"/>
                <w:b/>
                <w:bCs/>
                <w:color w:val="auto"/>
                <w:lang w:eastAsia="zh-CN"/>
              </w:rPr>
              <w:t>环境管理及监测计划</w:t>
            </w:r>
          </w:p>
          <w:p w14:paraId="6CCA997D">
            <w:pPr>
              <w:pStyle w:val="138"/>
              <w:keepNext w:val="0"/>
              <w:keepLines w:val="0"/>
              <w:pageBreakBefore w:val="0"/>
              <w:kinsoku/>
              <w:wordWrap/>
              <w:overflowPunct/>
              <w:topLinePunct w:val="0"/>
              <w:autoSpaceDE/>
              <w:autoSpaceDN/>
              <w:bidi w:val="0"/>
              <w:adjustRightInd/>
              <w:snapToGrid/>
              <w:spacing w:line="360" w:lineRule="auto"/>
              <w:ind w:firstLine="480"/>
              <w:textAlignment w:val="auto"/>
              <w:rPr>
                <w:color w:val="auto"/>
              </w:rPr>
            </w:pPr>
            <w:r>
              <w:rPr>
                <w:rFonts w:hint="eastAsia" w:eastAsia="宋体"/>
                <w:color w:val="auto"/>
              </w:rPr>
              <w:t>（</w:t>
            </w:r>
            <w:r>
              <w:rPr>
                <w:color w:val="auto"/>
              </w:rPr>
              <w:t>1</w:t>
            </w:r>
            <w:r>
              <w:rPr>
                <w:rFonts w:hint="eastAsia" w:eastAsia="宋体"/>
                <w:color w:val="auto"/>
              </w:rPr>
              <w:t>）环境管理</w:t>
            </w:r>
          </w:p>
          <w:p w14:paraId="39C3A538">
            <w:pPr>
              <w:pStyle w:val="138"/>
              <w:keepNext w:val="0"/>
              <w:keepLines w:val="0"/>
              <w:pageBreakBefore w:val="0"/>
              <w:kinsoku/>
              <w:wordWrap/>
              <w:overflowPunct/>
              <w:topLinePunct w:val="0"/>
              <w:autoSpaceDE/>
              <w:autoSpaceDN/>
              <w:bidi w:val="0"/>
              <w:adjustRightInd/>
              <w:snapToGrid/>
              <w:spacing w:line="360" w:lineRule="auto"/>
              <w:ind w:firstLine="480"/>
              <w:textAlignment w:val="auto"/>
              <w:rPr>
                <w:color w:val="auto"/>
              </w:rPr>
            </w:pPr>
            <w:r>
              <w:rPr>
                <w:rFonts w:hint="eastAsia" w:eastAsia="宋体"/>
                <w:color w:val="auto"/>
              </w:rPr>
              <w:t>①</w:t>
            </w:r>
            <w:r>
              <w:rPr>
                <w:rFonts w:hint="eastAsia" w:ascii="宋体" w:hAnsi="宋体" w:eastAsia="宋体" w:cs="宋体"/>
                <w:color w:val="auto"/>
              </w:rPr>
              <w:t>厂内</w:t>
            </w:r>
            <w:r>
              <w:rPr>
                <w:rFonts w:hint="eastAsia" w:eastAsia="宋体"/>
                <w:color w:val="auto"/>
              </w:rPr>
              <w:t>设置环境管理部门及环境管理人员，提高环境管理人员的环保素质和意识；加强环境保护宣传教育，提高职工环保意识。</w:t>
            </w:r>
          </w:p>
          <w:p w14:paraId="559A7443">
            <w:pPr>
              <w:pStyle w:val="138"/>
              <w:keepNext w:val="0"/>
              <w:keepLines w:val="0"/>
              <w:pageBreakBefore w:val="0"/>
              <w:kinsoku/>
              <w:wordWrap/>
              <w:overflowPunct/>
              <w:topLinePunct w:val="0"/>
              <w:autoSpaceDE/>
              <w:autoSpaceDN/>
              <w:bidi w:val="0"/>
              <w:adjustRightInd/>
              <w:snapToGrid/>
              <w:spacing w:line="360" w:lineRule="auto"/>
              <w:ind w:firstLine="480"/>
              <w:textAlignment w:val="auto"/>
              <w:rPr>
                <w:color w:val="auto"/>
              </w:rPr>
            </w:pPr>
            <w:r>
              <w:rPr>
                <w:rFonts w:hint="eastAsia" w:eastAsia="宋体"/>
                <w:color w:val="auto"/>
              </w:rPr>
              <w:t>②严格执行环境影响评价制度和“三同时”制度，确保污染得到有效预防及控制。</w:t>
            </w:r>
          </w:p>
          <w:p w14:paraId="141E3F4A">
            <w:pPr>
              <w:pStyle w:val="138"/>
              <w:keepNext w:val="0"/>
              <w:keepLines w:val="0"/>
              <w:pageBreakBefore w:val="0"/>
              <w:kinsoku/>
              <w:wordWrap/>
              <w:overflowPunct/>
              <w:topLinePunct w:val="0"/>
              <w:autoSpaceDE/>
              <w:autoSpaceDN/>
              <w:bidi w:val="0"/>
              <w:adjustRightInd/>
              <w:snapToGrid/>
              <w:spacing w:line="360" w:lineRule="auto"/>
              <w:ind w:firstLine="480"/>
              <w:textAlignment w:val="auto"/>
              <w:rPr>
                <w:color w:val="auto"/>
              </w:rPr>
            </w:pPr>
            <w:r>
              <w:rPr>
                <w:rFonts w:hint="eastAsia" w:eastAsia="宋体"/>
                <w:color w:val="auto"/>
              </w:rPr>
              <w:t>③实行环境管理制度，对各项污染防治措施进行有效监督管理，明确各项污染物达标情况。</w:t>
            </w:r>
          </w:p>
          <w:p w14:paraId="67994F95">
            <w:pPr>
              <w:pStyle w:val="138"/>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eastAsia="宋体"/>
                <w:color w:val="auto"/>
              </w:rPr>
            </w:pPr>
            <w:r>
              <w:rPr>
                <w:rFonts w:hint="eastAsia" w:eastAsia="宋体"/>
                <w:color w:val="auto"/>
              </w:rPr>
              <w:t>④建立环境保护管理台账，定期检查项目环境保护措施执行情况，定期进行环境保护信息公开。</w:t>
            </w:r>
          </w:p>
          <w:p w14:paraId="7A09BB0B">
            <w:pPr>
              <w:pStyle w:val="138"/>
              <w:keepNext w:val="0"/>
              <w:keepLines w:val="0"/>
              <w:pageBreakBefore w:val="0"/>
              <w:kinsoku/>
              <w:wordWrap/>
              <w:overflowPunct/>
              <w:topLinePunct w:val="0"/>
              <w:autoSpaceDE/>
              <w:autoSpaceDN/>
              <w:bidi w:val="0"/>
              <w:adjustRightInd/>
              <w:snapToGrid/>
              <w:spacing w:line="360" w:lineRule="auto"/>
              <w:ind w:firstLine="480"/>
              <w:textAlignment w:val="auto"/>
              <w:rPr>
                <w:color w:val="auto"/>
              </w:rPr>
            </w:pPr>
            <w:r>
              <w:rPr>
                <w:rFonts w:hint="eastAsia" w:eastAsia="宋体"/>
                <w:color w:val="auto"/>
              </w:rPr>
              <w:t>（</w:t>
            </w:r>
            <w:r>
              <w:rPr>
                <w:color w:val="auto"/>
              </w:rPr>
              <w:t>2</w:t>
            </w:r>
            <w:r>
              <w:rPr>
                <w:rFonts w:hint="eastAsia" w:eastAsia="宋体"/>
                <w:color w:val="auto"/>
              </w:rPr>
              <w:t>）环境监测计划</w:t>
            </w:r>
          </w:p>
          <w:p w14:paraId="601F7868">
            <w:pPr>
              <w:pStyle w:val="138"/>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eastAsia="宋体"/>
                <w:color w:val="auto"/>
              </w:rPr>
            </w:pPr>
            <w:r>
              <w:rPr>
                <w:rFonts w:hint="eastAsia"/>
                <w:color w:val="auto"/>
              </w:rPr>
              <w:t>项目根据《排污单位自行监测技术指南  总则》（HJ 819-2017）及《排污单位自行监测技术指南 橡胶和塑料制品》（HJ 1207—2021）环境监测要求制定自行监测计划见下表。</w:t>
            </w:r>
          </w:p>
          <w:p w14:paraId="46650E63">
            <w:pPr>
              <w:pStyle w:val="140"/>
              <w:rPr>
                <w:rFonts w:hint="eastAsia"/>
                <w:color w:val="auto"/>
              </w:rPr>
            </w:pPr>
            <w:r>
              <w:rPr>
                <w:color w:val="auto"/>
              </w:rPr>
              <w:t>表4-</w:t>
            </w:r>
            <w:r>
              <w:rPr>
                <w:rFonts w:hint="eastAsia"/>
                <w:color w:val="auto"/>
              </w:rPr>
              <w:t>1</w:t>
            </w:r>
            <w:r>
              <w:rPr>
                <w:rFonts w:hint="eastAsia"/>
                <w:color w:val="auto"/>
                <w:lang w:val="en-US" w:eastAsia="zh-CN"/>
              </w:rPr>
              <w:t>9</w:t>
            </w:r>
            <w:r>
              <w:rPr>
                <w:color w:val="auto"/>
              </w:rPr>
              <w:t xml:space="preserve">  环境监测计划一览表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225"/>
              <w:gridCol w:w="1577"/>
              <w:gridCol w:w="3023"/>
              <w:gridCol w:w="1168"/>
            </w:tblGrid>
            <w:tr w14:paraId="2A2EC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tcBorders>
                    <w:top w:val="single" w:color="auto" w:sz="12" w:space="0"/>
                    <w:left w:val="nil"/>
                    <w:bottom w:val="single" w:color="auto" w:sz="4" w:space="0"/>
                    <w:right w:val="single" w:color="auto" w:sz="4" w:space="0"/>
                  </w:tcBorders>
                  <w:noWrap w:val="0"/>
                  <w:vAlign w:val="center"/>
                </w:tcPr>
                <w:p w14:paraId="4CE411CE">
                  <w:pPr>
                    <w:pStyle w:val="139"/>
                    <w:rPr>
                      <w:color w:val="auto"/>
                    </w:rPr>
                  </w:pPr>
                  <w:r>
                    <w:rPr>
                      <w:rFonts w:hint="eastAsia" w:ascii="宋体" w:hAnsi="宋体" w:eastAsia="宋体"/>
                      <w:color w:val="auto"/>
                    </w:rPr>
                    <w:t>监测要素</w:t>
                  </w:r>
                </w:p>
              </w:tc>
              <w:tc>
                <w:tcPr>
                  <w:tcW w:w="1225" w:type="dxa"/>
                  <w:tcBorders>
                    <w:top w:val="single" w:color="auto" w:sz="12" w:space="0"/>
                    <w:left w:val="single" w:color="auto" w:sz="4" w:space="0"/>
                    <w:bottom w:val="single" w:color="auto" w:sz="4" w:space="0"/>
                    <w:right w:val="single" w:color="auto" w:sz="4" w:space="0"/>
                  </w:tcBorders>
                  <w:noWrap w:val="0"/>
                  <w:vAlign w:val="center"/>
                </w:tcPr>
                <w:p w14:paraId="07B4A525">
                  <w:pPr>
                    <w:pStyle w:val="139"/>
                    <w:rPr>
                      <w:color w:val="auto"/>
                    </w:rPr>
                  </w:pPr>
                  <w:r>
                    <w:rPr>
                      <w:rFonts w:hint="eastAsia" w:ascii="宋体" w:hAnsi="宋体" w:eastAsia="宋体"/>
                      <w:color w:val="auto"/>
                    </w:rPr>
                    <w:t>监测阶段</w:t>
                  </w:r>
                </w:p>
              </w:tc>
              <w:tc>
                <w:tcPr>
                  <w:tcW w:w="1577" w:type="dxa"/>
                  <w:tcBorders>
                    <w:top w:val="single" w:color="auto" w:sz="12" w:space="0"/>
                    <w:left w:val="single" w:color="auto" w:sz="4" w:space="0"/>
                    <w:bottom w:val="single" w:color="auto" w:sz="4" w:space="0"/>
                    <w:right w:val="single" w:color="auto" w:sz="4" w:space="0"/>
                  </w:tcBorders>
                  <w:noWrap w:val="0"/>
                  <w:vAlign w:val="center"/>
                </w:tcPr>
                <w:p w14:paraId="0EA70D4A">
                  <w:pPr>
                    <w:pStyle w:val="139"/>
                    <w:rPr>
                      <w:color w:val="auto"/>
                    </w:rPr>
                  </w:pPr>
                  <w:r>
                    <w:rPr>
                      <w:rFonts w:hint="eastAsia" w:ascii="宋体" w:hAnsi="宋体" w:eastAsia="宋体"/>
                      <w:color w:val="auto"/>
                    </w:rPr>
                    <w:t>监测点位</w:t>
                  </w:r>
                </w:p>
              </w:tc>
              <w:tc>
                <w:tcPr>
                  <w:tcW w:w="3023" w:type="dxa"/>
                  <w:tcBorders>
                    <w:top w:val="single" w:color="auto" w:sz="12" w:space="0"/>
                    <w:left w:val="single" w:color="auto" w:sz="4" w:space="0"/>
                    <w:bottom w:val="single" w:color="auto" w:sz="4" w:space="0"/>
                    <w:right w:val="single" w:color="auto" w:sz="4" w:space="0"/>
                  </w:tcBorders>
                  <w:noWrap w:val="0"/>
                  <w:vAlign w:val="center"/>
                </w:tcPr>
                <w:p w14:paraId="54292462">
                  <w:pPr>
                    <w:pStyle w:val="139"/>
                    <w:rPr>
                      <w:color w:val="auto"/>
                    </w:rPr>
                  </w:pPr>
                  <w:r>
                    <w:rPr>
                      <w:rFonts w:hint="eastAsia" w:ascii="宋体" w:hAnsi="宋体" w:eastAsia="宋体"/>
                      <w:color w:val="auto"/>
                    </w:rPr>
                    <w:t>监测因子</w:t>
                  </w:r>
                </w:p>
              </w:tc>
              <w:tc>
                <w:tcPr>
                  <w:tcW w:w="1168" w:type="dxa"/>
                  <w:tcBorders>
                    <w:top w:val="single" w:color="auto" w:sz="12" w:space="0"/>
                    <w:left w:val="single" w:color="auto" w:sz="4" w:space="0"/>
                    <w:bottom w:val="single" w:color="auto" w:sz="4" w:space="0"/>
                    <w:right w:val="nil"/>
                  </w:tcBorders>
                  <w:noWrap w:val="0"/>
                  <w:vAlign w:val="center"/>
                </w:tcPr>
                <w:p w14:paraId="4F41F917">
                  <w:pPr>
                    <w:pStyle w:val="139"/>
                    <w:rPr>
                      <w:color w:val="auto"/>
                    </w:rPr>
                  </w:pPr>
                  <w:r>
                    <w:rPr>
                      <w:rFonts w:hint="eastAsia" w:ascii="宋体" w:hAnsi="宋体" w:eastAsia="宋体"/>
                      <w:color w:val="auto"/>
                    </w:rPr>
                    <w:t>监测频次</w:t>
                  </w:r>
                </w:p>
              </w:tc>
            </w:tr>
            <w:tr w14:paraId="489E6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168" w:type="dxa"/>
                  <w:vMerge w:val="restart"/>
                  <w:tcBorders>
                    <w:top w:val="single" w:color="auto" w:sz="4" w:space="0"/>
                    <w:left w:val="nil"/>
                    <w:right w:val="single" w:color="auto" w:sz="4" w:space="0"/>
                  </w:tcBorders>
                  <w:noWrap w:val="0"/>
                  <w:vAlign w:val="center"/>
                </w:tcPr>
                <w:p w14:paraId="4A3F46FF">
                  <w:pPr>
                    <w:pStyle w:val="139"/>
                    <w:rPr>
                      <w:rFonts w:hint="eastAsia" w:eastAsia="宋体"/>
                      <w:color w:val="auto"/>
                    </w:rPr>
                  </w:pPr>
                  <w:r>
                    <w:rPr>
                      <w:rFonts w:hint="eastAsia"/>
                      <w:color w:val="auto"/>
                    </w:rPr>
                    <w:t>废气</w:t>
                  </w:r>
                </w:p>
              </w:tc>
              <w:tc>
                <w:tcPr>
                  <w:tcW w:w="1225" w:type="dxa"/>
                  <w:vMerge w:val="restart"/>
                  <w:tcBorders>
                    <w:top w:val="single" w:color="auto" w:sz="4" w:space="0"/>
                    <w:left w:val="single" w:color="auto" w:sz="4" w:space="0"/>
                    <w:right w:val="single" w:color="auto" w:sz="4" w:space="0"/>
                  </w:tcBorders>
                  <w:noWrap w:val="0"/>
                  <w:vAlign w:val="center"/>
                </w:tcPr>
                <w:p w14:paraId="435F156B">
                  <w:pPr>
                    <w:pStyle w:val="139"/>
                    <w:rPr>
                      <w:rFonts w:hint="eastAsia" w:eastAsia="宋体"/>
                      <w:color w:val="auto"/>
                    </w:rPr>
                  </w:pPr>
                  <w:r>
                    <w:rPr>
                      <w:rFonts w:hint="eastAsia"/>
                      <w:color w:val="auto"/>
                    </w:rPr>
                    <w:t>运营期</w:t>
                  </w:r>
                </w:p>
              </w:tc>
              <w:tc>
                <w:tcPr>
                  <w:tcW w:w="1577" w:type="dxa"/>
                  <w:vMerge w:val="restart"/>
                  <w:tcBorders>
                    <w:left w:val="single" w:color="auto" w:sz="4" w:space="0"/>
                    <w:right w:val="single" w:color="auto" w:sz="4" w:space="0"/>
                  </w:tcBorders>
                  <w:noWrap w:val="0"/>
                  <w:vAlign w:val="center"/>
                </w:tcPr>
                <w:p w14:paraId="1E765079">
                  <w:pPr>
                    <w:pStyle w:val="139"/>
                    <w:rPr>
                      <w:rFonts w:hint="eastAsia" w:eastAsia="宋体"/>
                      <w:color w:val="auto"/>
                    </w:rPr>
                  </w:pPr>
                  <w:r>
                    <w:rPr>
                      <w:rFonts w:hint="eastAsia"/>
                      <w:color w:val="auto"/>
                    </w:rPr>
                    <w:t>企业厂界</w:t>
                  </w:r>
                </w:p>
              </w:tc>
              <w:tc>
                <w:tcPr>
                  <w:tcW w:w="3023" w:type="dxa"/>
                  <w:tcBorders>
                    <w:top w:val="single" w:color="auto" w:sz="4" w:space="0"/>
                    <w:left w:val="single" w:color="auto" w:sz="4" w:space="0"/>
                    <w:bottom w:val="single" w:color="auto" w:sz="4" w:space="0"/>
                    <w:right w:val="single" w:color="auto" w:sz="4" w:space="0"/>
                  </w:tcBorders>
                  <w:noWrap w:val="0"/>
                  <w:vAlign w:val="center"/>
                </w:tcPr>
                <w:p w14:paraId="1BFD2AD9">
                  <w:pPr>
                    <w:pStyle w:val="139"/>
                    <w:rPr>
                      <w:rFonts w:hint="eastAsia" w:eastAsia="宋体"/>
                      <w:bCs/>
                      <w:color w:val="auto"/>
                    </w:rPr>
                  </w:pPr>
                  <w:r>
                    <w:rPr>
                      <w:rFonts w:hint="eastAsia" w:ascii="宋体" w:hAnsi="宋体" w:eastAsia="宋体"/>
                      <w:bCs/>
                      <w:color w:val="auto"/>
                    </w:rPr>
                    <w:t>臭气浓度</w:t>
                  </w:r>
                </w:p>
              </w:tc>
              <w:tc>
                <w:tcPr>
                  <w:tcW w:w="1168" w:type="dxa"/>
                  <w:tcBorders>
                    <w:top w:val="single" w:color="auto" w:sz="4" w:space="0"/>
                    <w:left w:val="single" w:color="auto" w:sz="4" w:space="0"/>
                    <w:bottom w:val="single" w:color="auto" w:sz="4" w:space="0"/>
                    <w:right w:val="nil"/>
                  </w:tcBorders>
                  <w:noWrap w:val="0"/>
                  <w:vAlign w:val="center"/>
                </w:tcPr>
                <w:p w14:paraId="63AA310E">
                  <w:pPr>
                    <w:pStyle w:val="139"/>
                    <w:rPr>
                      <w:rFonts w:hint="eastAsia" w:eastAsia="宋体"/>
                      <w:color w:val="auto"/>
                    </w:rPr>
                  </w:pPr>
                  <w:r>
                    <w:rPr>
                      <w:color w:val="auto"/>
                    </w:rPr>
                    <w:t>1</w:t>
                  </w:r>
                  <w:r>
                    <w:rPr>
                      <w:rFonts w:hint="eastAsia" w:ascii="宋体" w:hAnsi="宋体" w:eastAsia="宋体"/>
                      <w:color w:val="auto"/>
                    </w:rPr>
                    <w:t>次</w:t>
                  </w:r>
                  <w:r>
                    <w:rPr>
                      <w:color w:val="auto"/>
                    </w:rPr>
                    <w:t>/</w:t>
                  </w:r>
                  <w:r>
                    <w:rPr>
                      <w:rFonts w:hint="eastAsia" w:ascii="宋体" w:hAnsi="宋体" w:eastAsia="宋体"/>
                      <w:color w:val="auto"/>
                    </w:rPr>
                    <w:t>年</w:t>
                  </w:r>
                </w:p>
              </w:tc>
            </w:tr>
            <w:tr w14:paraId="3CBB1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168" w:type="dxa"/>
                  <w:vMerge w:val="continue"/>
                  <w:tcBorders>
                    <w:left w:val="nil"/>
                    <w:right w:val="single" w:color="auto" w:sz="4" w:space="0"/>
                  </w:tcBorders>
                  <w:noWrap w:val="0"/>
                  <w:vAlign w:val="center"/>
                </w:tcPr>
                <w:p w14:paraId="1E3FAD91">
                  <w:pPr>
                    <w:pStyle w:val="139"/>
                    <w:rPr>
                      <w:rFonts w:hint="eastAsia"/>
                      <w:color w:val="auto"/>
                    </w:rPr>
                  </w:pPr>
                </w:p>
              </w:tc>
              <w:tc>
                <w:tcPr>
                  <w:tcW w:w="1225" w:type="dxa"/>
                  <w:vMerge w:val="continue"/>
                  <w:tcBorders>
                    <w:left w:val="single" w:color="auto" w:sz="4" w:space="0"/>
                    <w:right w:val="single" w:color="auto" w:sz="4" w:space="0"/>
                  </w:tcBorders>
                  <w:noWrap w:val="0"/>
                  <w:vAlign w:val="center"/>
                </w:tcPr>
                <w:p w14:paraId="04C679CA">
                  <w:pPr>
                    <w:pStyle w:val="139"/>
                    <w:rPr>
                      <w:rFonts w:hint="eastAsia"/>
                      <w:color w:val="auto"/>
                    </w:rPr>
                  </w:pPr>
                </w:p>
              </w:tc>
              <w:tc>
                <w:tcPr>
                  <w:tcW w:w="1577" w:type="dxa"/>
                  <w:vMerge w:val="continue"/>
                  <w:tcBorders>
                    <w:left w:val="single" w:color="auto" w:sz="4" w:space="0"/>
                    <w:right w:val="single" w:color="auto" w:sz="4" w:space="0"/>
                  </w:tcBorders>
                  <w:noWrap w:val="0"/>
                  <w:vAlign w:val="center"/>
                </w:tcPr>
                <w:p w14:paraId="5C3391C1">
                  <w:pPr>
                    <w:pStyle w:val="139"/>
                    <w:rPr>
                      <w:rFonts w:hint="eastAsia"/>
                      <w:color w:val="auto"/>
                    </w:rPr>
                  </w:pPr>
                </w:p>
              </w:tc>
              <w:tc>
                <w:tcPr>
                  <w:tcW w:w="3023" w:type="dxa"/>
                  <w:tcBorders>
                    <w:top w:val="single" w:color="auto" w:sz="4" w:space="0"/>
                    <w:left w:val="single" w:color="auto" w:sz="4" w:space="0"/>
                    <w:bottom w:val="single" w:color="auto" w:sz="4" w:space="0"/>
                    <w:right w:val="single" w:color="auto" w:sz="4" w:space="0"/>
                  </w:tcBorders>
                  <w:noWrap w:val="0"/>
                  <w:vAlign w:val="center"/>
                </w:tcPr>
                <w:p w14:paraId="6D8827BC">
                  <w:pPr>
                    <w:pStyle w:val="139"/>
                    <w:rPr>
                      <w:rFonts w:hint="eastAsia"/>
                      <w:color w:val="auto"/>
                    </w:rPr>
                  </w:pPr>
                  <w:r>
                    <w:rPr>
                      <w:rFonts w:hint="eastAsia"/>
                      <w:color w:val="auto"/>
                    </w:rPr>
                    <w:t>颗粒物</w:t>
                  </w:r>
                </w:p>
              </w:tc>
              <w:tc>
                <w:tcPr>
                  <w:tcW w:w="1168" w:type="dxa"/>
                  <w:tcBorders>
                    <w:top w:val="single" w:color="auto" w:sz="4" w:space="0"/>
                    <w:left w:val="single" w:color="auto" w:sz="4" w:space="0"/>
                    <w:bottom w:val="single" w:color="auto" w:sz="4" w:space="0"/>
                    <w:right w:val="nil"/>
                  </w:tcBorders>
                  <w:noWrap w:val="0"/>
                  <w:vAlign w:val="center"/>
                </w:tcPr>
                <w:p w14:paraId="2BB14FBB">
                  <w:pPr>
                    <w:pStyle w:val="139"/>
                    <w:rPr>
                      <w:color w:val="auto"/>
                    </w:rPr>
                  </w:pPr>
                  <w:r>
                    <w:rPr>
                      <w:rFonts w:hint="eastAsia"/>
                      <w:color w:val="auto"/>
                    </w:rPr>
                    <w:t>1次/年</w:t>
                  </w:r>
                </w:p>
              </w:tc>
            </w:tr>
            <w:tr w14:paraId="2C426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168" w:type="dxa"/>
                  <w:vMerge w:val="continue"/>
                  <w:tcBorders>
                    <w:left w:val="nil"/>
                    <w:right w:val="single" w:color="auto" w:sz="4" w:space="0"/>
                  </w:tcBorders>
                  <w:noWrap w:val="0"/>
                  <w:vAlign w:val="center"/>
                </w:tcPr>
                <w:p w14:paraId="1B54C435">
                  <w:pPr>
                    <w:pStyle w:val="139"/>
                    <w:rPr>
                      <w:color w:val="auto"/>
                    </w:rPr>
                  </w:pPr>
                </w:p>
              </w:tc>
              <w:tc>
                <w:tcPr>
                  <w:tcW w:w="1225" w:type="dxa"/>
                  <w:vMerge w:val="continue"/>
                  <w:tcBorders>
                    <w:left w:val="single" w:color="auto" w:sz="4" w:space="0"/>
                    <w:right w:val="single" w:color="auto" w:sz="4" w:space="0"/>
                  </w:tcBorders>
                  <w:noWrap w:val="0"/>
                  <w:vAlign w:val="center"/>
                </w:tcPr>
                <w:p w14:paraId="17E5C128">
                  <w:pPr>
                    <w:pStyle w:val="139"/>
                    <w:rPr>
                      <w:color w:val="auto"/>
                    </w:rPr>
                  </w:pPr>
                </w:p>
              </w:tc>
              <w:tc>
                <w:tcPr>
                  <w:tcW w:w="1577" w:type="dxa"/>
                  <w:vMerge w:val="continue"/>
                  <w:tcBorders>
                    <w:left w:val="single" w:color="auto" w:sz="4" w:space="0"/>
                    <w:right w:val="single" w:color="auto" w:sz="4" w:space="0"/>
                  </w:tcBorders>
                  <w:noWrap w:val="0"/>
                  <w:vAlign w:val="center"/>
                </w:tcPr>
                <w:p w14:paraId="7961490D">
                  <w:pPr>
                    <w:pStyle w:val="139"/>
                    <w:rPr>
                      <w:color w:val="auto"/>
                    </w:rPr>
                  </w:pPr>
                </w:p>
              </w:tc>
              <w:tc>
                <w:tcPr>
                  <w:tcW w:w="3023" w:type="dxa"/>
                  <w:tcBorders>
                    <w:top w:val="single" w:color="auto" w:sz="4" w:space="0"/>
                    <w:left w:val="single" w:color="auto" w:sz="4" w:space="0"/>
                    <w:bottom w:val="single" w:color="auto" w:sz="4" w:space="0"/>
                    <w:right w:val="single" w:color="auto" w:sz="4" w:space="0"/>
                  </w:tcBorders>
                  <w:noWrap w:val="0"/>
                  <w:vAlign w:val="center"/>
                </w:tcPr>
                <w:p w14:paraId="1D9570E2">
                  <w:pPr>
                    <w:pStyle w:val="139"/>
                    <w:rPr>
                      <w:rFonts w:hint="eastAsia" w:eastAsia="宋体"/>
                      <w:color w:val="auto"/>
                    </w:rPr>
                  </w:pPr>
                  <w:r>
                    <w:rPr>
                      <w:rFonts w:hint="eastAsia" w:ascii="宋体" w:hAnsi="宋体" w:eastAsia="宋体"/>
                      <w:color w:val="auto"/>
                    </w:rPr>
                    <w:t>非甲烷总烃</w:t>
                  </w:r>
                </w:p>
              </w:tc>
              <w:tc>
                <w:tcPr>
                  <w:tcW w:w="1168" w:type="dxa"/>
                  <w:tcBorders>
                    <w:top w:val="single" w:color="auto" w:sz="4" w:space="0"/>
                    <w:left w:val="single" w:color="auto" w:sz="4" w:space="0"/>
                    <w:right w:val="nil"/>
                  </w:tcBorders>
                  <w:noWrap w:val="0"/>
                  <w:vAlign w:val="center"/>
                </w:tcPr>
                <w:p w14:paraId="71CDFE18">
                  <w:pPr>
                    <w:pStyle w:val="139"/>
                    <w:rPr>
                      <w:rFonts w:eastAsia="宋体"/>
                      <w:color w:val="auto"/>
                    </w:rPr>
                  </w:pPr>
                  <w:r>
                    <w:rPr>
                      <w:color w:val="auto"/>
                    </w:rPr>
                    <w:t>1</w:t>
                  </w:r>
                  <w:r>
                    <w:rPr>
                      <w:rFonts w:hint="eastAsia" w:ascii="宋体" w:hAnsi="宋体" w:eastAsia="宋体"/>
                      <w:color w:val="auto"/>
                    </w:rPr>
                    <w:t>次</w:t>
                  </w:r>
                  <w:r>
                    <w:rPr>
                      <w:color w:val="auto"/>
                    </w:rPr>
                    <w:t>/</w:t>
                  </w:r>
                  <w:r>
                    <w:rPr>
                      <w:rFonts w:hint="eastAsia" w:eastAsia="宋体"/>
                      <w:color w:val="auto"/>
                    </w:rPr>
                    <w:t>年</w:t>
                  </w:r>
                </w:p>
              </w:tc>
            </w:tr>
            <w:tr w14:paraId="62510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168" w:type="dxa"/>
                  <w:vMerge w:val="continue"/>
                  <w:tcBorders>
                    <w:left w:val="nil"/>
                    <w:right w:val="single" w:color="auto" w:sz="4" w:space="0"/>
                  </w:tcBorders>
                  <w:noWrap w:val="0"/>
                  <w:vAlign w:val="center"/>
                </w:tcPr>
                <w:p w14:paraId="291784F8">
                  <w:pPr>
                    <w:pStyle w:val="139"/>
                    <w:rPr>
                      <w:color w:val="auto"/>
                    </w:rPr>
                  </w:pPr>
                </w:p>
              </w:tc>
              <w:tc>
                <w:tcPr>
                  <w:tcW w:w="1225" w:type="dxa"/>
                  <w:vMerge w:val="continue"/>
                  <w:tcBorders>
                    <w:left w:val="single" w:color="auto" w:sz="4" w:space="0"/>
                    <w:right w:val="single" w:color="auto" w:sz="4" w:space="0"/>
                  </w:tcBorders>
                  <w:noWrap w:val="0"/>
                  <w:vAlign w:val="center"/>
                </w:tcPr>
                <w:p w14:paraId="3992DB3E">
                  <w:pPr>
                    <w:pStyle w:val="139"/>
                    <w:rPr>
                      <w:color w:val="auto"/>
                    </w:rPr>
                  </w:pPr>
                </w:p>
              </w:tc>
              <w:tc>
                <w:tcPr>
                  <w:tcW w:w="1577" w:type="dxa"/>
                  <w:vMerge w:val="restart"/>
                  <w:tcBorders>
                    <w:left w:val="single" w:color="auto" w:sz="4" w:space="0"/>
                    <w:right w:val="single" w:color="auto" w:sz="4" w:space="0"/>
                  </w:tcBorders>
                  <w:noWrap w:val="0"/>
                  <w:vAlign w:val="center"/>
                </w:tcPr>
                <w:p w14:paraId="5BEF0BCF">
                  <w:pPr>
                    <w:pStyle w:val="139"/>
                    <w:rPr>
                      <w:rFonts w:eastAsia="宋体"/>
                      <w:color w:val="auto"/>
                    </w:rPr>
                  </w:pPr>
                  <w:r>
                    <w:rPr>
                      <w:rFonts w:hint="eastAsia"/>
                      <w:color w:val="auto"/>
                    </w:rPr>
                    <w:t>DA001</w:t>
                  </w:r>
                </w:p>
              </w:tc>
              <w:tc>
                <w:tcPr>
                  <w:tcW w:w="3023" w:type="dxa"/>
                  <w:tcBorders>
                    <w:top w:val="single" w:color="auto" w:sz="4" w:space="0"/>
                    <w:left w:val="single" w:color="auto" w:sz="4" w:space="0"/>
                    <w:bottom w:val="single" w:color="auto" w:sz="4" w:space="0"/>
                    <w:right w:val="single" w:color="auto" w:sz="4" w:space="0"/>
                  </w:tcBorders>
                  <w:noWrap w:val="0"/>
                  <w:vAlign w:val="center"/>
                </w:tcPr>
                <w:p w14:paraId="3D4B2743">
                  <w:pPr>
                    <w:pStyle w:val="139"/>
                    <w:rPr>
                      <w:rFonts w:hint="eastAsia" w:ascii="宋体" w:hAnsi="宋体" w:eastAsia="宋体"/>
                      <w:color w:val="auto"/>
                    </w:rPr>
                  </w:pPr>
                  <w:r>
                    <w:rPr>
                      <w:rFonts w:hint="eastAsia" w:ascii="宋体" w:hAnsi="宋体" w:eastAsia="宋体"/>
                      <w:color w:val="auto"/>
                    </w:rPr>
                    <w:t>非甲烷总烃</w:t>
                  </w:r>
                </w:p>
              </w:tc>
              <w:tc>
                <w:tcPr>
                  <w:tcW w:w="1168" w:type="dxa"/>
                  <w:tcBorders>
                    <w:top w:val="single" w:color="auto" w:sz="4" w:space="0"/>
                    <w:left w:val="single" w:color="auto" w:sz="4" w:space="0"/>
                    <w:right w:val="nil"/>
                  </w:tcBorders>
                  <w:noWrap w:val="0"/>
                  <w:vAlign w:val="center"/>
                </w:tcPr>
                <w:p w14:paraId="7575BBDF">
                  <w:pPr>
                    <w:pStyle w:val="139"/>
                    <w:rPr>
                      <w:color w:val="auto"/>
                    </w:rPr>
                  </w:pPr>
                  <w:r>
                    <w:rPr>
                      <w:color w:val="auto"/>
                    </w:rPr>
                    <w:t>1</w:t>
                  </w:r>
                  <w:r>
                    <w:rPr>
                      <w:rFonts w:hint="eastAsia"/>
                      <w:color w:val="auto"/>
                    </w:rPr>
                    <w:t>次</w:t>
                  </w:r>
                  <w:r>
                    <w:rPr>
                      <w:color w:val="auto"/>
                    </w:rPr>
                    <w:t>/</w:t>
                  </w:r>
                  <w:r>
                    <w:rPr>
                      <w:rFonts w:hint="eastAsia"/>
                      <w:color w:val="auto"/>
                    </w:rPr>
                    <w:t>半年</w:t>
                  </w:r>
                </w:p>
              </w:tc>
            </w:tr>
            <w:tr w14:paraId="65E44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168" w:type="dxa"/>
                  <w:vMerge w:val="continue"/>
                  <w:tcBorders>
                    <w:left w:val="nil"/>
                    <w:right w:val="single" w:color="auto" w:sz="4" w:space="0"/>
                  </w:tcBorders>
                  <w:noWrap w:val="0"/>
                  <w:vAlign w:val="center"/>
                </w:tcPr>
                <w:p w14:paraId="0BCE0E25">
                  <w:pPr>
                    <w:pStyle w:val="139"/>
                    <w:rPr>
                      <w:color w:val="auto"/>
                    </w:rPr>
                  </w:pPr>
                </w:p>
              </w:tc>
              <w:tc>
                <w:tcPr>
                  <w:tcW w:w="1225" w:type="dxa"/>
                  <w:vMerge w:val="continue"/>
                  <w:tcBorders>
                    <w:left w:val="single" w:color="auto" w:sz="4" w:space="0"/>
                    <w:right w:val="single" w:color="auto" w:sz="4" w:space="0"/>
                  </w:tcBorders>
                  <w:noWrap w:val="0"/>
                  <w:vAlign w:val="center"/>
                </w:tcPr>
                <w:p w14:paraId="247B782C">
                  <w:pPr>
                    <w:pStyle w:val="139"/>
                    <w:rPr>
                      <w:color w:val="auto"/>
                    </w:rPr>
                  </w:pPr>
                </w:p>
              </w:tc>
              <w:tc>
                <w:tcPr>
                  <w:tcW w:w="1577" w:type="dxa"/>
                  <w:vMerge w:val="continue"/>
                  <w:tcBorders>
                    <w:left w:val="single" w:color="auto" w:sz="4" w:space="0"/>
                    <w:right w:val="single" w:color="auto" w:sz="4" w:space="0"/>
                  </w:tcBorders>
                  <w:noWrap w:val="0"/>
                  <w:vAlign w:val="center"/>
                </w:tcPr>
                <w:p w14:paraId="3F6CF9CD">
                  <w:pPr>
                    <w:pStyle w:val="139"/>
                    <w:rPr>
                      <w:rFonts w:eastAsia="宋体"/>
                      <w:color w:val="auto"/>
                    </w:rPr>
                  </w:pPr>
                </w:p>
              </w:tc>
              <w:tc>
                <w:tcPr>
                  <w:tcW w:w="3023" w:type="dxa"/>
                  <w:tcBorders>
                    <w:top w:val="single" w:color="auto" w:sz="4" w:space="0"/>
                    <w:left w:val="single" w:color="auto" w:sz="4" w:space="0"/>
                    <w:bottom w:val="single" w:color="auto" w:sz="4" w:space="0"/>
                    <w:right w:val="single" w:color="auto" w:sz="4" w:space="0"/>
                  </w:tcBorders>
                  <w:noWrap w:val="0"/>
                  <w:vAlign w:val="center"/>
                </w:tcPr>
                <w:p w14:paraId="044E7C21">
                  <w:pPr>
                    <w:pStyle w:val="139"/>
                    <w:rPr>
                      <w:rFonts w:hint="eastAsia" w:ascii="宋体" w:hAnsi="宋体" w:eastAsia="宋体"/>
                      <w:color w:val="auto"/>
                    </w:rPr>
                  </w:pPr>
                  <w:r>
                    <w:rPr>
                      <w:rFonts w:hint="eastAsia" w:ascii="宋体" w:hAnsi="宋体" w:eastAsia="宋体"/>
                      <w:color w:val="auto"/>
                    </w:rPr>
                    <w:t>臭气浓度</w:t>
                  </w:r>
                </w:p>
              </w:tc>
              <w:tc>
                <w:tcPr>
                  <w:tcW w:w="1168" w:type="dxa"/>
                  <w:tcBorders>
                    <w:top w:val="single" w:color="auto" w:sz="4" w:space="0"/>
                    <w:left w:val="single" w:color="auto" w:sz="4" w:space="0"/>
                    <w:right w:val="nil"/>
                  </w:tcBorders>
                  <w:noWrap w:val="0"/>
                  <w:vAlign w:val="center"/>
                </w:tcPr>
                <w:p w14:paraId="300039AE">
                  <w:pPr>
                    <w:pStyle w:val="139"/>
                    <w:rPr>
                      <w:color w:val="auto"/>
                    </w:rPr>
                  </w:pPr>
                  <w:r>
                    <w:rPr>
                      <w:color w:val="auto"/>
                    </w:rPr>
                    <w:t>1</w:t>
                  </w:r>
                  <w:r>
                    <w:rPr>
                      <w:rFonts w:hint="eastAsia" w:ascii="宋体" w:hAnsi="宋体" w:eastAsia="宋体"/>
                      <w:color w:val="auto"/>
                    </w:rPr>
                    <w:t>次</w:t>
                  </w:r>
                  <w:r>
                    <w:rPr>
                      <w:color w:val="auto"/>
                    </w:rPr>
                    <w:t>/</w:t>
                  </w:r>
                  <w:r>
                    <w:rPr>
                      <w:rFonts w:hint="eastAsia" w:eastAsia="宋体"/>
                      <w:color w:val="auto"/>
                    </w:rPr>
                    <w:t>年</w:t>
                  </w:r>
                </w:p>
              </w:tc>
            </w:tr>
            <w:tr w14:paraId="646B3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tcBorders>
                    <w:top w:val="single" w:color="auto" w:sz="4" w:space="0"/>
                    <w:left w:val="nil"/>
                    <w:bottom w:val="single" w:color="auto" w:sz="12" w:space="0"/>
                    <w:right w:val="single" w:color="auto" w:sz="4" w:space="0"/>
                  </w:tcBorders>
                  <w:noWrap w:val="0"/>
                  <w:vAlign w:val="center"/>
                </w:tcPr>
                <w:p w14:paraId="0A3B4F3F">
                  <w:pPr>
                    <w:pStyle w:val="139"/>
                    <w:rPr>
                      <w:color w:val="auto"/>
                    </w:rPr>
                  </w:pPr>
                  <w:r>
                    <w:rPr>
                      <w:rFonts w:hint="eastAsia" w:ascii="宋体" w:hAnsi="宋体" w:eastAsia="宋体"/>
                      <w:color w:val="auto"/>
                    </w:rPr>
                    <w:t>厂界噪声</w:t>
                  </w:r>
                </w:p>
              </w:tc>
              <w:tc>
                <w:tcPr>
                  <w:tcW w:w="1225" w:type="dxa"/>
                  <w:tcBorders>
                    <w:top w:val="single" w:color="auto" w:sz="4" w:space="0"/>
                    <w:left w:val="single" w:color="auto" w:sz="4" w:space="0"/>
                    <w:bottom w:val="single" w:color="auto" w:sz="12" w:space="0"/>
                    <w:right w:val="single" w:color="auto" w:sz="4" w:space="0"/>
                  </w:tcBorders>
                  <w:noWrap w:val="0"/>
                  <w:vAlign w:val="center"/>
                </w:tcPr>
                <w:p w14:paraId="6D0549DE">
                  <w:pPr>
                    <w:pStyle w:val="139"/>
                    <w:rPr>
                      <w:color w:val="auto"/>
                    </w:rPr>
                  </w:pPr>
                  <w:r>
                    <w:rPr>
                      <w:rFonts w:hint="eastAsia" w:ascii="宋体" w:hAnsi="宋体" w:eastAsia="宋体"/>
                      <w:color w:val="auto"/>
                    </w:rPr>
                    <w:t>营运期</w:t>
                  </w:r>
                </w:p>
              </w:tc>
              <w:tc>
                <w:tcPr>
                  <w:tcW w:w="1577" w:type="dxa"/>
                  <w:tcBorders>
                    <w:top w:val="single" w:color="auto" w:sz="4" w:space="0"/>
                    <w:left w:val="single" w:color="auto" w:sz="4" w:space="0"/>
                    <w:bottom w:val="single" w:color="auto" w:sz="12" w:space="0"/>
                    <w:right w:val="single" w:color="auto" w:sz="4" w:space="0"/>
                  </w:tcBorders>
                  <w:noWrap w:val="0"/>
                  <w:vAlign w:val="center"/>
                </w:tcPr>
                <w:p w14:paraId="25C285E0">
                  <w:pPr>
                    <w:pStyle w:val="139"/>
                    <w:rPr>
                      <w:color w:val="auto"/>
                    </w:rPr>
                  </w:pPr>
                  <w:r>
                    <w:rPr>
                      <w:rFonts w:hint="eastAsia" w:ascii="宋体" w:hAnsi="宋体" w:eastAsia="宋体"/>
                      <w:color w:val="auto"/>
                    </w:rPr>
                    <w:t>企业厂界</w:t>
                  </w:r>
                </w:p>
              </w:tc>
              <w:tc>
                <w:tcPr>
                  <w:tcW w:w="3023" w:type="dxa"/>
                  <w:tcBorders>
                    <w:top w:val="single" w:color="auto" w:sz="4" w:space="0"/>
                    <w:left w:val="single" w:color="auto" w:sz="4" w:space="0"/>
                    <w:bottom w:val="single" w:color="auto" w:sz="12" w:space="0"/>
                    <w:right w:val="single" w:color="auto" w:sz="4" w:space="0"/>
                  </w:tcBorders>
                  <w:noWrap w:val="0"/>
                  <w:vAlign w:val="center"/>
                </w:tcPr>
                <w:p w14:paraId="24057450">
                  <w:pPr>
                    <w:pStyle w:val="139"/>
                    <w:rPr>
                      <w:color w:val="auto"/>
                    </w:rPr>
                  </w:pPr>
                  <w:r>
                    <w:rPr>
                      <w:rFonts w:hint="eastAsia" w:ascii="宋体" w:hAnsi="宋体" w:eastAsia="宋体"/>
                      <w:color w:val="auto"/>
                    </w:rPr>
                    <w:t>昼、夜连续等效</w:t>
                  </w:r>
                  <w:r>
                    <w:rPr>
                      <w:color w:val="auto"/>
                    </w:rPr>
                    <w:t>A</w:t>
                  </w:r>
                  <w:r>
                    <w:rPr>
                      <w:rFonts w:hint="eastAsia" w:ascii="宋体" w:hAnsi="宋体" w:eastAsia="宋体"/>
                      <w:color w:val="auto"/>
                    </w:rPr>
                    <w:t>声级</w:t>
                  </w:r>
                </w:p>
              </w:tc>
              <w:tc>
                <w:tcPr>
                  <w:tcW w:w="1168" w:type="dxa"/>
                  <w:tcBorders>
                    <w:top w:val="single" w:color="auto" w:sz="4" w:space="0"/>
                    <w:left w:val="single" w:color="auto" w:sz="4" w:space="0"/>
                    <w:bottom w:val="single" w:color="auto" w:sz="12" w:space="0"/>
                    <w:right w:val="nil"/>
                  </w:tcBorders>
                  <w:noWrap w:val="0"/>
                  <w:vAlign w:val="center"/>
                </w:tcPr>
                <w:p w14:paraId="66E87981">
                  <w:pPr>
                    <w:pStyle w:val="139"/>
                    <w:rPr>
                      <w:color w:val="auto"/>
                    </w:rPr>
                  </w:pPr>
                  <w:r>
                    <w:rPr>
                      <w:color w:val="auto"/>
                    </w:rPr>
                    <w:t>1</w:t>
                  </w:r>
                  <w:r>
                    <w:rPr>
                      <w:rFonts w:hint="eastAsia" w:ascii="宋体" w:hAnsi="宋体" w:eastAsia="宋体"/>
                      <w:color w:val="auto"/>
                    </w:rPr>
                    <w:t>次</w:t>
                  </w:r>
                  <w:r>
                    <w:rPr>
                      <w:color w:val="auto"/>
                    </w:rPr>
                    <w:t>/</w:t>
                  </w:r>
                  <w:r>
                    <w:rPr>
                      <w:rFonts w:hint="eastAsia" w:ascii="宋体" w:hAnsi="宋体" w:eastAsia="宋体"/>
                      <w:color w:val="auto"/>
                    </w:rPr>
                    <w:t>季度</w:t>
                  </w:r>
                </w:p>
              </w:tc>
            </w:tr>
          </w:tbl>
          <w:p w14:paraId="4FF452E0">
            <w:pPr>
              <w:ind w:firstLine="480" w:firstLineChars="200"/>
              <w:rPr>
                <w:b/>
                <w:bCs/>
                <w:color w:val="auto"/>
              </w:rPr>
            </w:pPr>
            <w:r>
              <w:rPr>
                <w:rFonts w:hint="eastAsia" w:eastAsia="宋体"/>
                <w:color w:val="auto"/>
              </w:rPr>
              <w:t>监测任务由企业根据实际情况委托有相应资质的单位承担。</w:t>
            </w:r>
          </w:p>
          <w:p w14:paraId="05CB840B">
            <w:pPr>
              <w:ind w:firstLine="480" w:firstLineChars="200"/>
              <w:rPr>
                <w:b w:val="0"/>
                <w:bCs w:val="0"/>
                <w:color w:val="auto"/>
              </w:rPr>
            </w:pPr>
            <w:r>
              <w:rPr>
                <w:rFonts w:hint="eastAsia"/>
                <w:b w:val="0"/>
                <w:bCs w:val="0"/>
                <w:color w:val="auto"/>
                <w:lang w:val="zh-CN"/>
              </w:rPr>
              <w:t>（</w:t>
            </w:r>
            <w:r>
              <w:rPr>
                <w:rFonts w:hint="eastAsia"/>
                <w:b w:val="0"/>
                <w:bCs w:val="0"/>
                <w:color w:val="auto"/>
                <w:lang w:val="en-US" w:eastAsia="zh-CN"/>
              </w:rPr>
              <w:t>3</w:t>
            </w:r>
            <w:r>
              <w:rPr>
                <w:rFonts w:hint="eastAsia"/>
                <w:b w:val="0"/>
                <w:bCs w:val="0"/>
                <w:color w:val="auto"/>
                <w:lang w:val="zh-CN"/>
              </w:rPr>
              <w:t>）与排污许可制衔接</w:t>
            </w:r>
          </w:p>
          <w:p w14:paraId="335EBF05">
            <w:pPr>
              <w:pStyle w:val="5"/>
              <w:adjustRightInd w:val="0"/>
              <w:snapToGrid w:val="0"/>
              <w:ind w:firstLine="480"/>
              <w:rPr>
                <w:rFonts w:ascii="Times New Roman" w:hAnsi="Times New Roman"/>
                <w:color w:val="auto"/>
                <w:sz w:val="24"/>
                <w:szCs w:val="24"/>
              </w:rPr>
            </w:pPr>
            <w:r>
              <w:rPr>
                <w:rFonts w:hint="eastAsia" w:ascii="Times New Roman" w:hAnsi="Times New Roman"/>
                <w:color w:val="auto"/>
                <w:sz w:val="24"/>
                <w:szCs w:val="24"/>
              </w:rPr>
              <w:t>①建设单位按照《关于做好环境影响评价制度与排污许可制衔接相关工作的通知》（环办环评〔2017〕84 号）、</w:t>
            </w:r>
            <w:bookmarkStart w:id="93" w:name="OLE_LINK58"/>
            <w:r>
              <w:rPr>
                <w:rFonts w:hint="eastAsia" w:ascii="Times New Roman" w:hAnsi="Times New Roman"/>
                <w:color w:val="auto"/>
                <w:sz w:val="24"/>
                <w:szCs w:val="24"/>
              </w:rPr>
              <w:t>《固定污染源排污许可分类管理名录》（2019年版）要求</w:t>
            </w:r>
            <w:bookmarkEnd w:id="93"/>
            <w:r>
              <w:rPr>
                <w:rFonts w:hint="eastAsia" w:ascii="Times New Roman" w:hAnsi="Times New Roman"/>
                <w:color w:val="auto"/>
                <w:sz w:val="24"/>
                <w:szCs w:val="24"/>
              </w:rPr>
              <w:t>申请排污登记；</w:t>
            </w:r>
          </w:p>
          <w:p w14:paraId="4E077259">
            <w:pPr>
              <w:pStyle w:val="5"/>
              <w:adjustRightInd w:val="0"/>
              <w:snapToGrid w:val="0"/>
              <w:ind w:firstLine="480"/>
              <w:rPr>
                <w:rFonts w:ascii="Times New Roman" w:hAnsi="Times New Roman"/>
                <w:color w:val="auto"/>
                <w:sz w:val="24"/>
                <w:szCs w:val="24"/>
              </w:rPr>
            </w:pPr>
            <w:r>
              <w:rPr>
                <w:rFonts w:hint="eastAsia" w:ascii="Times New Roman" w:hAnsi="Times New Roman"/>
                <w:color w:val="auto"/>
                <w:sz w:val="24"/>
                <w:szCs w:val="24"/>
              </w:rPr>
              <w:t>②建设项目实际排污行为发生变化，应当按照国家环境保护相关法律法规以及排污许可证申请与核发技术规范要求申请排污登记，不得无证排污或不按证排污。</w:t>
            </w:r>
          </w:p>
          <w:p w14:paraId="414A3CC6">
            <w:pPr>
              <w:pStyle w:val="5"/>
              <w:adjustRightInd w:val="0"/>
              <w:snapToGrid w:val="0"/>
              <w:ind w:firstLine="480"/>
              <w:rPr>
                <w:rFonts w:ascii="Times New Roman" w:hAnsi="Times New Roman"/>
                <w:color w:val="auto"/>
                <w:sz w:val="24"/>
                <w:szCs w:val="24"/>
              </w:rPr>
            </w:pPr>
          </w:p>
          <w:p w14:paraId="3BC0406C">
            <w:pPr>
              <w:pStyle w:val="5"/>
              <w:adjustRightInd w:val="0"/>
              <w:snapToGrid w:val="0"/>
              <w:ind w:firstLine="480"/>
              <w:rPr>
                <w:rFonts w:ascii="Times New Roman" w:hAnsi="Times New Roman"/>
                <w:color w:val="auto"/>
                <w:sz w:val="24"/>
                <w:szCs w:val="24"/>
              </w:rPr>
            </w:pPr>
          </w:p>
          <w:p w14:paraId="6523C5A5">
            <w:pPr>
              <w:pStyle w:val="5"/>
              <w:adjustRightInd w:val="0"/>
              <w:snapToGrid w:val="0"/>
              <w:ind w:firstLine="480"/>
              <w:rPr>
                <w:rFonts w:ascii="Times New Roman" w:hAnsi="Times New Roman"/>
                <w:color w:val="auto"/>
                <w:sz w:val="24"/>
                <w:szCs w:val="24"/>
              </w:rPr>
            </w:pPr>
          </w:p>
          <w:p w14:paraId="0B77D2CF">
            <w:pPr>
              <w:pStyle w:val="5"/>
              <w:adjustRightInd w:val="0"/>
              <w:snapToGrid w:val="0"/>
              <w:ind w:firstLine="480"/>
              <w:rPr>
                <w:rFonts w:ascii="Times New Roman" w:hAnsi="Times New Roman"/>
                <w:color w:val="auto"/>
                <w:sz w:val="24"/>
                <w:szCs w:val="24"/>
              </w:rPr>
            </w:pPr>
          </w:p>
          <w:p w14:paraId="06C7E51A">
            <w:pPr>
              <w:pStyle w:val="5"/>
              <w:adjustRightInd w:val="0"/>
              <w:snapToGrid w:val="0"/>
              <w:ind w:firstLine="480"/>
              <w:rPr>
                <w:rFonts w:ascii="Times New Roman" w:hAnsi="Times New Roman"/>
                <w:color w:val="auto"/>
                <w:sz w:val="24"/>
                <w:szCs w:val="24"/>
              </w:rPr>
            </w:pPr>
          </w:p>
          <w:p w14:paraId="1C8C34A0">
            <w:pPr>
              <w:rPr>
                <w:rFonts w:ascii="Times New Roman" w:hAnsi="Times New Roman"/>
                <w:color w:val="auto"/>
                <w:sz w:val="24"/>
                <w:szCs w:val="24"/>
              </w:rPr>
            </w:pPr>
          </w:p>
          <w:p w14:paraId="011F156C">
            <w:pPr>
              <w:rPr>
                <w:rFonts w:ascii="Times New Roman" w:hAnsi="Times New Roman"/>
                <w:color w:val="auto"/>
                <w:sz w:val="24"/>
                <w:szCs w:val="24"/>
              </w:rPr>
            </w:pPr>
          </w:p>
          <w:p w14:paraId="7DCFB41A">
            <w:pPr>
              <w:rPr>
                <w:rFonts w:ascii="Times New Roman" w:hAnsi="Times New Roman"/>
                <w:color w:val="auto"/>
                <w:sz w:val="24"/>
                <w:szCs w:val="24"/>
              </w:rPr>
            </w:pPr>
          </w:p>
          <w:p w14:paraId="74C3C260">
            <w:pPr>
              <w:rPr>
                <w:rFonts w:ascii="Times New Roman" w:hAnsi="Times New Roman"/>
                <w:color w:val="auto"/>
                <w:sz w:val="24"/>
                <w:szCs w:val="24"/>
              </w:rPr>
            </w:pPr>
          </w:p>
          <w:p w14:paraId="14166BC2">
            <w:pPr>
              <w:rPr>
                <w:rFonts w:ascii="Times New Roman" w:hAnsi="Times New Roman"/>
                <w:color w:val="auto"/>
                <w:sz w:val="24"/>
                <w:szCs w:val="24"/>
              </w:rPr>
            </w:pPr>
          </w:p>
          <w:p w14:paraId="3CEB7479">
            <w:pPr>
              <w:rPr>
                <w:rFonts w:ascii="Times New Roman" w:hAnsi="Times New Roman"/>
                <w:color w:val="auto"/>
                <w:sz w:val="24"/>
                <w:szCs w:val="24"/>
              </w:rPr>
            </w:pPr>
          </w:p>
          <w:p w14:paraId="68190C8D">
            <w:pPr>
              <w:rPr>
                <w:rFonts w:ascii="Times New Roman" w:hAnsi="Times New Roman"/>
                <w:color w:val="auto"/>
                <w:sz w:val="24"/>
                <w:szCs w:val="24"/>
              </w:rPr>
            </w:pPr>
          </w:p>
          <w:p w14:paraId="643A3008">
            <w:pPr>
              <w:rPr>
                <w:rFonts w:ascii="Times New Roman" w:hAnsi="Times New Roman"/>
                <w:color w:val="auto"/>
                <w:sz w:val="24"/>
                <w:szCs w:val="24"/>
              </w:rPr>
            </w:pPr>
          </w:p>
          <w:p w14:paraId="198496DF">
            <w:pPr>
              <w:rPr>
                <w:rFonts w:ascii="Times New Roman" w:hAnsi="Times New Roman"/>
                <w:color w:val="auto"/>
                <w:sz w:val="24"/>
                <w:szCs w:val="24"/>
              </w:rPr>
            </w:pPr>
          </w:p>
          <w:p w14:paraId="6B2851C0">
            <w:pPr>
              <w:rPr>
                <w:rFonts w:ascii="Times New Roman" w:hAnsi="Times New Roman"/>
                <w:color w:val="auto"/>
                <w:sz w:val="24"/>
                <w:szCs w:val="24"/>
              </w:rPr>
            </w:pPr>
          </w:p>
          <w:p w14:paraId="4094AE11">
            <w:pPr>
              <w:rPr>
                <w:rFonts w:ascii="Times New Roman" w:hAnsi="Times New Roman"/>
                <w:color w:val="auto"/>
                <w:sz w:val="24"/>
                <w:szCs w:val="24"/>
              </w:rPr>
            </w:pPr>
          </w:p>
          <w:p w14:paraId="542AB096">
            <w:pPr>
              <w:rPr>
                <w:rFonts w:ascii="Times New Roman" w:hAnsi="Times New Roman"/>
                <w:color w:val="auto"/>
                <w:sz w:val="24"/>
                <w:szCs w:val="24"/>
              </w:rPr>
            </w:pPr>
          </w:p>
          <w:p w14:paraId="2D62CA37">
            <w:pPr>
              <w:rPr>
                <w:rFonts w:ascii="Times New Roman" w:hAnsi="Times New Roman"/>
                <w:color w:val="auto"/>
                <w:sz w:val="24"/>
                <w:szCs w:val="24"/>
              </w:rPr>
            </w:pPr>
          </w:p>
          <w:p w14:paraId="2F7CECF0">
            <w:pPr>
              <w:rPr>
                <w:rFonts w:ascii="Times New Roman" w:hAnsi="Times New Roman"/>
                <w:color w:val="auto"/>
                <w:sz w:val="24"/>
                <w:szCs w:val="24"/>
              </w:rPr>
            </w:pPr>
          </w:p>
          <w:p w14:paraId="5C3934F6">
            <w:pPr>
              <w:rPr>
                <w:rFonts w:ascii="Times New Roman" w:hAnsi="Times New Roman"/>
                <w:color w:val="auto"/>
                <w:sz w:val="24"/>
                <w:szCs w:val="24"/>
              </w:rPr>
            </w:pPr>
          </w:p>
          <w:p w14:paraId="2A0C7EBE">
            <w:pPr>
              <w:rPr>
                <w:rFonts w:ascii="Times New Roman" w:hAnsi="Times New Roman"/>
                <w:color w:val="auto"/>
                <w:sz w:val="24"/>
                <w:szCs w:val="24"/>
              </w:rPr>
            </w:pPr>
          </w:p>
          <w:p w14:paraId="4334EECC">
            <w:pPr>
              <w:rPr>
                <w:rFonts w:ascii="Times New Roman" w:hAnsi="Times New Roman"/>
                <w:color w:val="auto"/>
                <w:sz w:val="24"/>
                <w:szCs w:val="24"/>
              </w:rPr>
            </w:pPr>
          </w:p>
          <w:p w14:paraId="5B2C69BA">
            <w:pPr>
              <w:pStyle w:val="5"/>
              <w:adjustRightInd w:val="0"/>
              <w:snapToGrid w:val="0"/>
              <w:ind w:firstLine="480"/>
              <w:rPr>
                <w:rFonts w:ascii="Times New Roman" w:hAnsi="Times New Roman"/>
                <w:color w:val="auto"/>
                <w:sz w:val="24"/>
                <w:szCs w:val="24"/>
              </w:rPr>
            </w:pPr>
          </w:p>
        </w:tc>
      </w:tr>
    </w:tbl>
    <w:p w14:paraId="666F6D05">
      <w:pPr>
        <w:rPr>
          <w:color w:val="auto"/>
        </w:rPr>
      </w:pPr>
      <w:r>
        <w:rPr>
          <w:color w:val="auto"/>
        </w:rPr>
        <w:br w:type="page"/>
      </w:r>
    </w:p>
    <w:p w14:paraId="1DD43197">
      <w:pPr>
        <w:pStyle w:val="21"/>
        <w:spacing w:line="240" w:lineRule="auto"/>
        <w:rPr>
          <w:color w:val="auto"/>
        </w:rPr>
      </w:pPr>
      <w:r>
        <w:rPr>
          <w:snapToGrid w:val="0"/>
          <w:color w:val="auto"/>
        </w:rPr>
        <w:t>五、</w:t>
      </w:r>
      <w:bookmarkStart w:id="94" w:name="_Hlk54167917"/>
      <w:r>
        <w:rPr>
          <w:snapToGrid w:val="0"/>
          <w:color w:val="auto"/>
        </w:rPr>
        <w:t>环境保护措施监督检查清单</w:t>
      </w:r>
      <w:bookmarkEnd w:id="88"/>
      <w:bookmarkEnd w:id="94"/>
    </w:p>
    <w:tbl>
      <w:tblPr>
        <w:tblStyle w:val="2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025"/>
        <w:gridCol w:w="1565"/>
        <w:gridCol w:w="2345"/>
        <w:gridCol w:w="2756"/>
      </w:tblGrid>
      <w:tr w14:paraId="780D1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tcBorders>
              <w:tl2br w:val="single" w:color="auto" w:sz="4" w:space="0"/>
            </w:tcBorders>
            <w:vAlign w:val="center"/>
          </w:tcPr>
          <w:p w14:paraId="46491266">
            <w:pPr>
              <w:adjustRightInd w:val="0"/>
              <w:snapToGrid w:val="0"/>
              <w:spacing w:line="240" w:lineRule="auto"/>
              <w:ind w:firstLine="210" w:firstLineChars="100"/>
              <w:rPr>
                <w:color w:val="auto"/>
                <w:sz w:val="21"/>
                <w:szCs w:val="21"/>
              </w:rPr>
            </w:pPr>
            <w:r>
              <w:rPr>
                <w:color w:val="auto"/>
                <w:sz w:val="21"/>
                <w:szCs w:val="21"/>
              </w:rPr>
              <w:t>内要容素</w:t>
            </w:r>
          </w:p>
        </w:tc>
        <w:tc>
          <w:tcPr>
            <w:tcW w:w="1025" w:type="dxa"/>
            <w:vAlign w:val="center"/>
          </w:tcPr>
          <w:p w14:paraId="5E57A36A">
            <w:pPr>
              <w:adjustRightInd w:val="0"/>
              <w:snapToGrid w:val="0"/>
              <w:spacing w:line="240" w:lineRule="auto"/>
              <w:jc w:val="center"/>
              <w:rPr>
                <w:color w:val="auto"/>
                <w:sz w:val="21"/>
                <w:szCs w:val="21"/>
              </w:rPr>
            </w:pPr>
            <w:r>
              <w:rPr>
                <w:color w:val="auto"/>
                <w:sz w:val="21"/>
                <w:szCs w:val="21"/>
              </w:rPr>
              <w:t>排放口（编号、名称）/污染源</w:t>
            </w:r>
          </w:p>
        </w:tc>
        <w:tc>
          <w:tcPr>
            <w:tcW w:w="1565" w:type="dxa"/>
            <w:vAlign w:val="center"/>
          </w:tcPr>
          <w:p w14:paraId="0FE8C9F1">
            <w:pPr>
              <w:adjustRightInd w:val="0"/>
              <w:snapToGrid w:val="0"/>
              <w:spacing w:line="240" w:lineRule="auto"/>
              <w:jc w:val="center"/>
              <w:rPr>
                <w:color w:val="auto"/>
                <w:sz w:val="21"/>
                <w:szCs w:val="21"/>
              </w:rPr>
            </w:pPr>
            <w:r>
              <w:rPr>
                <w:color w:val="auto"/>
                <w:sz w:val="21"/>
                <w:szCs w:val="21"/>
              </w:rPr>
              <w:t>污染物</w:t>
            </w:r>
          </w:p>
          <w:p w14:paraId="2E6923E1">
            <w:pPr>
              <w:adjustRightInd w:val="0"/>
              <w:snapToGrid w:val="0"/>
              <w:spacing w:line="240" w:lineRule="auto"/>
              <w:jc w:val="center"/>
              <w:rPr>
                <w:color w:val="auto"/>
                <w:sz w:val="21"/>
                <w:szCs w:val="21"/>
              </w:rPr>
            </w:pPr>
            <w:r>
              <w:rPr>
                <w:color w:val="auto"/>
                <w:sz w:val="21"/>
                <w:szCs w:val="21"/>
              </w:rPr>
              <w:t>项目</w:t>
            </w:r>
          </w:p>
        </w:tc>
        <w:tc>
          <w:tcPr>
            <w:tcW w:w="2345" w:type="dxa"/>
            <w:vAlign w:val="center"/>
          </w:tcPr>
          <w:p w14:paraId="2592359B">
            <w:pPr>
              <w:adjustRightInd w:val="0"/>
              <w:snapToGrid w:val="0"/>
              <w:spacing w:line="240" w:lineRule="auto"/>
              <w:jc w:val="center"/>
              <w:rPr>
                <w:color w:val="auto"/>
                <w:sz w:val="21"/>
                <w:szCs w:val="21"/>
              </w:rPr>
            </w:pPr>
            <w:r>
              <w:rPr>
                <w:color w:val="auto"/>
                <w:sz w:val="21"/>
                <w:szCs w:val="21"/>
              </w:rPr>
              <w:t>环境保护措施</w:t>
            </w:r>
          </w:p>
        </w:tc>
        <w:tc>
          <w:tcPr>
            <w:tcW w:w="2756" w:type="dxa"/>
            <w:vAlign w:val="center"/>
          </w:tcPr>
          <w:p w14:paraId="723CE7E5">
            <w:pPr>
              <w:adjustRightInd w:val="0"/>
              <w:snapToGrid w:val="0"/>
              <w:spacing w:line="240" w:lineRule="auto"/>
              <w:jc w:val="center"/>
              <w:rPr>
                <w:color w:val="auto"/>
                <w:sz w:val="21"/>
                <w:szCs w:val="21"/>
              </w:rPr>
            </w:pPr>
            <w:r>
              <w:rPr>
                <w:color w:val="auto"/>
                <w:sz w:val="21"/>
                <w:szCs w:val="21"/>
              </w:rPr>
              <w:t>执行标准</w:t>
            </w:r>
          </w:p>
        </w:tc>
      </w:tr>
      <w:tr w14:paraId="1BDA1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69" w:type="dxa"/>
            <w:vMerge w:val="restart"/>
            <w:vAlign w:val="center"/>
          </w:tcPr>
          <w:p w14:paraId="3735FDFC">
            <w:pPr>
              <w:adjustRightInd w:val="0"/>
              <w:snapToGrid w:val="0"/>
              <w:spacing w:line="240" w:lineRule="auto"/>
              <w:jc w:val="center"/>
              <w:rPr>
                <w:color w:val="auto"/>
                <w:sz w:val="21"/>
                <w:szCs w:val="21"/>
              </w:rPr>
            </w:pPr>
            <w:r>
              <w:rPr>
                <w:color w:val="auto"/>
                <w:sz w:val="21"/>
                <w:szCs w:val="21"/>
              </w:rPr>
              <w:t>大气</w:t>
            </w:r>
          </w:p>
          <w:p w14:paraId="1691D817">
            <w:pPr>
              <w:adjustRightInd w:val="0"/>
              <w:snapToGrid w:val="0"/>
              <w:spacing w:line="240" w:lineRule="auto"/>
              <w:jc w:val="center"/>
              <w:rPr>
                <w:color w:val="auto"/>
                <w:sz w:val="21"/>
                <w:szCs w:val="21"/>
              </w:rPr>
            </w:pPr>
            <w:r>
              <w:rPr>
                <w:color w:val="auto"/>
                <w:sz w:val="21"/>
                <w:szCs w:val="21"/>
              </w:rPr>
              <w:t>环境</w:t>
            </w:r>
          </w:p>
        </w:tc>
        <w:tc>
          <w:tcPr>
            <w:tcW w:w="1025" w:type="dxa"/>
            <w:vAlign w:val="center"/>
          </w:tcPr>
          <w:p w14:paraId="02CB887C">
            <w:pPr>
              <w:pStyle w:val="111"/>
              <w:adjustRightInd w:val="0"/>
              <w:snapToGrid w:val="0"/>
              <w:spacing w:line="240" w:lineRule="auto"/>
              <w:rPr>
                <w:color w:val="auto"/>
                <w:szCs w:val="21"/>
              </w:rPr>
            </w:pPr>
            <w:r>
              <w:rPr>
                <w:rFonts w:hint="eastAsia"/>
                <w:color w:val="auto"/>
                <w:szCs w:val="21"/>
              </w:rPr>
              <w:t>D</w:t>
            </w:r>
            <w:r>
              <w:rPr>
                <w:color w:val="auto"/>
                <w:szCs w:val="21"/>
              </w:rPr>
              <w:t>A001</w:t>
            </w:r>
          </w:p>
        </w:tc>
        <w:tc>
          <w:tcPr>
            <w:tcW w:w="1565" w:type="dxa"/>
            <w:tcMar>
              <w:top w:w="0" w:type="dxa"/>
              <w:left w:w="0" w:type="dxa"/>
              <w:bottom w:w="0" w:type="dxa"/>
              <w:right w:w="0" w:type="dxa"/>
            </w:tcMar>
            <w:vAlign w:val="center"/>
          </w:tcPr>
          <w:p w14:paraId="51DD74AE">
            <w:pPr>
              <w:adjustRightInd w:val="0"/>
              <w:snapToGrid w:val="0"/>
              <w:spacing w:line="240" w:lineRule="auto"/>
              <w:jc w:val="center"/>
              <w:rPr>
                <w:color w:val="auto"/>
                <w:sz w:val="21"/>
                <w:szCs w:val="21"/>
              </w:rPr>
            </w:pPr>
            <w:r>
              <w:rPr>
                <w:rFonts w:hint="eastAsia"/>
                <w:color w:val="auto"/>
                <w:sz w:val="21"/>
                <w:szCs w:val="21"/>
              </w:rPr>
              <w:t>非甲烷总烃</w:t>
            </w:r>
          </w:p>
        </w:tc>
        <w:tc>
          <w:tcPr>
            <w:tcW w:w="2345" w:type="dxa"/>
            <w:tcMar>
              <w:top w:w="0" w:type="dxa"/>
              <w:left w:w="0" w:type="dxa"/>
              <w:bottom w:w="0" w:type="dxa"/>
              <w:right w:w="0" w:type="dxa"/>
            </w:tcMar>
            <w:vAlign w:val="center"/>
          </w:tcPr>
          <w:p w14:paraId="12BEBD7B">
            <w:pPr>
              <w:adjustRightInd w:val="0"/>
              <w:snapToGrid w:val="0"/>
              <w:spacing w:line="240" w:lineRule="auto"/>
              <w:jc w:val="center"/>
              <w:rPr>
                <w:color w:val="auto"/>
                <w:sz w:val="21"/>
                <w:szCs w:val="21"/>
              </w:rPr>
            </w:pPr>
            <w:r>
              <w:rPr>
                <w:rFonts w:hint="eastAsia"/>
                <w:color w:val="auto"/>
                <w:sz w:val="21"/>
                <w:szCs w:val="21"/>
              </w:rPr>
              <w:t>二级活性炭</w:t>
            </w:r>
          </w:p>
        </w:tc>
        <w:tc>
          <w:tcPr>
            <w:tcW w:w="2756" w:type="dxa"/>
            <w:vAlign w:val="center"/>
          </w:tcPr>
          <w:p w14:paraId="392FD3CD">
            <w:pPr>
              <w:adjustRightInd w:val="0"/>
              <w:snapToGrid w:val="0"/>
              <w:spacing w:line="240" w:lineRule="auto"/>
              <w:jc w:val="center"/>
              <w:rPr>
                <w:color w:val="auto"/>
                <w:sz w:val="21"/>
                <w:szCs w:val="21"/>
              </w:rPr>
            </w:pPr>
            <w:r>
              <w:rPr>
                <w:color w:val="auto"/>
                <w:sz w:val="21"/>
                <w:szCs w:val="21"/>
              </w:rPr>
              <w:t>《合成树脂工业污染物排放标准》(GB31572-2015)</w:t>
            </w:r>
            <w:r>
              <w:rPr>
                <w:rFonts w:hint="eastAsia"/>
                <w:color w:val="auto"/>
                <w:sz w:val="21"/>
                <w:szCs w:val="21"/>
              </w:rPr>
              <w:t>（含2024修改单）表4</w:t>
            </w:r>
          </w:p>
        </w:tc>
      </w:tr>
      <w:tr w14:paraId="7055C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Merge w:val="continue"/>
            <w:vAlign w:val="center"/>
          </w:tcPr>
          <w:p w14:paraId="53EB37E9">
            <w:pPr>
              <w:pStyle w:val="5"/>
              <w:ind w:firstLine="0" w:firstLineChars="0"/>
              <w:rPr>
                <w:rFonts w:ascii="Times New Roman" w:hAnsi="Times New Roman"/>
                <w:color w:val="auto"/>
                <w:szCs w:val="21"/>
              </w:rPr>
            </w:pPr>
          </w:p>
        </w:tc>
        <w:tc>
          <w:tcPr>
            <w:tcW w:w="1025" w:type="dxa"/>
            <w:vAlign w:val="center"/>
          </w:tcPr>
          <w:p w14:paraId="44827368">
            <w:pPr>
              <w:pStyle w:val="111"/>
              <w:adjustRightInd w:val="0"/>
              <w:snapToGrid w:val="0"/>
              <w:spacing w:line="240" w:lineRule="auto"/>
              <w:rPr>
                <w:color w:val="auto"/>
                <w:szCs w:val="21"/>
              </w:rPr>
            </w:pPr>
            <w:r>
              <w:rPr>
                <w:rFonts w:hint="eastAsia"/>
                <w:color w:val="auto"/>
                <w:szCs w:val="21"/>
              </w:rPr>
              <w:t>厂区无组织面源</w:t>
            </w:r>
          </w:p>
        </w:tc>
        <w:tc>
          <w:tcPr>
            <w:tcW w:w="1565" w:type="dxa"/>
            <w:tcMar>
              <w:top w:w="0" w:type="dxa"/>
              <w:left w:w="0" w:type="dxa"/>
              <w:bottom w:w="0" w:type="dxa"/>
              <w:right w:w="0" w:type="dxa"/>
            </w:tcMar>
            <w:vAlign w:val="center"/>
          </w:tcPr>
          <w:p w14:paraId="6449D7D4">
            <w:pPr>
              <w:adjustRightInd w:val="0"/>
              <w:snapToGrid w:val="0"/>
              <w:spacing w:line="240" w:lineRule="auto"/>
              <w:jc w:val="center"/>
              <w:rPr>
                <w:rFonts w:hint="eastAsia" w:eastAsia="宋体"/>
                <w:color w:val="auto"/>
                <w:sz w:val="21"/>
                <w:szCs w:val="21"/>
                <w:lang w:eastAsia="zh-CN"/>
              </w:rPr>
            </w:pPr>
            <w:r>
              <w:rPr>
                <w:rFonts w:hint="eastAsia"/>
                <w:color w:val="auto"/>
                <w:sz w:val="21"/>
                <w:szCs w:val="21"/>
              </w:rPr>
              <w:t>非甲烷总烃</w:t>
            </w:r>
            <w:r>
              <w:rPr>
                <w:rFonts w:hint="eastAsia"/>
                <w:color w:val="auto"/>
                <w:sz w:val="21"/>
                <w:szCs w:val="21"/>
                <w:lang w:eastAsia="zh-CN"/>
              </w:rPr>
              <w:t>、臭气浓度</w:t>
            </w:r>
          </w:p>
        </w:tc>
        <w:tc>
          <w:tcPr>
            <w:tcW w:w="2345" w:type="dxa"/>
            <w:tcMar>
              <w:top w:w="0" w:type="dxa"/>
              <w:left w:w="0" w:type="dxa"/>
              <w:bottom w:w="0" w:type="dxa"/>
              <w:right w:w="0" w:type="dxa"/>
            </w:tcMar>
            <w:vAlign w:val="center"/>
          </w:tcPr>
          <w:p w14:paraId="3F32F91E">
            <w:pPr>
              <w:adjustRightInd w:val="0"/>
              <w:snapToGrid w:val="0"/>
              <w:spacing w:line="240" w:lineRule="auto"/>
              <w:jc w:val="center"/>
              <w:rPr>
                <w:color w:val="auto"/>
                <w:sz w:val="21"/>
                <w:szCs w:val="21"/>
              </w:rPr>
            </w:pPr>
            <w:r>
              <w:rPr>
                <w:rFonts w:hint="eastAsia"/>
                <w:color w:val="auto"/>
                <w:sz w:val="21"/>
                <w:szCs w:val="21"/>
              </w:rPr>
              <w:t>提高收集率</w:t>
            </w:r>
          </w:p>
        </w:tc>
        <w:tc>
          <w:tcPr>
            <w:tcW w:w="2756" w:type="dxa"/>
            <w:vAlign w:val="center"/>
          </w:tcPr>
          <w:p w14:paraId="0516A973">
            <w:pPr>
              <w:adjustRightInd w:val="0"/>
              <w:snapToGrid w:val="0"/>
              <w:spacing w:line="240" w:lineRule="auto"/>
              <w:jc w:val="center"/>
              <w:rPr>
                <w:color w:val="auto"/>
                <w:sz w:val="21"/>
                <w:szCs w:val="21"/>
              </w:rPr>
            </w:pPr>
            <w:r>
              <w:rPr>
                <w:rFonts w:hint="eastAsia"/>
                <w:color w:val="auto"/>
                <w:sz w:val="21"/>
                <w:szCs w:val="21"/>
              </w:rPr>
              <w:t>《合成树脂工业污染物排放标准》(GB31572-2015)（含2024修改单）表9</w:t>
            </w:r>
          </w:p>
        </w:tc>
      </w:tr>
      <w:tr w14:paraId="62669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41088C66">
            <w:pPr>
              <w:pStyle w:val="111"/>
              <w:adjustRightInd w:val="0"/>
              <w:snapToGrid w:val="0"/>
              <w:rPr>
                <w:color w:val="auto"/>
                <w:szCs w:val="21"/>
              </w:rPr>
            </w:pPr>
            <w:r>
              <w:rPr>
                <w:color w:val="auto"/>
                <w:szCs w:val="21"/>
              </w:rPr>
              <w:t>地表水环境</w:t>
            </w:r>
          </w:p>
        </w:tc>
        <w:tc>
          <w:tcPr>
            <w:tcW w:w="1025" w:type="dxa"/>
            <w:vAlign w:val="center"/>
          </w:tcPr>
          <w:p w14:paraId="56804693">
            <w:pPr>
              <w:pStyle w:val="111"/>
              <w:adjustRightInd w:val="0"/>
              <w:snapToGrid w:val="0"/>
              <w:spacing w:line="240" w:lineRule="auto"/>
              <w:rPr>
                <w:color w:val="auto"/>
                <w:szCs w:val="21"/>
              </w:rPr>
            </w:pPr>
            <w:r>
              <w:rPr>
                <w:rFonts w:hint="eastAsia"/>
                <w:color w:val="auto"/>
                <w:szCs w:val="21"/>
              </w:rPr>
              <w:t>胜过污水</w:t>
            </w:r>
          </w:p>
        </w:tc>
        <w:tc>
          <w:tcPr>
            <w:tcW w:w="1565" w:type="dxa"/>
            <w:vAlign w:val="center"/>
          </w:tcPr>
          <w:p w14:paraId="6780DFA7">
            <w:pPr>
              <w:pStyle w:val="111"/>
              <w:adjustRightInd w:val="0"/>
              <w:snapToGrid w:val="0"/>
              <w:spacing w:line="240" w:lineRule="auto"/>
              <w:rPr>
                <w:color w:val="auto"/>
                <w:szCs w:val="21"/>
              </w:rPr>
            </w:pP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w:t>
            </w:r>
            <w:r>
              <w:rPr>
                <w:rFonts w:hint="eastAsia"/>
                <w:color w:val="auto"/>
                <w:szCs w:val="21"/>
              </w:rPr>
              <w:t>、T</w:t>
            </w:r>
            <w:r>
              <w:rPr>
                <w:color w:val="auto"/>
                <w:szCs w:val="21"/>
              </w:rPr>
              <w:t>P</w:t>
            </w:r>
          </w:p>
        </w:tc>
        <w:tc>
          <w:tcPr>
            <w:tcW w:w="2345" w:type="dxa"/>
            <w:vAlign w:val="center"/>
          </w:tcPr>
          <w:p w14:paraId="40B62B95">
            <w:pPr>
              <w:pStyle w:val="111"/>
              <w:adjustRightInd w:val="0"/>
              <w:snapToGrid w:val="0"/>
              <w:spacing w:line="240" w:lineRule="auto"/>
              <w:rPr>
                <w:color w:val="auto"/>
                <w:szCs w:val="21"/>
              </w:rPr>
            </w:pPr>
            <w:r>
              <w:rPr>
                <w:rFonts w:hint="eastAsia"/>
                <w:color w:val="auto"/>
                <w:szCs w:val="21"/>
              </w:rPr>
              <w:t>生活污水经化粪池处理后排入园区污水管网，最后输送至大榄坪污水处理厂进一步处理</w:t>
            </w:r>
          </w:p>
        </w:tc>
        <w:tc>
          <w:tcPr>
            <w:tcW w:w="2756" w:type="dxa"/>
            <w:vAlign w:val="center"/>
          </w:tcPr>
          <w:p w14:paraId="46CE588F">
            <w:pPr>
              <w:pStyle w:val="111"/>
              <w:adjustRightInd w:val="0"/>
              <w:snapToGrid w:val="0"/>
              <w:spacing w:line="240" w:lineRule="auto"/>
              <w:jc w:val="left"/>
              <w:rPr>
                <w:color w:val="auto"/>
                <w:szCs w:val="21"/>
              </w:rPr>
            </w:pPr>
            <w:r>
              <w:rPr>
                <w:rFonts w:hint="eastAsia"/>
                <w:color w:val="auto"/>
                <w:szCs w:val="21"/>
              </w:rPr>
              <w:t>满足大榄坪污水处理厂纳管标准和《污水综合排放标准》（GB 8978-1996）表4中的三级标准，两者取严</w:t>
            </w:r>
          </w:p>
        </w:tc>
      </w:tr>
      <w:tr w14:paraId="3BFDE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7C2C5535">
            <w:pPr>
              <w:adjustRightInd w:val="0"/>
              <w:snapToGrid w:val="0"/>
              <w:spacing w:line="240" w:lineRule="auto"/>
              <w:jc w:val="center"/>
              <w:rPr>
                <w:color w:val="auto"/>
                <w:sz w:val="21"/>
                <w:szCs w:val="21"/>
              </w:rPr>
            </w:pPr>
            <w:r>
              <w:rPr>
                <w:color w:val="auto"/>
                <w:sz w:val="21"/>
                <w:szCs w:val="21"/>
              </w:rPr>
              <w:t>声环境</w:t>
            </w:r>
          </w:p>
        </w:tc>
        <w:tc>
          <w:tcPr>
            <w:tcW w:w="1025" w:type="dxa"/>
            <w:vAlign w:val="center"/>
          </w:tcPr>
          <w:p w14:paraId="4685EB7F">
            <w:pPr>
              <w:pStyle w:val="111"/>
              <w:adjustRightInd w:val="0"/>
              <w:snapToGrid w:val="0"/>
              <w:spacing w:line="240" w:lineRule="auto"/>
              <w:rPr>
                <w:color w:val="auto"/>
                <w:szCs w:val="21"/>
              </w:rPr>
            </w:pPr>
            <w:r>
              <w:rPr>
                <w:color w:val="auto"/>
                <w:szCs w:val="21"/>
              </w:rPr>
              <w:t>生产设备</w:t>
            </w:r>
          </w:p>
        </w:tc>
        <w:tc>
          <w:tcPr>
            <w:tcW w:w="1565" w:type="dxa"/>
            <w:vAlign w:val="center"/>
          </w:tcPr>
          <w:p w14:paraId="600106C6">
            <w:pPr>
              <w:pStyle w:val="111"/>
              <w:adjustRightInd w:val="0"/>
              <w:snapToGrid w:val="0"/>
              <w:spacing w:line="240" w:lineRule="auto"/>
              <w:rPr>
                <w:color w:val="auto"/>
                <w:szCs w:val="21"/>
              </w:rPr>
            </w:pPr>
            <w:r>
              <w:rPr>
                <w:color w:val="auto"/>
                <w:szCs w:val="21"/>
              </w:rPr>
              <w:t>噪声</w:t>
            </w:r>
          </w:p>
        </w:tc>
        <w:tc>
          <w:tcPr>
            <w:tcW w:w="2345" w:type="dxa"/>
            <w:vAlign w:val="center"/>
          </w:tcPr>
          <w:p w14:paraId="44F39410">
            <w:pPr>
              <w:pStyle w:val="111"/>
              <w:adjustRightInd w:val="0"/>
              <w:snapToGrid w:val="0"/>
              <w:spacing w:line="240" w:lineRule="auto"/>
              <w:rPr>
                <w:color w:val="auto"/>
                <w:szCs w:val="21"/>
              </w:rPr>
            </w:pPr>
            <w:r>
              <w:rPr>
                <w:color w:val="auto"/>
                <w:szCs w:val="21"/>
              </w:rPr>
              <w:t>采用低噪设备并加强维护保养，车间厂房封闭，高噪声设备安装基础减振装置，合理布局，隔声降噪</w:t>
            </w:r>
          </w:p>
        </w:tc>
        <w:tc>
          <w:tcPr>
            <w:tcW w:w="2756" w:type="dxa"/>
            <w:vAlign w:val="center"/>
          </w:tcPr>
          <w:p w14:paraId="5885FB4F">
            <w:pPr>
              <w:pStyle w:val="111"/>
              <w:adjustRightInd w:val="0"/>
              <w:snapToGrid w:val="0"/>
              <w:spacing w:line="240" w:lineRule="auto"/>
              <w:jc w:val="left"/>
              <w:rPr>
                <w:color w:val="auto"/>
                <w:szCs w:val="21"/>
              </w:rPr>
            </w:pPr>
            <w:r>
              <w:rPr>
                <w:color w:val="auto"/>
                <w:szCs w:val="21"/>
              </w:rPr>
              <w:t>《工业企业厂界环境噪声排放标准》（GB12348-2008）3类标准限值</w:t>
            </w:r>
          </w:p>
        </w:tc>
      </w:tr>
      <w:tr w14:paraId="460BA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339554FB">
            <w:pPr>
              <w:adjustRightInd w:val="0"/>
              <w:snapToGrid w:val="0"/>
              <w:spacing w:line="240" w:lineRule="auto"/>
              <w:jc w:val="center"/>
              <w:rPr>
                <w:color w:val="auto"/>
                <w:sz w:val="21"/>
                <w:szCs w:val="21"/>
              </w:rPr>
            </w:pPr>
            <w:r>
              <w:rPr>
                <w:color w:val="auto"/>
                <w:sz w:val="21"/>
                <w:szCs w:val="21"/>
              </w:rPr>
              <w:t>固体</w:t>
            </w:r>
          </w:p>
          <w:p w14:paraId="0968B07B">
            <w:pPr>
              <w:adjustRightInd w:val="0"/>
              <w:snapToGrid w:val="0"/>
              <w:spacing w:line="240" w:lineRule="auto"/>
              <w:jc w:val="center"/>
              <w:rPr>
                <w:color w:val="auto"/>
                <w:sz w:val="21"/>
                <w:szCs w:val="21"/>
              </w:rPr>
            </w:pPr>
            <w:r>
              <w:rPr>
                <w:color w:val="auto"/>
                <w:sz w:val="21"/>
                <w:szCs w:val="21"/>
              </w:rPr>
              <w:t>废物</w:t>
            </w:r>
          </w:p>
        </w:tc>
        <w:tc>
          <w:tcPr>
            <w:tcW w:w="7691" w:type="dxa"/>
            <w:gridSpan w:val="4"/>
            <w:vAlign w:val="center"/>
          </w:tcPr>
          <w:p w14:paraId="5A9F9F9F">
            <w:pPr>
              <w:pStyle w:val="111"/>
              <w:adjustRightInd w:val="0"/>
              <w:snapToGrid w:val="0"/>
              <w:jc w:val="left"/>
              <w:rPr>
                <w:color w:val="auto"/>
                <w:szCs w:val="21"/>
              </w:rPr>
            </w:pPr>
            <w:r>
              <w:rPr>
                <w:rFonts w:hint="eastAsia"/>
                <w:bCs/>
                <w:color w:val="auto"/>
                <w:szCs w:val="21"/>
              </w:rPr>
              <w:t>生活垃圾交由环卫部门处置；不合格产品、包装废物</w:t>
            </w:r>
            <w:r>
              <w:rPr>
                <w:rFonts w:hint="eastAsia"/>
                <w:color w:val="auto"/>
              </w:rPr>
              <w:t>外售给废品回收公司进行回收利用；</w:t>
            </w:r>
            <w:r>
              <w:rPr>
                <w:rFonts w:hint="eastAsia"/>
                <w:color w:val="auto"/>
                <w:lang w:eastAsia="zh-CN"/>
              </w:rPr>
              <w:t>家庭式净水器废活性炭过滤器由厂家回收处理；</w:t>
            </w:r>
            <w:r>
              <w:rPr>
                <w:rFonts w:hint="eastAsia"/>
                <w:color w:val="auto"/>
              </w:rPr>
              <w:t>危险废物由具有相关危废处置资质的单位进行处置。</w:t>
            </w:r>
          </w:p>
        </w:tc>
      </w:tr>
      <w:tr w14:paraId="646367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tcMar>
              <w:top w:w="0" w:type="dxa"/>
              <w:left w:w="0" w:type="dxa"/>
              <w:bottom w:w="0" w:type="dxa"/>
              <w:right w:w="0" w:type="dxa"/>
            </w:tcMar>
            <w:vAlign w:val="center"/>
          </w:tcPr>
          <w:p w14:paraId="247974BC">
            <w:pPr>
              <w:adjustRightInd w:val="0"/>
              <w:snapToGrid w:val="0"/>
              <w:spacing w:line="240" w:lineRule="auto"/>
              <w:jc w:val="center"/>
              <w:rPr>
                <w:color w:val="auto"/>
                <w:sz w:val="21"/>
                <w:szCs w:val="21"/>
              </w:rPr>
            </w:pPr>
            <w:r>
              <w:rPr>
                <w:color w:val="auto"/>
                <w:sz w:val="21"/>
                <w:szCs w:val="21"/>
              </w:rPr>
              <w:t>土壤及地下水污染防治措施</w:t>
            </w:r>
          </w:p>
        </w:tc>
        <w:tc>
          <w:tcPr>
            <w:tcW w:w="7691" w:type="dxa"/>
            <w:gridSpan w:val="4"/>
            <w:vAlign w:val="center"/>
          </w:tcPr>
          <w:p w14:paraId="043847C8">
            <w:pPr>
              <w:adjustRightInd w:val="0"/>
              <w:snapToGrid w:val="0"/>
              <w:spacing w:line="240" w:lineRule="auto"/>
              <w:jc w:val="center"/>
              <w:rPr>
                <w:color w:val="auto"/>
                <w:sz w:val="21"/>
                <w:szCs w:val="21"/>
              </w:rPr>
            </w:pPr>
            <w:r>
              <w:rPr>
                <w:color w:val="auto"/>
                <w:sz w:val="21"/>
                <w:szCs w:val="21"/>
              </w:rPr>
              <w:t>一般固废暂存间做一般防渗，采用钢筋混凝土硬化，等效黏土防渗层Mb≥1.5m，K≤1×10</w:t>
            </w:r>
            <w:r>
              <w:rPr>
                <w:color w:val="auto"/>
                <w:sz w:val="21"/>
                <w:szCs w:val="21"/>
                <w:vertAlign w:val="superscript"/>
              </w:rPr>
              <w:t>-7</w:t>
            </w:r>
            <w:r>
              <w:rPr>
                <w:color w:val="auto"/>
                <w:sz w:val="21"/>
                <w:szCs w:val="21"/>
              </w:rPr>
              <w:t>cm/s；办公区做简单防渗，采用水泥硬化；</w:t>
            </w:r>
            <w:r>
              <w:rPr>
                <w:rFonts w:hint="eastAsia"/>
                <w:color w:val="auto"/>
                <w:sz w:val="21"/>
                <w:szCs w:val="21"/>
                <w:lang w:eastAsia="zh-CN"/>
              </w:rPr>
              <w:t>危废暂存间</w:t>
            </w:r>
            <w:r>
              <w:rPr>
                <w:color w:val="auto"/>
                <w:sz w:val="21"/>
                <w:szCs w:val="21"/>
              </w:rPr>
              <w:t>做重点防渗，采用防渗水泥硬化，内表面涂覆防渗涂料，防渗性能等效黏土防渗层Mb≥6.0m，K≤1×10</w:t>
            </w:r>
            <w:r>
              <w:rPr>
                <w:color w:val="auto"/>
                <w:sz w:val="21"/>
                <w:szCs w:val="21"/>
                <w:vertAlign w:val="superscript"/>
              </w:rPr>
              <w:t>-7</w:t>
            </w:r>
            <w:r>
              <w:rPr>
                <w:color w:val="auto"/>
                <w:sz w:val="21"/>
                <w:szCs w:val="21"/>
              </w:rPr>
              <w:t>cm/s。</w:t>
            </w:r>
          </w:p>
        </w:tc>
      </w:tr>
      <w:tr w14:paraId="27D90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tcMar>
              <w:top w:w="0" w:type="dxa"/>
              <w:left w:w="0" w:type="dxa"/>
              <w:bottom w:w="0" w:type="dxa"/>
              <w:right w:w="0" w:type="dxa"/>
            </w:tcMar>
            <w:vAlign w:val="center"/>
          </w:tcPr>
          <w:p w14:paraId="3DFDFF44">
            <w:pPr>
              <w:adjustRightInd w:val="0"/>
              <w:snapToGrid w:val="0"/>
              <w:spacing w:line="240" w:lineRule="auto"/>
              <w:jc w:val="center"/>
              <w:rPr>
                <w:color w:val="auto"/>
                <w:sz w:val="21"/>
                <w:szCs w:val="21"/>
              </w:rPr>
            </w:pPr>
            <w:r>
              <w:rPr>
                <w:color w:val="auto"/>
                <w:sz w:val="21"/>
                <w:szCs w:val="21"/>
              </w:rPr>
              <w:t>生态保护措施</w:t>
            </w:r>
          </w:p>
        </w:tc>
        <w:tc>
          <w:tcPr>
            <w:tcW w:w="7691" w:type="dxa"/>
            <w:gridSpan w:val="4"/>
            <w:vAlign w:val="center"/>
          </w:tcPr>
          <w:p w14:paraId="6B3CA34C">
            <w:pPr>
              <w:adjustRightInd w:val="0"/>
              <w:snapToGrid w:val="0"/>
              <w:spacing w:line="240" w:lineRule="auto"/>
              <w:jc w:val="center"/>
              <w:rPr>
                <w:color w:val="auto"/>
                <w:sz w:val="21"/>
                <w:szCs w:val="21"/>
              </w:rPr>
            </w:pPr>
            <w:r>
              <w:rPr>
                <w:color w:val="auto"/>
                <w:sz w:val="21"/>
                <w:szCs w:val="21"/>
              </w:rPr>
              <w:t>无</w:t>
            </w:r>
          </w:p>
        </w:tc>
      </w:tr>
      <w:tr w14:paraId="1C65A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2737D9A9">
            <w:pPr>
              <w:adjustRightInd w:val="0"/>
              <w:snapToGrid w:val="0"/>
              <w:spacing w:line="240" w:lineRule="auto"/>
              <w:jc w:val="center"/>
              <w:rPr>
                <w:color w:val="auto"/>
                <w:spacing w:val="-8"/>
                <w:sz w:val="21"/>
                <w:szCs w:val="21"/>
              </w:rPr>
            </w:pPr>
            <w:r>
              <w:rPr>
                <w:color w:val="auto"/>
                <w:spacing w:val="-8"/>
                <w:sz w:val="21"/>
                <w:szCs w:val="21"/>
              </w:rPr>
              <w:t>环境风险防范措施</w:t>
            </w:r>
          </w:p>
        </w:tc>
        <w:tc>
          <w:tcPr>
            <w:tcW w:w="7691" w:type="dxa"/>
            <w:gridSpan w:val="4"/>
            <w:vAlign w:val="center"/>
          </w:tcPr>
          <w:p w14:paraId="2C9235E0">
            <w:pPr>
              <w:pStyle w:val="3"/>
              <w:keepNext w:val="0"/>
              <w:keepLines w:val="0"/>
              <w:tabs>
                <w:tab w:val="left" w:pos="1230"/>
              </w:tabs>
              <w:spacing w:line="240" w:lineRule="auto"/>
              <w:ind w:firstLine="420" w:firstLineChars="200"/>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①加强</w:t>
            </w:r>
            <w:r>
              <w:rPr>
                <w:rFonts w:hint="eastAsia" w:ascii="Times New Roman" w:hAnsi="Times New Roman" w:eastAsia="宋体" w:cs="Times New Roman"/>
                <w:b w:val="0"/>
                <w:bCs w:val="0"/>
                <w:color w:val="auto"/>
                <w:sz w:val="21"/>
                <w:szCs w:val="21"/>
              </w:rPr>
              <w:t>废机油</w:t>
            </w:r>
            <w:r>
              <w:rPr>
                <w:rFonts w:ascii="Times New Roman" w:hAnsi="Times New Roman" w:eastAsia="宋体" w:cs="Times New Roman"/>
                <w:b w:val="0"/>
                <w:bCs w:val="0"/>
                <w:color w:val="auto"/>
                <w:sz w:val="21"/>
                <w:szCs w:val="21"/>
              </w:rPr>
              <w:t>的管理，远离火种、热源；配备相应品种和数量的消防器材。</w:t>
            </w:r>
          </w:p>
          <w:p w14:paraId="33E7E2F2">
            <w:pPr>
              <w:pStyle w:val="3"/>
              <w:keepNext w:val="0"/>
              <w:keepLines w:val="0"/>
              <w:tabs>
                <w:tab w:val="left" w:pos="1230"/>
              </w:tabs>
              <w:spacing w:line="240" w:lineRule="auto"/>
              <w:ind w:firstLine="420" w:firstLineChars="200"/>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②设定专门的</w:t>
            </w:r>
            <w:r>
              <w:rPr>
                <w:rFonts w:hint="eastAsia" w:ascii="Times New Roman" w:hAnsi="Times New Roman" w:eastAsia="宋体" w:cs="Times New Roman"/>
                <w:b w:val="0"/>
                <w:bCs w:val="0"/>
                <w:color w:val="auto"/>
                <w:sz w:val="21"/>
                <w:szCs w:val="21"/>
                <w:lang w:eastAsia="zh-CN"/>
              </w:rPr>
              <w:t>危废暂存间</w:t>
            </w:r>
            <w:r>
              <w:rPr>
                <w:rFonts w:ascii="Times New Roman" w:hAnsi="Times New Roman" w:eastAsia="宋体" w:cs="Times New Roman"/>
                <w:b w:val="0"/>
                <w:bCs w:val="0"/>
                <w:color w:val="auto"/>
                <w:sz w:val="21"/>
                <w:szCs w:val="21"/>
              </w:rPr>
              <w:t>，并按照</w:t>
            </w:r>
            <w:r>
              <w:rPr>
                <w:rFonts w:hint="eastAsia" w:ascii="Times New Roman" w:hAnsi="Times New Roman" w:eastAsia="宋体" w:cs="Times New Roman"/>
                <w:b w:val="0"/>
                <w:bCs w:val="0"/>
                <w:color w:val="auto"/>
                <w:sz w:val="21"/>
                <w:szCs w:val="21"/>
              </w:rPr>
              <w:t>《危险废物贮存污染控制标准》（</w:t>
            </w:r>
            <w:r>
              <w:rPr>
                <w:rFonts w:ascii="Times New Roman" w:hAnsi="Times New Roman" w:eastAsia="宋体" w:cs="Times New Roman"/>
                <w:b w:val="0"/>
                <w:bCs w:val="0"/>
                <w:color w:val="auto"/>
                <w:sz w:val="21"/>
                <w:szCs w:val="21"/>
              </w:rPr>
              <w:t>GB18597-2</w:t>
            </w:r>
            <w:r>
              <w:rPr>
                <w:rFonts w:hint="eastAsia" w:ascii="Times New Roman" w:hAnsi="Times New Roman" w:eastAsia="宋体" w:cs="Times New Roman"/>
                <w:b w:val="0"/>
                <w:bCs w:val="0"/>
                <w:color w:val="auto"/>
                <w:sz w:val="21"/>
                <w:szCs w:val="21"/>
              </w:rPr>
              <w:t>023）</w:t>
            </w:r>
            <w:r>
              <w:rPr>
                <w:rFonts w:ascii="Times New Roman" w:hAnsi="Times New Roman" w:eastAsia="宋体" w:cs="Times New Roman"/>
                <w:b w:val="0"/>
                <w:bCs w:val="0"/>
                <w:color w:val="auto"/>
                <w:sz w:val="21"/>
                <w:szCs w:val="21"/>
              </w:rPr>
              <w:t>的相关要求采取相应的防晒、防渗、防淋等措施，避免产生二次污染。危废不得与其他垃圾混存，委托具有危废处理资质的单位回收进行处置，禁止私自处理。</w:t>
            </w:r>
          </w:p>
          <w:p w14:paraId="7BE98680">
            <w:pPr>
              <w:pStyle w:val="3"/>
              <w:keepNext w:val="0"/>
              <w:keepLines w:val="0"/>
              <w:tabs>
                <w:tab w:val="left" w:pos="1230"/>
              </w:tabs>
              <w:spacing w:line="240" w:lineRule="auto"/>
              <w:ind w:firstLine="420" w:firstLineChars="200"/>
              <w:rPr>
                <w:rFonts w:hint="eastAsia"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③当发生</w:t>
            </w:r>
            <w:r>
              <w:rPr>
                <w:rFonts w:hint="eastAsia" w:ascii="Times New Roman" w:hAnsi="Times New Roman" w:eastAsia="宋体" w:cs="Times New Roman"/>
                <w:b w:val="0"/>
                <w:bCs w:val="0"/>
                <w:color w:val="auto"/>
                <w:sz w:val="21"/>
                <w:szCs w:val="21"/>
              </w:rPr>
              <w:t>机油</w:t>
            </w:r>
            <w:r>
              <w:rPr>
                <w:rFonts w:ascii="Times New Roman" w:hAnsi="Times New Roman" w:eastAsia="宋体" w:cs="Times New Roman"/>
                <w:b w:val="0"/>
                <w:bCs w:val="0"/>
                <w:color w:val="auto"/>
                <w:sz w:val="21"/>
                <w:szCs w:val="21"/>
              </w:rPr>
              <w:t>泄漏时，应及时</w:t>
            </w:r>
            <w:r>
              <w:rPr>
                <w:rFonts w:hint="eastAsia" w:ascii="Times New Roman" w:hAnsi="Times New Roman" w:eastAsia="宋体" w:cs="Times New Roman"/>
                <w:b w:val="0"/>
                <w:bCs w:val="0"/>
                <w:color w:val="auto"/>
                <w:sz w:val="21"/>
                <w:szCs w:val="21"/>
              </w:rPr>
              <w:t>采用木糠拦截、桶装</w:t>
            </w:r>
            <w:r>
              <w:rPr>
                <w:rFonts w:ascii="Times New Roman" w:hAnsi="Times New Roman" w:eastAsia="宋体" w:cs="Times New Roman"/>
                <w:b w:val="0"/>
                <w:bCs w:val="0"/>
                <w:color w:val="auto"/>
                <w:sz w:val="21"/>
                <w:szCs w:val="21"/>
              </w:rPr>
              <w:t>收集</w:t>
            </w:r>
            <w:r>
              <w:rPr>
                <w:rFonts w:hint="eastAsia" w:ascii="Times New Roman" w:hAnsi="Times New Roman" w:eastAsia="宋体" w:cs="Times New Roman"/>
                <w:b w:val="0"/>
                <w:bCs w:val="0"/>
                <w:color w:val="auto"/>
                <w:sz w:val="21"/>
                <w:szCs w:val="21"/>
              </w:rPr>
              <w:t>、抹布清理，送至危险废物暂存间贮存，避免对大气环境、地下水环境和土壤环境造成污染。</w:t>
            </w:r>
          </w:p>
          <w:p w14:paraId="16D4D2F7">
            <w:pPr>
              <w:pStyle w:val="3"/>
              <w:keepNext w:val="0"/>
              <w:keepLines w:val="0"/>
              <w:tabs>
                <w:tab w:val="left" w:pos="1230"/>
              </w:tabs>
              <w:spacing w:line="240" w:lineRule="auto"/>
              <w:ind w:firstLine="420" w:firstLineChars="200"/>
              <w:rPr>
                <w:bCs/>
                <w:color w:val="auto"/>
                <w:szCs w:val="21"/>
              </w:rPr>
            </w:pPr>
            <w:r>
              <w:rPr>
                <w:rFonts w:hint="eastAsia" w:ascii="Times New Roman" w:hAnsi="Times New Roman" w:eastAsia="宋体" w:cs="Times New Roman"/>
                <w:b w:val="0"/>
                <w:bCs w:val="0"/>
                <w:color w:val="auto"/>
                <w:sz w:val="21"/>
                <w:szCs w:val="21"/>
                <w:lang w:val="en-US" w:eastAsia="zh-CN"/>
              </w:rPr>
              <w:t>④当发生废机油火灾时，迅速撤离泄漏污染区人员至上风处，并立即进行隔离。尽可能切断泄漏源及采取灭火措施；合理通风，加速扩散；危废暂存间附近配备干粉灭火器等应急救援物质。</w:t>
            </w:r>
          </w:p>
        </w:tc>
      </w:tr>
      <w:tr w14:paraId="35EC3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110764C0">
            <w:pPr>
              <w:adjustRightInd w:val="0"/>
              <w:snapToGrid w:val="0"/>
              <w:spacing w:line="240" w:lineRule="auto"/>
              <w:jc w:val="center"/>
              <w:rPr>
                <w:color w:val="auto"/>
                <w:spacing w:val="-8"/>
                <w:sz w:val="21"/>
                <w:szCs w:val="21"/>
              </w:rPr>
            </w:pPr>
            <w:r>
              <w:rPr>
                <w:color w:val="auto"/>
                <w:spacing w:val="-8"/>
                <w:sz w:val="21"/>
                <w:szCs w:val="21"/>
              </w:rPr>
              <w:t>其他环境管理要求</w:t>
            </w:r>
          </w:p>
        </w:tc>
        <w:tc>
          <w:tcPr>
            <w:tcW w:w="7691" w:type="dxa"/>
            <w:gridSpan w:val="4"/>
            <w:vAlign w:val="center"/>
          </w:tcPr>
          <w:p w14:paraId="73E098DA">
            <w:pPr>
              <w:adjustRightInd w:val="0"/>
              <w:snapToGrid w:val="0"/>
              <w:rPr>
                <w:color w:val="auto"/>
                <w:spacing w:val="-8"/>
                <w:sz w:val="21"/>
                <w:szCs w:val="21"/>
              </w:rPr>
            </w:pPr>
            <w:r>
              <w:rPr>
                <w:rFonts w:hint="eastAsia"/>
                <w:color w:val="auto"/>
                <w:spacing w:val="-8"/>
                <w:sz w:val="21"/>
                <w:szCs w:val="21"/>
              </w:rPr>
              <w:t>1、根据《固定污染源排污许可分类管理名录》(2019年版)，本项目属于排污登记管理，因此，项目建成产污前应该申办排污登记。</w:t>
            </w:r>
          </w:p>
          <w:p w14:paraId="70F6B030">
            <w:pPr>
              <w:pStyle w:val="5"/>
              <w:ind w:firstLine="0" w:firstLineChars="0"/>
              <w:rPr>
                <w:rFonts w:ascii="Times New Roman" w:hAnsi="Times New Roman"/>
                <w:color w:val="auto"/>
                <w:spacing w:val="-8"/>
                <w:szCs w:val="21"/>
              </w:rPr>
            </w:pPr>
            <w:r>
              <w:rPr>
                <w:rFonts w:ascii="Times New Roman" w:hAnsi="Times New Roman"/>
                <w:color w:val="auto"/>
                <w:spacing w:val="-8"/>
                <w:szCs w:val="21"/>
              </w:rPr>
              <w:t>2</w:t>
            </w:r>
            <w:r>
              <w:rPr>
                <w:rFonts w:hint="eastAsia" w:ascii="Times New Roman" w:hAnsi="Times New Roman"/>
                <w:color w:val="auto"/>
                <w:spacing w:val="-8"/>
                <w:szCs w:val="21"/>
              </w:rPr>
              <w:t>、按照相关环境保护要求，评价建议企业在运行过程中设立环境管理台账。记录内容包括基本信息、生产设施运行管理信息、污染治理设施运行管理信息、监测记录信息及其他环境管理信息等。</w:t>
            </w:r>
          </w:p>
        </w:tc>
      </w:tr>
    </w:tbl>
    <w:p w14:paraId="2B71757E">
      <w:pPr>
        <w:pStyle w:val="21"/>
        <w:rPr>
          <w:snapToGrid w:val="0"/>
          <w:color w:val="auto"/>
        </w:rPr>
      </w:pPr>
      <w:r>
        <w:rPr>
          <w:snapToGrid w:val="0"/>
          <w:color w:val="auto"/>
        </w:rPr>
        <w:br w:type="page"/>
      </w:r>
      <w:bookmarkStart w:id="95" w:name="_Toc80604823"/>
      <w:r>
        <w:rPr>
          <w:snapToGrid w:val="0"/>
          <w:color w:val="auto"/>
        </w:rPr>
        <w:t>六、结论</w:t>
      </w:r>
      <w:bookmarkEnd w:id="95"/>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5DE3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9" w:hRule="atLeast"/>
          <w:jc w:val="center"/>
        </w:trPr>
        <w:tc>
          <w:tcPr>
            <w:tcW w:w="9060" w:type="dxa"/>
          </w:tcPr>
          <w:p w14:paraId="5CEEEFB3">
            <w:pPr>
              <w:spacing w:before="120" w:beforeLines="50"/>
              <w:ind w:firstLine="480" w:firstLineChars="200"/>
              <w:jc w:val="left"/>
              <w:rPr>
                <w:color w:val="auto"/>
              </w:rPr>
            </w:pPr>
            <w:r>
              <w:rPr>
                <w:rFonts w:hint="eastAsia"/>
                <w:color w:val="auto"/>
              </w:rPr>
              <w:t>综上，本项目符合国家有关产业政策，与当地规划</w:t>
            </w:r>
            <w:r>
              <w:rPr>
                <w:rFonts w:hint="eastAsia"/>
                <w:color w:val="auto"/>
                <w:lang w:eastAsia="zh-CN"/>
              </w:rPr>
              <w:t>相符</w:t>
            </w:r>
            <w:r>
              <w:rPr>
                <w:rFonts w:hint="eastAsia"/>
                <w:color w:val="auto"/>
              </w:rPr>
              <w:t>，选址合理。项目厂址区域大气环境、水环境、声环境现状质量总体尚好。项目在各项污染治理措施实施，确保废水、废气、噪声达标排放，固废综合利用的前提下，不会对地表水、环境空气、声学环境、地下水产生明显不利影响，能维持当地环境功能要求。只要严格按照环境影响报告表中提出的环保对策及措施，严格执行“三同时”制度，确保项目所产生的污染物达标排放，则从环保角度本项目的建设运营是可行的。</w:t>
            </w:r>
          </w:p>
        </w:tc>
      </w:tr>
    </w:tbl>
    <w:p w14:paraId="77A8D3E7">
      <w:pPr>
        <w:jc w:val="center"/>
        <w:rPr>
          <w:color w:val="auto"/>
        </w:rPr>
      </w:pPr>
    </w:p>
    <w:p w14:paraId="250EB724">
      <w:pPr>
        <w:rPr>
          <w:color w:val="auto"/>
        </w:rPr>
        <w:sectPr>
          <w:pgSz w:w="11906" w:h="16838"/>
          <w:pgMar w:top="1701" w:right="1531" w:bottom="1701" w:left="1531" w:header="851" w:footer="1020" w:gutter="0"/>
          <w:pgNumType w:fmt="decimal"/>
          <w:cols w:space="720" w:num="1"/>
          <w:docGrid w:linePitch="326" w:charSpace="0"/>
        </w:sectPr>
      </w:pPr>
    </w:p>
    <w:p w14:paraId="1F828965">
      <w:pPr>
        <w:spacing w:line="240" w:lineRule="auto"/>
        <w:rPr>
          <w:rFonts w:eastAsia="方正小标宋_GBK"/>
          <w:snapToGrid w:val="0"/>
          <w:color w:val="auto"/>
          <w:sz w:val="28"/>
          <w:szCs w:val="28"/>
        </w:rPr>
      </w:pPr>
      <w:r>
        <w:rPr>
          <w:rFonts w:eastAsia="方正小标宋_GBK"/>
          <w:snapToGrid w:val="0"/>
          <w:color w:val="auto"/>
          <w:sz w:val="28"/>
          <w:szCs w:val="28"/>
        </w:rPr>
        <w:t>附表</w:t>
      </w:r>
    </w:p>
    <w:p w14:paraId="3D2D61B6">
      <w:pPr>
        <w:spacing w:line="240" w:lineRule="auto"/>
        <w:jc w:val="center"/>
        <w:rPr>
          <w:color w:val="auto"/>
          <w:sz w:val="28"/>
          <w:szCs w:val="28"/>
        </w:rPr>
      </w:pPr>
      <w:r>
        <w:rPr>
          <w:rFonts w:eastAsia="方正小标宋_GBK"/>
          <w:snapToGrid w:val="0"/>
          <w:color w:val="auto"/>
          <w:sz w:val="28"/>
          <w:szCs w:val="28"/>
        </w:rPr>
        <w:t>建设项目污染物排放量汇总表</w:t>
      </w:r>
    </w:p>
    <w:tbl>
      <w:tblPr>
        <w:tblStyle w:val="25"/>
        <w:tblW w:w="13492" w:type="dxa"/>
        <w:tblInd w:w="-3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688"/>
        <w:gridCol w:w="1415"/>
        <w:gridCol w:w="1455"/>
        <w:gridCol w:w="1288"/>
        <w:gridCol w:w="1540"/>
        <w:gridCol w:w="1494"/>
        <w:gridCol w:w="1650"/>
        <w:gridCol w:w="1586"/>
        <w:gridCol w:w="1214"/>
      </w:tblGrid>
      <w:tr w14:paraId="47765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tcBorders>
              <w:tl2br w:val="single" w:color="auto" w:sz="4" w:space="0"/>
            </w:tcBorders>
            <w:tcMar>
              <w:left w:w="28" w:type="dxa"/>
              <w:right w:w="28" w:type="dxa"/>
            </w:tcMar>
            <w:vAlign w:val="center"/>
          </w:tcPr>
          <w:p w14:paraId="30AB9E8C">
            <w:pPr>
              <w:pStyle w:val="71"/>
              <w:jc w:val="right"/>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项目</w:t>
            </w:r>
          </w:p>
          <w:p w14:paraId="68874966">
            <w:pPr>
              <w:pStyle w:val="71"/>
              <w:jc w:val="left"/>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分类</w:t>
            </w:r>
          </w:p>
        </w:tc>
        <w:tc>
          <w:tcPr>
            <w:tcW w:w="2103" w:type="dxa"/>
            <w:gridSpan w:val="2"/>
            <w:tcMar>
              <w:left w:w="28" w:type="dxa"/>
              <w:right w:w="28" w:type="dxa"/>
            </w:tcMar>
            <w:vAlign w:val="center"/>
          </w:tcPr>
          <w:p w14:paraId="0C9A62BF">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污染物名称</w:t>
            </w:r>
          </w:p>
        </w:tc>
        <w:tc>
          <w:tcPr>
            <w:tcW w:w="1455" w:type="dxa"/>
            <w:tcMar>
              <w:left w:w="28" w:type="dxa"/>
              <w:right w:w="28" w:type="dxa"/>
            </w:tcMar>
            <w:vAlign w:val="center"/>
          </w:tcPr>
          <w:p w14:paraId="2DEDEE64">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现有工程</w:t>
            </w:r>
          </w:p>
          <w:p w14:paraId="6EB357A7">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排放量（固体废物产生量）</w:t>
            </w: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1 \* GB3 \* MERGEFORMAT </w:instrText>
            </w:r>
            <w:r>
              <w:rPr>
                <w:rFonts w:ascii="Times New Roman" w:hAnsi="Times New Roman" w:eastAsia="黑体"/>
                <w:snapToGrid w:val="0"/>
                <w:color w:val="auto"/>
                <w:spacing w:val="-6"/>
                <w:kern w:val="21"/>
                <w:szCs w:val="21"/>
              </w:rPr>
              <w:fldChar w:fldCharType="separate"/>
            </w:r>
            <w:r>
              <w:rPr>
                <w:rFonts w:hint="eastAsia" w:ascii="宋体" w:hAnsi="宋体" w:cs="宋体"/>
                <w:color w:val="auto"/>
                <w:szCs w:val="21"/>
              </w:rPr>
              <w:t>①</w:t>
            </w:r>
            <w:r>
              <w:rPr>
                <w:rFonts w:ascii="Times New Roman" w:hAnsi="Times New Roman" w:eastAsia="黑体"/>
                <w:snapToGrid w:val="0"/>
                <w:color w:val="auto"/>
                <w:spacing w:val="-6"/>
                <w:kern w:val="21"/>
                <w:szCs w:val="21"/>
              </w:rPr>
              <w:fldChar w:fldCharType="end"/>
            </w:r>
          </w:p>
        </w:tc>
        <w:tc>
          <w:tcPr>
            <w:tcW w:w="1288" w:type="dxa"/>
            <w:tcMar>
              <w:left w:w="28" w:type="dxa"/>
              <w:right w:w="28" w:type="dxa"/>
            </w:tcMar>
            <w:vAlign w:val="center"/>
          </w:tcPr>
          <w:p w14:paraId="0A70912F">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现有工程</w:t>
            </w:r>
          </w:p>
          <w:p w14:paraId="51F005FF">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许可排放量</w:t>
            </w:r>
          </w:p>
          <w:p w14:paraId="3C43CF99">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2 \* GB3 \* MERGEFORMAT </w:instrText>
            </w:r>
            <w:r>
              <w:rPr>
                <w:rFonts w:ascii="Times New Roman" w:hAnsi="Times New Roman" w:eastAsia="黑体"/>
                <w:snapToGrid w:val="0"/>
                <w:color w:val="auto"/>
                <w:spacing w:val="-6"/>
                <w:kern w:val="21"/>
                <w:szCs w:val="21"/>
              </w:rPr>
              <w:fldChar w:fldCharType="separate"/>
            </w:r>
            <w:r>
              <w:rPr>
                <w:rFonts w:hint="eastAsia" w:ascii="宋体" w:hAnsi="宋体" w:cs="宋体"/>
                <w:snapToGrid w:val="0"/>
                <w:color w:val="auto"/>
                <w:spacing w:val="-6"/>
                <w:kern w:val="21"/>
                <w:szCs w:val="21"/>
              </w:rPr>
              <w:t>②</w:t>
            </w:r>
            <w:r>
              <w:rPr>
                <w:rFonts w:ascii="Times New Roman" w:hAnsi="Times New Roman" w:eastAsia="黑体"/>
                <w:snapToGrid w:val="0"/>
                <w:color w:val="auto"/>
                <w:spacing w:val="-6"/>
                <w:kern w:val="21"/>
                <w:szCs w:val="21"/>
              </w:rPr>
              <w:fldChar w:fldCharType="end"/>
            </w:r>
          </w:p>
        </w:tc>
        <w:tc>
          <w:tcPr>
            <w:tcW w:w="1540" w:type="dxa"/>
            <w:tcMar>
              <w:left w:w="28" w:type="dxa"/>
              <w:right w:w="28" w:type="dxa"/>
            </w:tcMar>
            <w:vAlign w:val="center"/>
          </w:tcPr>
          <w:p w14:paraId="2030F1D5">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在建工程</w:t>
            </w:r>
          </w:p>
          <w:p w14:paraId="73D828AF">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排放量（固体废物产生量）</w:t>
            </w: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3 \* GB3 \* MERGEFORMAT </w:instrText>
            </w:r>
            <w:r>
              <w:rPr>
                <w:rFonts w:ascii="Times New Roman" w:hAnsi="Times New Roman" w:eastAsia="黑体"/>
                <w:snapToGrid w:val="0"/>
                <w:color w:val="auto"/>
                <w:spacing w:val="-6"/>
                <w:kern w:val="21"/>
                <w:szCs w:val="21"/>
              </w:rPr>
              <w:fldChar w:fldCharType="separate"/>
            </w:r>
            <w:r>
              <w:rPr>
                <w:rFonts w:hint="eastAsia" w:ascii="宋体" w:hAnsi="宋体" w:cs="宋体"/>
                <w:color w:val="auto"/>
                <w:szCs w:val="21"/>
              </w:rPr>
              <w:t>③</w:t>
            </w:r>
            <w:r>
              <w:rPr>
                <w:rFonts w:ascii="Times New Roman" w:hAnsi="Times New Roman" w:eastAsia="黑体"/>
                <w:snapToGrid w:val="0"/>
                <w:color w:val="auto"/>
                <w:spacing w:val="-6"/>
                <w:kern w:val="21"/>
                <w:szCs w:val="21"/>
              </w:rPr>
              <w:fldChar w:fldCharType="end"/>
            </w:r>
          </w:p>
        </w:tc>
        <w:tc>
          <w:tcPr>
            <w:tcW w:w="1494" w:type="dxa"/>
            <w:tcMar>
              <w:left w:w="28" w:type="dxa"/>
              <w:right w:w="28" w:type="dxa"/>
            </w:tcMar>
            <w:vAlign w:val="center"/>
          </w:tcPr>
          <w:p w14:paraId="2605A8C3">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本项目</w:t>
            </w:r>
          </w:p>
          <w:p w14:paraId="144C75D0">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排放量（固体废物产生量）</w:t>
            </w: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4 \* GB3 \* MERGEFORMAT </w:instrText>
            </w:r>
            <w:r>
              <w:rPr>
                <w:rFonts w:ascii="Times New Roman" w:hAnsi="Times New Roman" w:eastAsia="黑体"/>
                <w:snapToGrid w:val="0"/>
                <w:color w:val="auto"/>
                <w:spacing w:val="-6"/>
                <w:kern w:val="21"/>
                <w:szCs w:val="21"/>
              </w:rPr>
              <w:fldChar w:fldCharType="separate"/>
            </w:r>
            <w:r>
              <w:rPr>
                <w:rFonts w:hint="eastAsia" w:ascii="宋体" w:hAnsi="宋体" w:cs="宋体"/>
                <w:color w:val="auto"/>
                <w:szCs w:val="21"/>
              </w:rPr>
              <w:t>④</w:t>
            </w:r>
            <w:r>
              <w:rPr>
                <w:rFonts w:ascii="Times New Roman" w:hAnsi="Times New Roman" w:eastAsia="黑体"/>
                <w:snapToGrid w:val="0"/>
                <w:color w:val="auto"/>
                <w:spacing w:val="-6"/>
                <w:kern w:val="21"/>
                <w:szCs w:val="21"/>
              </w:rPr>
              <w:fldChar w:fldCharType="end"/>
            </w:r>
          </w:p>
        </w:tc>
        <w:tc>
          <w:tcPr>
            <w:tcW w:w="1650" w:type="dxa"/>
            <w:tcMar>
              <w:left w:w="28" w:type="dxa"/>
              <w:right w:w="28" w:type="dxa"/>
            </w:tcMar>
            <w:vAlign w:val="center"/>
          </w:tcPr>
          <w:p w14:paraId="14D25A4C">
            <w:pPr>
              <w:pStyle w:val="71"/>
              <w:rPr>
                <w:rFonts w:ascii="Times New Roman" w:hAnsi="Times New Roman" w:eastAsia="黑体"/>
                <w:snapToGrid w:val="0"/>
                <w:color w:val="auto"/>
                <w:spacing w:val="-16"/>
                <w:kern w:val="21"/>
                <w:szCs w:val="21"/>
              </w:rPr>
            </w:pPr>
            <w:r>
              <w:rPr>
                <w:rFonts w:ascii="Times New Roman" w:hAnsi="Times New Roman" w:eastAsia="黑体"/>
                <w:snapToGrid w:val="0"/>
                <w:color w:val="auto"/>
                <w:spacing w:val="-16"/>
                <w:kern w:val="21"/>
                <w:szCs w:val="21"/>
              </w:rPr>
              <w:t>以新带老削减量</w:t>
            </w:r>
          </w:p>
          <w:p w14:paraId="4A701072">
            <w:pPr>
              <w:pStyle w:val="71"/>
              <w:rPr>
                <w:rFonts w:ascii="Times New Roman" w:hAnsi="Times New Roman" w:eastAsia="黑体"/>
                <w:snapToGrid w:val="0"/>
                <w:color w:val="auto"/>
                <w:spacing w:val="-16"/>
                <w:kern w:val="21"/>
                <w:szCs w:val="21"/>
              </w:rPr>
            </w:pPr>
            <w:r>
              <w:rPr>
                <w:rFonts w:ascii="Times New Roman" w:hAnsi="Times New Roman" w:eastAsia="黑体"/>
                <w:snapToGrid w:val="0"/>
                <w:color w:val="auto"/>
                <w:spacing w:val="-16"/>
                <w:kern w:val="21"/>
                <w:szCs w:val="21"/>
              </w:rPr>
              <w:t>（新建项目不填）</w:t>
            </w:r>
            <w:r>
              <w:rPr>
                <w:rFonts w:ascii="Times New Roman" w:hAnsi="Times New Roman" w:eastAsia="黑体"/>
                <w:snapToGrid w:val="0"/>
                <w:color w:val="auto"/>
                <w:spacing w:val="-16"/>
                <w:kern w:val="21"/>
                <w:szCs w:val="21"/>
              </w:rPr>
              <w:fldChar w:fldCharType="begin"/>
            </w:r>
            <w:r>
              <w:rPr>
                <w:rFonts w:ascii="Times New Roman" w:hAnsi="Times New Roman" w:eastAsia="黑体"/>
                <w:snapToGrid w:val="0"/>
                <w:color w:val="auto"/>
                <w:spacing w:val="-16"/>
                <w:kern w:val="21"/>
                <w:szCs w:val="21"/>
              </w:rPr>
              <w:instrText xml:space="preserve"> = 5 \* GB3 \* MERGEFORMAT </w:instrText>
            </w:r>
            <w:r>
              <w:rPr>
                <w:rFonts w:ascii="Times New Roman" w:hAnsi="Times New Roman" w:eastAsia="黑体"/>
                <w:snapToGrid w:val="0"/>
                <w:color w:val="auto"/>
                <w:spacing w:val="-16"/>
                <w:kern w:val="21"/>
                <w:szCs w:val="21"/>
              </w:rPr>
              <w:fldChar w:fldCharType="separate"/>
            </w:r>
            <w:r>
              <w:rPr>
                <w:rFonts w:hint="eastAsia" w:ascii="宋体" w:hAnsi="宋体" w:cs="宋体"/>
                <w:color w:val="auto"/>
                <w:szCs w:val="21"/>
              </w:rPr>
              <w:t>⑤</w:t>
            </w:r>
            <w:r>
              <w:rPr>
                <w:rFonts w:ascii="Times New Roman" w:hAnsi="Times New Roman" w:eastAsia="黑体"/>
                <w:snapToGrid w:val="0"/>
                <w:color w:val="auto"/>
                <w:spacing w:val="-16"/>
                <w:kern w:val="21"/>
                <w:szCs w:val="21"/>
              </w:rPr>
              <w:fldChar w:fldCharType="end"/>
            </w:r>
          </w:p>
        </w:tc>
        <w:tc>
          <w:tcPr>
            <w:tcW w:w="1586" w:type="dxa"/>
            <w:tcMar>
              <w:left w:w="28" w:type="dxa"/>
              <w:right w:w="28" w:type="dxa"/>
            </w:tcMar>
            <w:vAlign w:val="center"/>
          </w:tcPr>
          <w:p w14:paraId="3F476EA0">
            <w:pPr>
              <w:pStyle w:val="71"/>
              <w:rPr>
                <w:rFonts w:ascii="Times New Roman" w:hAnsi="Times New Roman" w:eastAsia="黑体"/>
                <w:snapToGrid w:val="0"/>
                <w:color w:val="auto"/>
                <w:spacing w:val="-16"/>
                <w:kern w:val="21"/>
                <w:szCs w:val="21"/>
              </w:rPr>
            </w:pPr>
            <w:r>
              <w:rPr>
                <w:rFonts w:ascii="Times New Roman" w:hAnsi="Times New Roman" w:eastAsia="黑体"/>
                <w:snapToGrid w:val="0"/>
                <w:color w:val="auto"/>
                <w:spacing w:val="-16"/>
                <w:kern w:val="21"/>
                <w:szCs w:val="21"/>
              </w:rPr>
              <w:t>本项目建成后</w:t>
            </w:r>
          </w:p>
          <w:p w14:paraId="5C2A9C21">
            <w:pPr>
              <w:pStyle w:val="71"/>
              <w:rPr>
                <w:rFonts w:ascii="Times New Roman" w:hAnsi="Times New Roman" w:eastAsia="黑体"/>
                <w:snapToGrid w:val="0"/>
                <w:color w:val="auto"/>
                <w:spacing w:val="-16"/>
                <w:kern w:val="21"/>
                <w:szCs w:val="21"/>
              </w:rPr>
            </w:pPr>
            <w:r>
              <w:rPr>
                <w:rFonts w:ascii="Times New Roman" w:hAnsi="Times New Roman" w:eastAsia="黑体"/>
                <w:snapToGrid w:val="0"/>
                <w:color w:val="auto"/>
                <w:spacing w:val="-16"/>
                <w:kern w:val="21"/>
                <w:szCs w:val="21"/>
              </w:rPr>
              <w:t>全厂排放量（固体废物产生量）</w:t>
            </w:r>
            <w:r>
              <w:rPr>
                <w:rFonts w:ascii="Times New Roman" w:hAnsi="Times New Roman" w:eastAsia="黑体"/>
                <w:snapToGrid w:val="0"/>
                <w:color w:val="auto"/>
                <w:spacing w:val="-16"/>
                <w:kern w:val="21"/>
                <w:szCs w:val="21"/>
              </w:rPr>
              <w:fldChar w:fldCharType="begin"/>
            </w:r>
            <w:r>
              <w:rPr>
                <w:rFonts w:ascii="Times New Roman" w:hAnsi="Times New Roman" w:eastAsia="黑体"/>
                <w:snapToGrid w:val="0"/>
                <w:color w:val="auto"/>
                <w:spacing w:val="-16"/>
                <w:kern w:val="21"/>
                <w:szCs w:val="21"/>
              </w:rPr>
              <w:instrText xml:space="preserve"> = 6 \* GB3 \* MERGEFORMAT </w:instrText>
            </w:r>
            <w:r>
              <w:rPr>
                <w:rFonts w:ascii="Times New Roman" w:hAnsi="Times New Roman" w:eastAsia="黑体"/>
                <w:snapToGrid w:val="0"/>
                <w:color w:val="auto"/>
                <w:spacing w:val="-16"/>
                <w:kern w:val="21"/>
                <w:szCs w:val="21"/>
              </w:rPr>
              <w:fldChar w:fldCharType="separate"/>
            </w:r>
            <w:r>
              <w:rPr>
                <w:rFonts w:hint="eastAsia" w:ascii="宋体" w:hAnsi="宋体" w:cs="宋体"/>
                <w:color w:val="auto"/>
                <w:szCs w:val="21"/>
              </w:rPr>
              <w:t>⑥</w:t>
            </w:r>
            <w:r>
              <w:rPr>
                <w:rFonts w:ascii="Times New Roman" w:hAnsi="Times New Roman" w:eastAsia="黑体"/>
                <w:snapToGrid w:val="0"/>
                <w:color w:val="auto"/>
                <w:spacing w:val="-16"/>
                <w:kern w:val="21"/>
                <w:szCs w:val="21"/>
              </w:rPr>
              <w:fldChar w:fldCharType="end"/>
            </w:r>
          </w:p>
        </w:tc>
        <w:tc>
          <w:tcPr>
            <w:tcW w:w="1214" w:type="dxa"/>
            <w:tcMar>
              <w:left w:w="28" w:type="dxa"/>
              <w:right w:w="28" w:type="dxa"/>
            </w:tcMar>
            <w:vAlign w:val="center"/>
          </w:tcPr>
          <w:p w14:paraId="440EAA0C">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t>变化量</w:t>
            </w:r>
          </w:p>
          <w:p w14:paraId="576DC3D3">
            <w:pPr>
              <w:pStyle w:val="71"/>
              <w:rPr>
                <w:rFonts w:ascii="Times New Roman" w:hAnsi="Times New Roman" w:eastAsia="黑体"/>
                <w:snapToGrid w:val="0"/>
                <w:color w:val="auto"/>
                <w:spacing w:val="-6"/>
                <w:kern w:val="21"/>
                <w:szCs w:val="21"/>
              </w:rPr>
            </w:pPr>
            <w:r>
              <w:rPr>
                <w:rFonts w:ascii="Times New Roman" w:hAnsi="Times New Roman" w:eastAsia="黑体"/>
                <w:snapToGrid w:val="0"/>
                <w:color w:val="auto"/>
                <w:spacing w:val="-6"/>
                <w:kern w:val="21"/>
                <w:szCs w:val="21"/>
              </w:rPr>
              <w:fldChar w:fldCharType="begin"/>
            </w:r>
            <w:r>
              <w:rPr>
                <w:rFonts w:ascii="Times New Roman" w:hAnsi="Times New Roman" w:eastAsia="黑体"/>
                <w:snapToGrid w:val="0"/>
                <w:color w:val="auto"/>
                <w:spacing w:val="-6"/>
                <w:kern w:val="21"/>
                <w:szCs w:val="21"/>
              </w:rPr>
              <w:instrText xml:space="preserve"> = 7 \* GB3 \* MERGEFORMAT </w:instrText>
            </w:r>
            <w:r>
              <w:rPr>
                <w:rFonts w:ascii="Times New Roman" w:hAnsi="Times New Roman" w:eastAsia="黑体"/>
                <w:snapToGrid w:val="0"/>
                <w:color w:val="auto"/>
                <w:spacing w:val="-6"/>
                <w:kern w:val="21"/>
                <w:szCs w:val="21"/>
              </w:rPr>
              <w:fldChar w:fldCharType="separate"/>
            </w:r>
            <w:r>
              <w:rPr>
                <w:rFonts w:hint="eastAsia" w:ascii="宋体" w:hAnsi="宋体" w:cs="宋体"/>
                <w:color w:val="auto"/>
                <w:szCs w:val="21"/>
              </w:rPr>
              <w:t>⑦</w:t>
            </w:r>
            <w:r>
              <w:rPr>
                <w:rFonts w:ascii="Times New Roman" w:hAnsi="Times New Roman" w:eastAsia="黑体"/>
                <w:snapToGrid w:val="0"/>
                <w:color w:val="auto"/>
                <w:spacing w:val="-6"/>
                <w:kern w:val="21"/>
                <w:szCs w:val="21"/>
              </w:rPr>
              <w:fldChar w:fldCharType="end"/>
            </w:r>
          </w:p>
        </w:tc>
      </w:tr>
      <w:tr w14:paraId="74E1F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162" w:type="dxa"/>
            <w:vMerge w:val="restart"/>
            <w:vAlign w:val="center"/>
          </w:tcPr>
          <w:p w14:paraId="4E4352FC">
            <w:pPr>
              <w:pStyle w:val="71"/>
              <w:rPr>
                <w:rFonts w:ascii="Times New Roman" w:hAnsi="Times New Roman"/>
                <w:snapToGrid w:val="0"/>
                <w:color w:val="auto"/>
                <w:kern w:val="21"/>
                <w:szCs w:val="21"/>
              </w:rPr>
            </w:pPr>
            <w:bookmarkStart w:id="96" w:name="OLE_LINK79" w:colFirst="6" w:colLast="6"/>
            <w:r>
              <w:rPr>
                <w:rFonts w:ascii="Times New Roman" w:hAnsi="Times New Roman"/>
                <w:snapToGrid w:val="0"/>
                <w:color w:val="auto"/>
                <w:kern w:val="21"/>
                <w:szCs w:val="21"/>
              </w:rPr>
              <w:t>废气</w:t>
            </w:r>
          </w:p>
        </w:tc>
        <w:tc>
          <w:tcPr>
            <w:tcW w:w="688" w:type="dxa"/>
            <w:vAlign w:val="center"/>
          </w:tcPr>
          <w:p w14:paraId="6FA48A98">
            <w:pPr>
              <w:widowControl/>
              <w:adjustRightInd w:val="0"/>
              <w:snapToGrid w:val="0"/>
              <w:spacing w:line="240" w:lineRule="auto"/>
              <w:jc w:val="center"/>
              <w:textAlignment w:val="center"/>
              <w:rPr>
                <w:snapToGrid w:val="0"/>
                <w:color w:val="auto"/>
                <w:kern w:val="21"/>
                <w:sz w:val="21"/>
                <w:szCs w:val="21"/>
              </w:rPr>
            </w:pPr>
            <w:r>
              <w:rPr>
                <w:rFonts w:hint="eastAsia"/>
                <w:snapToGrid w:val="0"/>
                <w:color w:val="auto"/>
                <w:kern w:val="21"/>
                <w:sz w:val="21"/>
                <w:szCs w:val="21"/>
              </w:rPr>
              <w:t>DA001</w:t>
            </w:r>
          </w:p>
        </w:tc>
        <w:tc>
          <w:tcPr>
            <w:tcW w:w="1415" w:type="dxa"/>
            <w:vAlign w:val="center"/>
          </w:tcPr>
          <w:p w14:paraId="2F81C3CE">
            <w:pPr>
              <w:spacing w:line="240" w:lineRule="auto"/>
              <w:jc w:val="center"/>
              <w:rPr>
                <w:snapToGrid w:val="0"/>
                <w:color w:val="auto"/>
                <w:kern w:val="21"/>
                <w:sz w:val="21"/>
                <w:szCs w:val="21"/>
              </w:rPr>
            </w:pPr>
            <w:bookmarkStart w:id="97" w:name="OLE_LINK78"/>
            <w:r>
              <w:rPr>
                <w:rFonts w:hint="eastAsia"/>
                <w:color w:val="auto"/>
                <w:sz w:val="21"/>
                <w:szCs w:val="21"/>
              </w:rPr>
              <w:t>NMHC</w:t>
            </w:r>
            <w:bookmarkStart w:id="98" w:name="_GoBack"/>
            <w:r>
              <w:rPr>
                <w:rFonts w:hint="eastAsia"/>
                <w:color w:val="auto"/>
                <w:sz w:val="21"/>
                <w:szCs w:val="21"/>
              </w:rPr>
              <w:t>（</w:t>
            </w:r>
            <w:bookmarkEnd w:id="98"/>
            <w:r>
              <w:rPr>
                <w:rFonts w:hint="eastAsia"/>
                <w:color w:val="auto"/>
                <w:sz w:val="21"/>
                <w:szCs w:val="21"/>
              </w:rPr>
              <w:t>t/a）</w:t>
            </w:r>
            <w:bookmarkEnd w:id="97"/>
          </w:p>
        </w:tc>
        <w:tc>
          <w:tcPr>
            <w:tcW w:w="1455" w:type="dxa"/>
            <w:vAlign w:val="center"/>
          </w:tcPr>
          <w:p w14:paraId="79B55450">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32ECD003">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6C07A3A2">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77E2C24A">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0.544</w:t>
            </w:r>
          </w:p>
        </w:tc>
        <w:tc>
          <w:tcPr>
            <w:tcW w:w="1650" w:type="dxa"/>
            <w:vAlign w:val="center"/>
          </w:tcPr>
          <w:p w14:paraId="2C6A25A7">
            <w:pPr>
              <w:spacing w:line="240" w:lineRule="auto"/>
              <w:jc w:val="center"/>
              <w:rPr>
                <w:snapToGrid w:val="0"/>
                <w:color w:val="auto"/>
                <w:kern w:val="21"/>
                <w:sz w:val="21"/>
                <w:szCs w:val="21"/>
              </w:rPr>
            </w:pPr>
            <w:r>
              <w:rPr>
                <w:rFonts w:hint="eastAsia"/>
                <w:color w:val="auto"/>
                <w:sz w:val="21"/>
                <w:szCs w:val="21"/>
              </w:rPr>
              <w:t>0</w:t>
            </w:r>
          </w:p>
        </w:tc>
        <w:tc>
          <w:tcPr>
            <w:tcW w:w="1586" w:type="dxa"/>
            <w:vAlign w:val="center"/>
          </w:tcPr>
          <w:p w14:paraId="7EE20DBC">
            <w:pPr>
              <w:spacing w:line="240" w:lineRule="auto"/>
              <w:jc w:val="center"/>
              <w:rPr>
                <w:color w:val="auto"/>
                <w:sz w:val="21"/>
                <w:szCs w:val="21"/>
              </w:rPr>
            </w:pPr>
            <w:r>
              <w:rPr>
                <w:rFonts w:hint="eastAsia"/>
                <w:color w:val="auto"/>
                <w:sz w:val="21"/>
                <w:szCs w:val="21"/>
                <w:lang w:val="en-US" w:eastAsia="zh-CN"/>
              </w:rPr>
              <w:t>0.544</w:t>
            </w:r>
          </w:p>
        </w:tc>
        <w:tc>
          <w:tcPr>
            <w:tcW w:w="1214" w:type="dxa"/>
            <w:vAlign w:val="center"/>
          </w:tcPr>
          <w:p w14:paraId="0DBB0C3F">
            <w:pPr>
              <w:spacing w:line="240" w:lineRule="auto"/>
              <w:jc w:val="center"/>
              <w:rPr>
                <w:color w:val="auto"/>
                <w:sz w:val="21"/>
                <w:szCs w:val="21"/>
              </w:rPr>
            </w:pPr>
            <w:r>
              <w:rPr>
                <w:rFonts w:hint="eastAsia"/>
                <w:color w:val="auto"/>
                <w:sz w:val="21"/>
                <w:szCs w:val="21"/>
                <w:lang w:val="en-US" w:eastAsia="zh-CN"/>
              </w:rPr>
              <w:t>+0.544</w:t>
            </w:r>
          </w:p>
        </w:tc>
      </w:tr>
      <w:tr w14:paraId="122AD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6CA35513">
            <w:pPr>
              <w:pStyle w:val="71"/>
              <w:rPr>
                <w:rFonts w:ascii="Times New Roman" w:hAnsi="Times New Roman"/>
                <w:snapToGrid w:val="0"/>
                <w:color w:val="auto"/>
                <w:kern w:val="21"/>
                <w:szCs w:val="21"/>
              </w:rPr>
            </w:pPr>
          </w:p>
        </w:tc>
        <w:tc>
          <w:tcPr>
            <w:tcW w:w="688" w:type="dxa"/>
            <w:vAlign w:val="center"/>
          </w:tcPr>
          <w:p w14:paraId="4331902F">
            <w:pPr>
              <w:spacing w:line="240" w:lineRule="auto"/>
              <w:jc w:val="center"/>
              <w:rPr>
                <w:snapToGrid w:val="0"/>
                <w:color w:val="auto"/>
                <w:kern w:val="21"/>
                <w:sz w:val="21"/>
                <w:szCs w:val="21"/>
              </w:rPr>
            </w:pPr>
            <w:r>
              <w:rPr>
                <w:rFonts w:hint="eastAsia"/>
                <w:snapToGrid w:val="0"/>
                <w:color w:val="auto"/>
                <w:kern w:val="21"/>
                <w:sz w:val="21"/>
                <w:szCs w:val="21"/>
              </w:rPr>
              <w:t>生产区</w:t>
            </w:r>
          </w:p>
        </w:tc>
        <w:tc>
          <w:tcPr>
            <w:tcW w:w="1415" w:type="dxa"/>
            <w:vAlign w:val="center"/>
          </w:tcPr>
          <w:p w14:paraId="5AD679A3">
            <w:pPr>
              <w:spacing w:line="240" w:lineRule="auto"/>
              <w:jc w:val="center"/>
              <w:rPr>
                <w:color w:val="auto"/>
                <w:sz w:val="21"/>
                <w:szCs w:val="21"/>
              </w:rPr>
            </w:pPr>
            <w:r>
              <w:rPr>
                <w:rFonts w:hint="eastAsia"/>
                <w:color w:val="auto"/>
                <w:sz w:val="21"/>
                <w:szCs w:val="21"/>
              </w:rPr>
              <w:t>NMHC（t/a）</w:t>
            </w:r>
          </w:p>
        </w:tc>
        <w:tc>
          <w:tcPr>
            <w:tcW w:w="1455" w:type="dxa"/>
            <w:vAlign w:val="center"/>
          </w:tcPr>
          <w:p w14:paraId="3EEDB405">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0FFBB326">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62B3C961">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14AB45DA">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2.333</w:t>
            </w:r>
          </w:p>
        </w:tc>
        <w:tc>
          <w:tcPr>
            <w:tcW w:w="1650" w:type="dxa"/>
            <w:vAlign w:val="center"/>
          </w:tcPr>
          <w:p w14:paraId="6EEBA9F7">
            <w:pPr>
              <w:spacing w:line="240" w:lineRule="auto"/>
              <w:jc w:val="center"/>
              <w:rPr>
                <w:color w:val="auto"/>
                <w:sz w:val="21"/>
                <w:szCs w:val="21"/>
              </w:rPr>
            </w:pPr>
            <w:r>
              <w:rPr>
                <w:rFonts w:hint="eastAsia"/>
                <w:color w:val="auto"/>
                <w:sz w:val="21"/>
                <w:szCs w:val="21"/>
              </w:rPr>
              <w:t>0</w:t>
            </w:r>
          </w:p>
        </w:tc>
        <w:tc>
          <w:tcPr>
            <w:tcW w:w="1586" w:type="dxa"/>
            <w:vAlign w:val="center"/>
          </w:tcPr>
          <w:p w14:paraId="11796514">
            <w:pPr>
              <w:spacing w:line="240" w:lineRule="auto"/>
              <w:jc w:val="center"/>
              <w:rPr>
                <w:color w:val="auto"/>
                <w:sz w:val="21"/>
                <w:szCs w:val="21"/>
              </w:rPr>
            </w:pPr>
            <w:r>
              <w:rPr>
                <w:rFonts w:hint="eastAsia"/>
                <w:color w:val="auto"/>
                <w:sz w:val="21"/>
                <w:szCs w:val="21"/>
                <w:lang w:val="en-US" w:eastAsia="zh-CN"/>
              </w:rPr>
              <w:t>2.333</w:t>
            </w:r>
          </w:p>
        </w:tc>
        <w:tc>
          <w:tcPr>
            <w:tcW w:w="1214" w:type="dxa"/>
            <w:vAlign w:val="center"/>
          </w:tcPr>
          <w:p w14:paraId="7C213405">
            <w:pPr>
              <w:spacing w:line="240" w:lineRule="auto"/>
              <w:jc w:val="center"/>
              <w:rPr>
                <w:color w:val="auto"/>
                <w:sz w:val="21"/>
                <w:szCs w:val="21"/>
              </w:rPr>
            </w:pPr>
            <w:r>
              <w:rPr>
                <w:rFonts w:hint="eastAsia"/>
                <w:color w:val="auto"/>
                <w:sz w:val="21"/>
                <w:szCs w:val="21"/>
                <w:lang w:val="en-US" w:eastAsia="zh-CN"/>
              </w:rPr>
              <w:t>+2.333</w:t>
            </w:r>
          </w:p>
        </w:tc>
      </w:tr>
      <w:tr w14:paraId="476E2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restart"/>
            <w:vAlign w:val="center"/>
          </w:tcPr>
          <w:p w14:paraId="22027E93">
            <w:pPr>
              <w:pStyle w:val="71"/>
              <w:rPr>
                <w:rFonts w:ascii="Times New Roman" w:hAnsi="Times New Roman"/>
                <w:snapToGrid w:val="0"/>
                <w:color w:val="auto"/>
                <w:kern w:val="21"/>
                <w:szCs w:val="21"/>
              </w:rPr>
            </w:pPr>
            <w:r>
              <w:rPr>
                <w:rFonts w:ascii="Times New Roman" w:hAnsi="Times New Roman"/>
                <w:snapToGrid w:val="0"/>
                <w:color w:val="auto"/>
                <w:kern w:val="21"/>
                <w:szCs w:val="21"/>
              </w:rPr>
              <w:t>废水</w:t>
            </w:r>
          </w:p>
        </w:tc>
        <w:tc>
          <w:tcPr>
            <w:tcW w:w="2103" w:type="dxa"/>
            <w:gridSpan w:val="2"/>
            <w:vAlign w:val="center"/>
          </w:tcPr>
          <w:p w14:paraId="12372AC6">
            <w:pPr>
              <w:pStyle w:val="71"/>
              <w:rPr>
                <w:rFonts w:ascii="Times New Roman" w:hAnsi="Times New Roman"/>
                <w:snapToGrid w:val="0"/>
                <w:color w:val="auto"/>
                <w:kern w:val="21"/>
                <w:szCs w:val="21"/>
              </w:rPr>
            </w:pPr>
            <w:r>
              <w:rPr>
                <w:rFonts w:ascii="Times New Roman" w:hAnsi="Times New Roman"/>
                <w:snapToGrid w:val="0"/>
                <w:color w:val="auto"/>
                <w:kern w:val="21"/>
                <w:szCs w:val="21"/>
              </w:rPr>
              <w:t>废水量</w:t>
            </w:r>
            <w:r>
              <w:rPr>
                <w:rFonts w:hint="eastAsia" w:ascii="Times New Roman" w:hAnsi="Times New Roman"/>
                <w:snapToGrid w:val="0"/>
                <w:color w:val="auto"/>
                <w:kern w:val="21"/>
                <w:szCs w:val="21"/>
              </w:rPr>
              <w:t>（</w:t>
            </w:r>
            <w:r>
              <w:rPr>
                <w:rFonts w:ascii="Times New Roman" w:hAnsi="Times New Roman"/>
                <w:snapToGrid w:val="0"/>
                <w:color w:val="auto"/>
                <w:kern w:val="21"/>
                <w:szCs w:val="21"/>
              </w:rPr>
              <w:t>m</w:t>
            </w:r>
            <w:r>
              <w:rPr>
                <w:rFonts w:ascii="Times New Roman" w:hAnsi="Times New Roman"/>
                <w:snapToGrid w:val="0"/>
                <w:color w:val="auto"/>
                <w:kern w:val="21"/>
                <w:szCs w:val="21"/>
                <w:vertAlign w:val="superscript"/>
              </w:rPr>
              <w:t>3</w:t>
            </w:r>
            <w:r>
              <w:rPr>
                <w:rFonts w:ascii="Times New Roman" w:hAnsi="Times New Roman"/>
                <w:snapToGrid w:val="0"/>
                <w:color w:val="auto"/>
                <w:kern w:val="21"/>
                <w:szCs w:val="21"/>
              </w:rPr>
              <w:t>/a</w:t>
            </w:r>
            <w:r>
              <w:rPr>
                <w:rFonts w:hint="eastAsia" w:ascii="Times New Roman" w:hAnsi="Times New Roman"/>
                <w:snapToGrid w:val="0"/>
                <w:color w:val="auto"/>
                <w:kern w:val="21"/>
                <w:szCs w:val="21"/>
              </w:rPr>
              <w:t>）</w:t>
            </w:r>
          </w:p>
        </w:tc>
        <w:tc>
          <w:tcPr>
            <w:tcW w:w="1455" w:type="dxa"/>
            <w:vAlign w:val="center"/>
          </w:tcPr>
          <w:p w14:paraId="38B5E929">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78FA4184">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4AD03896">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38C7ECEF">
            <w:pPr>
              <w:pStyle w:val="111"/>
              <w:adjustRightInd w:val="0"/>
              <w:snapToGrid w:val="0"/>
              <w:rPr>
                <w:color w:val="auto"/>
                <w:szCs w:val="21"/>
              </w:rPr>
            </w:pPr>
            <w:r>
              <w:rPr>
                <w:rFonts w:hint="eastAsia"/>
                <w:color w:val="auto"/>
                <w:szCs w:val="21"/>
              </w:rPr>
              <w:t>60</w:t>
            </w:r>
          </w:p>
        </w:tc>
        <w:tc>
          <w:tcPr>
            <w:tcW w:w="1650" w:type="dxa"/>
            <w:vAlign w:val="center"/>
          </w:tcPr>
          <w:p w14:paraId="0DBC238A">
            <w:pPr>
              <w:pStyle w:val="111"/>
              <w:adjustRightInd w:val="0"/>
              <w:snapToGrid w:val="0"/>
              <w:rPr>
                <w:color w:val="auto"/>
                <w:szCs w:val="21"/>
              </w:rPr>
            </w:pPr>
            <w:r>
              <w:rPr>
                <w:rFonts w:hint="eastAsia"/>
                <w:color w:val="auto"/>
                <w:szCs w:val="21"/>
              </w:rPr>
              <w:t>0</w:t>
            </w:r>
          </w:p>
        </w:tc>
        <w:tc>
          <w:tcPr>
            <w:tcW w:w="1586" w:type="dxa"/>
            <w:vAlign w:val="center"/>
          </w:tcPr>
          <w:p w14:paraId="7CC9ED81">
            <w:pPr>
              <w:pStyle w:val="111"/>
              <w:adjustRightInd w:val="0"/>
              <w:snapToGrid w:val="0"/>
              <w:rPr>
                <w:color w:val="auto"/>
                <w:szCs w:val="21"/>
              </w:rPr>
            </w:pPr>
            <w:r>
              <w:rPr>
                <w:rFonts w:hint="eastAsia"/>
                <w:color w:val="auto"/>
                <w:szCs w:val="21"/>
              </w:rPr>
              <w:t>60</w:t>
            </w:r>
          </w:p>
        </w:tc>
        <w:tc>
          <w:tcPr>
            <w:tcW w:w="1214" w:type="dxa"/>
            <w:vAlign w:val="center"/>
          </w:tcPr>
          <w:p w14:paraId="68C129BD">
            <w:pPr>
              <w:pStyle w:val="111"/>
              <w:adjustRightInd w:val="0"/>
              <w:snapToGrid w:val="0"/>
              <w:rPr>
                <w:color w:val="auto"/>
                <w:szCs w:val="21"/>
              </w:rPr>
            </w:pPr>
            <w:r>
              <w:rPr>
                <w:rFonts w:hint="eastAsia"/>
                <w:color w:val="auto"/>
                <w:szCs w:val="21"/>
              </w:rPr>
              <w:t>+60</w:t>
            </w:r>
          </w:p>
        </w:tc>
      </w:tr>
      <w:tr w14:paraId="6EDC3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602A021E">
            <w:pPr>
              <w:pStyle w:val="71"/>
              <w:rPr>
                <w:rFonts w:ascii="Times New Roman" w:hAnsi="Times New Roman"/>
                <w:snapToGrid w:val="0"/>
                <w:color w:val="auto"/>
                <w:kern w:val="21"/>
                <w:szCs w:val="21"/>
              </w:rPr>
            </w:pPr>
          </w:p>
        </w:tc>
        <w:tc>
          <w:tcPr>
            <w:tcW w:w="2103" w:type="dxa"/>
            <w:gridSpan w:val="2"/>
            <w:vAlign w:val="center"/>
          </w:tcPr>
          <w:p w14:paraId="362CA99A">
            <w:pPr>
              <w:widowControl/>
              <w:adjustRightInd w:val="0"/>
              <w:snapToGrid w:val="0"/>
              <w:spacing w:line="240" w:lineRule="auto"/>
              <w:jc w:val="center"/>
              <w:textAlignment w:val="center"/>
              <w:rPr>
                <w:snapToGrid w:val="0"/>
                <w:color w:val="auto"/>
                <w:kern w:val="21"/>
                <w:sz w:val="21"/>
                <w:szCs w:val="21"/>
              </w:rPr>
            </w:pPr>
            <w:r>
              <w:rPr>
                <w:color w:val="auto"/>
                <w:kern w:val="0"/>
                <w:sz w:val="21"/>
                <w:szCs w:val="21"/>
                <w:lang w:bidi="ar"/>
              </w:rPr>
              <w:t>COD</w:t>
            </w:r>
            <w:r>
              <w:rPr>
                <w:rStyle w:val="86"/>
                <w:color w:val="auto"/>
                <w:lang w:bidi="ar"/>
              </w:rPr>
              <w:t>cr</w:t>
            </w:r>
            <w:r>
              <w:rPr>
                <w:rStyle w:val="86"/>
                <w:rFonts w:hint="eastAsia"/>
                <w:color w:val="auto"/>
                <w:vertAlign w:val="baseline"/>
                <w:lang w:bidi="ar"/>
              </w:rPr>
              <w:t>（t/a）</w:t>
            </w:r>
          </w:p>
        </w:tc>
        <w:tc>
          <w:tcPr>
            <w:tcW w:w="1455" w:type="dxa"/>
            <w:vAlign w:val="center"/>
          </w:tcPr>
          <w:p w14:paraId="2D8B1A39">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29876D5B">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12CB7997">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16A03C25">
            <w:pPr>
              <w:pStyle w:val="126"/>
              <w:tabs>
                <w:tab w:val="left" w:pos="720"/>
              </w:tabs>
              <w:jc w:val="center"/>
              <w:rPr>
                <w:color w:val="auto"/>
                <w:sz w:val="21"/>
                <w:szCs w:val="21"/>
                <w:lang w:bidi="ar"/>
              </w:rPr>
            </w:pPr>
            <w:r>
              <w:rPr>
                <w:rFonts w:hint="eastAsia"/>
                <w:color w:val="auto"/>
                <w:sz w:val="21"/>
                <w:szCs w:val="21"/>
                <w:lang w:bidi="ar"/>
              </w:rPr>
              <w:t>0.012</w:t>
            </w:r>
          </w:p>
        </w:tc>
        <w:tc>
          <w:tcPr>
            <w:tcW w:w="1650" w:type="dxa"/>
            <w:vAlign w:val="center"/>
          </w:tcPr>
          <w:p w14:paraId="3D8028A4">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86" w:type="dxa"/>
            <w:vAlign w:val="center"/>
          </w:tcPr>
          <w:p w14:paraId="37943F52">
            <w:pPr>
              <w:pStyle w:val="126"/>
              <w:tabs>
                <w:tab w:val="left" w:pos="720"/>
              </w:tabs>
              <w:jc w:val="center"/>
              <w:rPr>
                <w:color w:val="auto"/>
                <w:sz w:val="21"/>
                <w:szCs w:val="21"/>
              </w:rPr>
            </w:pPr>
            <w:r>
              <w:rPr>
                <w:rFonts w:hint="eastAsia"/>
                <w:color w:val="auto"/>
                <w:sz w:val="21"/>
                <w:szCs w:val="21"/>
                <w:lang w:bidi="ar"/>
              </w:rPr>
              <w:t>0.012</w:t>
            </w:r>
          </w:p>
        </w:tc>
        <w:tc>
          <w:tcPr>
            <w:tcW w:w="1214" w:type="dxa"/>
            <w:vAlign w:val="center"/>
          </w:tcPr>
          <w:p w14:paraId="300D5C5C">
            <w:pPr>
              <w:pStyle w:val="126"/>
              <w:tabs>
                <w:tab w:val="left" w:pos="720"/>
              </w:tabs>
              <w:jc w:val="center"/>
              <w:rPr>
                <w:color w:val="auto"/>
                <w:sz w:val="21"/>
                <w:szCs w:val="21"/>
              </w:rPr>
            </w:pPr>
            <w:r>
              <w:rPr>
                <w:rFonts w:hint="eastAsia"/>
                <w:color w:val="auto"/>
                <w:sz w:val="21"/>
                <w:szCs w:val="21"/>
                <w:lang w:bidi="ar"/>
              </w:rPr>
              <w:t>+0.012</w:t>
            </w:r>
          </w:p>
        </w:tc>
      </w:tr>
      <w:tr w14:paraId="149C4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6150DBCB">
            <w:pPr>
              <w:pStyle w:val="71"/>
              <w:rPr>
                <w:rFonts w:ascii="Times New Roman" w:hAnsi="Times New Roman"/>
                <w:snapToGrid w:val="0"/>
                <w:color w:val="auto"/>
                <w:kern w:val="21"/>
                <w:szCs w:val="21"/>
              </w:rPr>
            </w:pPr>
          </w:p>
        </w:tc>
        <w:tc>
          <w:tcPr>
            <w:tcW w:w="2103" w:type="dxa"/>
            <w:gridSpan w:val="2"/>
            <w:vAlign w:val="center"/>
          </w:tcPr>
          <w:p w14:paraId="72099122">
            <w:pPr>
              <w:widowControl/>
              <w:adjustRightInd w:val="0"/>
              <w:snapToGrid w:val="0"/>
              <w:spacing w:line="240" w:lineRule="auto"/>
              <w:jc w:val="center"/>
              <w:textAlignment w:val="center"/>
              <w:rPr>
                <w:snapToGrid w:val="0"/>
                <w:color w:val="auto"/>
                <w:kern w:val="21"/>
                <w:sz w:val="21"/>
                <w:szCs w:val="21"/>
              </w:rPr>
            </w:pPr>
            <w:r>
              <w:rPr>
                <w:color w:val="auto"/>
                <w:kern w:val="0"/>
                <w:sz w:val="21"/>
                <w:szCs w:val="21"/>
                <w:lang w:bidi="ar"/>
              </w:rPr>
              <w:t>BOD</w:t>
            </w:r>
            <w:r>
              <w:rPr>
                <w:rStyle w:val="86"/>
                <w:color w:val="auto"/>
                <w:lang w:bidi="ar"/>
              </w:rPr>
              <w:t>5</w:t>
            </w:r>
            <w:r>
              <w:rPr>
                <w:rStyle w:val="86"/>
                <w:rFonts w:hint="eastAsia"/>
                <w:color w:val="auto"/>
                <w:vertAlign w:val="baseline"/>
                <w:lang w:bidi="ar"/>
              </w:rPr>
              <w:t>（t/a）</w:t>
            </w:r>
          </w:p>
        </w:tc>
        <w:tc>
          <w:tcPr>
            <w:tcW w:w="1455" w:type="dxa"/>
            <w:vAlign w:val="center"/>
          </w:tcPr>
          <w:p w14:paraId="2D523DC9">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66D4C49C">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099CA010">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3A6D6EAB">
            <w:pPr>
              <w:pStyle w:val="126"/>
              <w:tabs>
                <w:tab w:val="left" w:pos="720"/>
              </w:tabs>
              <w:jc w:val="center"/>
              <w:rPr>
                <w:color w:val="auto"/>
                <w:sz w:val="21"/>
                <w:szCs w:val="21"/>
                <w:lang w:bidi="ar"/>
              </w:rPr>
            </w:pPr>
            <w:r>
              <w:rPr>
                <w:rFonts w:hint="eastAsia"/>
                <w:color w:val="auto"/>
                <w:sz w:val="21"/>
                <w:szCs w:val="21"/>
                <w:lang w:bidi="ar"/>
              </w:rPr>
              <w:t>0.006</w:t>
            </w:r>
          </w:p>
        </w:tc>
        <w:tc>
          <w:tcPr>
            <w:tcW w:w="1650" w:type="dxa"/>
            <w:vAlign w:val="center"/>
          </w:tcPr>
          <w:p w14:paraId="641B53D8">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86" w:type="dxa"/>
            <w:vAlign w:val="center"/>
          </w:tcPr>
          <w:p w14:paraId="51B3ABE4">
            <w:pPr>
              <w:pStyle w:val="126"/>
              <w:tabs>
                <w:tab w:val="left" w:pos="720"/>
              </w:tabs>
              <w:jc w:val="center"/>
              <w:rPr>
                <w:color w:val="auto"/>
                <w:sz w:val="21"/>
                <w:szCs w:val="21"/>
              </w:rPr>
            </w:pPr>
            <w:r>
              <w:rPr>
                <w:rFonts w:hint="eastAsia"/>
                <w:color w:val="auto"/>
                <w:sz w:val="21"/>
                <w:szCs w:val="21"/>
                <w:lang w:bidi="ar"/>
              </w:rPr>
              <w:t>0.006</w:t>
            </w:r>
          </w:p>
        </w:tc>
        <w:tc>
          <w:tcPr>
            <w:tcW w:w="1214" w:type="dxa"/>
            <w:vAlign w:val="center"/>
          </w:tcPr>
          <w:p w14:paraId="7042BEA9">
            <w:pPr>
              <w:pStyle w:val="126"/>
              <w:tabs>
                <w:tab w:val="left" w:pos="720"/>
              </w:tabs>
              <w:jc w:val="center"/>
              <w:rPr>
                <w:color w:val="auto"/>
                <w:sz w:val="21"/>
                <w:szCs w:val="21"/>
              </w:rPr>
            </w:pPr>
            <w:r>
              <w:rPr>
                <w:rFonts w:hint="eastAsia"/>
                <w:color w:val="auto"/>
                <w:sz w:val="21"/>
                <w:szCs w:val="21"/>
                <w:lang w:bidi="ar"/>
              </w:rPr>
              <w:t>+0.006</w:t>
            </w:r>
          </w:p>
        </w:tc>
      </w:tr>
      <w:tr w14:paraId="552ED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7F25DC53">
            <w:pPr>
              <w:pStyle w:val="71"/>
              <w:rPr>
                <w:rFonts w:ascii="Times New Roman" w:hAnsi="Times New Roman"/>
                <w:snapToGrid w:val="0"/>
                <w:color w:val="auto"/>
                <w:kern w:val="21"/>
                <w:szCs w:val="21"/>
              </w:rPr>
            </w:pPr>
          </w:p>
        </w:tc>
        <w:tc>
          <w:tcPr>
            <w:tcW w:w="2103" w:type="dxa"/>
            <w:gridSpan w:val="2"/>
            <w:vAlign w:val="center"/>
          </w:tcPr>
          <w:p w14:paraId="43FF70CE">
            <w:pPr>
              <w:widowControl/>
              <w:adjustRightInd w:val="0"/>
              <w:snapToGrid w:val="0"/>
              <w:spacing w:line="240" w:lineRule="auto"/>
              <w:jc w:val="center"/>
              <w:textAlignment w:val="center"/>
              <w:rPr>
                <w:snapToGrid w:val="0"/>
                <w:color w:val="auto"/>
                <w:kern w:val="21"/>
                <w:sz w:val="21"/>
                <w:szCs w:val="21"/>
              </w:rPr>
            </w:pPr>
            <w:r>
              <w:rPr>
                <w:color w:val="auto"/>
                <w:kern w:val="0"/>
                <w:sz w:val="21"/>
                <w:szCs w:val="21"/>
                <w:lang w:bidi="ar"/>
              </w:rPr>
              <w:t>SS</w:t>
            </w:r>
            <w:r>
              <w:rPr>
                <w:rStyle w:val="86"/>
                <w:rFonts w:hint="eastAsia"/>
                <w:color w:val="auto"/>
                <w:vertAlign w:val="baseline"/>
                <w:lang w:bidi="ar"/>
              </w:rPr>
              <w:t>（t/a）</w:t>
            </w:r>
          </w:p>
        </w:tc>
        <w:tc>
          <w:tcPr>
            <w:tcW w:w="1455" w:type="dxa"/>
            <w:vAlign w:val="center"/>
          </w:tcPr>
          <w:p w14:paraId="3E6EAE8A">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02C70D22">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2ECA8D94">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01364B40">
            <w:pPr>
              <w:pStyle w:val="126"/>
              <w:tabs>
                <w:tab w:val="left" w:pos="720"/>
              </w:tabs>
              <w:jc w:val="center"/>
              <w:rPr>
                <w:color w:val="auto"/>
                <w:sz w:val="21"/>
                <w:szCs w:val="21"/>
                <w:lang w:bidi="ar"/>
              </w:rPr>
            </w:pPr>
            <w:r>
              <w:rPr>
                <w:rFonts w:hint="eastAsia"/>
                <w:color w:val="auto"/>
                <w:sz w:val="21"/>
                <w:szCs w:val="21"/>
                <w:lang w:bidi="ar"/>
              </w:rPr>
              <w:t>0.006</w:t>
            </w:r>
          </w:p>
        </w:tc>
        <w:tc>
          <w:tcPr>
            <w:tcW w:w="1650" w:type="dxa"/>
            <w:vAlign w:val="center"/>
          </w:tcPr>
          <w:p w14:paraId="4AB7FD01">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86" w:type="dxa"/>
            <w:vAlign w:val="center"/>
          </w:tcPr>
          <w:p w14:paraId="6B933514">
            <w:pPr>
              <w:pStyle w:val="126"/>
              <w:tabs>
                <w:tab w:val="left" w:pos="720"/>
              </w:tabs>
              <w:jc w:val="center"/>
              <w:rPr>
                <w:color w:val="auto"/>
                <w:sz w:val="21"/>
                <w:szCs w:val="21"/>
              </w:rPr>
            </w:pPr>
            <w:r>
              <w:rPr>
                <w:rFonts w:hint="eastAsia"/>
                <w:color w:val="auto"/>
                <w:sz w:val="21"/>
                <w:szCs w:val="21"/>
                <w:lang w:bidi="ar"/>
              </w:rPr>
              <w:t>0.006</w:t>
            </w:r>
          </w:p>
        </w:tc>
        <w:tc>
          <w:tcPr>
            <w:tcW w:w="1214" w:type="dxa"/>
            <w:vAlign w:val="center"/>
          </w:tcPr>
          <w:p w14:paraId="2AF24282">
            <w:pPr>
              <w:pStyle w:val="126"/>
              <w:tabs>
                <w:tab w:val="left" w:pos="720"/>
              </w:tabs>
              <w:jc w:val="center"/>
              <w:rPr>
                <w:color w:val="auto"/>
                <w:sz w:val="21"/>
                <w:szCs w:val="21"/>
              </w:rPr>
            </w:pPr>
            <w:r>
              <w:rPr>
                <w:rFonts w:hint="eastAsia"/>
                <w:color w:val="auto"/>
                <w:sz w:val="21"/>
                <w:szCs w:val="21"/>
                <w:lang w:bidi="ar"/>
              </w:rPr>
              <w:t>+0.006</w:t>
            </w:r>
          </w:p>
        </w:tc>
      </w:tr>
      <w:tr w14:paraId="756B9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039A1B68">
            <w:pPr>
              <w:pStyle w:val="71"/>
              <w:rPr>
                <w:rFonts w:ascii="Times New Roman" w:hAnsi="Times New Roman"/>
                <w:snapToGrid w:val="0"/>
                <w:color w:val="auto"/>
                <w:kern w:val="21"/>
                <w:szCs w:val="21"/>
              </w:rPr>
            </w:pPr>
          </w:p>
        </w:tc>
        <w:tc>
          <w:tcPr>
            <w:tcW w:w="2103" w:type="dxa"/>
            <w:gridSpan w:val="2"/>
            <w:vAlign w:val="center"/>
          </w:tcPr>
          <w:p w14:paraId="55A6AE98">
            <w:pPr>
              <w:widowControl/>
              <w:adjustRightInd w:val="0"/>
              <w:snapToGrid w:val="0"/>
              <w:spacing w:line="240" w:lineRule="auto"/>
              <w:jc w:val="center"/>
              <w:textAlignment w:val="center"/>
              <w:rPr>
                <w:snapToGrid w:val="0"/>
                <w:color w:val="auto"/>
                <w:kern w:val="21"/>
                <w:sz w:val="21"/>
                <w:szCs w:val="21"/>
              </w:rPr>
            </w:pPr>
            <w:r>
              <w:rPr>
                <w:color w:val="auto"/>
                <w:kern w:val="0"/>
                <w:sz w:val="21"/>
                <w:szCs w:val="21"/>
                <w:lang w:bidi="ar"/>
              </w:rPr>
              <w:t>NH</w:t>
            </w:r>
            <w:r>
              <w:rPr>
                <w:rStyle w:val="86"/>
                <w:color w:val="auto"/>
                <w:lang w:bidi="ar"/>
              </w:rPr>
              <w:t>3</w:t>
            </w:r>
            <w:r>
              <w:rPr>
                <w:color w:val="auto"/>
                <w:kern w:val="0"/>
                <w:sz w:val="21"/>
                <w:szCs w:val="21"/>
                <w:lang w:bidi="ar"/>
              </w:rPr>
              <w:t>-N</w:t>
            </w:r>
            <w:r>
              <w:rPr>
                <w:rStyle w:val="86"/>
                <w:rFonts w:hint="eastAsia"/>
                <w:color w:val="auto"/>
                <w:vertAlign w:val="baseline"/>
                <w:lang w:bidi="ar"/>
              </w:rPr>
              <w:t>（t/a）</w:t>
            </w:r>
          </w:p>
        </w:tc>
        <w:tc>
          <w:tcPr>
            <w:tcW w:w="1455" w:type="dxa"/>
            <w:vAlign w:val="center"/>
          </w:tcPr>
          <w:p w14:paraId="6EAE06FC">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6DCDBCBB">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6EAF480D">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1ED122C6">
            <w:pPr>
              <w:pStyle w:val="126"/>
              <w:tabs>
                <w:tab w:val="left" w:pos="720"/>
              </w:tabs>
              <w:jc w:val="center"/>
              <w:rPr>
                <w:color w:val="auto"/>
                <w:sz w:val="21"/>
                <w:szCs w:val="21"/>
                <w:lang w:bidi="ar"/>
              </w:rPr>
            </w:pPr>
            <w:r>
              <w:rPr>
                <w:rFonts w:hint="eastAsia"/>
                <w:color w:val="auto"/>
                <w:sz w:val="21"/>
                <w:szCs w:val="21"/>
                <w:lang w:bidi="ar"/>
              </w:rPr>
              <w:t>0.002</w:t>
            </w:r>
          </w:p>
        </w:tc>
        <w:tc>
          <w:tcPr>
            <w:tcW w:w="1650" w:type="dxa"/>
            <w:vAlign w:val="center"/>
          </w:tcPr>
          <w:p w14:paraId="5B4F070D">
            <w:pPr>
              <w:pStyle w:val="111"/>
              <w:adjustRightInd w:val="0"/>
              <w:snapToGrid w:val="0"/>
              <w:rPr>
                <w:snapToGrid w:val="0"/>
                <w:color w:val="auto"/>
                <w:kern w:val="21"/>
                <w:szCs w:val="21"/>
              </w:rPr>
            </w:pPr>
            <w:r>
              <w:rPr>
                <w:rFonts w:hint="eastAsia"/>
                <w:color w:val="auto"/>
                <w:szCs w:val="21"/>
              </w:rPr>
              <w:t>0</w:t>
            </w:r>
          </w:p>
        </w:tc>
        <w:tc>
          <w:tcPr>
            <w:tcW w:w="1586" w:type="dxa"/>
            <w:vAlign w:val="center"/>
          </w:tcPr>
          <w:p w14:paraId="1A28289A">
            <w:pPr>
              <w:pStyle w:val="126"/>
              <w:tabs>
                <w:tab w:val="left" w:pos="720"/>
              </w:tabs>
              <w:jc w:val="center"/>
              <w:rPr>
                <w:color w:val="auto"/>
                <w:sz w:val="21"/>
                <w:szCs w:val="21"/>
              </w:rPr>
            </w:pPr>
            <w:r>
              <w:rPr>
                <w:rFonts w:hint="eastAsia"/>
                <w:color w:val="auto"/>
                <w:sz w:val="21"/>
                <w:szCs w:val="21"/>
                <w:lang w:bidi="ar"/>
              </w:rPr>
              <w:t>0.002</w:t>
            </w:r>
          </w:p>
        </w:tc>
        <w:tc>
          <w:tcPr>
            <w:tcW w:w="1214" w:type="dxa"/>
            <w:vAlign w:val="center"/>
          </w:tcPr>
          <w:p w14:paraId="56705201">
            <w:pPr>
              <w:pStyle w:val="126"/>
              <w:tabs>
                <w:tab w:val="left" w:pos="720"/>
              </w:tabs>
              <w:jc w:val="center"/>
              <w:rPr>
                <w:color w:val="auto"/>
                <w:sz w:val="21"/>
                <w:szCs w:val="21"/>
              </w:rPr>
            </w:pPr>
            <w:r>
              <w:rPr>
                <w:rFonts w:hint="eastAsia"/>
                <w:color w:val="auto"/>
                <w:sz w:val="21"/>
                <w:szCs w:val="21"/>
                <w:lang w:bidi="ar"/>
              </w:rPr>
              <w:t>+0.002</w:t>
            </w:r>
          </w:p>
        </w:tc>
      </w:tr>
      <w:tr w14:paraId="5FE56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3FA432DD">
            <w:pPr>
              <w:pStyle w:val="71"/>
              <w:rPr>
                <w:rFonts w:ascii="Times New Roman" w:hAnsi="Times New Roman"/>
                <w:snapToGrid w:val="0"/>
                <w:color w:val="auto"/>
                <w:kern w:val="21"/>
                <w:szCs w:val="21"/>
              </w:rPr>
            </w:pPr>
          </w:p>
        </w:tc>
        <w:tc>
          <w:tcPr>
            <w:tcW w:w="2103" w:type="dxa"/>
            <w:gridSpan w:val="2"/>
            <w:vAlign w:val="center"/>
          </w:tcPr>
          <w:p w14:paraId="02345D02">
            <w:pPr>
              <w:widowControl/>
              <w:adjustRightInd w:val="0"/>
              <w:snapToGrid w:val="0"/>
              <w:spacing w:line="240" w:lineRule="auto"/>
              <w:jc w:val="center"/>
              <w:textAlignment w:val="center"/>
              <w:rPr>
                <w:color w:val="auto"/>
                <w:kern w:val="0"/>
                <w:sz w:val="21"/>
                <w:szCs w:val="21"/>
                <w:lang w:bidi="ar"/>
              </w:rPr>
            </w:pPr>
            <w:r>
              <w:rPr>
                <w:rFonts w:hint="eastAsia"/>
                <w:color w:val="auto"/>
                <w:kern w:val="0"/>
                <w:sz w:val="21"/>
                <w:szCs w:val="21"/>
                <w:lang w:bidi="ar"/>
              </w:rPr>
              <w:t>T</w:t>
            </w:r>
            <w:r>
              <w:rPr>
                <w:color w:val="auto"/>
                <w:kern w:val="0"/>
                <w:sz w:val="21"/>
                <w:szCs w:val="21"/>
                <w:lang w:bidi="ar"/>
              </w:rPr>
              <w:t>P</w:t>
            </w:r>
            <w:r>
              <w:rPr>
                <w:rStyle w:val="86"/>
                <w:rFonts w:hint="eastAsia"/>
                <w:color w:val="auto"/>
                <w:vertAlign w:val="baseline"/>
                <w:lang w:bidi="ar"/>
              </w:rPr>
              <w:t>（t/a）</w:t>
            </w:r>
          </w:p>
        </w:tc>
        <w:tc>
          <w:tcPr>
            <w:tcW w:w="1455" w:type="dxa"/>
            <w:vAlign w:val="center"/>
          </w:tcPr>
          <w:p w14:paraId="740D086B">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084B8FBD">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6C450EFC">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71F65BB6">
            <w:pPr>
              <w:pStyle w:val="126"/>
              <w:tabs>
                <w:tab w:val="left" w:pos="720"/>
              </w:tabs>
              <w:jc w:val="center"/>
              <w:rPr>
                <w:color w:val="auto"/>
                <w:sz w:val="21"/>
                <w:szCs w:val="21"/>
                <w:lang w:bidi="ar"/>
              </w:rPr>
            </w:pPr>
            <w:r>
              <w:rPr>
                <w:rFonts w:hint="eastAsia"/>
                <w:color w:val="auto"/>
                <w:sz w:val="21"/>
                <w:szCs w:val="21"/>
                <w:lang w:bidi="ar"/>
              </w:rPr>
              <w:t>0.0002</w:t>
            </w:r>
          </w:p>
        </w:tc>
        <w:tc>
          <w:tcPr>
            <w:tcW w:w="1650" w:type="dxa"/>
          </w:tcPr>
          <w:p w14:paraId="62820C6E">
            <w:pPr>
              <w:pStyle w:val="111"/>
              <w:adjustRightInd w:val="0"/>
              <w:snapToGrid w:val="0"/>
              <w:rPr>
                <w:color w:val="auto"/>
                <w:szCs w:val="21"/>
              </w:rPr>
            </w:pPr>
            <w:r>
              <w:rPr>
                <w:snapToGrid w:val="0"/>
                <w:color w:val="auto"/>
                <w:kern w:val="21"/>
                <w:szCs w:val="21"/>
              </w:rPr>
              <w:t>0</w:t>
            </w:r>
          </w:p>
        </w:tc>
        <w:tc>
          <w:tcPr>
            <w:tcW w:w="1586" w:type="dxa"/>
            <w:vAlign w:val="center"/>
          </w:tcPr>
          <w:p w14:paraId="029472C6">
            <w:pPr>
              <w:pStyle w:val="126"/>
              <w:tabs>
                <w:tab w:val="left" w:pos="720"/>
              </w:tabs>
              <w:jc w:val="center"/>
              <w:rPr>
                <w:color w:val="auto"/>
                <w:sz w:val="21"/>
                <w:szCs w:val="21"/>
              </w:rPr>
            </w:pPr>
            <w:r>
              <w:rPr>
                <w:rFonts w:hint="eastAsia"/>
                <w:color w:val="auto"/>
                <w:sz w:val="21"/>
                <w:szCs w:val="21"/>
                <w:lang w:bidi="ar"/>
              </w:rPr>
              <w:t>0.0002</w:t>
            </w:r>
          </w:p>
        </w:tc>
        <w:tc>
          <w:tcPr>
            <w:tcW w:w="1214" w:type="dxa"/>
            <w:vAlign w:val="center"/>
          </w:tcPr>
          <w:p w14:paraId="0257F96E">
            <w:pPr>
              <w:pStyle w:val="126"/>
              <w:tabs>
                <w:tab w:val="left" w:pos="720"/>
              </w:tabs>
              <w:jc w:val="center"/>
              <w:rPr>
                <w:color w:val="auto"/>
                <w:sz w:val="21"/>
                <w:szCs w:val="21"/>
              </w:rPr>
            </w:pPr>
            <w:r>
              <w:rPr>
                <w:rFonts w:hint="eastAsia"/>
                <w:color w:val="auto"/>
                <w:sz w:val="21"/>
                <w:szCs w:val="21"/>
                <w:lang w:bidi="ar"/>
              </w:rPr>
              <w:t>+0.0002</w:t>
            </w:r>
          </w:p>
        </w:tc>
      </w:tr>
      <w:tr w14:paraId="38DC2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restart"/>
            <w:vAlign w:val="center"/>
          </w:tcPr>
          <w:p w14:paraId="56C4D1E9">
            <w:pPr>
              <w:pStyle w:val="71"/>
              <w:rPr>
                <w:rFonts w:ascii="Times New Roman" w:hAnsi="Times New Roman"/>
                <w:snapToGrid w:val="0"/>
                <w:color w:val="auto"/>
                <w:kern w:val="21"/>
                <w:szCs w:val="21"/>
              </w:rPr>
            </w:pPr>
            <w:r>
              <w:rPr>
                <w:rFonts w:ascii="Times New Roman" w:hAnsi="Times New Roman"/>
                <w:snapToGrid w:val="0"/>
                <w:color w:val="auto"/>
                <w:kern w:val="21"/>
                <w:szCs w:val="21"/>
              </w:rPr>
              <w:t>一般工业固体废物</w:t>
            </w:r>
          </w:p>
        </w:tc>
        <w:tc>
          <w:tcPr>
            <w:tcW w:w="2103" w:type="dxa"/>
            <w:gridSpan w:val="2"/>
            <w:vAlign w:val="center"/>
          </w:tcPr>
          <w:p w14:paraId="7573FEF3">
            <w:pPr>
              <w:pStyle w:val="111"/>
              <w:keepNext w:val="0"/>
              <w:keepLines w:val="0"/>
              <w:pageBreakBefore w:val="0"/>
              <w:widowControl w:val="0"/>
              <w:kinsoku/>
              <w:wordWrap/>
              <w:overflowPunct/>
              <w:topLinePunct w:val="0"/>
              <w:autoSpaceDE/>
              <w:autoSpaceDN/>
              <w:bidi w:val="0"/>
              <w:spacing w:line="240" w:lineRule="auto"/>
              <w:textAlignment w:val="auto"/>
              <w:rPr>
                <w:rFonts w:hint="eastAsia" w:eastAsia="宋体"/>
                <w:snapToGrid w:val="0"/>
                <w:color w:val="auto"/>
                <w:kern w:val="21"/>
                <w:szCs w:val="21"/>
                <w:lang w:eastAsia="zh-CN"/>
              </w:rPr>
            </w:pPr>
            <w:r>
              <w:rPr>
                <w:rFonts w:hint="eastAsia"/>
                <w:snapToGrid w:val="0"/>
                <w:color w:val="auto"/>
                <w:kern w:val="21"/>
                <w:szCs w:val="21"/>
                <w:lang w:eastAsia="zh-CN"/>
              </w:rPr>
              <w:t>家庭式净水器废活性炭过滤器</w:t>
            </w:r>
            <w:r>
              <w:rPr>
                <w:rStyle w:val="86"/>
                <w:rFonts w:hint="eastAsia"/>
                <w:color w:val="auto"/>
                <w:vertAlign w:val="baseline"/>
                <w:lang w:bidi="ar"/>
              </w:rPr>
              <w:t>（t/a）</w:t>
            </w:r>
          </w:p>
        </w:tc>
        <w:tc>
          <w:tcPr>
            <w:tcW w:w="1455" w:type="dxa"/>
            <w:vAlign w:val="center"/>
          </w:tcPr>
          <w:p w14:paraId="1F36DC41">
            <w:pPr>
              <w:pStyle w:val="71"/>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snapToGrid w:val="0"/>
                <w:color w:val="auto"/>
                <w:kern w:val="21"/>
                <w:szCs w:val="21"/>
                <w:lang w:val="en-US" w:eastAsia="zh-CN"/>
              </w:rPr>
            </w:pPr>
            <w:r>
              <w:rPr>
                <w:rFonts w:hint="eastAsia" w:ascii="Times New Roman" w:hAnsi="Times New Roman"/>
                <w:snapToGrid w:val="0"/>
                <w:color w:val="auto"/>
                <w:kern w:val="21"/>
                <w:szCs w:val="21"/>
                <w:lang w:val="en-US" w:eastAsia="zh-CN"/>
              </w:rPr>
              <w:t>0</w:t>
            </w:r>
          </w:p>
        </w:tc>
        <w:tc>
          <w:tcPr>
            <w:tcW w:w="1288" w:type="dxa"/>
            <w:vAlign w:val="center"/>
          </w:tcPr>
          <w:p w14:paraId="20E00424">
            <w:pPr>
              <w:pStyle w:val="71"/>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snapToGrid w:val="0"/>
                <w:color w:val="auto"/>
                <w:kern w:val="21"/>
                <w:szCs w:val="21"/>
                <w:lang w:val="en-US" w:eastAsia="zh-CN"/>
              </w:rPr>
            </w:pPr>
            <w:r>
              <w:rPr>
                <w:rFonts w:hint="eastAsia" w:ascii="Times New Roman" w:hAnsi="Times New Roman"/>
                <w:snapToGrid w:val="0"/>
                <w:color w:val="auto"/>
                <w:kern w:val="21"/>
                <w:szCs w:val="21"/>
                <w:lang w:val="en-US" w:eastAsia="zh-CN"/>
              </w:rPr>
              <w:t>0</w:t>
            </w:r>
          </w:p>
        </w:tc>
        <w:tc>
          <w:tcPr>
            <w:tcW w:w="1540" w:type="dxa"/>
            <w:vAlign w:val="center"/>
          </w:tcPr>
          <w:p w14:paraId="67B982E0">
            <w:pPr>
              <w:pStyle w:val="71"/>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snapToGrid w:val="0"/>
                <w:color w:val="auto"/>
                <w:kern w:val="21"/>
                <w:szCs w:val="21"/>
                <w:lang w:val="en-US" w:eastAsia="zh-CN"/>
              </w:rPr>
            </w:pPr>
            <w:r>
              <w:rPr>
                <w:rFonts w:hint="eastAsia" w:ascii="Times New Roman" w:hAnsi="Times New Roman"/>
                <w:snapToGrid w:val="0"/>
                <w:color w:val="auto"/>
                <w:kern w:val="21"/>
                <w:szCs w:val="21"/>
                <w:lang w:val="en-US" w:eastAsia="zh-CN"/>
              </w:rPr>
              <w:t>0</w:t>
            </w:r>
          </w:p>
        </w:tc>
        <w:tc>
          <w:tcPr>
            <w:tcW w:w="1494" w:type="dxa"/>
            <w:vAlign w:val="center"/>
          </w:tcPr>
          <w:p w14:paraId="289B5131">
            <w:pPr>
              <w:pStyle w:val="111"/>
              <w:keepNext w:val="0"/>
              <w:keepLines w:val="0"/>
              <w:pageBreakBefore w:val="0"/>
              <w:widowControl w:val="0"/>
              <w:kinsoku/>
              <w:wordWrap/>
              <w:overflowPunct/>
              <w:topLinePunct w:val="0"/>
              <w:autoSpaceDE/>
              <w:autoSpaceDN/>
              <w:bidi w:val="0"/>
              <w:spacing w:line="240" w:lineRule="auto"/>
              <w:textAlignment w:val="auto"/>
              <w:rPr>
                <w:rFonts w:hint="default" w:eastAsia="宋体"/>
                <w:color w:val="auto"/>
                <w:kern w:val="0"/>
                <w:szCs w:val="21"/>
                <w:lang w:val="en-US" w:eastAsia="zh-CN" w:bidi="ar"/>
              </w:rPr>
            </w:pPr>
            <w:r>
              <w:rPr>
                <w:rFonts w:hint="eastAsia"/>
                <w:color w:val="auto"/>
                <w:kern w:val="0"/>
                <w:szCs w:val="21"/>
                <w:lang w:val="en-US" w:eastAsia="zh-CN" w:bidi="ar"/>
              </w:rPr>
              <w:t>0.1</w:t>
            </w:r>
          </w:p>
        </w:tc>
        <w:tc>
          <w:tcPr>
            <w:tcW w:w="1650" w:type="dxa"/>
            <w:vAlign w:val="center"/>
          </w:tcPr>
          <w:p w14:paraId="62BB696E">
            <w:pPr>
              <w:pStyle w:val="71"/>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snapToGrid w:val="0"/>
                <w:color w:val="auto"/>
                <w:kern w:val="21"/>
                <w:szCs w:val="21"/>
                <w:lang w:val="en-US" w:eastAsia="zh-CN"/>
              </w:rPr>
            </w:pPr>
            <w:r>
              <w:rPr>
                <w:rFonts w:hint="eastAsia" w:ascii="Times New Roman" w:hAnsi="Times New Roman"/>
                <w:snapToGrid w:val="0"/>
                <w:color w:val="auto"/>
                <w:kern w:val="21"/>
                <w:szCs w:val="21"/>
                <w:lang w:val="en-US" w:eastAsia="zh-CN"/>
              </w:rPr>
              <w:t>0</w:t>
            </w:r>
          </w:p>
        </w:tc>
        <w:tc>
          <w:tcPr>
            <w:tcW w:w="1586" w:type="dxa"/>
            <w:vAlign w:val="center"/>
          </w:tcPr>
          <w:p w14:paraId="5875A615">
            <w:pPr>
              <w:pStyle w:val="111"/>
              <w:keepNext w:val="0"/>
              <w:keepLines w:val="0"/>
              <w:pageBreakBefore w:val="0"/>
              <w:widowControl w:val="0"/>
              <w:kinsoku/>
              <w:wordWrap/>
              <w:overflowPunct/>
              <w:topLinePunct w:val="0"/>
              <w:autoSpaceDE/>
              <w:autoSpaceDN/>
              <w:bidi w:val="0"/>
              <w:spacing w:line="240" w:lineRule="auto"/>
              <w:textAlignment w:val="auto"/>
              <w:rPr>
                <w:rFonts w:hint="default" w:eastAsia="宋体"/>
                <w:snapToGrid w:val="0"/>
                <w:color w:val="auto"/>
                <w:kern w:val="21"/>
                <w:szCs w:val="21"/>
                <w:lang w:val="en-US" w:eastAsia="zh-CN"/>
              </w:rPr>
            </w:pPr>
            <w:r>
              <w:rPr>
                <w:rFonts w:hint="eastAsia"/>
                <w:snapToGrid w:val="0"/>
                <w:color w:val="auto"/>
                <w:kern w:val="21"/>
                <w:szCs w:val="21"/>
                <w:lang w:val="en-US" w:eastAsia="zh-CN"/>
              </w:rPr>
              <w:t>0.1</w:t>
            </w:r>
          </w:p>
        </w:tc>
        <w:tc>
          <w:tcPr>
            <w:tcW w:w="1214" w:type="dxa"/>
            <w:vAlign w:val="center"/>
          </w:tcPr>
          <w:p w14:paraId="56C24F2D">
            <w:pPr>
              <w:pStyle w:val="111"/>
              <w:keepNext w:val="0"/>
              <w:keepLines w:val="0"/>
              <w:pageBreakBefore w:val="0"/>
              <w:widowControl w:val="0"/>
              <w:kinsoku/>
              <w:wordWrap/>
              <w:overflowPunct/>
              <w:topLinePunct w:val="0"/>
              <w:autoSpaceDE/>
              <w:autoSpaceDN/>
              <w:bidi w:val="0"/>
              <w:spacing w:line="240" w:lineRule="auto"/>
              <w:textAlignment w:val="auto"/>
              <w:rPr>
                <w:rFonts w:hint="default" w:eastAsia="宋体"/>
                <w:snapToGrid w:val="0"/>
                <w:color w:val="auto"/>
                <w:kern w:val="21"/>
                <w:szCs w:val="21"/>
                <w:lang w:val="en-US" w:eastAsia="zh-CN"/>
              </w:rPr>
            </w:pPr>
            <w:r>
              <w:rPr>
                <w:rFonts w:hint="eastAsia"/>
                <w:snapToGrid w:val="0"/>
                <w:color w:val="auto"/>
                <w:kern w:val="21"/>
                <w:szCs w:val="21"/>
                <w:lang w:val="en-US" w:eastAsia="zh-CN"/>
              </w:rPr>
              <w:t>+0.1</w:t>
            </w:r>
          </w:p>
        </w:tc>
      </w:tr>
      <w:tr w14:paraId="52342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53BAF865">
            <w:pPr>
              <w:pStyle w:val="71"/>
              <w:rPr>
                <w:rFonts w:ascii="Times New Roman" w:hAnsi="Times New Roman"/>
                <w:snapToGrid w:val="0"/>
                <w:color w:val="auto"/>
                <w:kern w:val="21"/>
                <w:szCs w:val="21"/>
              </w:rPr>
            </w:pPr>
          </w:p>
        </w:tc>
        <w:tc>
          <w:tcPr>
            <w:tcW w:w="2103" w:type="dxa"/>
            <w:gridSpan w:val="2"/>
            <w:shd w:val="clear" w:color="auto" w:fill="auto"/>
            <w:vAlign w:val="center"/>
          </w:tcPr>
          <w:p w14:paraId="479538DD">
            <w:pPr>
              <w:pStyle w:val="111"/>
              <w:rPr>
                <w:rFonts w:hint="eastAsia" w:ascii="Times New Roman" w:hAnsi="Times New Roman" w:eastAsia="宋体" w:cs="Times New Roman"/>
                <w:snapToGrid w:val="0"/>
                <w:color w:val="auto"/>
                <w:kern w:val="21"/>
                <w:sz w:val="21"/>
                <w:szCs w:val="21"/>
                <w:lang w:val="en-US" w:eastAsia="zh-CN" w:bidi="ar-SA"/>
              </w:rPr>
            </w:pPr>
            <w:r>
              <w:rPr>
                <w:rStyle w:val="86"/>
                <w:rFonts w:hint="eastAsia"/>
                <w:color w:val="auto"/>
                <w:vertAlign w:val="baseline"/>
                <w:lang w:bidi="ar"/>
              </w:rPr>
              <w:t>不合格产品（t/a）</w:t>
            </w:r>
          </w:p>
        </w:tc>
        <w:tc>
          <w:tcPr>
            <w:tcW w:w="1455" w:type="dxa"/>
            <w:shd w:val="clear" w:color="auto" w:fill="auto"/>
            <w:vAlign w:val="center"/>
          </w:tcPr>
          <w:p w14:paraId="3D41943E">
            <w:pPr>
              <w:pStyle w:val="71"/>
              <w:rPr>
                <w:rFonts w:ascii="Times New Roman" w:hAnsi="Times New Roman" w:eastAsia="宋体" w:cs="Courier New"/>
                <w:snapToGrid w:val="0"/>
                <w:color w:val="auto"/>
                <w:kern w:val="21"/>
                <w:sz w:val="21"/>
                <w:szCs w:val="21"/>
                <w:lang w:val="en-US" w:eastAsia="zh-CN" w:bidi="ar-SA"/>
              </w:rPr>
            </w:pPr>
            <w:r>
              <w:rPr>
                <w:rFonts w:ascii="Times New Roman" w:hAnsi="Times New Roman"/>
                <w:snapToGrid w:val="0"/>
                <w:color w:val="auto"/>
                <w:kern w:val="21"/>
                <w:szCs w:val="21"/>
              </w:rPr>
              <w:t>0</w:t>
            </w:r>
          </w:p>
        </w:tc>
        <w:tc>
          <w:tcPr>
            <w:tcW w:w="1288" w:type="dxa"/>
            <w:shd w:val="clear" w:color="auto" w:fill="auto"/>
            <w:vAlign w:val="center"/>
          </w:tcPr>
          <w:p w14:paraId="7142E3F1">
            <w:pPr>
              <w:pStyle w:val="71"/>
              <w:rPr>
                <w:rFonts w:ascii="Times New Roman" w:hAnsi="Times New Roman" w:eastAsia="宋体" w:cs="Courier New"/>
                <w:snapToGrid w:val="0"/>
                <w:color w:val="auto"/>
                <w:kern w:val="21"/>
                <w:sz w:val="21"/>
                <w:szCs w:val="21"/>
                <w:lang w:val="en-US" w:eastAsia="zh-CN" w:bidi="ar-SA"/>
              </w:rPr>
            </w:pPr>
            <w:r>
              <w:rPr>
                <w:rFonts w:ascii="Times New Roman" w:hAnsi="Times New Roman"/>
                <w:snapToGrid w:val="0"/>
                <w:color w:val="auto"/>
                <w:kern w:val="21"/>
                <w:szCs w:val="21"/>
              </w:rPr>
              <w:t>0</w:t>
            </w:r>
          </w:p>
        </w:tc>
        <w:tc>
          <w:tcPr>
            <w:tcW w:w="1540" w:type="dxa"/>
            <w:shd w:val="clear" w:color="auto" w:fill="auto"/>
            <w:vAlign w:val="center"/>
          </w:tcPr>
          <w:p w14:paraId="1284CCAE">
            <w:pPr>
              <w:pStyle w:val="71"/>
              <w:rPr>
                <w:rFonts w:ascii="Times New Roman" w:hAnsi="Times New Roman" w:eastAsia="宋体" w:cs="Courier New"/>
                <w:snapToGrid w:val="0"/>
                <w:color w:val="auto"/>
                <w:kern w:val="21"/>
                <w:sz w:val="21"/>
                <w:szCs w:val="21"/>
                <w:lang w:val="en-US" w:eastAsia="zh-CN" w:bidi="ar-SA"/>
              </w:rPr>
            </w:pPr>
            <w:r>
              <w:rPr>
                <w:rFonts w:ascii="Times New Roman" w:hAnsi="Times New Roman"/>
                <w:snapToGrid w:val="0"/>
                <w:color w:val="auto"/>
                <w:kern w:val="21"/>
                <w:szCs w:val="21"/>
              </w:rPr>
              <w:t>0</w:t>
            </w:r>
          </w:p>
        </w:tc>
        <w:tc>
          <w:tcPr>
            <w:tcW w:w="1494" w:type="dxa"/>
            <w:shd w:val="clear" w:color="auto" w:fill="auto"/>
            <w:vAlign w:val="center"/>
          </w:tcPr>
          <w:p w14:paraId="53469B4B">
            <w:pPr>
              <w:pStyle w:val="111"/>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bidi="ar"/>
              </w:rPr>
              <w:t>29.1</w:t>
            </w:r>
          </w:p>
        </w:tc>
        <w:tc>
          <w:tcPr>
            <w:tcW w:w="1650" w:type="dxa"/>
            <w:shd w:val="clear" w:color="auto" w:fill="auto"/>
            <w:vAlign w:val="top"/>
          </w:tcPr>
          <w:p w14:paraId="612C4EDA">
            <w:pPr>
              <w:pStyle w:val="71"/>
              <w:rPr>
                <w:rFonts w:ascii="Times New Roman" w:hAnsi="Times New Roman" w:eastAsia="宋体" w:cs="Courier New"/>
                <w:snapToGrid w:val="0"/>
                <w:color w:val="auto"/>
                <w:kern w:val="21"/>
                <w:sz w:val="21"/>
                <w:szCs w:val="21"/>
                <w:lang w:val="en-US" w:eastAsia="zh-CN" w:bidi="ar-SA"/>
              </w:rPr>
            </w:pPr>
            <w:r>
              <w:rPr>
                <w:rFonts w:ascii="Times New Roman" w:hAnsi="Times New Roman"/>
                <w:snapToGrid w:val="0"/>
                <w:color w:val="auto"/>
                <w:kern w:val="21"/>
                <w:szCs w:val="21"/>
              </w:rPr>
              <w:t>0</w:t>
            </w:r>
          </w:p>
        </w:tc>
        <w:tc>
          <w:tcPr>
            <w:tcW w:w="1586" w:type="dxa"/>
            <w:shd w:val="clear" w:color="auto" w:fill="auto"/>
            <w:vAlign w:val="center"/>
          </w:tcPr>
          <w:p w14:paraId="704A4E2B">
            <w:pPr>
              <w:pStyle w:val="111"/>
              <w:rPr>
                <w:rFonts w:hint="eastAsia" w:ascii="Times New Roman" w:hAnsi="Times New Roman" w:eastAsia="宋体" w:cs="Times New Roman"/>
                <w:snapToGrid w:val="0"/>
                <w:color w:val="auto"/>
                <w:kern w:val="21"/>
                <w:sz w:val="21"/>
                <w:szCs w:val="21"/>
                <w:lang w:val="en-US" w:eastAsia="zh-CN" w:bidi="ar-SA"/>
              </w:rPr>
            </w:pPr>
            <w:r>
              <w:rPr>
                <w:rFonts w:hint="eastAsia"/>
                <w:color w:val="auto"/>
                <w:kern w:val="0"/>
                <w:szCs w:val="21"/>
                <w:lang w:bidi="ar"/>
              </w:rPr>
              <w:t>29.1</w:t>
            </w:r>
          </w:p>
        </w:tc>
        <w:tc>
          <w:tcPr>
            <w:tcW w:w="1214" w:type="dxa"/>
            <w:shd w:val="clear" w:color="auto" w:fill="auto"/>
            <w:vAlign w:val="center"/>
          </w:tcPr>
          <w:p w14:paraId="6D7224F0">
            <w:pPr>
              <w:pStyle w:val="111"/>
              <w:rPr>
                <w:rFonts w:hint="eastAsia" w:ascii="Times New Roman" w:hAnsi="Times New Roman" w:eastAsia="宋体" w:cs="Times New Roman"/>
                <w:snapToGrid w:val="0"/>
                <w:color w:val="auto"/>
                <w:kern w:val="21"/>
                <w:sz w:val="21"/>
                <w:szCs w:val="21"/>
                <w:lang w:val="en-US" w:eastAsia="zh-CN" w:bidi="ar-SA"/>
              </w:rPr>
            </w:pPr>
            <w:r>
              <w:rPr>
                <w:rFonts w:hint="eastAsia"/>
                <w:color w:val="auto"/>
                <w:kern w:val="0"/>
                <w:szCs w:val="21"/>
                <w:lang w:bidi="ar"/>
              </w:rPr>
              <w:t>+29.1</w:t>
            </w:r>
          </w:p>
        </w:tc>
      </w:tr>
      <w:tr w14:paraId="71D79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6C82A2E9">
            <w:pPr>
              <w:pStyle w:val="71"/>
              <w:rPr>
                <w:rFonts w:ascii="Times New Roman" w:hAnsi="Times New Roman"/>
                <w:snapToGrid w:val="0"/>
                <w:color w:val="auto"/>
                <w:kern w:val="21"/>
                <w:szCs w:val="21"/>
              </w:rPr>
            </w:pPr>
          </w:p>
        </w:tc>
        <w:tc>
          <w:tcPr>
            <w:tcW w:w="2103" w:type="dxa"/>
            <w:gridSpan w:val="2"/>
            <w:vAlign w:val="center"/>
          </w:tcPr>
          <w:p w14:paraId="6898CC0F">
            <w:pPr>
              <w:pStyle w:val="111"/>
              <w:rPr>
                <w:snapToGrid w:val="0"/>
                <w:color w:val="auto"/>
                <w:kern w:val="21"/>
                <w:szCs w:val="21"/>
              </w:rPr>
            </w:pPr>
            <w:r>
              <w:rPr>
                <w:rFonts w:hint="eastAsia"/>
                <w:color w:val="auto"/>
                <w:szCs w:val="21"/>
              </w:rPr>
              <w:t>包装废物</w:t>
            </w:r>
            <w:r>
              <w:rPr>
                <w:rStyle w:val="86"/>
                <w:rFonts w:hint="eastAsia"/>
                <w:color w:val="auto"/>
                <w:vertAlign w:val="baseline"/>
                <w:lang w:bidi="ar"/>
              </w:rPr>
              <w:t>（t/a）</w:t>
            </w:r>
          </w:p>
        </w:tc>
        <w:tc>
          <w:tcPr>
            <w:tcW w:w="1455" w:type="dxa"/>
            <w:vAlign w:val="center"/>
          </w:tcPr>
          <w:p w14:paraId="30B75C05">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4D6D24BD">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34DD00A2">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7EA64A9E">
            <w:pPr>
              <w:pStyle w:val="111"/>
              <w:rPr>
                <w:snapToGrid w:val="0"/>
                <w:color w:val="auto"/>
                <w:kern w:val="21"/>
                <w:szCs w:val="21"/>
              </w:rPr>
            </w:pPr>
            <w:r>
              <w:rPr>
                <w:rFonts w:hint="eastAsia"/>
                <w:snapToGrid w:val="0"/>
                <w:color w:val="auto"/>
                <w:kern w:val="21"/>
                <w:szCs w:val="21"/>
              </w:rPr>
              <w:t>0.8</w:t>
            </w:r>
          </w:p>
        </w:tc>
        <w:tc>
          <w:tcPr>
            <w:tcW w:w="1650" w:type="dxa"/>
          </w:tcPr>
          <w:p w14:paraId="7D36972D">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86" w:type="dxa"/>
            <w:vAlign w:val="center"/>
          </w:tcPr>
          <w:p w14:paraId="01D9C697">
            <w:pPr>
              <w:pStyle w:val="111"/>
              <w:rPr>
                <w:snapToGrid w:val="0"/>
                <w:color w:val="auto"/>
                <w:kern w:val="21"/>
                <w:szCs w:val="21"/>
              </w:rPr>
            </w:pPr>
            <w:r>
              <w:rPr>
                <w:rFonts w:hint="eastAsia"/>
                <w:snapToGrid w:val="0"/>
                <w:color w:val="auto"/>
                <w:kern w:val="21"/>
                <w:szCs w:val="21"/>
              </w:rPr>
              <w:t>0.8</w:t>
            </w:r>
          </w:p>
        </w:tc>
        <w:tc>
          <w:tcPr>
            <w:tcW w:w="1214" w:type="dxa"/>
            <w:vAlign w:val="center"/>
          </w:tcPr>
          <w:p w14:paraId="39E0FF85">
            <w:pPr>
              <w:pStyle w:val="111"/>
              <w:rPr>
                <w:snapToGrid w:val="0"/>
                <w:color w:val="auto"/>
                <w:kern w:val="21"/>
                <w:szCs w:val="21"/>
              </w:rPr>
            </w:pPr>
            <w:r>
              <w:rPr>
                <w:rFonts w:hint="eastAsia"/>
                <w:snapToGrid w:val="0"/>
                <w:color w:val="auto"/>
                <w:kern w:val="21"/>
                <w:szCs w:val="21"/>
              </w:rPr>
              <w:t>+0.8</w:t>
            </w:r>
          </w:p>
        </w:tc>
      </w:tr>
      <w:tr w14:paraId="1FAA6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restart"/>
            <w:vAlign w:val="center"/>
          </w:tcPr>
          <w:p w14:paraId="0ADD28F9">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危险废物</w:t>
            </w:r>
          </w:p>
        </w:tc>
        <w:tc>
          <w:tcPr>
            <w:tcW w:w="2103" w:type="dxa"/>
            <w:gridSpan w:val="2"/>
            <w:vAlign w:val="center"/>
          </w:tcPr>
          <w:p w14:paraId="7F42240A">
            <w:pPr>
              <w:topLinePunct/>
              <w:spacing w:line="240" w:lineRule="auto"/>
              <w:jc w:val="center"/>
              <w:rPr>
                <w:color w:val="auto"/>
                <w:sz w:val="21"/>
                <w:szCs w:val="21"/>
              </w:rPr>
            </w:pPr>
            <w:r>
              <w:rPr>
                <w:rFonts w:hint="eastAsia"/>
                <w:color w:val="auto"/>
                <w:sz w:val="21"/>
                <w:szCs w:val="21"/>
              </w:rPr>
              <w:t>废活性炭</w:t>
            </w:r>
            <w:r>
              <w:rPr>
                <w:rStyle w:val="86"/>
                <w:rFonts w:hint="eastAsia"/>
                <w:color w:val="auto"/>
                <w:vertAlign w:val="baseline"/>
                <w:lang w:bidi="ar"/>
              </w:rPr>
              <w:t>（t/a）</w:t>
            </w:r>
          </w:p>
        </w:tc>
        <w:tc>
          <w:tcPr>
            <w:tcW w:w="1455" w:type="dxa"/>
            <w:shd w:val="clear" w:color="auto" w:fill="auto"/>
            <w:vAlign w:val="center"/>
          </w:tcPr>
          <w:p w14:paraId="1B281590">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shd w:val="clear" w:color="auto" w:fill="auto"/>
            <w:vAlign w:val="center"/>
          </w:tcPr>
          <w:p w14:paraId="1373F8AD">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shd w:val="clear" w:color="auto" w:fill="auto"/>
            <w:vAlign w:val="center"/>
          </w:tcPr>
          <w:p w14:paraId="7205AB89">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0D1B9923">
            <w:pPr>
              <w:topLinePunct/>
              <w:adjustRightInd w:val="0"/>
              <w:snapToGrid w:val="0"/>
              <w:spacing w:line="240" w:lineRule="auto"/>
              <w:jc w:val="center"/>
              <w:rPr>
                <w:rFonts w:hint="default" w:eastAsia="宋体"/>
                <w:snapToGrid w:val="0"/>
                <w:color w:val="auto"/>
                <w:kern w:val="21"/>
                <w:sz w:val="21"/>
                <w:szCs w:val="21"/>
                <w:lang w:val="en-US" w:eastAsia="zh-CN"/>
              </w:rPr>
            </w:pPr>
            <w:r>
              <w:rPr>
                <w:rFonts w:hint="eastAsia"/>
                <w:snapToGrid w:val="0"/>
                <w:color w:val="auto"/>
                <w:kern w:val="21"/>
                <w:sz w:val="21"/>
                <w:szCs w:val="21"/>
              </w:rPr>
              <w:t>3</w:t>
            </w:r>
            <w:r>
              <w:rPr>
                <w:rFonts w:hint="eastAsia"/>
                <w:snapToGrid w:val="0"/>
                <w:color w:val="auto"/>
                <w:kern w:val="21"/>
                <w:sz w:val="21"/>
                <w:szCs w:val="21"/>
                <w:lang w:val="en-US" w:eastAsia="zh-CN"/>
              </w:rPr>
              <w:t>2.8</w:t>
            </w:r>
          </w:p>
        </w:tc>
        <w:tc>
          <w:tcPr>
            <w:tcW w:w="1650" w:type="dxa"/>
          </w:tcPr>
          <w:p w14:paraId="4303ED42">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86" w:type="dxa"/>
            <w:vAlign w:val="center"/>
          </w:tcPr>
          <w:p w14:paraId="197F7C04">
            <w:pPr>
              <w:topLinePunct/>
              <w:adjustRightInd w:val="0"/>
              <w:snapToGrid w:val="0"/>
              <w:spacing w:line="240" w:lineRule="auto"/>
              <w:jc w:val="center"/>
              <w:rPr>
                <w:rFonts w:hint="default" w:eastAsia="宋体"/>
                <w:color w:val="auto"/>
                <w:sz w:val="21"/>
                <w:szCs w:val="21"/>
                <w:lang w:val="en-US" w:eastAsia="zh-CN"/>
              </w:rPr>
            </w:pPr>
            <w:r>
              <w:rPr>
                <w:rFonts w:hint="eastAsia"/>
                <w:snapToGrid w:val="0"/>
                <w:color w:val="auto"/>
                <w:kern w:val="21"/>
                <w:sz w:val="21"/>
                <w:szCs w:val="21"/>
              </w:rPr>
              <w:t>3</w:t>
            </w:r>
            <w:r>
              <w:rPr>
                <w:rFonts w:hint="eastAsia"/>
                <w:snapToGrid w:val="0"/>
                <w:color w:val="auto"/>
                <w:kern w:val="21"/>
                <w:sz w:val="21"/>
                <w:szCs w:val="21"/>
                <w:lang w:val="en-US" w:eastAsia="zh-CN"/>
              </w:rPr>
              <w:t>2.8</w:t>
            </w:r>
          </w:p>
        </w:tc>
        <w:tc>
          <w:tcPr>
            <w:tcW w:w="1214" w:type="dxa"/>
            <w:vAlign w:val="center"/>
          </w:tcPr>
          <w:p w14:paraId="1C93D4CA">
            <w:pPr>
              <w:topLinePunct/>
              <w:adjustRightInd w:val="0"/>
              <w:snapToGrid w:val="0"/>
              <w:spacing w:line="240" w:lineRule="auto"/>
              <w:jc w:val="center"/>
              <w:rPr>
                <w:rFonts w:hint="default" w:eastAsia="宋体"/>
                <w:color w:val="auto"/>
                <w:sz w:val="21"/>
                <w:szCs w:val="21"/>
                <w:lang w:val="en-US" w:eastAsia="zh-CN"/>
              </w:rPr>
            </w:pPr>
            <w:r>
              <w:rPr>
                <w:rFonts w:hint="eastAsia"/>
                <w:snapToGrid w:val="0"/>
                <w:color w:val="auto"/>
                <w:kern w:val="21"/>
                <w:sz w:val="21"/>
                <w:szCs w:val="21"/>
              </w:rPr>
              <w:t>+3</w:t>
            </w:r>
            <w:r>
              <w:rPr>
                <w:rFonts w:hint="eastAsia"/>
                <w:snapToGrid w:val="0"/>
                <w:color w:val="auto"/>
                <w:kern w:val="21"/>
                <w:sz w:val="21"/>
                <w:szCs w:val="21"/>
                <w:lang w:val="en-US" w:eastAsia="zh-CN"/>
              </w:rPr>
              <w:t>2.8</w:t>
            </w:r>
          </w:p>
        </w:tc>
      </w:tr>
      <w:tr w14:paraId="551E0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0D1531EC">
            <w:pPr>
              <w:pStyle w:val="71"/>
              <w:rPr>
                <w:rFonts w:ascii="Times New Roman" w:hAnsi="Times New Roman"/>
                <w:snapToGrid w:val="0"/>
                <w:color w:val="auto"/>
                <w:kern w:val="21"/>
                <w:szCs w:val="21"/>
              </w:rPr>
            </w:pPr>
          </w:p>
        </w:tc>
        <w:tc>
          <w:tcPr>
            <w:tcW w:w="2103" w:type="dxa"/>
            <w:gridSpan w:val="2"/>
            <w:shd w:val="clear" w:color="auto" w:fill="auto"/>
            <w:vAlign w:val="center"/>
          </w:tcPr>
          <w:p w14:paraId="478C9D06">
            <w:pPr>
              <w:topLinePunct/>
              <w:spacing w:line="240" w:lineRule="auto"/>
              <w:jc w:val="center"/>
              <w:rPr>
                <w:color w:val="auto"/>
                <w:sz w:val="21"/>
                <w:szCs w:val="21"/>
              </w:rPr>
            </w:pPr>
            <w:r>
              <w:rPr>
                <w:rFonts w:hint="eastAsia" w:hAnsi="宋体"/>
                <w:color w:val="auto"/>
                <w:kern w:val="0"/>
                <w:sz w:val="21"/>
                <w:szCs w:val="21"/>
              </w:rPr>
              <w:t>废机油</w:t>
            </w:r>
            <w:r>
              <w:rPr>
                <w:rStyle w:val="86"/>
                <w:rFonts w:hint="eastAsia"/>
                <w:color w:val="auto"/>
                <w:vertAlign w:val="baseline"/>
                <w:lang w:bidi="ar"/>
              </w:rPr>
              <w:t>（t/a）</w:t>
            </w:r>
          </w:p>
        </w:tc>
        <w:tc>
          <w:tcPr>
            <w:tcW w:w="1455" w:type="dxa"/>
            <w:shd w:val="clear" w:color="auto" w:fill="auto"/>
            <w:vAlign w:val="center"/>
          </w:tcPr>
          <w:p w14:paraId="26A23B61">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288" w:type="dxa"/>
            <w:shd w:val="clear" w:color="auto" w:fill="auto"/>
            <w:vAlign w:val="center"/>
          </w:tcPr>
          <w:p w14:paraId="15E5918A">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40" w:type="dxa"/>
            <w:shd w:val="clear" w:color="auto" w:fill="auto"/>
            <w:vAlign w:val="center"/>
          </w:tcPr>
          <w:p w14:paraId="239C26D1">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494" w:type="dxa"/>
            <w:shd w:val="clear" w:color="auto" w:fill="auto"/>
            <w:vAlign w:val="center"/>
          </w:tcPr>
          <w:p w14:paraId="309ABCB1">
            <w:pPr>
              <w:topLinePunct/>
              <w:adjustRightInd w:val="0"/>
              <w:snapToGrid w:val="0"/>
              <w:spacing w:line="240" w:lineRule="auto"/>
              <w:jc w:val="center"/>
              <w:rPr>
                <w:snapToGrid w:val="0"/>
                <w:color w:val="auto"/>
                <w:kern w:val="21"/>
                <w:sz w:val="21"/>
                <w:szCs w:val="21"/>
              </w:rPr>
            </w:pPr>
            <w:r>
              <w:rPr>
                <w:rFonts w:hint="eastAsia"/>
                <w:snapToGrid w:val="0"/>
                <w:color w:val="auto"/>
                <w:kern w:val="21"/>
                <w:sz w:val="21"/>
                <w:szCs w:val="21"/>
              </w:rPr>
              <w:t>0.1</w:t>
            </w:r>
          </w:p>
        </w:tc>
        <w:tc>
          <w:tcPr>
            <w:tcW w:w="1650" w:type="dxa"/>
            <w:shd w:val="clear" w:color="auto" w:fill="auto"/>
          </w:tcPr>
          <w:p w14:paraId="7EAAD9DA">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86" w:type="dxa"/>
            <w:vAlign w:val="center"/>
          </w:tcPr>
          <w:p w14:paraId="05DB5CE5">
            <w:pPr>
              <w:topLinePunct/>
              <w:adjustRightInd w:val="0"/>
              <w:snapToGrid w:val="0"/>
              <w:spacing w:line="240" w:lineRule="auto"/>
              <w:jc w:val="center"/>
              <w:rPr>
                <w:color w:val="auto"/>
                <w:sz w:val="21"/>
                <w:szCs w:val="21"/>
              </w:rPr>
            </w:pPr>
            <w:r>
              <w:rPr>
                <w:rFonts w:hint="eastAsia"/>
                <w:snapToGrid w:val="0"/>
                <w:color w:val="auto"/>
                <w:kern w:val="21"/>
                <w:sz w:val="21"/>
                <w:szCs w:val="21"/>
              </w:rPr>
              <w:t>0.1</w:t>
            </w:r>
          </w:p>
        </w:tc>
        <w:tc>
          <w:tcPr>
            <w:tcW w:w="1214" w:type="dxa"/>
            <w:vAlign w:val="center"/>
          </w:tcPr>
          <w:p w14:paraId="0B522EDD">
            <w:pPr>
              <w:topLinePunct/>
              <w:adjustRightInd w:val="0"/>
              <w:snapToGrid w:val="0"/>
              <w:spacing w:line="240" w:lineRule="auto"/>
              <w:jc w:val="center"/>
              <w:rPr>
                <w:color w:val="auto"/>
                <w:sz w:val="21"/>
                <w:szCs w:val="21"/>
              </w:rPr>
            </w:pPr>
            <w:r>
              <w:rPr>
                <w:rFonts w:hint="eastAsia"/>
                <w:snapToGrid w:val="0"/>
                <w:color w:val="auto"/>
                <w:kern w:val="21"/>
                <w:sz w:val="21"/>
                <w:szCs w:val="21"/>
              </w:rPr>
              <w:t>+0.1</w:t>
            </w:r>
          </w:p>
        </w:tc>
      </w:tr>
      <w:tr w14:paraId="4E4A9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41A99EE3">
            <w:pPr>
              <w:pStyle w:val="71"/>
              <w:rPr>
                <w:rFonts w:ascii="Times New Roman" w:hAnsi="Times New Roman"/>
                <w:snapToGrid w:val="0"/>
                <w:color w:val="auto"/>
                <w:kern w:val="21"/>
                <w:szCs w:val="21"/>
              </w:rPr>
            </w:pPr>
          </w:p>
        </w:tc>
        <w:tc>
          <w:tcPr>
            <w:tcW w:w="2103" w:type="dxa"/>
            <w:gridSpan w:val="2"/>
            <w:vAlign w:val="center"/>
          </w:tcPr>
          <w:p w14:paraId="252CBC1C">
            <w:pPr>
              <w:topLinePunct/>
              <w:spacing w:line="240" w:lineRule="auto"/>
              <w:jc w:val="center"/>
              <w:rPr>
                <w:color w:val="auto"/>
                <w:sz w:val="21"/>
                <w:szCs w:val="21"/>
              </w:rPr>
            </w:pPr>
            <w:r>
              <w:rPr>
                <w:rStyle w:val="86"/>
                <w:rFonts w:hint="eastAsia"/>
                <w:color w:val="auto"/>
                <w:vertAlign w:val="baseline"/>
                <w:lang w:bidi="ar"/>
              </w:rPr>
              <w:t>废弃的含油抹布（t/a）</w:t>
            </w:r>
          </w:p>
        </w:tc>
        <w:tc>
          <w:tcPr>
            <w:tcW w:w="1455" w:type="dxa"/>
            <w:vAlign w:val="center"/>
          </w:tcPr>
          <w:p w14:paraId="61C00E02">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288" w:type="dxa"/>
            <w:vAlign w:val="center"/>
          </w:tcPr>
          <w:p w14:paraId="1656597D">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40" w:type="dxa"/>
            <w:vAlign w:val="center"/>
          </w:tcPr>
          <w:p w14:paraId="5EDBAB16">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494" w:type="dxa"/>
            <w:vAlign w:val="center"/>
          </w:tcPr>
          <w:p w14:paraId="23E48706">
            <w:pPr>
              <w:topLinePunct/>
              <w:adjustRightInd w:val="0"/>
              <w:snapToGrid w:val="0"/>
              <w:spacing w:line="240" w:lineRule="auto"/>
              <w:jc w:val="center"/>
              <w:rPr>
                <w:snapToGrid w:val="0"/>
                <w:color w:val="auto"/>
                <w:kern w:val="21"/>
                <w:sz w:val="21"/>
                <w:szCs w:val="21"/>
              </w:rPr>
            </w:pPr>
            <w:r>
              <w:rPr>
                <w:rFonts w:hint="eastAsia"/>
                <w:snapToGrid w:val="0"/>
                <w:color w:val="auto"/>
                <w:kern w:val="21"/>
                <w:sz w:val="21"/>
                <w:szCs w:val="21"/>
              </w:rPr>
              <w:t>0.01</w:t>
            </w:r>
          </w:p>
        </w:tc>
        <w:tc>
          <w:tcPr>
            <w:tcW w:w="1650" w:type="dxa"/>
          </w:tcPr>
          <w:p w14:paraId="2D1D1943">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86" w:type="dxa"/>
            <w:vAlign w:val="center"/>
          </w:tcPr>
          <w:p w14:paraId="6291BB35">
            <w:pPr>
              <w:topLinePunct/>
              <w:adjustRightInd w:val="0"/>
              <w:snapToGrid w:val="0"/>
              <w:spacing w:line="240" w:lineRule="auto"/>
              <w:jc w:val="center"/>
              <w:rPr>
                <w:color w:val="auto"/>
                <w:sz w:val="21"/>
                <w:szCs w:val="21"/>
              </w:rPr>
            </w:pPr>
            <w:r>
              <w:rPr>
                <w:rFonts w:hint="eastAsia"/>
                <w:snapToGrid w:val="0"/>
                <w:color w:val="auto"/>
                <w:kern w:val="21"/>
                <w:sz w:val="21"/>
                <w:szCs w:val="21"/>
              </w:rPr>
              <w:t>0.01</w:t>
            </w:r>
          </w:p>
        </w:tc>
        <w:tc>
          <w:tcPr>
            <w:tcW w:w="1214" w:type="dxa"/>
            <w:vAlign w:val="center"/>
          </w:tcPr>
          <w:p w14:paraId="55E11981">
            <w:pPr>
              <w:topLinePunct/>
              <w:adjustRightInd w:val="0"/>
              <w:snapToGrid w:val="0"/>
              <w:spacing w:line="240" w:lineRule="auto"/>
              <w:jc w:val="center"/>
              <w:rPr>
                <w:color w:val="auto"/>
                <w:sz w:val="21"/>
                <w:szCs w:val="21"/>
              </w:rPr>
            </w:pPr>
            <w:r>
              <w:rPr>
                <w:rFonts w:hint="eastAsia"/>
                <w:snapToGrid w:val="0"/>
                <w:color w:val="auto"/>
                <w:kern w:val="21"/>
                <w:sz w:val="21"/>
                <w:szCs w:val="21"/>
              </w:rPr>
              <w:t>+0.01</w:t>
            </w:r>
          </w:p>
        </w:tc>
      </w:tr>
      <w:tr w14:paraId="1A360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Merge w:val="continue"/>
            <w:vAlign w:val="center"/>
          </w:tcPr>
          <w:p w14:paraId="4FD928E4">
            <w:pPr>
              <w:pStyle w:val="71"/>
              <w:rPr>
                <w:rFonts w:ascii="Times New Roman" w:hAnsi="Times New Roman"/>
                <w:snapToGrid w:val="0"/>
                <w:color w:val="auto"/>
                <w:kern w:val="21"/>
                <w:szCs w:val="21"/>
              </w:rPr>
            </w:pPr>
          </w:p>
        </w:tc>
        <w:tc>
          <w:tcPr>
            <w:tcW w:w="2103" w:type="dxa"/>
            <w:gridSpan w:val="2"/>
            <w:vAlign w:val="center"/>
          </w:tcPr>
          <w:p w14:paraId="570A2D4B">
            <w:pPr>
              <w:topLinePunct/>
              <w:spacing w:line="240" w:lineRule="auto"/>
              <w:jc w:val="center"/>
              <w:rPr>
                <w:color w:val="auto"/>
                <w:sz w:val="21"/>
                <w:szCs w:val="21"/>
              </w:rPr>
            </w:pPr>
            <w:r>
              <w:rPr>
                <w:rFonts w:hint="eastAsia" w:hAnsi="宋体"/>
                <w:color w:val="auto"/>
                <w:kern w:val="0"/>
                <w:sz w:val="21"/>
                <w:szCs w:val="21"/>
              </w:rPr>
              <w:t>废机油桶</w:t>
            </w:r>
            <w:r>
              <w:rPr>
                <w:rStyle w:val="86"/>
                <w:rFonts w:hint="eastAsia"/>
                <w:color w:val="auto"/>
                <w:vertAlign w:val="baseline"/>
                <w:lang w:bidi="ar"/>
              </w:rPr>
              <w:t>（t/a）</w:t>
            </w:r>
          </w:p>
        </w:tc>
        <w:tc>
          <w:tcPr>
            <w:tcW w:w="1455" w:type="dxa"/>
            <w:vAlign w:val="center"/>
          </w:tcPr>
          <w:p w14:paraId="2C8C3DDF">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288" w:type="dxa"/>
            <w:vAlign w:val="center"/>
          </w:tcPr>
          <w:p w14:paraId="2E5F1F2F">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40" w:type="dxa"/>
            <w:vAlign w:val="center"/>
          </w:tcPr>
          <w:p w14:paraId="750FC558">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494" w:type="dxa"/>
            <w:vAlign w:val="center"/>
          </w:tcPr>
          <w:p w14:paraId="375D8B5E">
            <w:pPr>
              <w:topLinePunct/>
              <w:adjustRightInd w:val="0"/>
              <w:snapToGrid w:val="0"/>
              <w:spacing w:line="240" w:lineRule="auto"/>
              <w:jc w:val="center"/>
              <w:rPr>
                <w:snapToGrid w:val="0"/>
                <w:color w:val="auto"/>
                <w:kern w:val="21"/>
                <w:sz w:val="21"/>
                <w:szCs w:val="21"/>
              </w:rPr>
            </w:pPr>
            <w:r>
              <w:rPr>
                <w:rFonts w:hint="eastAsia"/>
                <w:snapToGrid w:val="0"/>
                <w:color w:val="auto"/>
                <w:kern w:val="21"/>
                <w:sz w:val="21"/>
                <w:szCs w:val="21"/>
              </w:rPr>
              <w:t>0.1</w:t>
            </w:r>
          </w:p>
        </w:tc>
        <w:tc>
          <w:tcPr>
            <w:tcW w:w="1650" w:type="dxa"/>
          </w:tcPr>
          <w:p w14:paraId="596E7F6A">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586" w:type="dxa"/>
            <w:vAlign w:val="center"/>
          </w:tcPr>
          <w:p w14:paraId="409B59F2">
            <w:pPr>
              <w:topLinePunct/>
              <w:adjustRightInd w:val="0"/>
              <w:snapToGrid w:val="0"/>
              <w:spacing w:line="240" w:lineRule="auto"/>
              <w:jc w:val="center"/>
              <w:rPr>
                <w:color w:val="auto"/>
                <w:sz w:val="21"/>
                <w:szCs w:val="21"/>
              </w:rPr>
            </w:pPr>
            <w:r>
              <w:rPr>
                <w:rFonts w:hint="eastAsia"/>
                <w:snapToGrid w:val="0"/>
                <w:color w:val="auto"/>
                <w:kern w:val="21"/>
                <w:sz w:val="21"/>
                <w:szCs w:val="21"/>
              </w:rPr>
              <w:t>0.1</w:t>
            </w:r>
          </w:p>
        </w:tc>
        <w:tc>
          <w:tcPr>
            <w:tcW w:w="1214" w:type="dxa"/>
            <w:vAlign w:val="center"/>
          </w:tcPr>
          <w:p w14:paraId="2AE4FF65">
            <w:pPr>
              <w:topLinePunct/>
              <w:adjustRightInd w:val="0"/>
              <w:snapToGrid w:val="0"/>
              <w:spacing w:line="240" w:lineRule="auto"/>
              <w:jc w:val="center"/>
              <w:rPr>
                <w:color w:val="auto"/>
                <w:sz w:val="21"/>
                <w:szCs w:val="21"/>
              </w:rPr>
            </w:pPr>
            <w:r>
              <w:rPr>
                <w:rFonts w:hint="eastAsia"/>
                <w:snapToGrid w:val="0"/>
                <w:color w:val="auto"/>
                <w:kern w:val="21"/>
                <w:sz w:val="21"/>
                <w:szCs w:val="21"/>
              </w:rPr>
              <w:t>+0.1</w:t>
            </w:r>
          </w:p>
        </w:tc>
      </w:tr>
      <w:tr w14:paraId="0528E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62" w:type="dxa"/>
            <w:vAlign w:val="center"/>
          </w:tcPr>
          <w:p w14:paraId="45DCA9C4">
            <w:pPr>
              <w:pStyle w:val="71"/>
              <w:rPr>
                <w:rFonts w:ascii="Times New Roman" w:hAnsi="Times New Roman"/>
                <w:snapToGrid w:val="0"/>
                <w:color w:val="auto"/>
                <w:kern w:val="21"/>
                <w:szCs w:val="21"/>
              </w:rPr>
            </w:pPr>
            <w:r>
              <w:rPr>
                <w:rFonts w:hint="eastAsia" w:ascii="Times New Roman" w:hAnsi="Times New Roman"/>
                <w:snapToGrid w:val="0"/>
                <w:color w:val="auto"/>
                <w:kern w:val="21"/>
                <w:szCs w:val="21"/>
              </w:rPr>
              <w:t>生活垃圾</w:t>
            </w:r>
          </w:p>
        </w:tc>
        <w:tc>
          <w:tcPr>
            <w:tcW w:w="2103" w:type="dxa"/>
            <w:gridSpan w:val="2"/>
            <w:vAlign w:val="center"/>
          </w:tcPr>
          <w:p w14:paraId="5FA0A2E0">
            <w:pPr>
              <w:widowControl/>
              <w:adjustRightInd w:val="0"/>
              <w:snapToGrid w:val="0"/>
              <w:spacing w:line="240" w:lineRule="auto"/>
              <w:jc w:val="center"/>
              <w:textAlignment w:val="center"/>
              <w:rPr>
                <w:snapToGrid w:val="0"/>
                <w:color w:val="auto"/>
                <w:kern w:val="21"/>
                <w:sz w:val="21"/>
                <w:szCs w:val="21"/>
              </w:rPr>
            </w:pPr>
            <w:r>
              <w:rPr>
                <w:rFonts w:hint="eastAsia"/>
                <w:color w:val="auto"/>
                <w:sz w:val="21"/>
                <w:szCs w:val="21"/>
              </w:rPr>
              <w:t>生活垃圾</w:t>
            </w:r>
            <w:r>
              <w:rPr>
                <w:rStyle w:val="86"/>
                <w:rFonts w:hint="eastAsia"/>
                <w:color w:val="auto"/>
                <w:vertAlign w:val="baseline"/>
                <w:lang w:bidi="ar"/>
              </w:rPr>
              <w:t>（t/a）</w:t>
            </w:r>
          </w:p>
        </w:tc>
        <w:tc>
          <w:tcPr>
            <w:tcW w:w="1455" w:type="dxa"/>
            <w:vAlign w:val="center"/>
          </w:tcPr>
          <w:p w14:paraId="07993CDA">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288" w:type="dxa"/>
            <w:vAlign w:val="center"/>
          </w:tcPr>
          <w:p w14:paraId="2D92C059">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40" w:type="dxa"/>
            <w:vAlign w:val="center"/>
          </w:tcPr>
          <w:p w14:paraId="545138DB">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494" w:type="dxa"/>
            <w:vAlign w:val="center"/>
          </w:tcPr>
          <w:p w14:paraId="16BA0F08">
            <w:pPr>
              <w:pStyle w:val="111"/>
              <w:rPr>
                <w:snapToGrid w:val="0"/>
                <w:color w:val="auto"/>
                <w:kern w:val="21"/>
                <w:szCs w:val="21"/>
              </w:rPr>
            </w:pPr>
            <w:r>
              <w:rPr>
                <w:rFonts w:hint="eastAsia"/>
                <w:snapToGrid w:val="0"/>
                <w:color w:val="auto"/>
                <w:kern w:val="21"/>
                <w:szCs w:val="21"/>
              </w:rPr>
              <w:t>0.3</w:t>
            </w:r>
          </w:p>
        </w:tc>
        <w:tc>
          <w:tcPr>
            <w:tcW w:w="1650" w:type="dxa"/>
          </w:tcPr>
          <w:p w14:paraId="7A824D98">
            <w:pPr>
              <w:pStyle w:val="71"/>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586" w:type="dxa"/>
            <w:vAlign w:val="center"/>
          </w:tcPr>
          <w:p w14:paraId="37A291F3">
            <w:pPr>
              <w:pStyle w:val="111"/>
              <w:rPr>
                <w:snapToGrid w:val="0"/>
                <w:color w:val="auto"/>
                <w:kern w:val="21"/>
                <w:szCs w:val="21"/>
              </w:rPr>
            </w:pPr>
            <w:r>
              <w:rPr>
                <w:rFonts w:hint="eastAsia"/>
                <w:snapToGrid w:val="0"/>
                <w:color w:val="auto"/>
                <w:kern w:val="21"/>
                <w:szCs w:val="21"/>
              </w:rPr>
              <w:t>0.3</w:t>
            </w:r>
          </w:p>
        </w:tc>
        <w:tc>
          <w:tcPr>
            <w:tcW w:w="1214" w:type="dxa"/>
            <w:vAlign w:val="center"/>
          </w:tcPr>
          <w:p w14:paraId="7A4BD9BB">
            <w:pPr>
              <w:pStyle w:val="111"/>
              <w:rPr>
                <w:snapToGrid w:val="0"/>
                <w:color w:val="auto"/>
                <w:kern w:val="21"/>
                <w:szCs w:val="21"/>
              </w:rPr>
            </w:pPr>
            <w:r>
              <w:rPr>
                <w:rFonts w:hint="eastAsia"/>
                <w:snapToGrid w:val="0"/>
                <w:color w:val="auto"/>
                <w:kern w:val="21"/>
                <w:szCs w:val="21"/>
              </w:rPr>
              <w:t>+0.3</w:t>
            </w:r>
          </w:p>
        </w:tc>
      </w:tr>
      <w:bookmarkEnd w:id="96"/>
    </w:tbl>
    <w:p w14:paraId="7AD48B20">
      <w:pPr>
        <w:rPr>
          <w:color w:val="auto"/>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ascii="宋体" w:hAnsi="宋体" w:cs="宋体"/>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ascii="宋体" w:hAnsi="宋体" w:cs="宋体"/>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rFonts w:hint="eastAsia" w:ascii="宋体" w:hAnsi="宋体" w:cs="宋体"/>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rFonts w:hint="eastAsia" w:ascii="宋体" w:hAnsi="宋体" w:cs="宋体"/>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rFonts w:hint="eastAsia" w:ascii="宋体" w:hAnsi="宋体" w:cs="宋体"/>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rFonts w:hint="eastAsia" w:ascii="宋体" w:hAnsi="宋体" w:cs="宋体"/>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ascii="宋体" w:hAnsi="宋体" w:cs="宋体"/>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ascii="宋体" w:hAnsi="宋体" w:cs="宋体"/>
          <w:color w:val="auto"/>
          <w:szCs w:val="21"/>
        </w:rPr>
        <w:t>①</w:t>
      </w:r>
      <w:r>
        <w:rPr>
          <w:snapToGrid w:val="0"/>
          <w:color w:val="auto"/>
          <w:spacing w:val="-6"/>
          <w:kern w:val="21"/>
          <w:szCs w:val="21"/>
        </w:rPr>
        <w:fldChar w:fldCharType="end"/>
      </w:r>
      <w:bookmarkEnd w:id="0"/>
      <w:bookmarkEnd w:id="1"/>
      <w:r>
        <w:rPr>
          <w:rFonts w:hint="eastAsia"/>
          <w:snapToGrid w:val="0"/>
          <w:color w:val="auto"/>
          <w:spacing w:val="-6"/>
          <w:kern w:val="21"/>
          <w:szCs w:val="21"/>
        </w:rPr>
        <w:t>，单位：t</w:t>
      </w:r>
      <w:r>
        <w:rPr>
          <w:snapToGrid w:val="0"/>
          <w:color w:val="auto"/>
          <w:spacing w:val="-6"/>
          <w:kern w:val="21"/>
          <w:szCs w:val="21"/>
        </w:rPr>
        <w:t>/a</w:t>
      </w:r>
    </w:p>
    <w:sectPr>
      <w:footerReference r:id="rId8" w:type="default"/>
      <w:pgSz w:w="16838" w:h="11906" w:orient="landscape"/>
      <w:pgMar w:top="1247" w:right="1418" w:bottom="1247" w:left="1418" w:header="851" w:footer="851" w:gutter="0"/>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imesNewRomanPSMT">
    <w:altName w:val="Times New Roman"/>
    <w:panose1 w:val="00000000000000000000"/>
    <w:charset w:val="00"/>
    <w:family w:val="auto"/>
    <w:pitch w:val="default"/>
    <w:sig w:usb0="00000000" w:usb1="00000000" w:usb2="00000010" w:usb3="00000000" w:csb0="00060001"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FBBE9">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9C4BB">
    <w:pPr>
      <w:pStyle w:val="15"/>
      <w:framePr w:wrap="around" w:vAnchor="text" w:hAnchor="margin" w:xAlign="center" w:y="1"/>
      <w:rPr>
        <w:rStyle w:val="29"/>
      </w:rPr>
    </w:pPr>
    <w:r>
      <w:fldChar w:fldCharType="begin"/>
    </w:r>
    <w:r>
      <w:rPr>
        <w:rStyle w:val="29"/>
      </w:rPr>
      <w:instrText xml:space="preserve">PAGE  </w:instrText>
    </w:r>
    <w:r>
      <w:fldChar w:fldCharType="separate"/>
    </w:r>
    <w:r>
      <w:rPr>
        <w:rStyle w:val="29"/>
      </w:rPr>
      <w:t>20</w:t>
    </w:r>
    <w:r>
      <w:fldChar w:fldCharType="end"/>
    </w:r>
  </w:p>
  <w:p w14:paraId="77867389">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E607E">
    <w:pPr>
      <w:pStyle w:val="15"/>
      <w:jc w:val="center"/>
      <w:rPr>
        <w:rFonts w:ascii="Times New Roman" w:hAnsi="Times New Roman"/>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6A5C7">
                          <w:pPr>
                            <w:pStyle w:val="15"/>
                            <w:jc w:val="cente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35</w:t>
                          </w:r>
                          <w:r>
                            <w:rPr>
                              <w:rFonts w:ascii="Times New Roman" w:hAnsi="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706A5C7">
                    <w:pPr>
                      <w:pStyle w:val="15"/>
                      <w:jc w:val="cente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35</w:t>
                    </w:r>
                    <w:r>
                      <w:rPr>
                        <w:rFonts w:ascii="Times New Roman" w:hAnsi="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69334">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E8DFB">
                          <w:pPr>
                            <w:pStyle w:val="15"/>
                            <w:jc w:val="center"/>
                          </w:pPr>
                          <w:r>
                            <w:fldChar w:fldCharType="begin"/>
                          </w:r>
                          <w:r>
                            <w:instrText xml:space="preserve">PAGE   \* MERGEFORMAT</w:instrText>
                          </w:r>
                          <w:r>
                            <w:fldChar w:fldCharType="separate"/>
                          </w:r>
                          <w:r>
                            <w:rPr>
                              <w:lang w:val="zh-CN"/>
                            </w:rP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FE8DFB">
                    <w:pPr>
                      <w:pStyle w:val="15"/>
                      <w:jc w:val="center"/>
                    </w:pPr>
                    <w:r>
                      <w:fldChar w:fldCharType="begin"/>
                    </w:r>
                    <w:r>
                      <w:instrText xml:space="preserve">PAGE   \* MERGEFORMAT</w:instrText>
                    </w:r>
                    <w:r>
                      <w:fldChar w:fldCharType="separate"/>
                    </w:r>
                    <w:r>
                      <w:rPr>
                        <w:lang w:val="zh-CN"/>
                      </w:rPr>
                      <w:t>59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D30BDF"/>
    <w:multiLevelType w:val="singleLevel"/>
    <w:tmpl w:val="C8D30BDF"/>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FlZmI2ZmJkYzFlMzhjNWMyYTkwYzg2MDUyNGU4ZTcifQ=="/>
    <w:docVar w:name="KSO_WPS_MARK_KEY" w:val="d8e8e46b-806b-4abb-b0cf-584ea83ca9e0"/>
  </w:docVars>
  <w:rsids>
    <w:rsidRoot w:val="00172A27"/>
    <w:rsid w:val="0000401A"/>
    <w:rsid w:val="00004B1E"/>
    <w:rsid w:val="0000652D"/>
    <w:rsid w:val="000074BB"/>
    <w:rsid w:val="00011488"/>
    <w:rsid w:val="00013071"/>
    <w:rsid w:val="00014558"/>
    <w:rsid w:val="000153C2"/>
    <w:rsid w:val="000153DA"/>
    <w:rsid w:val="000156DA"/>
    <w:rsid w:val="0001794E"/>
    <w:rsid w:val="00017E07"/>
    <w:rsid w:val="00020779"/>
    <w:rsid w:val="000232E4"/>
    <w:rsid w:val="00027693"/>
    <w:rsid w:val="000307D6"/>
    <w:rsid w:val="00030C58"/>
    <w:rsid w:val="0003306C"/>
    <w:rsid w:val="00034C09"/>
    <w:rsid w:val="000444B9"/>
    <w:rsid w:val="00045619"/>
    <w:rsid w:val="0004587C"/>
    <w:rsid w:val="00047A42"/>
    <w:rsid w:val="00050C3C"/>
    <w:rsid w:val="00051F84"/>
    <w:rsid w:val="00057968"/>
    <w:rsid w:val="00057CF0"/>
    <w:rsid w:val="00057E8C"/>
    <w:rsid w:val="00060EED"/>
    <w:rsid w:val="00060F2B"/>
    <w:rsid w:val="000617FF"/>
    <w:rsid w:val="000619FC"/>
    <w:rsid w:val="00061B17"/>
    <w:rsid w:val="000735CC"/>
    <w:rsid w:val="000809DC"/>
    <w:rsid w:val="00080F7F"/>
    <w:rsid w:val="00081690"/>
    <w:rsid w:val="00097867"/>
    <w:rsid w:val="00097AF0"/>
    <w:rsid w:val="00097EBB"/>
    <w:rsid w:val="000A1087"/>
    <w:rsid w:val="000A10D2"/>
    <w:rsid w:val="000A1AF2"/>
    <w:rsid w:val="000B033C"/>
    <w:rsid w:val="000B2A1C"/>
    <w:rsid w:val="000B6552"/>
    <w:rsid w:val="000B7292"/>
    <w:rsid w:val="000C202B"/>
    <w:rsid w:val="000C31A3"/>
    <w:rsid w:val="000C52A6"/>
    <w:rsid w:val="000D5A64"/>
    <w:rsid w:val="000E71C0"/>
    <w:rsid w:val="000F0DC0"/>
    <w:rsid w:val="000F2185"/>
    <w:rsid w:val="000F3B1E"/>
    <w:rsid w:val="00101B82"/>
    <w:rsid w:val="00102D09"/>
    <w:rsid w:val="00107209"/>
    <w:rsid w:val="0010734E"/>
    <w:rsid w:val="00107874"/>
    <w:rsid w:val="001079E8"/>
    <w:rsid w:val="00107BB4"/>
    <w:rsid w:val="00120273"/>
    <w:rsid w:val="00123A1E"/>
    <w:rsid w:val="00124F79"/>
    <w:rsid w:val="00125C84"/>
    <w:rsid w:val="00130963"/>
    <w:rsid w:val="00131D32"/>
    <w:rsid w:val="00132033"/>
    <w:rsid w:val="001342C3"/>
    <w:rsid w:val="00141BE2"/>
    <w:rsid w:val="00141C21"/>
    <w:rsid w:val="0014292A"/>
    <w:rsid w:val="00145B52"/>
    <w:rsid w:val="001478CA"/>
    <w:rsid w:val="00154130"/>
    <w:rsid w:val="00154AB5"/>
    <w:rsid w:val="00154C55"/>
    <w:rsid w:val="00156793"/>
    <w:rsid w:val="001569BE"/>
    <w:rsid w:val="001573DF"/>
    <w:rsid w:val="001630E5"/>
    <w:rsid w:val="0016402E"/>
    <w:rsid w:val="00165135"/>
    <w:rsid w:val="001655CC"/>
    <w:rsid w:val="00167412"/>
    <w:rsid w:val="00167FD1"/>
    <w:rsid w:val="00171357"/>
    <w:rsid w:val="00171490"/>
    <w:rsid w:val="001717DE"/>
    <w:rsid w:val="001722B7"/>
    <w:rsid w:val="001727B6"/>
    <w:rsid w:val="00172A27"/>
    <w:rsid w:val="0017750D"/>
    <w:rsid w:val="0018319E"/>
    <w:rsid w:val="0018332D"/>
    <w:rsid w:val="0019196C"/>
    <w:rsid w:val="00194E2E"/>
    <w:rsid w:val="0019750A"/>
    <w:rsid w:val="001A4C0A"/>
    <w:rsid w:val="001B4138"/>
    <w:rsid w:val="001C3343"/>
    <w:rsid w:val="001C3686"/>
    <w:rsid w:val="001C383B"/>
    <w:rsid w:val="001C6187"/>
    <w:rsid w:val="001D312C"/>
    <w:rsid w:val="001D44DE"/>
    <w:rsid w:val="001D7482"/>
    <w:rsid w:val="001D75F5"/>
    <w:rsid w:val="001E069D"/>
    <w:rsid w:val="001E18FD"/>
    <w:rsid w:val="001E3393"/>
    <w:rsid w:val="001E38F3"/>
    <w:rsid w:val="001F546E"/>
    <w:rsid w:val="00201F8A"/>
    <w:rsid w:val="00203007"/>
    <w:rsid w:val="00206E1C"/>
    <w:rsid w:val="00210AB5"/>
    <w:rsid w:val="00212F62"/>
    <w:rsid w:val="00212F73"/>
    <w:rsid w:val="00213DC8"/>
    <w:rsid w:val="00213FC7"/>
    <w:rsid w:val="002151D9"/>
    <w:rsid w:val="00220670"/>
    <w:rsid w:val="00223D9D"/>
    <w:rsid w:val="00230741"/>
    <w:rsid w:val="00233E64"/>
    <w:rsid w:val="00235784"/>
    <w:rsid w:val="00236B72"/>
    <w:rsid w:val="00236BF0"/>
    <w:rsid w:val="0023798A"/>
    <w:rsid w:val="00240918"/>
    <w:rsid w:val="00243C31"/>
    <w:rsid w:val="00250C6F"/>
    <w:rsid w:val="00252239"/>
    <w:rsid w:val="00253108"/>
    <w:rsid w:val="00253459"/>
    <w:rsid w:val="00262043"/>
    <w:rsid w:val="002641F8"/>
    <w:rsid w:val="00264DA5"/>
    <w:rsid w:val="0027219E"/>
    <w:rsid w:val="00272B02"/>
    <w:rsid w:val="00277AF4"/>
    <w:rsid w:val="00280CA0"/>
    <w:rsid w:val="00285862"/>
    <w:rsid w:val="00285E35"/>
    <w:rsid w:val="002905CE"/>
    <w:rsid w:val="00295030"/>
    <w:rsid w:val="00295BD6"/>
    <w:rsid w:val="00295D30"/>
    <w:rsid w:val="002A010A"/>
    <w:rsid w:val="002A080A"/>
    <w:rsid w:val="002A18EF"/>
    <w:rsid w:val="002A791E"/>
    <w:rsid w:val="002B1953"/>
    <w:rsid w:val="002B20D1"/>
    <w:rsid w:val="002B275A"/>
    <w:rsid w:val="002B29AA"/>
    <w:rsid w:val="002C0441"/>
    <w:rsid w:val="002C1FF2"/>
    <w:rsid w:val="002C4A91"/>
    <w:rsid w:val="002C6F91"/>
    <w:rsid w:val="002D0C55"/>
    <w:rsid w:val="002D35BD"/>
    <w:rsid w:val="002D6FD2"/>
    <w:rsid w:val="002D7466"/>
    <w:rsid w:val="002D7F7E"/>
    <w:rsid w:val="002E0F6D"/>
    <w:rsid w:val="002E1224"/>
    <w:rsid w:val="002E37C9"/>
    <w:rsid w:val="002E5475"/>
    <w:rsid w:val="002E730F"/>
    <w:rsid w:val="002F11CF"/>
    <w:rsid w:val="002F298B"/>
    <w:rsid w:val="002F35EF"/>
    <w:rsid w:val="002F3608"/>
    <w:rsid w:val="002F4948"/>
    <w:rsid w:val="002F4A77"/>
    <w:rsid w:val="002F7F38"/>
    <w:rsid w:val="0031205B"/>
    <w:rsid w:val="00313859"/>
    <w:rsid w:val="003235BE"/>
    <w:rsid w:val="003240B6"/>
    <w:rsid w:val="0032473E"/>
    <w:rsid w:val="00325A4E"/>
    <w:rsid w:val="00332909"/>
    <w:rsid w:val="00334E48"/>
    <w:rsid w:val="0033674D"/>
    <w:rsid w:val="0034427B"/>
    <w:rsid w:val="00344CB8"/>
    <w:rsid w:val="00346655"/>
    <w:rsid w:val="00347598"/>
    <w:rsid w:val="00352E0B"/>
    <w:rsid w:val="0035393B"/>
    <w:rsid w:val="00356E03"/>
    <w:rsid w:val="00361BCE"/>
    <w:rsid w:val="00365E64"/>
    <w:rsid w:val="003671B7"/>
    <w:rsid w:val="00367641"/>
    <w:rsid w:val="00371734"/>
    <w:rsid w:val="00371A20"/>
    <w:rsid w:val="00374FF7"/>
    <w:rsid w:val="00375D09"/>
    <w:rsid w:val="003809C8"/>
    <w:rsid w:val="003839AB"/>
    <w:rsid w:val="0038762E"/>
    <w:rsid w:val="00390543"/>
    <w:rsid w:val="00394216"/>
    <w:rsid w:val="00394D25"/>
    <w:rsid w:val="00396098"/>
    <w:rsid w:val="003A0466"/>
    <w:rsid w:val="003A160F"/>
    <w:rsid w:val="003A1B13"/>
    <w:rsid w:val="003A457E"/>
    <w:rsid w:val="003A7AAC"/>
    <w:rsid w:val="003B05C7"/>
    <w:rsid w:val="003B25C3"/>
    <w:rsid w:val="003B5CE3"/>
    <w:rsid w:val="003B6E39"/>
    <w:rsid w:val="003D1ED9"/>
    <w:rsid w:val="003D1FD9"/>
    <w:rsid w:val="003D2AB4"/>
    <w:rsid w:val="003D4266"/>
    <w:rsid w:val="003D5A32"/>
    <w:rsid w:val="003D68D1"/>
    <w:rsid w:val="003E1115"/>
    <w:rsid w:val="003E30C2"/>
    <w:rsid w:val="003E4211"/>
    <w:rsid w:val="003E7409"/>
    <w:rsid w:val="003F0537"/>
    <w:rsid w:val="003F135C"/>
    <w:rsid w:val="003F1FF4"/>
    <w:rsid w:val="003F2F27"/>
    <w:rsid w:val="00403DCA"/>
    <w:rsid w:val="00406C91"/>
    <w:rsid w:val="00414D2A"/>
    <w:rsid w:val="00415098"/>
    <w:rsid w:val="004168E8"/>
    <w:rsid w:val="004257D7"/>
    <w:rsid w:val="00426017"/>
    <w:rsid w:val="0043357D"/>
    <w:rsid w:val="00436360"/>
    <w:rsid w:val="004369E3"/>
    <w:rsid w:val="00442168"/>
    <w:rsid w:val="0044370B"/>
    <w:rsid w:val="0044434E"/>
    <w:rsid w:val="0044460C"/>
    <w:rsid w:val="0044472C"/>
    <w:rsid w:val="00445B65"/>
    <w:rsid w:val="00452582"/>
    <w:rsid w:val="004541A4"/>
    <w:rsid w:val="004543CD"/>
    <w:rsid w:val="0045548C"/>
    <w:rsid w:val="004605B0"/>
    <w:rsid w:val="00462095"/>
    <w:rsid w:val="004624B9"/>
    <w:rsid w:val="0046473D"/>
    <w:rsid w:val="004702A9"/>
    <w:rsid w:val="00470694"/>
    <w:rsid w:val="0047195B"/>
    <w:rsid w:val="00476D72"/>
    <w:rsid w:val="004843EF"/>
    <w:rsid w:val="00484F74"/>
    <w:rsid w:val="004856BB"/>
    <w:rsid w:val="004860B1"/>
    <w:rsid w:val="00486E6D"/>
    <w:rsid w:val="00487BF0"/>
    <w:rsid w:val="00490EBF"/>
    <w:rsid w:val="004910EF"/>
    <w:rsid w:val="00491413"/>
    <w:rsid w:val="00493FD2"/>
    <w:rsid w:val="00494886"/>
    <w:rsid w:val="004A341A"/>
    <w:rsid w:val="004A4200"/>
    <w:rsid w:val="004A6929"/>
    <w:rsid w:val="004A6A5F"/>
    <w:rsid w:val="004B571E"/>
    <w:rsid w:val="004B7B88"/>
    <w:rsid w:val="004C3109"/>
    <w:rsid w:val="004C3920"/>
    <w:rsid w:val="004C53DB"/>
    <w:rsid w:val="004D08B7"/>
    <w:rsid w:val="004D0CC7"/>
    <w:rsid w:val="004D2DF3"/>
    <w:rsid w:val="004D309D"/>
    <w:rsid w:val="004D72A0"/>
    <w:rsid w:val="004D7FD9"/>
    <w:rsid w:val="004E08CA"/>
    <w:rsid w:val="004E19F5"/>
    <w:rsid w:val="004E455A"/>
    <w:rsid w:val="004F1D1C"/>
    <w:rsid w:val="004F2A67"/>
    <w:rsid w:val="004F33B9"/>
    <w:rsid w:val="004F5120"/>
    <w:rsid w:val="004F6577"/>
    <w:rsid w:val="0050012C"/>
    <w:rsid w:val="00502AA9"/>
    <w:rsid w:val="0050453A"/>
    <w:rsid w:val="00504FB8"/>
    <w:rsid w:val="00505785"/>
    <w:rsid w:val="00510EA3"/>
    <w:rsid w:val="005132AB"/>
    <w:rsid w:val="00515030"/>
    <w:rsid w:val="00515B09"/>
    <w:rsid w:val="00517768"/>
    <w:rsid w:val="005208AB"/>
    <w:rsid w:val="00522AB2"/>
    <w:rsid w:val="0052315B"/>
    <w:rsid w:val="0052557D"/>
    <w:rsid w:val="005258BB"/>
    <w:rsid w:val="00530881"/>
    <w:rsid w:val="00532053"/>
    <w:rsid w:val="00532C54"/>
    <w:rsid w:val="005338D5"/>
    <w:rsid w:val="00534134"/>
    <w:rsid w:val="00536D12"/>
    <w:rsid w:val="005423BE"/>
    <w:rsid w:val="00546848"/>
    <w:rsid w:val="005537C6"/>
    <w:rsid w:val="00555643"/>
    <w:rsid w:val="00555789"/>
    <w:rsid w:val="00563DB4"/>
    <w:rsid w:val="005641C6"/>
    <w:rsid w:val="005643B4"/>
    <w:rsid w:val="00571D04"/>
    <w:rsid w:val="005767B6"/>
    <w:rsid w:val="005811FB"/>
    <w:rsid w:val="005837E2"/>
    <w:rsid w:val="005863A6"/>
    <w:rsid w:val="00586E4F"/>
    <w:rsid w:val="00586FF9"/>
    <w:rsid w:val="005873D3"/>
    <w:rsid w:val="005951FB"/>
    <w:rsid w:val="005965CA"/>
    <w:rsid w:val="005A0217"/>
    <w:rsid w:val="005A6030"/>
    <w:rsid w:val="005A786D"/>
    <w:rsid w:val="005B7F1F"/>
    <w:rsid w:val="005C00F0"/>
    <w:rsid w:val="005C0439"/>
    <w:rsid w:val="005C69D2"/>
    <w:rsid w:val="005D41E0"/>
    <w:rsid w:val="005E1B14"/>
    <w:rsid w:val="005E7957"/>
    <w:rsid w:val="005F0910"/>
    <w:rsid w:val="005F2107"/>
    <w:rsid w:val="005F3F3F"/>
    <w:rsid w:val="005F48E7"/>
    <w:rsid w:val="0060017D"/>
    <w:rsid w:val="0060164F"/>
    <w:rsid w:val="00601654"/>
    <w:rsid w:val="00601EEB"/>
    <w:rsid w:val="006052F1"/>
    <w:rsid w:val="00610EF3"/>
    <w:rsid w:val="006157D6"/>
    <w:rsid w:val="006167E0"/>
    <w:rsid w:val="00616D2F"/>
    <w:rsid w:val="00620019"/>
    <w:rsid w:val="00625D27"/>
    <w:rsid w:val="00627778"/>
    <w:rsid w:val="0063069F"/>
    <w:rsid w:val="00631BE2"/>
    <w:rsid w:val="00641093"/>
    <w:rsid w:val="006428E3"/>
    <w:rsid w:val="006440F3"/>
    <w:rsid w:val="00650A01"/>
    <w:rsid w:val="00654D3A"/>
    <w:rsid w:val="00656AE8"/>
    <w:rsid w:val="0065756A"/>
    <w:rsid w:val="00665C0D"/>
    <w:rsid w:val="00671776"/>
    <w:rsid w:val="0067457B"/>
    <w:rsid w:val="006754DC"/>
    <w:rsid w:val="00675F33"/>
    <w:rsid w:val="00677182"/>
    <w:rsid w:val="00677750"/>
    <w:rsid w:val="00681022"/>
    <w:rsid w:val="006836F7"/>
    <w:rsid w:val="00686103"/>
    <w:rsid w:val="00686318"/>
    <w:rsid w:val="006867C5"/>
    <w:rsid w:val="00692348"/>
    <w:rsid w:val="006971D0"/>
    <w:rsid w:val="006A58A4"/>
    <w:rsid w:val="006A7C77"/>
    <w:rsid w:val="006B5273"/>
    <w:rsid w:val="006C068D"/>
    <w:rsid w:val="006C0A7A"/>
    <w:rsid w:val="006C0A99"/>
    <w:rsid w:val="006C4E8C"/>
    <w:rsid w:val="006C607D"/>
    <w:rsid w:val="006C6E95"/>
    <w:rsid w:val="006E0665"/>
    <w:rsid w:val="006E0864"/>
    <w:rsid w:val="006E0E36"/>
    <w:rsid w:val="006E17E0"/>
    <w:rsid w:val="006E35E1"/>
    <w:rsid w:val="006E49DF"/>
    <w:rsid w:val="006E7137"/>
    <w:rsid w:val="006E786B"/>
    <w:rsid w:val="006F037F"/>
    <w:rsid w:val="006F2EF2"/>
    <w:rsid w:val="006F4B41"/>
    <w:rsid w:val="006F5054"/>
    <w:rsid w:val="006F5796"/>
    <w:rsid w:val="00704F19"/>
    <w:rsid w:val="00705BAA"/>
    <w:rsid w:val="007068CE"/>
    <w:rsid w:val="0071001C"/>
    <w:rsid w:val="007103DE"/>
    <w:rsid w:val="00712975"/>
    <w:rsid w:val="00715D13"/>
    <w:rsid w:val="00716027"/>
    <w:rsid w:val="00716CA8"/>
    <w:rsid w:val="0072114F"/>
    <w:rsid w:val="00725F8E"/>
    <w:rsid w:val="00727407"/>
    <w:rsid w:val="00734C14"/>
    <w:rsid w:val="00735414"/>
    <w:rsid w:val="007375BD"/>
    <w:rsid w:val="00737FA7"/>
    <w:rsid w:val="00740D76"/>
    <w:rsid w:val="00741702"/>
    <w:rsid w:val="007446E3"/>
    <w:rsid w:val="00747CEC"/>
    <w:rsid w:val="00750892"/>
    <w:rsid w:val="00753C47"/>
    <w:rsid w:val="00753E29"/>
    <w:rsid w:val="00754732"/>
    <w:rsid w:val="00754D30"/>
    <w:rsid w:val="007563DA"/>
    <w:rsid w:val="0076286C"/>
    <w:rsid w:val="00763EF0"/>
    <w:rsid w:val="007674DC"/>
    <w:rsid w:val="00771493"/>
    <w:rsid w:val="00772CD7"/>
    <w:rsid w:val="007734DA"/>
    <w:rsid w:val="0077743A"/>
    <w:rsid w:val="007801B1"/>
    <w:rsid w:val="00781C1B"/>
    <w:rsid w:val="00782D13"/>
    <w:rsid w:val="00784571"/>
    <w:rsid w:val="00784BB5"/>
    <w:rsid w:val="00785EBB"/>
    <w:rsid w:val="007912D4"/>
    <w:rsid w:val="00792B80"/>
    <w:rsid w:val="00796D49"/>
    <w:rsid w:val="00797F82"/>
    <w:rsid w:val="007A0690"/>
    <w:rsid w:val="007A1657"/>
    <w:rsid w:val="007A1785"/>
    <w:rsid w:val="007A1C71"/>
    <w:rsid w:val="007A2CF5"/>
    <w:rsid w:val="007A422F"/>
    <w:rsid w:val="007A4A3F"/>
    <w:rsid w:val="007A694C"/>
    <w:rsid w:val="007B08F0"/>
    <w:rsid w:val="007B0966"/>
    <w:rsid w:val="007C16AC"/>
    <w:rsid w:val="007C2EE1"/>
    <w:rsid w:val="007C6B4C"/>
    <w:rsid w:val="007C7843"/>
    <w:rsid w:val="007D3A1B"/>
    <w:rsid w:val="007D6DA4"/>
    <w:rsid w:val="007E7A98"/>
    <w:rsid w:val="007F1A8C"/>
    <w:rsid w:val="007F24EC"/>
    <w:rsid w:val="007F3F2F"/>
    <w:rsid w:val="007F53EF"/>
    <w:rsid w:val="007F5C35"/>
    <w:rsid w:val="007F5D8E"/>
    <w:rsid w:val="007F6B03"/>
    <w:rsid w:val="00810D4A"/>
    <w:rsid w:val="00811E29"/>
    <w:rsid w:val="0081204A"/>
    <w:rsid w:val="00813B08"/>
    <w:rsid w:val="00815F8E"/>
    <w:rsid w:val="00820108"/>
    <w:rsid w:val="00821DA7"/>
    <w:rsid w:val="00821ECA"/>
    <w:rsid w:val="008233A1"/>
    <w:rsid w:val="008237A8"/>
    <w:rsid w:val="00823CB1"/>
    <w:rsid w:val="0083310C"/>
    <w:rsid w:val="008359BF"/>
    <w:rsid w:val="00843EFE"/>
    <w:rsid w:val="008518DE"/>
    <w:rsid w:val="00852BDF"/>
    <w:rsid w:val="0085564F"/>
    <w:rsid w:val="00857074"/>
    <w:rsid w:val="008625BA"/>
    <w:rsid w:val="0086462E"/>
    <w:rsid w:val="00865440"/>
    <w:rsid w:val="008662C9"/>
    <w:rsid w:val="00870500"/>
    <w:rsid w:val="00870A51"/>
    <w:rsid w:val="008824E8"/>
    <w:rsid w:val="008831E1"/>
    <w:rsid w:val="008852C1"/>
    <w:rsid w:val="00887925"/>
    <w:rsid w:val="00891164"/>
    <w:rsid w:val="00892F52"/>
    <w:rsid w:val="00894C60"/>
    <w:rsid w:val="008A1B7B"/>
    <w:rsid w:val="008A2D0A"/>
    <w:rsid w:val="008A3D46"/>
    <w:rsid w:val="008A63CB"/>
    <w:rsid w:val="008A6995"/>
    <w:rsid w:val="008B3504"/>
    <w:rsid w:val="008B51CE"/>
    <w:rsid w:val="008B6748"/>
    <w:rsid w:val="008C08E6"/>
    <w:rsid w:val="008C325A"/>
    <w:rsid w:val="008C3B2D"/>
    <w:rsid w:val="008D5D49"/>
    <w:rsid w:val="008D66B1"/>
    <w:rsid w:val="008D6D17"/>
    <w:rsid w:val="008D6FCD"/>
    <w:rsid w:val="008E1EAE"/>
    <w:rsid w:val="008E28F7"/>
    <w:rsid w:val="008E7126"/>
    <w:rsid w:val="008F20E7"/>
    <w:rsid w:val="008F3166"/>
    <w:rsid w:val="008F3D9A"/>
    <w:rsid w:val="00903922"/>
    <w:rsid w:val="00906E93"/>
    <w:rsid w:val="0091366D"/>
    <w:rsid w:val="00913998"/>
    <w:rsid w:val="00915270"/>
    <w:rsid w:val="009169B0"/>
    <w:rsid w:val="009177F6"/>
    <w:rsid w:val="00923021"/>
    <w:rsid w:val="009238EB"/>
    <w:rsid w:val="00926042"/>
    <w:rsid w:val="00926937"/>
    <w:rsid w:val="009273D0"/>
    <w:rsid w:val="00931A40"/>
    <w:rsid w:val="00931B7B"/>
    <w:rsid w:val="00932B58"/>
    <w:rsid w:val="009338AD"/>
    <w:rsid w:val="009342B5"/>
    <w:rsid w:val="00934A00"/>
    <w:rsid w:val="009353F5"/>
    <w:rsid w:val="009371D0"/>
    <w:rsid w:val="0094091D"/>
    <w:rsid w:val="00943146"/>
    <w:rsid w:val="009536EF"/>
    <w:rsid w:val="00953BB0"/>
    <w:rsid w:val="00956174"/>
    <w:rsid w:val="00960BA5"/>
    <w:rsid w:val="009622C8"/>
    <w:rsid w:val="0096418D"/>
    <w:rsid w:val="00972216"/>
    <w:rsid w:val="00972522"/>
    <w:rsid w:val="00973631"/>
    <w:rsid w:val="00974017"/>
    <w:rsid w:val="009743D0"/>
    <w:rsid w:val="00980A0C"/>
    <w:rsid w:val="00983E5D"/>
    <w:rsid w:val="00984786"/>
    <w:rsid w:val="00985C1B"/>
    <w:rsid w:val="00990D5C"/>
    <w:rsid w:val="00992BE2"/>
    <w:rsid w:val="00994950"/>
    <w:rsid w:val="00997D30"/>
    <w:rsid w:val="009A0EEE"/>
    <w:rsid w:val="009A334B"/>
    <w:rsid w:val="009A4BBE"/>
    <w:rsid w:val="009A7339"/>
    <w:rsid w:val="009A7F3B"/>
    <w:rsid w:val="009B0EB9"/>
    <w:rsid w:val="009B0F6E"/>
    <w:rsid w:val="009B1249"/>
    <w:rsid w:val="009B24AD"/>
    <w:rsid w:val="009B359B"/>
    <w:rsid w:val="009B3659"/>
    <w:rsid w:val="009B4D53"/>
    <w:rsid w:val="009B560A"/>
    <w:rsid w:val="009B5D1A"/>
    <w:rsid w:val="009C0B92"/>
    <w:rsid w:val="009C11A7"/>
    <w:rsid w:val="009C2276"/>
    <w:rsid w:val="009C5BB2"/>
    <w:rsid w:val="009D2A13"/>
    <w:rsid w:val="009D2C87"/>
    <w:rsid w:val="009D7E16"/>
    <w:rsid w:val="009E03E0"/>
    <w:rsid w:val="009E1536"/>
    <w:rsid w:val="009E29FF"/>
    <w:rsid w:val="009E3B8B"/>
    <w:rsid w:val="009E4EB3"/>
    <w:rsid w:val="009E5FE7"/>
    <w:rsid w:val="009E69BA"/>
    <w:rsid w:val="009F0C40"/>
    <w:rsid w:val="009F2EFD"/>
    <w:rsid w:val="009F3F25"/>
    <w:rsid w:val="009F45E2"/>
    <w:rsid w:val="00A0100F"/>
    <w:rsid w:val="00A0234E"/>
    <w:rsid w:val="00A0370B"/>
    <w:rsid w:val="00A06A98"/>
    <w:rsid w:val="00A07329"/>
    <w:rsid w:val="00A0759F"/>
    <w:rsid w:val="00A10FA9"/>
    <w:rsid w:val="00A11873"/>
    <w:rsid w:val="00A12DAA"/>
    <w:rsid w:val="00A14CA3"/>
    <w:rsid w:val="00A2146F"/>
    <w:rsid w:val="00A22C4C"/>
    <w:rsid w:val="00A326C0"/>
    <w:rsid w:val="00A343BD"/>
    <w:rsid w:val="00A353D4"/>
    <w:rsid w:val="00A511C1"/>
    <w:rsid w:val="00A5279E"/>
    <w:rsid w:val="00A535A4"/>
    <w:rsid w:val="00A53E33"/>
    <w:rsid w:val="00A5450F"/>
    <w:rsid w:val="00A563E9"/>
    <w:rsid w:val="00A56735"/>
    <w:rsid w:val="00A571BB"/>
    <w:rsid w:val="00A60781"/>
    <w:rsid w:val="00A60B77"/>
    <w:rsid w:val="00A62149"/>
    <w:rsid w:val="00A643B1"/>
    <w:rsid w:val="00A65EA0"/>
    <w:rsid w:val="00A66373"/>
    <w:rsid w:val="00A715BE"/>
    <w:rsid w:val="00A730D1"/>
    <w:rsid w:val="00A73BE0"/>
    <w:rsid w:val="00A77FF9"/>
    <w:rsid w:val="00A818C0"/>
    <w:rsid w:val="00A82D06"/>
    <w:rsid w:val="00A859B7"/>
    <w:rsid w:val="00A86D54"/>
    <w:rsid w:val="00A910BA"/>
    <w:rsid w:val="00A95A3C"/>
    <w:rsid w:val="00A972C3"/>
    <w:rsid w:val="00AB0966"/>
    <w:rsid w:val="00AB6D20"/>
    <w:rsid w:val="00AC0A7A"/>
    <w:rsid w:val="00AC37C9"/>
    <w:rsid w:val="00AC3ABA"/>
    <w:rsid w:val="00AC3F87"/>
    <w:rsid w:val="00AC4054"/>
    <w:rsid w:val="00AC7440"/>
    <w:rsid w:val="00AD79A3"/>
    <w:rsid w:val="00AD7CC4"/>
    <w:rsid w:val="00AE1586"/>
    <w:rsid w:val="00AE2195"/>
    <w:rsid w:val="00AE2A22"/>
    <w:rsid w:val="00AE49AF"/>
    <w:rsid w:val="00AE5DBE"/>
    <w:rsid w:val="00AE7799"/>
    <w:rsid w:val="00AF0AF2"/>
    <w:rsid w:val="00AF7B71"/>
    <w:rsid w:val="00B00583"/>
    <w:rsid w:val="00B00EE7"/>
    <w:rsid w:val="00B040D5"/>
    <w:rsid w:val="00B06391"/>
    <w:rsid w:val="00B10CF5"/>
    <w:rsid w:val="00B15B5D"/>
    <w:rsid w:val="00B17C46"/>
    <w:rsid w:val="00B23BFE"/>
    <w:rsid w:val="00B253CC"/>
    <w:rsid w:val="00B25B52"/>
    <w:rsid w:val="00B36F58"/>
    <w:rsid w:val="00B41C08"/>
    <w:rsid w:val="00B42F1E"/>
    <w:rsid w:val="00B43833"/>
    <w:rsid w:val="00B44F97"/>
    <w:rsid w:val="00B46883"/>
    <w:rsid w:val="00B47603"/>
    <w:rsid w:val="00B517C5"/>
    <w:rsid w:val="00B51854"/>
    <w:rsid w:val="00B52EBE"/>
    <w:rsid w:val="00B5443F"/>
    <w:rsid w:val="00B5719C"/>
    <w:rsid w:val="00B6303D"/>
    <w:rsid w:val="00B648AF"/>
    <w:rsid w:val="00B65E4E"/>
    <w:rsid w:val="00B6612D"/>
    <w:rsid w:val="00B7043E"/>
    <w:rsid w:val="00B7537A"/>
    <w:rsid w:val="00B75DC7"/>
    <w:rsid w:val="00B8071C"/>
    <w:rsid w:val="00B80782"/>
    <w:rsid w:val="00B82ABD"/>
    <w:rsid w:val="00B834D5"/>
    <w:rsid w:val="00B85DEE"/>
    <w:rsid w:val="00B86636"/>
    <w:rsid w:val="00B86D2A"/>
    <w:rsid w:val="00B87A7B"/>
    <w:rsid w:val="00B909EB"/>
    <w:rsid w:val="00B94B45"/>
    <w:rsid w:val="00B94D3B"/>
    <w:rsid w:val="00B958AA"/>
    <w:rsid w:val="00B978FC"/>
    <w:rsid w:val="00BA1409"/>
    <w:rsid w:val="00BA20A5"/>
    <w:rsid w:val="00BA4770"/>
    <w:rsid w:val="00BA4CFE"/>
    <w:rsid w:val="00BA54D7"/>
    <w:rsid w:val="00BA5D20"/>
    <w:rsid w:val="00BB009F"/>
    <w:rsid w:val="00BB3543"/>
    <w:rsid w:val="00BB3A91"/>
    <w:rsid w:val="00BC01FC"/>
    <w:rsid w:val="00BC0327"/>
    <w:rsid w:val="00BC192B"/>
    <w:rsid w:val="00BC3F9B"/>
    <w:rsid w:val="00BC4280"/>
    <w:rsid w:val="00BC4E71"/>
    <w:rsid w:val="00BC684A"/>
    <w:rsid w:val="00BC7089"/>
    <w:rsid w:val="00BC7839"/>
    <w:rsid w:val="00BD28A5"/>
    <w:rsid w:val="00BE24E6"/>
    <w:rsid w:val="00BE5FE3"/>
    <w:rsid w:val="00BE68A3"/>
    <w:rsid w:val="00BE7445"/>
    <w:rsid w:val="00BE7C37"/>
    <w:rsid w:val="00BF35CA"/>
    <w:rsid w:val="00BF5917"/>
    <w:rsid w:val="00BF6D60"/>
    <w:rsid w:val="00C00D51"/>
    <w:rsid w:val="00C0668B"/>
    <w:rsid w:val="00C07E4A"/>
    <w:rsid w:val="00C27965"/>
    <w:rsid w:val="00C3083F"/>
    <w:rsid w:val="00C3121A"/>
    <w:rsid w:val="00C32863"/>
    <w:rsid w:val="00C35737"/>
    <w:rsid w:val="00C3586A"/>
    <w:rsid w:val="00C42DA6"/>
    <w:rsid w:val="00C43785"/>
    <w:rsid w:val="00C450C3"/>
    <w:rsid w:val="00C50960"/>
    <w:rsid w:val="00C52345"/>
    <w:rsid w:val="00C55F4E"/>
    <w:rsid w:val="00C56729"/>
    <w:rsid w:val="00C61620"/>
    <w:rsid w:val="00C61698"/>
    <w:rsid w:val="00C624D3"/>
    <w:rsid w:val="00C63B61"/>
    <w:rsid w:val="00C65FC2"/>
    <w:rsid w:val="00C66570"/>
    <w:rsid w:val="00C71EB1"/>
    <w:rsid w:val="00C73380"/>
    <w:rsid w:val="00C73889"/>
    <w:rsid w:val="00C75CAA"/>
    <w:rsid w:val="00C77935"/>
    <w:rsid w:val="00C80171"/>
    <w:rsid w:val="00C8063E"/>
    <w:rsid w:val="00C814AB"/>
    <w:rsid w:val="00C8500F"/>
    <w:rsid w:val="00C92DA6"/>
    <w:rsid w:val="00C946FC"/>
    <w:rsid w:val="00C96AEB"/>
    <w:rsid w:val="00C96CA4"/>
    <w:rsid w:val="00C96E95"/>
    <w:rsid w:val="00CA1CA9"/>
    <w:rsid w:val="00CA2972"/>
    <w:rsid w:val="00CA36CF"/>
    <w:rsid w:val="00CA3893"/>
    <w:rsid w:val="00CB1B1D"/>
    <w:rsid w:val="00CB35E9"/>
    <w:rsid w:val="00CB4DE4"/>
    <w:rsid w:val="00CB52FB"/>
    <w:rsid w:val="00CC5557"/>
    <w:rsid w:val="00CD334B"/>
    <w:rsid w:val="00CE0CC0"/>
    <w:rsid w:val="00CE0FCD"/>
    <w:rsid w:val="00CE509E"/>
    <w:rsid w:val="00CE7833"/>
    <w:rsid w:val="00CF044B"/>
    <w:rsid w:val="00CF3CFA"/>
    <w:rsid w:val="00CF4E8F"/>
    <w:rsid w:val="00CF7F29"/>
    <w:rsid w:val="00D0332B"/>
    <w:rsid w:val="00D0364A"/>
    <w:rsid w:val="00D03F7B"/>
    <w:rsid w:val="00D103B2"/>
    <w:rsid w:val="00D11DDB"/>
    <w:rsid w:val="00D1540E"/>
    <w:rsid w:val="00D164A4"/>
    <w:rsid w:val="00D16C8D"/>
    <w:rsid w:val="00D2070E"/>
    <w:rsid w:val="00D266CF"/>
    <w:rsid w:val="00D30F97"/>
    <w:rsid w:val="00D31EE0"/>
    <w:rsid w:val="00D32DC7"/>
    <w:rsid w:val="00D355F4"/>
    <w:rsid w:val="00D40D69"/>
    <w:rsid w:val="00D40F00"/>
    <w:rsid w:val="00D4625E"/>
    <w:rsid w:val="00D52CA4"/>
    <w:rsid w:val="00D53BB8"/>
    <w:rsid w:val="00D53D94"/>
    <w:rsid w:val="00D61365"/>
    <w:rsid w:val="00D63030"/>
    <w:rsid w:val="00D6511F"/>
    <w:rsid w:val="00D72959"/>
    <w:rsid w:val="00D72E8F"/>
    <w:rsid w:val="00D72FED"/>
    <w:rsid w:val="00D749DF"/>
    <w:rsid w:val="00D754CC"/>
    <w:rsid w:val="00D75657"/>
    <w:rsid w:val="00D758FA"/>
    <w:rsid w:val="00D80A71"/>
    <w:rsid w:val="00D8187E"/>
    <w:rsid w:val="00D82F6C"/>
    <w:rsid w:val="00D924B5"/>
    <w:rsid w:val="00D9471A"/>
    <w:rsid w:val="00D952C6"/>
    <w:rsid w:val="00D95D89"/>
    <w:rsid w:val="00D96480"/>
    <w:rsid w:val="00DA31D9"/>
    <w:rsid w:val="00DA59D6"/>
    <w:rsid w:val="00DA6907"/>
    <w:rsid w:val="00DB024D"/>
    <w:rsid w:val="00DB223D"/>
    <w:rsid w:val="00DB3CC3"/>
    <w:rsid w:val="00DB56B8"/>
    <w:rsid w:val="00DB6B04"/>
    <w:rsid w:val="00DB717E"/>
    <w:rsid w:val="00DB7A22"/>
    <w:rsid w:val="00DB7A65"/>
    <w:rsid w:val="00DC0360"/>
    <w:rsid w:val="00DC0AF9"/>
    <w:rsid w:val="00DC1E77"/>
    <w:rsid w:val="00DC765F"/>
    <w:rsid w:val="00DD2035"/>
    <w:rsid w:val="00DD209D"/>
    <w:rsid w:val="00DD6752"/>
    <w:rsid w:val="00DD6DFB"/>
    <w:rsid w:val="00DE1941"/>
    <w:rsid w:val="00DE2158"/>
    <w:rsid w:val="00DE22F9"/>
    <w:rsid w:val="00DE6A57"/>
    <w:rsid w:val="00DF2ACE"/>
    <w:rsid w:val="00DF358E"/>
    <w:rsid w:val="00DF5A12"/>
    <w:rsid w:val="00DF5E4B"/>
    <w:rsid w:val="00DF60B8"/>
    <w:rsid w:val="00DF6B47"/>
    <w:rsid w:val="00E0220C"/>
    <w:rsid w:val="00E03FC8"/>
    <w:rsid w:val="00E05A57"/>
    <w:rsid w:val="00E07452"/>
    <w:rsid w:val="00E075EC"/>
    <w:rsid w:val="00E11858"/>
    <w:rsid w:val="00E1190A"/>
    <w:rsid w:val="00E12045"/>
    <w:rsid w:val="00E146E1"/>
    <w:rsid w:val="00E20AE7"/>
    <w:rsid w:val="00E21F76"/>
    <w:rsid w:val="00E23C38"/>
    <w:rsid w:val="00E26D2A"/>
    <w:rsid w:val="00E27A44"/>
    <w:rsid w:val="00E33FC5"/>
    <w:rsid w:val="00E34193"/>
    <w:rsid w:val="00E404A9"/>
    <w:rsid w:val="00E416E0"/>
    <w:rsid w:val="00E42EF3"/>
    <w:rsid w:val="00E43423"/>
    <w:rsid w:val="00E44835"/>
    <w:rsid w:val="00E46293"/>
    <w:rsid w:val="00E52D14"/>
    <w:rsid w:val="00E54D24"/>
    <w:rsid w:val="00E54D5D"/>
    <w:rsid w:val="00E556D6"/>
    <w:rsid w:val="00E565FB"/>
    <w:rsid w:val="00E56FE6"/>
    <w:rsid w:val="00E63E6B"/>
    <w:rsid w:val="00E64BBD"/>
    <w:rsid w:val="00E66BC0"/>
    <w:rsid w:val="00E66E76"/>
    <w:rsid w:val="00E67ABF"/>
    <w:rsid w:val="00E7121B"/>
    <w:rsid w:val="00E81963"/>
    <w:rsid w:val="00E830B4"/>
    <w:rsid w:val="00E865C2"/>
    <w:rsid w:val="00E86993"/>
    <w:rsid w:val="00E9209E"/>
    <w:rsid w:val="00E952F6"/>
    <w:rsid w:val="00E96B8D"/>
    <w:rsid w:val="00E97582"/>
    <w:rsid w:val="00EA0956"/>
    <w:rsid w:val="00EA12AA"/>
    <w:rsid w:val="00EA5820"/>
    <w:rsid w:val="00EA7980"/>
    <w:rsid w:val="00EB13B3"/>
    <w:rsid w:val="00EB15D9"/>
    <w:rsid w:val="00EB37EE"/>
    <w:rsid w:val="00EB4629"/>
    <w:rsid w:val="00EC0F37"/>
    <w:rsid w:val="00EC5638"/>
    <w:rsid w:val="00EC6A35"/>
    <w:rsid w:val="00ED0246"/>
    <w:rsid w:val="00ED55E5"/>
    <w:rsid w:val="00EE2691"/>
    <w:rsid w:val="00EE3DD6"/>
    <w:rsid w:val="00EF5341"/>
    <w:rsid w:val="00EF6017"/>
    <w:rsid w:val="00EF73BC"/>
    <w:rsid w:val="00EF73CB"/>
    <w:rsid w:val="00F00F67"/>
    <w:rsid w:val="00F01366"/>
    <w:rsid w:val="00F036F6"/>
    <w:rsid w:val="00F03A97"/>
    <w:rsid w:val="00F057DF"/>
    <w:rsid w:val="00F058CA"/>
    <w:rsid w:val="00F063D2"/>
    <w:rsid w:val="00F111B0"/>
    <w:rsid w:val="00F1391C"/>
    <w:rsid w:val="00F13F17"/>
    <w:rsid w:val="00F2098F"/>
    <w:rsid w:val="00F31D7F"/>
    <w:rsid w:val="00F33358"/>
    <w:rsid w:val="00F33D6E"/>
    <w:rsid w:val="00F34F5E"/>
    <w:rsid w:val="00F35955"/>
    <w:rsid w:val="00F377F4"/>
    <w:rsid w:val="00F42088"/>
    <w:rsid w:val="00F44FBE"/>
    <w:rsid w:val="00F51C73"/>
    <w:rsid w:val="00F5226A"/>
    <w:rsid w:val="00F5390B"/>
    <w:rsid w:val="00F566A7"/>
    <w:rsid w:val="00F569CD"/>
    <w:rsid w:val="00F65C8C"/>
    <w:rsid w:val="00F67031"/>
    <w:rsid w:val="00F705F2"/>
    <w:rsid w:val="00F74910"/>
    <w:rsid w:val="00F75097"/>
    <w:rsid w:val="00F81A40"/>
    <w:rsid w:val="00F879A5"/>
    <w:rsid w:val="00F92741"/>
    <w:rsid w:val="00F92AE8"/>
    <w:rsid w:val="00F9332D"/>
    <w:rsid w:val="00F9490D"/>
    <w:rsid w:val="00F974CC"/>
    <w:rsid w:val="00F97A70"/>
    <w:rsid w:val="00FA0340"/>
    <w:rsid w:val="00FA2FFA"/>
    <w:rsid w:val="00FA3E6D"/>
    <w:rsid w:val="00FA4305"/>
    <w:rsid w:val="00FB25B6"/>
    <w:rsid w:val="00FC011D"/>
    <w:rsid w:val="00FC171C"/>
    <w:rsid w:val="00FC1DBC"/>
    <w:rsid w:val="00FC3B01"/>
    <w:rsid w:val="00FC3EBF"/>
    <w:rsid w:val="00FC3ECA"/>
    <w:rsid w:val="00FC4C31"/>
    <w:rsid w:val="00FC53E9"/>
    <w:rsid w:val="00FC79B2"/>
    <w:rsid w:val="00FD4F6A"/>
    <w:rsid w:val="00FD7C33"/>
    <w:rsid w:val="00FD7D31"/>
    <w:rsid w:val="00FD7E12"/>
    <w:rsid w:val="00FE1F0C"/>
    <w:rsid w:val="00FE390E"/>
    <w:rsid w:val="00FE4687"/>
    <w:rsid w:val="00FF2CF8"/>
    <w:rsid w:val="00FF6C23"/>
    <w:rsid w:val="00FF76C3"/>
    <w:rsid w:val="0109068A"/>
    <w:rsid w:val="010A0E64"/>
    <w:rsid w:val="011E0236"/>
    <w:rsid w:val="01264686"/>
    <w:rsid w:val="013558BC"/>
    <w:rsid w:val="01415CD2"/>
    <w:rsid w:val="01446777"/>
    <w:rsid w:val="01683BA2"/>
    <w:rsid w:val="01737E5F"/>
    <w:rsid w:val="017936BE"/>
    <w:rsid w:val="017C65C5"/>
    <w:rsid w:val="017D5815"/>
    <w:rsid w:val="01847D90"/>
    <w:rsid w:val="01B70E77"/>
    <w:rsid w:val="01BC3DA3"/>
    <w:rsid w:val="01E948A9"/>
    <w:rsid w:val="01F50C20"/>
    <w:rsid w:val="020C34F6"/>
    <w:rsid w:val="02194771"/>
    <w:rsid w:val="022673D3"/>
    <w:rsid w:val="022A5EF4"/>
    <w:rsid w:val="02336B3B"/>
    <w:rsid w:val="024531D6"/>
    <w:rsid w:val="02493090"/>
    <w:rsid w:val="024E0DC8"/>
    <w:rsid w:val="02542007"/>
    <w:rsid w:val="02571C51"/>
    <w:rsid w:val="02590F96"/>
    <w:rsid w:val="02694FB1"/>
    <w:rsid w:val="027A666A"/>
    <w:rsid w:val="027B5699"/>
    <w:rsid w:val="02861470"/>
    <w:rsid w:val="02906F11"/>
    <w:rsid w:val="02A62291"/>
    <w:rsid w:val="02B41A64"/>
    <w:rsid w:val="02D7406D"/>
    <w:rsid w:val="030A6CC4"/>
    <w:rsid w:val="030D2310"/>
    <w:rsid w:val="032559B3"/>
    <w:rsid w:val="033412E1"/>
    <w:rsid w:val="03525F75"/>
    <w:rsid w:val="036B1923"/>
    <w:rsid w:val="03917628"/>
    <w:rsid w:val="03985A5C"/>
    <w:rsid w:val="03A013D6"/>
    <w:rsid w:val="03A8499C"/>
    <w:rsid w:val="03B920E2"/>
    <w:rsid w:val="03BF0B5A"/>
    <w:rsid w:val="03BF4CC6"/>
    <w:rsid w:val="03CC366C"/>
    <w:rsid w:val="03D70D3E"/>
    <w:rsid w:val="03DB6B51"/>
    <w:rsid w:val="03E11322"/>
    <w:rsid w:val="03F950F4"/>
    <w:rsid w:val="04163446"/>
    <w:rsid w:val="041F4539"/>
    <w:rsid w:val="04387096"/>
    <w:rsid w:val="04553C80"/>
    <w:rsid w:val="045B52FD"/>
    <w:rsid w:val="04840E1B"/>
    <w:rsid w:val="04A42BE0"/>
    <w:rsid w:val="04B844FD"/>
    <w:rsid w:val="04BD05F1"/>
    <w:rsid w:val="04CD7570"/>
    <w:rsid w:val="05104339"/>
    <w:rsid w:val="05190A51"/>
    <w:rsid w:val="051D5AD1"/>
    <w:rsid w:val="05290F57"/>
    <w:rsid w:val="05311BA9"/>
    <w:rsid w:val="054416CF"/>
    <w:rsid w:val="054C2543"/>
    <w:rsid w:val="054F0E34"/>
    <w:rsid w:val="05585E5B"/>
    <w:rsid w:val="055C30DB"/>
    <w:rsid w:val="05BC40E4"/>
    <w:rsid w:val="05CD090F"/>
    <w:rsid w:val="05D25741"/>
    <w:rsid w:val="05D35C95"/>
    <w:rsid w:val="06132378"/>
    <w:rsid w:val="06197206"/>
    <w:rsid w:val="06322509"/>
    <w:rsid w:val="06352B2D"/>
    <w:rsid w:val="063A3966"/>
    <w:rsid w:val="063D49C0"/>
    <w:rsid w:val="064A73D7"/>
    <w:rsid w:val="065A13C7"/>
    <w:rsid w:val="06615ED8"/>
    <w:rsid w:val="06695851"/>
    <w:rsid w:val="06755314"/>
    <w:rsid w:val="067D5637"/>
    <w:rsid w:val="06870D5B"/>
    <w:rsid w:val="06916F35"/>
    <w:rsid w:val="069B5E85"/>
    <w:rsid w:val="06A52100"/>
    <w:rsid w:val="06AB02A3"/>
    <w:rsid w:val="06AF69B3"/>
    <w:rsid w:val="06B43531"/>
    <w:rsid w:val="06B84C89"/>
    <w:rsid w:val="071611D6"/>
    <w:rsid w:val="072917FC"/>
    <w:rsid w:val="076E4620"/>
    <w:rsid w:val="07762A2C"/>
    <w:rsid w:val="077F14C3"/>
    <w:rsid w:val="0783185F"/>
    <w:rsid w:val="07A442D4"/>
    <w:rsid w:val="07AF3D2F"/>
    <w:rsid w:val="07BF527C"/>
    <w:rsid w:val="07C5140B"/>
    <w:rsid w:val="07CD4764"/>
    <w:rsid w:val="07CF41A4"/>
    <w:rsid w:val="07D94827"/>
    <w:rsid w:val="07DD6ABC"/>
    <w:rsid w:val="07EA23E1"/>
    <w:rsid w:val="07FA3DBD"/>
    <w:rsid w:val="081A7CC8"/>
    <w:rsid w:val="081C276D"/>
    <w:rsid w:val="082276C9"/>
    <w:rsid w:val="08360C2F"/>
    <w:rsid w:val="08386081"/>
    <w:rsid w:val="087A0447"/>
    <w:rsid w:val="087A1F0C"/>
    <w:rsid w:val="0886622F"/>
    <w:rsid w:val="088A1B66"/>
    <w:rsid w:val="08A2766C"/>
    <w:rsid w:val="08AC4379"/>
    <w:rsid w:val="08B15A45"/>
    <w:rsid w:val="08BB0570"/>
    <w:rsid w:val="08BE3A65"/>
    <w:rsid w:val="08C337FE"/>
    <w:rsid w:val="08CA010C"/>
    <w:rsid w:val="08D631A4"/>
    <w:rsid w:val="08DA5BD0"/>
    <w:rsid w:val="090E27F7"/>
    <w:rsid w:val="0914155A"/>
    <w:rsid w:val="09151F1E"/>
    <w:rsid w:val="09197D43"/>
    <w:rsid w:val="091C364D"/>
    <w:rsid w:val="09304FAA"/>
    <w:rsid w:val="093D1475"/>
    <w:rsid w:val="093F3BFF"/>
    <w:rsid w:val="094F362E"/>
    <w:rsid w:val="09693A49"/>
    <w:rsid w:val="0975459B"/>
    <w:rsid w:val="097906FF"/>
    <w:rsid w:val="09852D72"/>
    <w:rsid w:val="099512B1"/>
    <w:rsid w:val="09B94817"/>
    <w:rsid w:val="09C95952"/>
    <w:rsid w:val="09D85BD4"/>
    <w:rsid w:val="09E06124"/>
    <w:rsid w:val="09E51D35"/>
    <w:rsid w:val="09F32183"/>
    <w:rsid w:val="0A011554"/>
    <w:rsid w:val="0A377A8F"/>
    <w:rsid w:val="0A3B56E2"/>
    <w:rsid w:val="0A40602F"/>
    <w:rsid w:val="0A4214C3"/>
    <w:rsid w:val="0A432061"/>
    <w:rsid w:val="0A484013"/>
    <w:rsid w:val="0A5620B3"/>
    <w:rsid w:val="0A63143A"/>
    <w:rsid w:val="0A636CB9"/>
    <w:rsid w:val="0A74558F"/>
    <w:rsid w:val="0AA255F0"/>
    <w:rsid w:val="0AC37758"/>
    <w:rsid w:val="0AE11E9E"/>
    <w:rsid w:val="0AFD7B69"/>
    <w:rsid w:val="0B1E1D0A"/>
    <w:rsid w:val="0B381DFF"/>
    <w:rsid w:val="0B3A6764"/>
    <w:rsid w:val="0B3A7A6C"/>
    <w:rsid w:val="0B4535AA"/>
    <w:rsid w:val="0B5331D2"/>
    <w:rsid w:val="0B572632"/>
    <w:rsid w:val="0B69180E"/>
    <w:rsid w:val="0B692B37"/>
    <w:rsid w:val="0B6A26FF"/>
    <w:rsid w:val="0B732F2C"/>
    <w:rsid w:val="0B7E024F"/>
    <w:rsid w:val="0B84338B"/>
    <w:rsid w:val="0B906D1E"/>
    <w:rsid w:val="0B9B77C4"/>
    <w:rsid w:val="0BAF6BF3"/>
    <w:rsid w:val="0BBF43C3"/>
    <w:rsid w:val="0BC516A1"/>
    <w:rsid w:val="0BC553E9"/>
    <w:rsid w:val="0BD6231D"/>
    <w:rsid w:val="0BD62EBC"/>
    <w:rsid w:val="0BDC3082"/>
    <w:rsid w:val="0BE55889"/>
    <w:rsid w:val="0BE61F00"/>
    <w:rsid w:val="0BF12D0A"/>
    <w:rsid w:val="0C1404FD"/>
    <w:rsid w:val="0C1B5A9E"/>
    <w:rsid w:val="0C2C765A"/>
    <w:rsid w:val="0C55446B"/>
    <w:rsid w:val="0C6C6DF2"/>
    <w:rsid w:val="0C774DCE"/>
    <w:rsid w:val="0C817F56"/>
    <w:rsid w:val="0C8310F1"/>
    <w:rsid w:val="0C8A677F"/>
    <w:rsid w:val="0C914370"/>
    <w:rsid w:val="0CAF4315"/>
    <w:rsid w:val="0CB96623"/>
    <w:rsid w:val="0CBC51CF"/>
    <w:rsid w:val="0CDE5118"/>
    <w:rsid w:val="0CFD51A3"/>
    <w:rsid w:val="0D073E66"/>
    <w:rsid w:val="0D0F212B"/>
    <w:rsid w:val="0D2941EA"/>
    <w:rsid w:val="0D2D53DD"/>
    <w:rsid w:val="0D3B1B72"/>
    <w:rsid w:val="0D4350B1"/>
    <w:rsid w:val="0D646FD0"/>
    <w:rsid w:val="0D677AC9"/>
    <w:rsid w:val="0D865199"/>
    <w:rsid w:val="0D894C89"/>
    <w:rsid w:val="0D9D2680"/>
    <w:rsid w:val="0DAE3E20"/>
    <w:rsid w:val="0DB56BE5"/>
    <w:rsid w:val="0DBC04D7"/>
    <w:rsid w:val="0DBF32A6"/>
    <w:rsid w:val="0DD02FDA"/>
    <w:rsid w:val="0DD3011C"/>
    <w:rsid w:val="0DE74E3E"/>
    <w:rsid w:val="0DF54607"/>
    <w:rsid w:val="0DFA3999"/>
    <w:rsid w:val="0E124645"/>
    <w:rsid w:val="0E162A2C"/>
    <w:rsid w:val="0E1C2834"/>
    <w:rsid w:val="0E4768C0"/>
    <w:rsid w:val="0E496577"/>
    <w:rsid w:val="0E567261"/>
    <w:rsid w:val="0E682AF0"/>
    <w:rsid w:val="0E8A2A67"/>
    <w:rsid w:val="0EC75240"/>
    <w:rsid w:val="0EDB2095"/>
    <w:rsid w:val="0EE4486D"/>
    <w:rsid w:val="0EE93A7E"/>
    <w:rsid w:val="0EEC1D02"/>
    <w:rsid w:val="0F02741A"/>
    <w:rsid w:val="0F2914F0"/>
    <w:rsid w:val="0F4052B3"/>
    <w:rsid w:val="0F445D43"/>
    <w:rsid w:val="0F5355AE"/>
    <w:rsid w:val="0F567223"/>
    <w:rsid w:val="0F567353"/>
    <w:rsid w:val="0F62073C"/>
    <w:rsid w:val="0F681065"/>
    <w:rsid w:val="0F94726D"/>
    <w:rsid w:val="0F9D3E41"/>
    <w:rsid w:val="0FA2264C"/>
    <w:rsid w:val="0FB14BC0"/>
    <w:rsid w:val="0FC04926"/>
    <w:rsid w:val="0FC81CD8"/>
    <w:rsid w:val="100F58CF"/>
    <w:rsid w:val="10302212"/>
    <w:rsid w:val="103E1CA5"/>
    <w:rsid w:val="10657743"/>
    <w:rsid w:val="106E75C3"/>
    <w:rsid w:val="10702130"/>
    <w:rsid w:val="10705868"/>
    <w:rsid w:val="10886852"/>
    <w:rsid w:val="10A03DEC"/>
    <w:rsid w:val="10B46E15"/>
    <w:rsid w:val="10E625AB"/>
    <w:rsid w:val="10ED552F"/>
    <w:rsid w:val="10FD39C4"/>
    <w:rsid w:val="1104378C"/>
    <w:rsid w:val="1110186D"/>
    <w:rsid w:val="111D5E14"/>
    <w:rsid w:val="112E1359"/>
    <w:rsid w:val="11307256"/>
    <w:rsid w:val="1131406E"/>
    <w:rsid w:val="11716160"/>
    <w:rsid w:val="117D1C98"/>
    <w:rsid w:val="11850FF5"/>
    <w:rsid w:val="11901322"/>
    <w:rsid w:val="11A55E09"/>
    <w:rsid w:val="11C5225A"/>
    <w:rsid w:val="11E55181"/>
    <w:rsid w:val="11FF376C"/>
    <w:rsid w:val="12042B30"/>
    <w:rsid w:val="12183901"/>
    <w:rsid w:val="122B5214"/>
    <w:rsid w:val="12343504"/>
    <w:rsid w:val="123478B9"/>
    <w:rsid w:val="1240660E"/>
    <w:rsid w:val="12494488"/>
    <w:rsid w:val="125C4BCC"/>
    <w:rsid w:val="126239DA"/>
    <w:rsid w:val="126B0108"/>
    <w:rsid w:val="129775E4"/>
    <w:rsid w:val="12A064C9"/>
    <w:rsid w:val="12A61E39"/>
    <w:rsid w:val="12A87B78"/>
    <w:rsid w:val="12AD120F"/>
    <w:rsid w:val="12ED1B52"/>
    <w:rsid w:val="12FC7098"/>
    <w:rsid w:val="13042E95"/>
    <w:rsid w:val="13146984"/>
    <w:rsid w:val="13247F14"/>
    <w:rsid w:val="13283E24"/>
    <w:rsid w:val="13547996"/>
    <w:rsid w:val="139C2C55"/>
    <w:rsid w:val="139D1FD3"/>
    <w:rsid w:val="139F4D6C"/>
    <w:rsid w:val="13B64AC7"/>
    <w:rsid w:val="13BC0E75"/>
    <w:rsid w:val="13C23174"/>
    <w:rsid w:val="13DE459F"/>
    <w:rsid w:val="13E1581F"/>
    <w:rsid w:val="140069D6"/>
    <w:rsid w:val="141A488D"/>
    <w:rsid w:val="141C0605"/>
    <w:rsid w:val="14261483"/>
    <w:rsid w:val="1476335E"/>
    <w:rsid w:val="14773EFC"/>
    <w:rsid w:val="148D32B1"/>
    <w:rsid w:val="14954512"/>
    <w:rsid w:val="149B6A14"/>
    <w:rsid w:val="14AE581A"/>
    <w:rsid w:val="14BF0C39"/>
    <w:rsid w:val="14C238EF"/>
    <w:rsid w:val="14D94748"/>
    <w:rsid w:val="151B03FA"/>
    <w:rsid w:val="15240200"/>
    <w:rsid w:val="15273705"/>
    <w:rsid w:val="153E2028"/>
    <w:rsid w:val="15514605"/>
    <w:rsid w:val="15527256"/>
    <w:rsid w:val="15717D01"/>
    <w:rsid w:val="157533D5"/>
    <w:rsid w:val="15804BC3"/>
    <w:rsid w:val="1585042C"/>
    <w:rsid w:val="158953A1"/>
    <w:rsid w:val="1596109F"/>
    <w:rsid w:val="159D5775"/>
    <w:rsid w:val="15A51E3C"/>
    <w:rsid w:val="15B20D2C"/>
    <w:rsid w:val="15B94922"/>
    <w:rsid w:val="15CE0ED6"/>
    <w:rsid w:val="15D55AB8"/>
    <w:rsid w:val="15F230E6"/>
    <w:rsid w:val="15F82942"/>
    <w:rsid w:val="161F618A"/>
    <w:rsid w:val="162C5587"/>
    <w:rsid w:val="1630226E"/>
    <w:rsid w:val="163836F0"/>
    <w:rsid w:val="16426641"/>
    <w:rsid w:val="165027E8"/>
    <w:rsid w:val="1667539D"/>
    <w:rsid w:val="16AA299B"/>
    <w:rsid w:val="16BA2EE9"/>
    <w:rsid w:val="16C44FCB"/>
    <w:rsid w:val="16D02DF0"/>
    <w:rsid w:val="16EF2001"/>
    <w:rsid w:val="16F46141"/>
    <w:rsid w:val="16F749D7"/>
    <w:rsid w:val="16FD77F0"/>
    <w:rsid w:val="17162DED"/>
    <w:rsid w:val="17251C3D"/>
    <w:rsid w:val="17303AAF"/>
    <w:rsid w:val="173769BE"/>
    <w:rsid w:val="17393EFC"/>
    <w:rsid w:val="178C6969"/>
    <w:rsid w:val="17936E30"/>
    <w:rsid w:val="17A53D4A"/>
    <w:rsid w:val="17B6556F"/>
    <w:rsid w:val="17BE19D3"/>
    <w:rsid w:val="17CF3382"/>
    <w:rsid w:val="17FF4933"/>
    <w:rsid w:val="18301ACB"/>
    <w:rsid w:val="185A7571"/>
    <w:rsid w:val="186E33F9"/>
    <w:rsid w:val="1870437F"/>
    <w:rsid w:val="18905D89"/>
    <w:rsid w:val="18DB147F"/>
    <w:rsid w:val="18E15DFE"/>
    <w:rsid w:val="18F274B7"/>
    <w:rsid w:val="18F363CF"/>
    <w:rsid w:val="18FA6DC0"/>
    <w:rsid w:val="190855FC"/>
    <w:rsid w:val="191014DB"/>
    <w:rsid w:val="191044B0"/>
    <w:rsid w:val="19193D38"/>
    <w:rsid w:val="192258A3"/>
    <w:rsid w:val="19245F9A"/>
    <w:rsid w:val="192624AB"/>
    <w:rsid w:val="192C5E41"/>
    <w:rsid w:val="19321452"/>
    <w:rsid w:val="193802DA"/>
    <w:rsid w:val="193823BE"/>
    <w:rsid w:val="193C6658"/>
    <w:rsid w:val="193E479F"/>
    <w:rsid w:val="194C312C"/>
    <w:rsid w:val="195711C2"/>
    <w:rsid w:val="196E4091"/>
    <w:rsid w:val="197D6787"/>
    <w:rsid w:val="19856C4C"/>
    <w:rsid w:val="199D21E8"/>
    <w:rsid w:val="19A74F14"/>
    <w:rsid w:val="19A75624"/>
    <w:rsid w:val="19C3016D"/>
    <w:rsid w:val="19CE163C"/>
    <w:rsid w:val="19E61ED2"/>
    <w:rsid w:val="19E862C4"/>
    <w:rsid w:val="19E95554"/>
    <w:rsid w:val="19FC4A21"/>
    <w:rsid w:val="1A0D4851"/>
    <w:rsid w:val="1A1104E0"/>
    <w:rsid w:val="1A256F32"/>
    <w:rsid w:val="1A6058FE"/>
    <w:rsid w:val="1A660973"/>
    <w:rsid w:val="1A913D39"/>
    <w:rsid w:val="1AA72833"/>
    <w:rsid w:val="1ABC669E"/>
    <w:rsid w:val="1AC612CA"/>
    <w:rsid w:val="1AC83294"/>
    <w:rsid w:val="1ACA3608"/>
    <w:rsid w:val="1ACB068F"/>
    <w:rsid w:val="1AD27C6F"/>
    <w:rsid w:val="1AD85B7E"/>
    <w:rsid w:val="1AE03CC5"/>
    <w:rsid w:val="1AF252D8"/>
    <w:rsid w:val="1B171046"/>
    <w:rsid w:val="1B280A3D"/>
    <w:rsid w:val="1B2D7593"/>
    <w:rsid w:val="1B344F69"/>
    <w:rsid w:val="1B516D3B"/>
    <w:rsid w:val="1B612829"/>
    <w:rsid w:val="1B6B3C20"/>
    <w:rsid w:val="1B830024"/>
    <w:rsid w:val="1BAD248A"/>
    <w:rsid w:val="1BC0585B"/>
    <w:rsid w:val="1BD9300C"/>
    <w:rsid w:val="1BE12964"/>
    <w:rsid w:val="1BE31373"/>
    <w:rsid w:val="1BE35A25"/>
    <w:rsid w:val="1BE614F8"/>
    <w:rsid w:val="1C1D316C"/>
    <w:rsid w:val="1C286568"/>
    <w:rsid w:val="1C427076"/>
    <w:rsid w:val="1C60574F"/>
    <w:rsid w:val="1C6C40F3"/>
    <w:rsid w:val="1C837E33"/>
    <w:rsid w:val="1C8E3403"/>
    <w:rsid w:val="1C987B51"/>
    <w:rsid w:val="1C9C2F40"/>
    <w:rsid w:val="1C9E3D80"/>
    <w:rsid w:val="1CA42425"/>
    <w:rsid w:val="1CD345C5"/>
    <w:rsid w:val="1CD5442F"/>
    <w:rsid w:val="1CD710CC"/>
    <w:rsid w:val="1CF85FB1"/>
    <w:rsid w:val="1CFD55EE"/>
    <w:rsid w:val="1D137555"/>
    <w:rsid w:val="1D1F6189"/>
    <w:rsid w:val="1D210A3A"/>
    <w:rsid w:val="1D466BB2"/>
    <w:rsid w:val="1D5469C0"/>
    <w:rsid w:val="1D661485"/>
    <w:rsid w:val="1D6F71BC"/>
    <w:rsid w:val="1D88661C"/>
    <w:rsid w:val="1DC553F5"/>
    <w:rsid w:val="1DD12460"/>
    <w:rsid w:val="1DE864D5"/>
    <w:rsid w:val="1DF00599"/>
    <w:rsid w:val="1DF3687A"/>
    <w:rsid w:val="1DFC3255"/>
    <w:rsid w:val="1DFC4F05"/>
    <w:rsid w:val="1E017C33"/>
    <w:rsid w:val="1E033B8C"/>
    <w:rsid w:val="1E1C4AB6"/>
    <w:rsid w:val="1E225137"/>
    <w:rsid w:val="1E3429EF"/>
    <w:rsid w:val="1E3E5BD7"/>
    <w:rsid w:val="1E454BFC"/>
    <w:rsid w:val="1E4D747A"/>
    <w:rsid w:val="1E506024"/>
    <w:rsid w:val="1E703779"/>
    <w:rsid w:val="1E7D1681"/>
    <w:rsid w:val="1E9A18CE"/>
    <w:rsid w:val="1EC41B5E"/>
    <w:rsid w:val="1ECE50EF"/>
    <w:rsid w:val="1EDA00DE"/>
    <w:rsid w:val="1EDE10C5"/>
    <w:rsid w:val="1F036ABA"/>
    <w:rsid w:val="1F05089E"/>
    <w:rsid w:val="1F1979EA"/>
    <w:rsid w:val="1F204D21"/>
    <w:rsid w:val="1F286362"/>
    <w:rsid w:val="1F3B42CE"/>
    <w:rsid w:val="1F4D5BC8"/>
    <w:rsid w:val="1F6B68E4"/>
    <w:rsid w:val="1F9A2D26"/>
    <w:rsid w:val="1FA0658E"/>
    <w:rsid w:val="1FA927AD"/>
    <w:rsid w:val="1FB52896"/>
    <w:rsid w:val="1FCD7A50"/>
    <w:rsid w:val="1FDB4DA5"/>
    <w:rsid w:val="200D21A0"/>
    <w:rsid w:val="2017300A"/>
    <w:rsid w:val="201A386E"/>
    <w:rsid w:val="20557672"/>
    <w:rsid w:val="207B78F6"/>
    <w:rsid w:val="207E5971"/>
    <w:rsid w:val="208622BA"/>
    <w:rsid w:val="20CE4CFC"/>
    <w:rsid w:val="20CE56C6"/>
    <w:rsid w:val="20CF2C3A"/>
    <w:rsid w:val="20DA5ACF"/>
    <w:rsid w:val="20F77046"/>
    <w:rsid w:val="210E1006"/>
    <w:rsid w:val="21171FA3"/>
    <w:rsid w:val="21214AC9"/>
    <w:rsid w:val="212B319F"/>
    <w:rsid w:val="21332C5E"/>
    <w:rsid w:val="213571AA"/>
    <w:rsid w:val="215F3A54"/>
    <w:rsid w:val="216A27E7"/>
    <w:rsid w:val="216B7CAA"/>
    <w:rsid w:val="216D5F5C"/>
    <w:rsid w:val="21871145"/>
    <w:rsid w:val="218826C6"/>
    <w:rsid w:val="218C315F"/>
    <w:rsid w:val="21921F1B"/>
    <w:rsid w:val="219519F6"/>
    <w:rsid w:val="219C0FD7"/>
    <w:rsid w:val="219D1AFF"/>
    <w:rsid w:val="219F1D66"/>
    <w:rsid w:val="21B07443"/>
    <w:rsid w:val="21B91780"/>
    <w:rsid w:val="21BB0CC1"/>
    <w:rsid w:val="21D342CD"/>
    <w:rsid w:val="21F4496F"/>
    <w:rsid w:val="220931B1"/>
    <w:rsid w:val="22235B7D"/>
    <w:rsid w:val="222A188D"/>
    <w:rsid w:val="222B4257"/>
    <w:rsid w:val="223E46EA"/>
    <w:rsid w:val="22474656"/>
    <w:rsid w:val="22501C05"/>
    <w:rsid w:val="22602EB6"/>
    <w:rsid w:val="22714EA7"/>
    <w:rsid w:val="22766C54"/>
    <w:rsid w:val="227F4987"/>
    <w:rsid w:val="22825EF5"/>
    <w:rsid w:val="229B6133"/>
    <w:rsid w:val="22A06B95"/>
    <w:rsid w:val="22B454EC"/>
    <w:rsid w:val="22DA2638"/>
    <w:rsid w:val="22E06CA1"/>
    <w:rsid w:val="2301625D"/>
    <w:rsid w:val="23226FDE"/>
    <w:rsid w:val="23294515"/>
    <w:rsid w:val="232C28A7"/>
    <w:rsid w:val="233660B1"/>
    <w:rsid w:val="236F7CD9"/>
    <w:rsid w:val="23706E5E"/>
    <w:rsid w:val="239113CE"/>
    <w:rsid w:val="23A40CFC"/>
    <w:rsid w:val="23B33E8E"/>
    <w:rsid w:val="23BC795B"/>
    <w:rsid w:val="23BD161F"/>
    <w:rsid w:val="23CE36C1"/>
    <w:rsid w:val="23D36D27"/>
    <w:rsid w:val="23DC581B"/>
    <w:rsid w:val="23E42074"/>
    <w:rsid w:val="23FD53AE"/>
    <w:rsid w:val="240151DA"/>
    <w:rsid w:val="241A61E3"/>
    <w:rsid w:val="242332EA"/>
    <w:rsid w:val="2427399F"/>
    <w:rsid w:val="243840DE"/>
    <w:rsid w:val="244020ED"/>
    <w:rsid w:val="245931AF"/>
    <w:rsid w:val="246665D5"/>
    <w:rsid w:val="247E57BC"/>
    <w:rsid w:val="24970519"/>
    <w:rsid w:val="249913DF"/>
    <w:rsid w:val="249E5195"/>
    <w:rsid w:val="24A3267C"/>
    <w:rsid w:val="24A64B27"/>
    <w:rsid w:val="24B94D07"/>
    <w:rsid w:val="24C05293"/>
    <w:rsid w:val="24D33F43"/>
    <w:rsid w:val="24E9440D"/>
    <w:rsid w:val="24F70A5E"/>
    <w:rsid w:val="24FF28EB"/>
    <w:rsid w:val="25177E2F"/>
    <w:rsid w:val="25387E89"/>
    <w:rsid w:val="25407ECB"/>
    <w:rsid w:val="25451E78"/>
    <w:rsid w:val="25533D7B"/>
    <w:rsid w:val="256376A5"/>
    <w:rsid w:val="258E046C"/>
    <w:rsid w:val="25B508B9"/>
    <w:rsid w:val="25C36217"/>
    <w:rsid w:val="25CE197B"/>
    <w:rsid w:val="25D82587"/>
    <w:rsid w:val="25DD5334"/>
    <w:rsid w:val="25E66CC5"/>
    <w:rsid w:val="25F72C80"/>
    <w:rsid w:val="2602658B"/>
    <w:rsid w:val="2604714B"/>
    <w:rsid w:val="260577F6"/>
    <w:rsid w:val="260A2C16"/>
    <w:rsid w:val="26225BE6"/>
    <w:rsid w:val="26270419"/>
    <w:rsid w:val="262C3489"/>
    <w:rsid w:val="262D0597"/>
    <w:rsid w:val="262D66A1"/>
    <w:rsid w:val="263631A5"/>
    <w:rsid w:val="2645605D"/>
    <w:rsid w:val="264639C7"/>
    <w:rsid w:val="264D4983"/>
    <w:rsid w:val="265C7550"/>
    <w:rsid w:val="26600825"/>
    <w:rsid w:val="26661BB3"/>
    <w:rsid w:val="266F0B19"/>
    <w:rsid w:val="26705CF5"/>
    <w:rsid w:val="26794A86"/>
    <w:rsid w:val="267A0CD7"/>
    <w:rsid w:val="26A268C8"/>
    <w:rsid w:val="26AF3988"/>
    <w:rsid w:val="26C03072"/>
    <w:rsid w:val="26CF1507"/>
    <w:rsid w:val="26DD7C99"/>
    <w:rsid w:val="26E50D2A"/>
    <w:rsid w:val="27007912"/>
    <w:rsid w:val="270858F0"/>
    <w:rsid w:val="272C5F14"/>
    <w:rsid w:val="273B1A56"/>
    <w:rsid w:val="27632137"/>
    <w:rsid w:val="27640405"/>
    <w:rsid w:val="278542BB"/>
    <w:rsid w:val="27B30E37"/>
    <w:rsid w:val="27B35C07"/>
    <w:rsid w:val="27D50DDC"/>
    <w:rsid w:val="27D85846"/>
    <w:rsid w:val="27DA2342"/>
    <w:rsid w:val="27F136FF"/>
    <w:rsid w:val="27F751B9"/>
    <w:rsid w:val="27F82CDF"/>
    <w:rsid w:val="28461C9C"/>
    <w:rsid w:val="285A74F6"/>
    <w:rsid w:val="28604D39"/>
    <w:rsid w:val="286E579F"/>
    <w:rsid w:val="28780433"/>
    <w:rsid w:val="287A61C1"/>
    <w:rsid w:val="28985F9E"/>
    <w:rsid w:val="28A01DBD"/>
    <w:rsid w:val="28AD5878"/>
    <w:rsid w:val="28BF095C"/>
    <w:rsid w:val="28BF3434"/>
    <w:rsid w:val="28BF5C53"/>
    <w:rsid w:val="28C156CA"/>
    <w:rsid w:val="28CB7CE4"/>
    <w:rsid w:val="28D4640F"/>
    <w:rsid w:val="28E95B69"/>
    <w:rsid w:val="28EB63A0"/>
    <w:rsid w:val="28FC05AD"/>
    <w:rsid w:val="2916341D"/>
    <w:rsid w:val="2936163A"/>
    <w:rsid w:val="29370ABF"/>
    <w:rsid w:val="29474CAF"/>
    <w:rsid w:val="2957079E"/>
    <w:rsid w:val="29634188"/>
    <w:rsid w:val="29842A7C"/>
    <w:rsid w:val="29A0718A"/>
    <w:rsid w:val="29A51561"/>
    <w:rsid w:val="29A9603F"/>
    <w:rsid w:val="29C016A6"/>
    <w:rsid w:val="29CD55FF"/>
    <w:rsid w:val="29D05CC2"/>
    <w:rsid w:val="29DD3F3B"/>
    <w:rsid w:val="29E00C70"/>
    <w:rsid w:val="29F372DC"/>
    <w:rsid w:val="2A420242"/>
    <w:rsid w:val="2A513298"/>
    <w:rsid w:val="2A5B3781"/>
    <w:rsid w:val="2A663F30"/>
    <w:rsid w:val="2A714695"/>
    <w:rsid w:val="2A81749E"/>
    <w:rsid w:val="2A9D2896"/>
    <w:rsid w:val="2AA94BB4"/>
    <w:rsid w:val="2AAC3352"/>
    <w:rsid w:val="2AC60E73"/>
    <w:rsid w:val="2AD45722"/>
    <w:rsid w:val="2AE51100"/>
    <w:rsid w:val="2AF06B55"/>
    <w:rsid w:val="2AFC6642"/>
    <w:rsid w:val="2B333771"/>
    <w:rsid w:val="2B36563A"/>
    <w:rsid w:val="2B3B360F"/>
    <w:rsid w:val="2BA94A1C"/>
    <w:rsid w:val="2BAF616A"/>
    <w:rsid w:val="2BBD72B7"/>
    <w:rsid w:val="2BD34E94"/>
    <w:rsid w:val="2BFB5408"/>
    <w:rsid w:val="2C057620"/>
    <w:rsid w:val="2C1016F4"/>
    <w:rsid w:val="2C175CA8"/>
    <w:rsid w:val="2C28591A"/>
    <w:rsid w:val="2C306BC9"/>
    <w:rsid w:val="2C33184C"/>
    <w:rsid w:val="2C371211"/>
    <w:rsid w:val="2C3B13EC"/>
    <w:rsid w:val="2C3F0EDD"/>
    <w:rsid w:val="2C416A03"/>
    <w:rsid w:val="2C4F4D81"/>
    <w:rsid w:val="2C5330EB"/>
    <w:rsid w:val="2C624BCB"/>
    <w:rsid w:val="2CC779C2"/>
    <w:rsid w:val="2CC80A91"/>
    <w:rsid w:val="2CCB72DC"/>
    <w:rsid w:val="2CD906C5"/>
    <w:rsid w:val="2CDA2A75"/>
    <w:rsid w:val="2CE13D42"/>
    <w:rsid w:val="2CE55D1D"/>
    <w:rsid w:val="2D0765D9"/>
    <w:rsid w:val="2D2529D8"/>
    <w:rsid w:val="2D2F6636"/>
    <w:rsid w:val="2D427323"/>
    <w:rsid w:val="2D5C161A"/>
    <w:rsid w:val="2D644852"/>
    <w:rsid w:val="2D7A1D07"/>
    <w:rsid w:val="2D7C69D9"/>
    <w:rsid w:val="2D86600E"/>
    <w:rsid w:val="2D8F41DC"/>
    <w:rsid w:val="2D9E64E4"/>
    <w:rsid w:val="2DA8745E"/>
    <w:rsid w:val="2DD421C7"/>
    <w:rsid w:val="2DE27D71"/>
    <w:rsid w:val="2DEC6E42"/>
    <w:rsid w:val="2DEE50CD"/>
    <w:rsid w:val="2DF47BDE"/>
    <w:rsid w:val="2E693487"/>
    <w:rsid w:val="2E79061D"/>
    <w:rsid w:val="2E7B05F7"/>
    <w:rsid w:val="2E822F42"/>
    <w:rsid w:val="2E957D60"/>
    <w:rsid w:val="2E960B5C"/>
    <w:rsid w:val="2E9759B4"/>
    <w:rsid w:val="2E9A4AF0"/>
    <w:rsid w:val="2EA34D9B"/>
    <w:rsid w:val="2EA43279"/>
    <w:rsid w:val="2EB93809"/>
    <w:rsid w:val="2EC76F67"/>
    <w:rsid w:val="2F1934A6"/>
    <w:rsid w:val="2F2D3E72"/>
    <w:rsid w:val="2F313E39"/>
    <w:rsid w:val="2F435524"/>
    <w:rsid w:val="2F5B44D5"/>
    <w:rsid w:val="2F643F15"/>
    <w:rsid w:val="2F6F1AD9"/>
    <w:rsid w:val="2F7B1680"/>
    <w:rsid w:val="2F90509E"/>
    <w:rsid w:val="2F9E61A2"/>
    <w:rsid w:val="2F9F2EBA"/>
    <w:rsid w:val="2FAF45CB"/>
    <w:rsid w:val="2FC736C3"/>
    <w:rsid w:val="2FD36BC0"/>
    <w:rsid w:val="2FD71FF3"/>
    <w:rsid w:val="2FFD5511"/>
    <w:rsid w:val="30095F35"/>
    <w:rsid w:val="304B5DEC"/>
    <w:rsid w:val="305302BF"/>
    <w:rsid w:val="3054577F"/>
    <w:rsid w:val="307D1FD3"/>
    <w:rsid w:val="307D2FCF"/>
    <w:rsid w:val="308A6E0D"/>
    <w:rsid w:val="309543FD"/>
    <w:rsid w:val="30A209D3"/>
    <w:rsid w:val="30A82846"/>
    <w:rsid w:val="30B95872"/>
    <w:rsid w:val="30C30A11"/>
    <w:rsid w:val="30CB71E3"/>
    <w:rsid w:val="30D64262"/>
    <w:rsid w:val="30E13612"/>
    <w:rsid w:val="30F14FC3"/>
    <w:rsid w:val="31021C6D"/>
    <w:rsid w:val="31142AAC"/>
    <w:rsid w:val="312C5887"/>
    <w:rsid w:val="313528AE"/>
    <w:rsid w:val="31362B7C"/>
    <w:rsid w:val="315D32A4"/>
    <w:rsid w:val="316C0D26"/>
    <w:rsid w:val="319E3B99"/>
    <w:rsid w:val="31A45560"/>
    <w:rsid w:val="31A679FC"/>
    <w:rsid w:val="31A87524"/>
    <w:rsid w:val="31AB6752"/>
    <w:rsid w:val="31AE33BC"/>
    <w:rsid w:val="31C83B36"/>
    <w:rsid w:val="31D077D8"/>
    <w:rsid w:val="31D128C6"/>
    <w:rsid w:val="31DC3D85"/>
    <w:rsid w:val="31E10C83"/>
    <w:rsid w:val="31E16592"/>
    <w:rsid w:val="31E51F05"/>
    <w:rsid w:val="31E613AB"/>
    <w:rsid w:val="31EA60C2"/>
    <w:rsid w:val="31F35E5A"/>
    <w:rsid w:val="31F541D1"/>
    <w:rsid w:val="31F751B9"/>
    <w:rsid w:val="31FE5396"/>
    <w:rsid w:val="32020C8E"/>
    <w:rsid w:val="32044C26"/>
    <w:rsid w:val="320C360F"/>
    <w:rsid w:val="321B4640"/>
    <w:rsid w:val="321D3A6E"/>
    <w:rsid w:val="3222378C"/>
    <w:rsid w:val="322F554F"/>
    <w:rsid w:val="32460093"/>
    <w:rsid w:val="32622085"/>
    <w:rsid w:val="32627887"/>
    <w:rsid w:val="32635E29"/>
    <w:rsid w:val="326A47D9"/>
    <w:rsid w:val="328238D1"/>
    <w:rsid w:val="32912953"/>
    <w:rsid w:val="32B114BB"/>
    <w:rsid w:val="32BF3BDC"/>
    <w:rsid w:val="32CF13C9"/>
    <w:rsid w:val="32D22697"/>
    <w:rsid w:val="32E20A24"/>
    <w:rsid w:val="32EE074D"/>
    <w:rsid w:val="32F83B93"/>
    <w:rsid w:val="33072809"/>
    <w:rsid w:val="331D4385"/>
    <w:rsid w:val="331F4173"/>
    <w:rsid w:val="334A6717"/>
    <w:rsid w:val="335C3D87"/>
    <w:rsid w:val="33641229"/>
    <w:rsid w:val="337A6C9E"/>
    <w:rsid w:val="338910C0"/>
    <w:rsid w:val="338D02E2"/>
    <w:rsid w:val="339A00F8"/>
    <w:rsid w:val="339B27B5"/>
    <w:rsid w:val="339E7AB1"/>
    <w:rsid w:val="33B273BE"/>
    <w:rsid w:val="33B82492"/>
    <w:rsid w:val="33B91B1A"/>
    <w:rsid w:val="33BA7A61"/>
    <w:rsid w:val="33E42D17"/>
    <w:rsid w:val="340F62DC"/>
    <w:rsid w:val="34164C45"/>
    <w:rsid w:val="342A4220"/>
    <w:rsid w:val="342E014E"/>
    <w:rsid w:val="343609D9"/>
    <w:rsid w:val="34394AF5"/>
    <w:rsid w:val="34655258"/>
    <w:rsid w:val="34AC2E87"/>
    <w:rsid w:val="34AF2868"/>
    <w:rsid w:val="34DD651B"/>
    <w:rsid w:val="34DE4EE0"/>
    <w:rsid w:val="34DF325D"/>
    <w:rsid w:val="350C7DCA"/>
    <w:rsid w:val="350E3A19"/>
    <w:rsid w:val="351868E9"/>
    <w:rsid w:val="35321C38"/>
    <w:rsid w:val="353E5D48"/>
    <w:rsid w:val="353F3B46"/>
    <w:rsid w:val="35461834"/>
    <w:rsid w:val="355C1D39"/>
    <w:rsid w:val="35847BDC"/>
    <w:rsid w:val="358D2B61"/>
    <w:rsid w:val="35AC5906"/>
    <w:rsid w:val="35BA7E40"/>
    <w:rsid w:val="35C700F2"/>
    <w:rsid w:val="35CB64A7"/>
    <w:rsid w:val="35CD50E9"/>
    <w:rsid w:val="35ED3C8B"/>
    <w:rsid w:val="35F5260C"/>
    <w:rsid w:val="360E3A7E"/>
    <w:rsid w:val="36213711"/>
    <w:rsid w:val="36267A90"/>
    <w:rsid w:val="364C4922"/>
    <w:rsid w:val="36646B4C"/>
    <w:rsid w:val="366629AA"/>
    <w:rsid w:val="36804777"/>
    <w:rsid w:val="36822779"/>
    <w:rsid w:val="36987B67"/>
    <w:rsid w:val="36B02FD2"/>
    <w:rsid w:val="36B04C59"/>
    <w:rsid w:val="36C97D20"/>
    <w:rsid w:val="36D971A9"/>
    <w:rsid w:val="36DB291D"/>
    <w:rsid w:val="36F823B4"/>
    <w:rsid w:val="3700159D"/>
    <w:rsid w:val="370F5DB1"/>
    <w:rsid w:val="371277E9"/>
    <w:rsid w:val="37197C72"/>
    <w:rsid w:val="372D368A"/>
    <w:rsid w:val="373F6235"/>
    <w:rsid w:val="375C7040"/>
    <w:rsid w:val="375D1AF7"/>
    <w:rsid w:val="377B5FD4"/>
    <w:rsid w:val="3780124C"/>
    <w:rsid w:val="37900640"/>
    <w:rsid w:val="379504F3"/>
    <w:rsid w:val="37D437C4"/>
    <w:rsid w:val="37D84772"/>
    <w:rsid w:val="37D932E6"/>
    <w:rsid w:val="37DA41AF"/>
    <w:rsid w:val="37E273CC"/>
    <w:rsid w:val="37E35F7C"/>
    <w:rsid w:val="37EC586C"/>
    <w:rsid w:val="37F16DDA"/>
    <w:rsid w:val="38472813"/>
    <w:rsid w:val="384F43B6"/>
    <w:rsid w:val="38575800"/>
    <w:rsid w:val="38600814"/>
    <w:rsid w:val="387104BC"/>
    <w:rsid w:val="388C0D3C"/>
    <w:rsid w:val="38943DF3"/>
    <w:rsid w:val="389775FB"/>
    <w:rsid w:val="38BF1BE0"/>
    <w:rsid w:val="38DA5CE9"/>
    <w:rsid w:val="38DE4D85"/>
    <w:rsid w:val="38EE1CC0"/>
    <w:rsid w:val="3903497E"/>
    <w:rsid w:val="390A2872"/>
    <w:rsid w:val="390A5A24"/>
    <w:rsid w:val="3914724D"/>
    <w:rsid w:val="391D2046"/>
    <w:rsid w:val="3923429C"/>
    <w:rsid w:val="392901D7"/>
    <w:rsid w:val="392C728D"/>
    <w:rsid w:val="394F0E51"/>
    <w:rsid w:val="395E31D0"/>
    <w:rsid w:val="396B1563"/>
    <w:rsid w:val="397330FD"/>
    <w:rsid w:val="3995038E"/>
    <w:rsid w:val="39C27D9B"/>
    <w:rsid w:val="39C32B9A"/>
    <w:rsid w:val="39C83B1B"/>
    <w:rsid w:val="39CD28CD"/>
    <w:rsid w:val="39E9207F"/>
    <w:rsid w:val="3A291D93"/>
    <w:rsid w:val="3A2D05C6"/>
    <w:rsid w:val="3A2F759B"/>
    <w:rsid w:val="3A4B4C5D"/>
    <w:rsid w:val="3A512798"/>
    <w:rsid w:val="3A5E4C24"/>
    <w:rsid w:val="3A651CD1"/>
    <w:rsid w:val="3A6C44C5"/>
    <w:rsid w:val="3A9942BE"/>
    <w:rsid w:val="3AA94D74"/>
    <w:rsid w:val="3AC00901"/>
    <w:rsid w:val="3AC96475"/>
    <w:rsid w:val="3AD33664"/>
    <w:rsid w:val="3AE03B5E"/>
    <w:rsid w:val="3AF447AE"/>
    <w:rsid w:val="3B001276"/>
    <w:rsid w:val="3B2373AF"/>
    <w:rsid w:val="3B337E5E"/>
    <w:rsid w:val="3B396B5A"/>
    <w:rsid w:val="3B4846C5"/>
    <w:rsid w:val="3B5D000E"/>
    <w:rsid w:val="3B66095D"/>
    <w:rsid w:val="3B776C2A"/>
    <w:rsid w:val="3B8F0229"/>
    <w:rsid w:val="3BA05997"/>
    <w:rsid w:val="3BA252F5"/>
    <w:rsid w:val="3BA5280E"/>
    <w:rsid w:val="3BAA1ABA"/>
    <w:rsid w:val="3BB46774"/>
    <w:rsid w:val="3BCF7E79"/>
    <w:rsid w:val="3BD71B47"/>
    <w:rsid w:val="3BE15B0C"/>
    <w:rsid w:val="3C176F77"/>
    <w:rsid w:val="3C1F1973"/>
    <w:rsid w:val="3C21415B"/>
    <w:rsid w:val="3C2427C3"/>
    <w:rsid w:val="3C247D49"/>
    <w:rsid w:val="3C427C50"/>
    <w:rsid w:val="3C6E4EC6"/>
    <w:rsid w:val="3C734E42"/>
    <w:rsid w:val="3C796961"/>
    <w:rsid w:val="3C7F4232"/>
    <w:rsid w:val="3C98442D"/>
    <w:rsid w:val="3CC451A8"/>
    <w:rsid w:val="3CCA53DD"/>
    <w:rsid w:val="3CD61C4C"/>
    <w:rsid w:val="3CDF4463"/>
    <w:rsid w:val="3CEB6F27"/>
    <w:rsid w:val="3CF7075F"/>
    <w:rsid w:val="3D297E5E"/>
    <w:rsid w:val="3D2E3315"/>
    <w:rsid w:val="3D41798A"/>
    <w:rsid w:val="3D4F0260"/>
    <w:rsid w:val="3D597924"/>
    <w:rsid w:val="3D5F318D"/>
    <w:rsid w:val="3DB159B2"/>
    <w:rsid w:val="3DBB57DA"/>
    <w:rsid w:val="3DC254CA"/>
    <w:rsid w:val="3DCF5190"/>
    <w:rsid w:val="3DD47C53"/>
    <w:rsid w:val="3DDC2A2F"/>
    <w:rsid w:val="3DEB0645"/>
    <w:rsid w:val="3DF4344D"/>
    <w:rsid w:val="3DFA2F1F"/>
    <w:rsid w:val="3E1D4930"/>
    <w:rsid w:val="3E221CB7"/>
    <w:rsid w:val="3E231DB1"/>
    <w:rsid w:val="3E23434C"/>
    <w:rsid w:val="3E43009A"/>
    <w:rsid w:val="3E512953"/>
    <w:rsid w:val="3E5668B2"/>
    <w:rsid w:val="3E5A0329"/>
    <w:rsid w:val="3E703177"/>
    <w:rsid w:val="3E7B3357"/>
    <w:rsid w:val="3E8310FD"/>
    <w:rsid w:val="3EAA6689"/>
    <w:rsid w:val="3EE85370"/>
    <w:rsid w:val="3EFE1E7A"/>
    <w:rsid w:val="3F043EAD"/>
    <w:rsid w:val="3F0C1090"/>
    <w:rsid w:val="3F19385D"/>
    <w:rsid w:val="3F22238D"/>
    <w:rsid w:val="3F2F10EE"/>
    <w:rsid w:val="3F3F5F1E"/>
    <w:rsid w:val="3F451DAA"/>
    <w:rsid w:val="3F4622AC"/>
    <w:rsid w:val="3F483C00"/>
    <w:rsid w:val="3F6F5283"/>
    <w:rsid w:val="3F8C3FE1"/>
    <w:rsid w:val="3F9104CC"/>
    <w:rsid w:val="3F9801BB"/>
    <w:rsid w:val="3FAA0F9B"/>
    <w:rsid w:val="3FB97173"/>
    <w:rsid w:val="3FC24AE5"/>
    <w:rsid w:val="3FC46458"/>
    <w:rsid w:val="3FCF5DC9"/>
    <w:rsid w:val="3FE9775A"/>
    <w:rsid w:val="40004FD0"/>
    <w:rsid w:val="40047E9F"/>
    <w:rsid w:val="401B0F1D"/>
    <w:rsid w:val="40446EA3"/>
    <w:rsid w:val="40621AEC"/>
    <w:rsid w:val="406F1FE6"/>
    <w:rsid w:val="40713AD5"/>
    <w:rsid w:val="40741DAD"/>
    <w:rsid w:val="407C02A4"/>
    <w:rsid w:val="40B557B9"/>
    <w:rsid w:val="40BC08F6"/>
    <w:rsid w:val="40F005A0"/>
    <w:rsid w:val="40F06C28"/>
    <w:rsid w:val="410E45A7"/>
    <w:rsid w:val="41191880"/>
    <w:rsid w:val="411E60AC"/>
    <w:rsid w:val="41362D2B"/>
    <w:rsid w:val="413A1593"/>
    <w:rsid w:val="413D1A37"/>
    <w:rsid w:val="414E6D76"/>
    <w:rsid w:val="41583AE3"/>
    <w:rsid w:val="41655D2C"/>
    <w:rsid w:val="416740A1"/>
    <w:rsid w:val="41825BE2"/>
    <w:rsid w:val="41860478"/>
    <w:rsid w:val="418A5AB5"/>
    <w:rsid w:val="41910061"/>
    <w:rsid w:val="41AA47B7"/>
    <w:rsid w:val="41B64627"/>
    <w:rsid w:val="41B667EF"/>
    <w:rsid w:val="41B932DB"/>
    <w:rsid w:val="41CA0DF1"/>
    <w:rsid w:val="41CC3D74"/>
    <w:rsid w:val="41E81277"/>
    <w:rsid w:val="41F45BFB"/>
    <w:rsid w:val="420519AE"/>
    <w:rsid w:val="42097B6B"/>
    <w:rsid w:val="420A010C"/>
    <w:rsid w:val="421B185C"/>
    <w:rsid w:val="42436E81"/>
    <w:rsid w:val="424D7C81"/>
    <w:rsid w:val="424F58A3"/>
    <w:rsid w:val="425F396C"/>
    <w:rsid w:val="42603194"/>
    <w:rsid w:val="42757E16"/>
    <w:rsid w:val="429D4FC3"/>
    <w:rsid w:val="42A72EE0"/>
    <w:rsid w:val="42B15CD8"/>
    <w:rsid w:val="42BA3853"/>
    <w:rsid w:val="42C161B8"/>
    <w:rsid w:val="42E12896"/>
    <w:rsid w:val="42E65EDE"/>
    <w:rsid w:val="42E77E55"/>
    <w:rsid w:val="42FA33C3"/>
    <w:rsid w:val="43171E14"/>
    <w:rsid w:val="4317715A"/>
    <w:rsid w:val="43292FAA"/>
    <w:rsid w:val="43346AFE"/>
    <w:rsid w:val="435879E0"/>
    <w:rsid w:val="435F2EBC"/>
    <w:rsid w:val="43626641"/>
    <w:rsid w:val="439300DC"/>
    <w:rsid w:val="43A062AD"/>
    <w:rsid w:val="43BE0A39"/>
    <w:rsid w:val="43BF0732"/>
    <w:rsid w:val="43BF5C69"/>
    <w:rsid w:val="43EA577A"/>
    <w:rsid w:val="43EC3C01"/>
    <w:rsid w:val="43F6722B"/>
    <w:rsid w:val="44103433"/>
    <w:rsid w:val="44144DF4"/>
    <w:rsid w:val="44393D26"/>
    <w:rsid w:val="4456696C"/>
    <w:rsid w:val="44613C8E"/>
    <w:rsid w:val="4473751E"/>
    <w:rsid w:val="44AA7D95"/>
    <w:rsid w:val="44AC50DD"/>
    <w:rsid w:val="44D22496"/>
    <w:rsid w:val="44D75CFE"/>
    <w:rsid w:val="44F00B6E"/>
    <w:rsid w:val="44F36152"/>
    <w:rsid w:val="44FB0A04"/>
    <w:rsid w:val="451B4C5E"/>
    <w:rsid w:val="452120BB"/>
    <w:rsid w:val="4525467E"/>
    <w:rsid w:val="45293199"/>
    <w:rsid w:val="453A628D"/>
    <w:rsid w:val="4541761C"/>
    <w:rsid w:val="4565584A"/>
    <w:rsid w:val="45713D4E"/>
    <w:rsid w:val="45801FBF"/>
    <w:rsid w:val="458130A6"/>
    <w:rsid w:val="459760B3"/>
    <w:rsid w:val="459830EE"/>
    <w:rsid w:val="45C932FB"/>
    <w:rsid w:val="45D50990"/>
    <w:rsid w:val="45DD5891"/>
    <w:rsid w:val="45ED6C1F"/>
    <w:rsid w:val="46151C5F"/>
    <w:rsid w:val="4622744D"/>
    <w:rsid w:val="46326F64"/>
    <w:rsid w:val="46382D46"/>
    <w:rsid w:val="46462EC9"/>
    <w:rsid w:val="46466989"/>
    <w:rsid w:val="465C2A22"/>
    <w:rsid w:val="4677335A"/>
    <w:rsid w:val="46916165"/>
    <w:rsid w:val="46C45E4C"/>
    <w:rsid w:val="46CC73B9"/>
    <w:rsid w:val="46CE4813"/>
    <w:rsid w:val="46D21C8C"/>
    <w:rsid w:val="46E60E0B"/>
    <w:rsid w:val="470312B7"/>
    <w:rsid w:val="470F0C2C"/>
    <w:rsid w:val="472725F3"/>
    <w:rsid w:val="47283A28"/>
    <w:rsid w:val="473A1740"/>
    <w:rsid w:val="473C009B"/>
    <w:rsid w:val="47457922"/>
    <w:rsid w:val="47487658"/>
    <w:rsid w:val="47541160"/>
    <w:rsid w:val="4767506E"/>
    <w:rsid w:val="476B0DBB"/>
    <w:rsid w:val="47924515"/>
    <w:rsid w:val="47A76D05"/>
    <w:rsid w:val="47B55C73"/>
    <w:rsid w:val="47B71224"/>
    <w:rsid w:val="47CA40B0"/>
    <w:rsid w:val="47DF1CEE"/>
    <w:rsid w:val="480F7B4B"/>
    <w:rsid w:val="48125136"/>
    <w:rsid w:val="4819662E"/>
    <w:rsid w:val="48382F58"/>
    <w:rsid w:val="483D47E8"/>
    <w:rsid w:val="484216E1"/>
    <w:rsid w:val="484A5987"/>
    <w:rsid w:val="484C19F5"/>
    <w:rsid w:val="48635A1D"/>
    <w:rsid w:val="48745BFB"/>
    <w:rsid w:val="487A3570"/>
    <w:rsid w:val="487F60AA"/>
    <w:rsid w:val="48825865"/>
    <w:rsid w:val="488717E9"/>
    <w:rsid w:val="488E4926"/>
    <w:rsid w:val="489F5F74"/>
    <w:rsid w:val="48AB58D0"/>
    <w:rsid w:val="48D31904"/>
    <w:rsid w:val="48E04187"/>
    <w:rsid w:val="48E5096A"/>
    <w:rsid w:val="48E7655B"/>
    <w:rsid w:val="48F006D9"/>
    <w:rsid w:val="48FC410F"/>
    <w:rsid w:val="4928199F"/>
    <w:rsid w:val="492C5CCF"/>
    <w:rsid w:val="49383370"/>
    <w:rsid w:val="49584F34"/>
    <w:rsid w:val="496D4D42"/>
    <w:rsid w:val="49731FF8"/>
    <w:rsid w:val="49937592"/>
    <w:rsid w:val="49940CEB"/>
    <w:rsid w:val="4995194A"/>
    <w:rsid w:val="4997099A"/>
    <w:rsid w:val="49A7795D"/>
    <w:rsid w:val="49C65F48"/>
    <w:rsid w:val="49C7619E"/>
    <w:rsid w:val="49ED7DE9"/>
    <w:rsid w:val="4A101680"/>
    <w:rsid w:val="4A2B035D"/>
    <w:rsid w:val="4A30453E"/>
    <w:rsid w:val="4A451F17"/>
    <w:rsid w:val="4A474C35"/>
    <w:rsid w:val="4A5D53F4"/>
    <w:rsid w:val="4A5D6CA6"/>
    <w:rsid w:val="4A8A2A77"/>
    <w:rsid w:val="4ABA40F8"/>
    <w:rsid w:val="4AD0171C"/>
    <w:rsid w:val="4ADF1221"/>
    <w:rsid w:val="4AE92E12"/>
    <w:rsid w:val="4AFB246F"/>
    <w:rsid w:val="4B101F6A"/>
    <w:rsid w:val="4B132DC9"/>
    <w:rsid w:val="4B5D1DE1"/>
    <w:rsid w:val="4B660A15"/>
    <w:rsid w:val="4B934450"/>
    <w:rsid w:val="4BA353E1"/>
    <w:rsid w:val="4BAB7C4D"/>
    <w:rsid w:val="4BB74194"/>
    <w:rsid w:val="4BC62629"/>
    <w:rsid w:val="4BCD427D"/>
    <w:rsid w:val="4BD521F8"/>
    <w:rsid w:val="4BF96D23"/>
    <w:rsid w:val="4C03387D"/>
    <w:rsid w:val="4C080F07"/>
    <w:rsid w:val="4C3A2790"/>
    <w:rsid w:val="4C3A6E1A"/>
    <w:rsid w:val="4C5A5B9B"/>
    <w:rsid w:val="4C9F789F"/>
    <w:rsid w:val="4CA57D0A"/>
    <w:rsid w:val="4CB0274C"/>
    <w:rsid w:val="4CB074DF"/>
    <w:rsid w:val="4CB17EBD"/>
    <w:rsid w:val="4CD67369"/>
    <w:rsid w:val="4CDE76B3"/>
    <w:rsid w:val="4CE3088A"/>
    <w:rsid w:val="4CE66619"/>
    <w:rsid w:val="4CF21732"/>
    <w:rsid w:val="4D342ADC"/>
    <w:rsid w:val="4D380325"/>
    <w:rsid w:val="4D382E6D"/>
    <w:rsid w:val="4D3F6B37"/>
    <w:rsid w:val="4D42391D"/>
    <w:rsid w:val="4D425471"/>
    <w:rsid w:val="4D493511"/>
    <w:rsid w:val="4D594200"/>
    <w:rsid w:val="4D6405E9"/>
    <w:rsid w:val="4D7A7B6F"/>
    <w:rsid w:val="4D8001A7"/>
    <w:rsid w:val="4D801BD4"/>
    <w:rsid w:val="4D8608E4"/>
    <w:rsid w:val="4DBD5A6E"/>
    <w:rsid w:val="4DBE2AC7"/>
    <w:rsid w:val="4DC969B3"/>
    <w:rsid w:val="4DD54DA5"/>
    <w:rsid w:val="4DDE3EC4"/>
    <w:rsid w:val="4DE3533E"/>
    <w:rsid w:val="4DFE60AA"/>
    <w:rsid w:val="4DFF31E3"/>
    <w:rsid w:val="4E06042B"/>
    <w:rsid w:val="4E247C6A"/>
    <w:rsid w:val="4E270BDA"/>
    <w:rsid w:val="4E3B4025"/>
    <w:rsid w:val="4E413ADE"/>
    <w:rsid w:val="4E456D68"/>
    <w:rsid w:val="4E465E03"/>
    <w:rsid w:val="4E477554"/>
    <w:rsid w:val="4E4B4ECF"/>
    <w:rsid w:val="4E516B22"/>
    <w:rsid w:val="4E517B37"/>
    <w:rsid w:val="4E621EBD"/>
    <w:rsid w:val="4E8642F1"/>
    <w:rsid w:val="4EB92997"/>
    <w:rsid w:val="4EC26C93"/>
    <w:rsid w:val="4EE51018"/>
    <w:rsid w:val="4EF82FC5"/>
    <w:rsid w:val="4F1D605B"/>
    <w:rsid w:val="4F1E6113"/>
    <w:rsid w:val="4F2542DE"/>
    <w:rsid w:val="4F360208"/>
    <w:rsid w:val="4F512B51"/>
    <w:rsid w:val="4F565623"/>
    <w:rsid w:val="4F586078"/>
    <w:rsid w:val="4F5A08DF"/>
    <w:rsid w:val="4F6F2CC6"/>
    <w:rsid w:val="4F8B585F"/>
    <w:rsid w:val="4F9574C0"/>
    <w:rsid w:val="4F973C2A"/>
    <w:rsid w:val="4FB11E6B"/>
    <w:rsid w:val="4FBA2D98"/>
    <w:rsid w:val="4FE302C4"/>
    <w:rsid w:val="4FE9757D"/>
    <w:rsid w:val="4FFE7C36"/>
    <w:rsid w:val="50020304"/>
    <w:rsid w:val="50051294"/>
    <w:rsid w:val="502F660F"/>
    <w:rsid w:val="503B22EE"/>
    <w:rsid w:val="50692788"/>
    <w:rsid w:val="507E7856"/>
    <w:rsid w:val="50890512"/>
    <w:rsid w:val="50895886"/>
    <w:rsid w:val="509B0528"/>
    <w:rsid w:val="50CE26AB"/>
    <w:rsid w:val="50D65078"/>
    <w:rsid w:val="50FA25E7"/>
    <w:rsid w:val="50FC7502"/>
    <w:rsid w:val="51013454"/>
    <w:rsid w:val="51040C2B"/>
    <w:rsid w:val="510A120A"/>
    <w:rsid w:val="510B2A7F"/>
    <w:rsid w:val="510D5ECC"/>
    <w:rsid w:val="511A2E5D"/>
    <w:rsid w:val="51241B8B"/>
    <w:rsid w:val="513454AF"/>
    <w:rsid w:val="513D513B"/>
    <w:rsid w:val="51590CC2"/>
    <w:rsid w:val="51593AB8"/>
    <w:rsid w:val="51621046"/>
    <w:rsid w:val="5164053C"/>
    <w:rsid w:val="51653F37"/>
    <w:rsid w:val="517B621F"/>
    <w:rsid w:val="517B6C75"/>
    <w:rsid w:val="517D1BBC"/>
    <w:rsid w:val="51825244"/>
    <w:rsid w:val="518D6B02"/>
    <w:rsid w:val="51AB5823"/>
    <w:rsid w:val="51C4760A"/>
    <w:rsid w:val="51D51818"/>
    <w:rsid w:val="51E96256"/>
    <w:rsid w:val="51F07734"/>
    <w:rsid w:val="51F4196F"/>
    <w:rsid w:val="51FF0DF9"/>
    <w:rsid w:val="521D51BC"/>
    <w:rsid w:val="522310E7"/>
    <w:rsid w:val="52306E6A"/>
    <w:rsid w:val="523A6D37"/>
    <w:rsid w:val="52563AB7"/>
    <w:rsid w:val="526E6706"/>
    <w:rsid w:val="5275704B"/>
    <w:rsid w:val="527E6149"/>
    <w:rsid w:val="529A6882"/>
    <w:rsid w:val="52A73E74"/>
    <w:rsid w:val="52AF10EF"/>
    <w:rsid w:val="52B21B59"/>
    <w:rsid w:val="52B94123"/>
    <w:rsid w:val="52C04518"/>
    <w:rsid w:val="52CC2C1B"/>
    <w:rsid w:val="52D702C1"/>
    <w:rsid w:val="52D81814"/>
    <w:rsid w:val="52DE4321"/>
    <w:rsid w:val="534704F3"/>
    <w:rsid w:val="534F55EA"/>
    <w:rsid w:val="53560F6F"/>
    <w:rsid w:val="536917EA"/>
    <w:rsid w:val="537B32C7"/>
    <w:rsid w:val="53BA00C9"/>
    <w:rsid w:val="53BC3536"/>
    <w:rsid w:val="53C733E2"/>
    <w:rsid w:val="53DF308D"/>
    <w:rsid w:val="53F01D45"/>
    <w:rsid w:val="53FE1924"/>
    <w:rsid w:val="540C500F"/>
    <w:rsid w:val="54153EF4"/>
    <w:rsid w:val="54353565"/>
    <w:rsid w:val="54412D22"/>
    <w:rsid w:val="54501629"/>
    <w:rsid w:val="545049A2"/>
    <w:rsid w:val="5459613F"/>
    <w:rsid w:val="545D05CB"/>
    <w:rsid w:val="54641595"/>
    <w:rsid w:val="54670726"/>
    <w:rsid w:val="547A5F32"/>
    <w:rsid w:val="54CE480A"/>
    <w:rsid w:val="54E844BC"/>
    <w:rsid w:val="54FF4472"/>
    <w:rsid w:val="55052873"/>
    <w:rsid w:val="550575E8"/>
    <w:rsid w:val="550773D1"/>
    <w:rsid w:val="55617235"/>
    <w:rsid w:val="557A23A3"/>
    <w:rsid w:val="55A03EEB"/>
    <w:rsid w:val="55A57753"/>
    <w:rsid w:val="55A60382"/>
    <w:rsid w:val="55B83D89"/>
    <w:rsid w:val="55BF6A67"/>
    <w:rsid w:val="560352D2"/>
    <w:rsid w:val="56042304"/>
    <w:rsid w:val="56165297"/>
    <w:rsid w:val="5631276E"/>
    <w:rsid w:val="56454255"/>
    <w:rsid w:val="5682502E"/>
    <w:rsid w:val="568C2CA0"/>
    <w:rsid w:val="569368D2"/>
    <w:rsid w:val="56A31759"/>
    <w:rsid w:val="56BC0894"/>
    <w:rsid w:val="56BE6811"/>
    <w:rsid w:val="56C360E3"/>
    <w:rsid w:val="56CE31FA"/>
    <w:rsid w:val="56E95609"/>
    <w:rsid w:val="56F56787"/>
    <w:rsid w:val="57034309"/>
    <w:rsid w:val="570C304F"/>
    <w:rsid w:val="570F7F7A"/>
    <w:rsid w:val="572F7A13"/>
    <w:rsid w:val="574C432A"/>
    <w:rsid w:val="575D7D8B"/>
    <w:rsid w:val="576C5C72"/>
    <w:rsid w:val="57710EBA"/>
    <w:rsid w:val="57790E97"/>
    <w:rsid w:val="578B3368"/>
    <w:rsid w:val="579F5732"/>
    <w:rsid w:val="57B8376D"/>
    <w:rsid w:val="57B86799"/>
    <w:rsid w:val="57C2644F"/>
    <w:rsid w:val="57C90239"/>
    <w:rsid w:val="57D85A11"/>
    <w:rsid w:val="57DF4080"/>
    <w:rsid w:val="57E77D5E"/>
    <w:rsid w:val="57F54C80"/>
    <w:rsid w:val="57FF75EE"/>
    <w:rsid w:val="581A6CC3"/>
    <w:rsid w:val="58461706"/>
    <w:rsid w:val="58515970"/>
    <w:rsid w:val="58545E4F"/>
    <w:rsid w:val="58610FF4"/>
    <w:rsid w:val="58711B6E"/>
    <w:rsid w:val="587B5437"/>
    <w:rsid w:val="5886065D"/>
    <w:rsid w:val="588D53BE"/>
    <w:rsid w:val="58951D01"/>
    <w:rsid w:val="589656B9"/>
    <w:rsid w:val="58B167EE"/>
    <w:rsid w:val="58C07795"/>
    <w:rsid w:val="58E16CF4"/>
    <w:rsid w:val="590E1346"/>
    <w:rsid w:val="59270B2F"/>
    <w:rsid w:val="5952374E"/>
    <w:rsid w:val="595C1523"/>
    <w:rsid w:val="5961278D"/>
    <w:rsid w:val="59886CC8"/>
    <w:rsid w:val="59BB510A"/>
    <w:rsid w:val="59BF3B8A"/>
    <w:rsid w:val="59E2066B"/>
    <w:rsid w:val="59F5704C"/>
    <w:rsid w:val="5A0A61CB"/>
    <w:rsid w:val="5A1153B7"/>
    <w:rsid w:val="5A320670"/>
    <w:rsid w:val="5A56337D"/>
    <w:rsid w:val="5A7C4F26"/>
    <w:rsid w:val="5AA54CAE"/>
    <w:rsid w:val="5AAB4CAC"/>
    <w:rsid w:val="5AC0437F"/>
    <w:rsid w:val="5ACD334D"/>
    <w:rsid w:val="5ACE7C2C"/>
    <w:rsid w:val="5AF63B00"/>
    <w:rsid w:val="5B0E5771"/>
    <w:rsid w:val="5B105290"/>
    <w:rsid w:val="5B1C1498"/>
    <w:rsid w:val="5B38357D"/>
    <w:rsid w:val="5B3E70B5"/>
    <w:rsid w:val="5B5C0596"/>
    <w:rsid w:val="5B750EEC"/>
    <w:rsid w:val="5B85605C"/>
    <w:rsid w:val="5B8920A2"/>
    <w:rsid w:val="5BAF7744"/>
    <w:rsid w:val="5BC21E0A"/>
    <w:rsid w:val="5BC22478"/>
    <w:rsid w:val="5BC528FD"/>
    <w:rsid w:val="5BCC6A4F"/>
    <w:rsid w:val="5C370523"/>
    <w:rsid w:val="5C5C6DEF"/>
    <w:rsid w:val="5C6E39DD"/>
    <w:rsid w:val="5C71038F"/>
    <w:rsid w:val="5C873343"/>
    <w:rsid w:val="5CA15BF1"/>
    <w:rsid w:val="5CAD142D"/>
    <w:rsid w:val="5CD1443B"/>
    <w:rsid w:val="5CD76156"/>
    <w:rsid w:val="5CE17438"/>
    <w:rsid w:val="5CF71821"/>
    <w:rsid w:val="5CF72EB9"/>
    <w:rsid w:val="5CF8571E"/>
    <w:rsid w:val="5D0262DA"/>
    <w:rsid w:val="5D1129F8"/>
    <w:rsid w:val="5D256313"/>
    <w:rsid w:val="5D2616A6"/>
    <w:rsid w:val="5D27207C"/>
    <w:rsid w:val="5D276C13"/>
    <w:rsid w:val="5D2D1EFA"/>
    <w:rsid w:val="5D331782"/>
    <w:rsid w:val="5D3328C5"/>
    <w:rsid w:val="5D3B198B"/>
    <w:rsid w:val="5D3F048D"/>
    <w:rsid w:val="5D4D4B38"/>
    <w:rsid w:val="5D663C6C"/>
    <w:rsid w:val="5D8C461D"/>
    <w:rsid w:val="5DA01CCB"/>
    <w:rsid w:val="5DD37888"/>
    <w:rsid w:val="5DD82C45"/>
    <w:rsid w:val="5DE25807"/>
    <w:rsid w:val="5DEC0387"/>
    <w:rsid w:val="5DEE7EDD"/>
    <w:rsid w:val="5DF41277"/>
    <w:rsid w:val="5DFF027F"/>
    <w:rsid w:val="5E014860"/>
    <w:rsid w:val="5E194573"/>
    <w:rsid w:val="5E1C432A"/>
    <w:rsid w:val="5E28450C"/>
    <w:rsid w:val="5E3B12B4"/>
    <w:rsid w:val="5E565A8E"/>
    <w:rsid w:val="5E6006BB"/>
    <w:rsid w:val="5E7E0D08"/>
    <w:rsid w:val="5E8F0A82"/>
    <w:rsid w:val="5E9C006A"/>
    <w:rsid w:val="5E9C43FA"/>
    <w:rsid w:val="5EAF150A"/>
    <w:rsid w:val="5EB575DD"/>
    <w:rsid w:val="5EBE445A"/>
    <w:rsid w:val="5ED64967"/>
    <w:rsid w:val="5EF7101F"/>
    <w:rsid w:val="5F17430D"/>
    <w:rsid w:val="5F1C6CD8"/>
    <w:rsid w:val="5F260774"/>
    <w:rsid w:val="5F3D09FC"/>
    <w:rsid w:val="5F5703E1"/>
    <w:rsid w:val="5F577D10"/>
    <w:rsid w:val="5F5C6B7A"/>
    <w:rsid w:val="5F700B71"/>
    <w:rsid w:val="5F75376D"/>
    <w:rsid w:val="5F7C7A26"/>
    <w:rsid w:val="5F904FD0"/>
    <w:rsid w:val="5FAE5456"/>
    <w:rsid w:val="5FB213EA"/>
    <w:rsid w:val="5FB23030"/>
    <w:rsid w:val="5FB35B14"/>
    <w:rsid w:val="60057CBB"/>
    <w:rsid w:val="600F4512"/>
    <w:rsid w:val="60234687"/>
    <w:rsid w:val="60552601"/>
    <w:rsid w:val="60571B91"/>
    <w:rsid w:val="6069670F"/>
    <w:rsid w:val="60862B3D"/>
    <w:rsid w:val="608B36FD"/>
    <w:rsid w:val="609462F8"/>
    <w:rsid w:val="609B3C2C"/>
    <w:rsid w:val="60A631B2"/>
    <w:rsid w:val="60A709E9"/>
    <w:rsid w:val="60DF620F"/>
    <w:rsid w:val="60F73E24"/>
    <w:rsid w:val="60FE719D"/>
    <w:rsid w:val="61087F04"/>
    <w:rsid w:val="610C7334"/>
    <w:rsid w:val="6110461A"/>
    <w:rsid w:val="61143FF6"/>
    <w:rsid w:val="613227E3"/>
    <w:rsid w:val="614D03CC"/>
    <w:rsid w:val="61537A82"/>
    <w:rsid w:val="61585C3E"/>
    <w:rsid w:val="616B7AA3"/>
    <w:rsid w:val="6188324E"/>
    <w:rsid w:val="61942060"/>
    <w:rsid w:val="619568CD"/>
    <w:rsid w:val="619C4100"/>
    <w:rsid w:val="61A830E4"/>
    <w:rsid w:val="61C6241D"/>
    <w:rsid w:val="61E84C4F"/>
    <w:rsid w:val="61F45CEA"/>
    <w:rsid w:val="62013F63"/>
    <w:rsid w:val="62031A89"/>
    <w:rsid w:val="62190780"/>
    <w:rsid w:val="622D3399"/>
    <w:rsid w:val="62492F61"/>
    <w:rsid w:val="62522A10"/>
    <w:rsid w:val="62622165"/>
    <w:rsid w:val="6269729D"/>
    <w:rsid w:val="626C3AD2"/>
    <w:rsid w:val="628D0B85"/>
    <w:rsid w:val="62A6039C"/>
    <w:rsid w:val="62AA36B6"/>
    <w:rsid w:val="62AD1323"/>
    <w:rsid w:val="62B736E9"/>
    <w:rsid w:val="62C17277"/>
    <w:rsid w:val="62EB4CDF"/>
    <w:rsid w:val="632F22C4"/>
    <w:rsid w:val="63340DDE"/>
    <w:rsid w:val="63351135"/>
    <w:rsid w:val="63495BC1"/>
    <w:rsid w:val="63565D45"/>
    <w:rsid w:val="63571B49"/>
    <w:rsid w:val="6396195F"/>
    <w:rsid w:val="63C00ABF"/>
    <w:rsid w:val="63CC1E35"/>
    <w:rsid w:val="63EA2B27"/>
    <w:rsid w:val="63F55C2B"/>
    <w:rsid w:val="63F70C46"/>
    <w:rsid w:val="640F0BB9"/>
    <w:rsid w:val="64226DA3"/>
    <w:rsid w:val="64326656"/>
    <w:rsid w:val="644D2258"/>
    <w:rsid w:val="64634BF8"/>
    <w:rsid w:val="64682077"/>
    <w:rsid w:val="64746666"/>
    <w:rsid w:val="648578FA"/>
    <w:rsid w:val="64B02753"/>
    <w:rsid w:val="64B81F86"/>
    <w:rsid w:val="64C22AF0"/>
    <w:rsid w:val="64D13E09"/>
    <w:rsid w:val="64D23995"/>
    <w:rsid w:val="64E65E5F"/>
    <w:rsid w:val="64EF2635"/>
    <w:rsid w:val="64FE65B6"/>
    <w:rsid w:val="650C334B"/>
    <w:rsid w:val="650E13C6"/>
    <w:rsid w:val="651F63A7"/>
    <w:rsid w:val="6523524C"/>
    <w:rsid w:val="65406D21"/>
    <w:rsid w:val="65637788"/>
    <w:rsid w:val="6565085D"/>
    <w:rsid w:val="6565189F"/>
    <w:rsid w:val="657A5BFD"/>
    <w:rsid w:val="657F1946"/>
    <w:rsid w:val="65917D27"/>
    <w:rsid w:val="6596228F"/>
    <w:rsid w:val="65965EC7"/>
    <w:rsid w:val="65A13A93"/>
    <w:rsid w:val="65A54699"/>
    <w:rsid w:val="65DA2C9A"/>
    <w:rsid w:val="65DD0843"/>
    <w:rsid w:val="65E1061B"/>
    <w:rsid w:val="660156AB"/>
    <w:rsid w:val="66155CFE"/>
    <w:rsid w:val="662D1448"/>
    <w:rsid w:val="664408C2"/>
    <w:rsid w:val="66452FED"/>
    <w:rsid w:val="66591D64"/>
    <w:rsid w:val="666632EC"/>
    <w:rsid w:val="66724548"/>
    <w:rsid w:val="667A2D6A"/>
    <w:rsid w:val="668B644C"/>
    <w:rsid w:val="668F448D"/>
    <w:rsid w:val="668F44C6"/>
    <w:rsid w:val="66923915"/>
    <w:rsid w:val="66A04041"/>
    <w:rsid w:val="66A84677"/>
    <w:rsid w:val="66BE5072"/>
    <w:rsid w:val="66BF0F11"/>
    <w:rsid w:val="66C26F4E"/>
    <w:rsid w:val="66C36C3B"/>
    <w:rsid w:val="66DC55BD"/>
    <w:rsid w:val="66EA1075"/>
    <w:rsid w:val="6711452F"/>
    <w:rsid w:val="67220BBC"/>
    <w:rsid w:val="67226E55"/>
    <w:rsid w:val="673646FA"/>
    <w:rsid w:val="673D0297"/>
    <w:rsid w:val="67523C1F"/>
    <w:rsid w:val="67681BF7"/>
    <w:rsid w:val="676A4A33"/>
    <w:rsid w:val="676D784C"/>
    <w:rsid w:val="678920AC"/>
    <w:rsid w:val="679A180F"/>
    <w:rsid w:val="67B77421"/>
    <w:rsid w:val="67C3388B"/>
    <w:rsid w:val="67C577E1"/>
    <w:rsid w:val="67E7238A"/>
    <w:rsid w:val="68291BC6"/>
    <w:rsid w:val="68497BB7"/>
    <w:rsid w:val="688A57D2"/>
    <w:rsid w:val="68E81BCA"/>
    <w:rsid w:val="690A7BA1"/>
    <w:rsid w:val="69136635"/>
    <w:rsid w:val="69402755"/>
    <w:rsid w:val="694D0CE9"/>
    <w:rsid w:val="695D2E50"/>
    <w:rsid w:val="69B02460"/>
    <w:rsid w:val="69C2784A"/>
    <w:rsid w:val="69C37EA1"/>
    <w:rsid w:val="69C97A5C"/>
    <w:rsid w:val="69DA7573"/>
    <w:rsid w:val="69E50BBC"/>
    <w:rsid w:val="69E54D1F"/>
    <w:rsid w:val="69E859A0"/>
    <w:rsid w:val="69F26AD1"/>
    <w:rsid w:val="6A2D7B25"/>
    <w:rsid w:val="6A4B0471"/>
    <w:rsid w:val="6A610754"/>
    <w:rsid w:val="6A646AF9"/>
    <w:rsid w:val="6A674E0A"/>
    <w:rsid w:val="6A753C10"/>
    <w:rsid w:val="6A776267"/>
    <w:rsid w:val="6A8614A9"/>
    <w:rsid w:val="6A8A7807"/>
    <w:rsid w:val="6A8B4438"/>
    <w:rsid w:val="6AA6125E"/>
    <w:rsid w:val="6AB95096"/>
    <w:rsid w:val="6AB95B8B"/>
    <w:rsid w:val="6AC147BD"/>
    <w:rsid w:val="6AC54ED1"/>
    <w:rsid w:val="6AC65D4A"/>
    <w:rsid w:val="6ACD532A"/>
    <w:rsid w:val="6AD14F8B"/>
    <w:rsid w:val="6AD3138B"/>
    <w:rsid w:val="6AD40FE2"/>
    <w:rsid w:val="6ADA17F5"/>
    <w:rsid w:val="6B094F46"/>
    <w:rsid w:val="6B4E071F"/>
    <w:rsid w:val="6B4E646B"/>
    <w:rsid w:val="6B511614"/>
    <w:rsid w:val="6B681898"/>
    <w:rsid w:val="6BA65707"/>
    <w:rsid w:val="6BA76458"/>
    <w:rsid w:val="6BB0025E"/>
    <w:rsid w:val="6BB6110A"/>
    <w:rsid w:val="6BB7602F"/>
    <w:rsid w:val="6BBA2EB1"/>
    <w:rsid w:val="6C16238A"/>
    <w:rsid w:val="6C1E52F3"/>
    <w:rsid w:val="6C226066"/>
    <w:rsid w:val="6C24495D"/>
    <w:rsid w:val="6C4508F1"/>
    <w:rsid w:val="6C500F8C"/>
    <w:rsid w:val="6C547C81"/>
    <w:rsid w:val="6C732CB3"/>
    <w:rsid w:val="6C7F08A6"/>
    <w:rsid w:val="6C8102D7"/>
    <w:rsid w:val="6C831AF1"/>
    <w:rsid w:val="6CAF1083"/>
    <w:rsid w:val="6CBF0CA2"/>
    <w:rsid w:val="6CDE737B"/>
    <w:rsid w:val="6CE87DC7"/>
    <w:rsid w:val="6CE953DF"/>
    <w:rsid w:val="6D143885"/>
    <w:rsid w:val="6D31167E"/>
    <w:rsid w:val="6D326DE0"/>
    <w:rsid w:val="6D436089"/>
    <w:rsid w:val="6D5E7031"/>
    <w:rsid w:val="6D603345"/>
    <w:rsid w:val="6D626840"/>
    <w:rsid w:val="6D627283"/>
    <w:rsid w:val="6D655CEE"/>
    <w:rsid w:val="6D836174"/>
    <w:rsid w:val="6D9974BA"/>
    <w:rsid w:val="6DA32372"/>
    <w:rsid w:val="6DA70524"/>
    <w:rsid w:val="6DE2636F"/>
    <w:rsid w:val="6E1A2EA3"/>
    <w:rsid w:val="6E23173B"/>
    <w:rsid w:val="6E4B0DC3"/>
    <w:rsid w:val="6E6913B9"/>
    <w:rsid w:val="6E9737E4"/>
    <w:rsid w:val="6EA859F6"/>
    <w:rsid w:val="6EBF4683"/>
    <w:rsid w:val="6ECF01E6"/>
    <w:rsid w:val="6EF84E1E"/>
    <w:rsid w:val="6EFA4AB6"/>
    <w:rsid w:val="6F071227"/>
    <w:rsid w:val="6F0F693C"/>
    <w:rsid w:val="6F1A5974"/>
    <w:rsid w:val="6F2474E3"/>
    <w:rsid w:val="6F2A77C6"/>
    <w:rsid w:val="6F332507"/>
    <w:rsid w:val="6F345978"/>
    <w:rsid w:val="6F3B65B8"/>
    <w:rsid w:val="6F487EA1"/>
    <w:rsid w:val="6F6018E6"/>
    <w:rsid w:val="6F8F2BAE"/>
    <w:rsid w:val="6F9310E3"/>
    <w:rsid w:val="6F98779A"/>
    <w:rsid w:val="6F992C34"/>
    <w:rsid w:val="6FA523D2"/>
    <w:rsid w:val="6FD06E0B"/>
    <w:rsid w:val="6FD83947"/>
    <w:rsid w:val="6FEF1D95"/>
    <w:rsid w:val="6FEF6649"/>
    <w:rsid w:val="6FF144C0"/>
    <w:rsid w:val="700532A9"/>
    <w:rsid w:val="70396723"/>
    <w:rsid w:val="704D2416"/>
    <w:rsid w:val="70536D84"/>
    <w:rsid w:val="705A3FD9"/>
    <w:rsid w:val="706202C3"/>
    <w:rsid w:val="7069026A"/>
    <w:rsid w:val="706E0933"/>
    <w:rsid w:val="7071275F"/>
    <w:rsid w:val="70727040"/>
    <w:rsid w:val="707A005E"/>
    <w:rsid w:val="70886E7D"/>
    <w:rsid w:val="70900802"/>
    <w:rsid w:val="70941495"/>
    <w:rsid w:val="70967414"/>
    <w:rsid w:val="709A01EE"/>
    <w:rsid w:val="70A35403"/>
    <w:rsid w:val="70AD75A8"/>
    <w:rsid w:val="70B22023"/>
    <w:rsid w:val="70BB42CC"/>
    <w:rsid w:val="70D978F0"/>
    <w:rsid w:val="70E433CD"/>
    <w:rsid w:val="711E068D"/>
    <w:rsid w:val="712E3E0C"/>
    <w:rsid w:val="713A1351"/>
    <w:rsid w:val="717B1B03"/>
    <w:rsid w:val="71926B48"/>
    <w:rsid w:val="71B17C91"/>
    <w:rsid w:val="71BC6234"/>
    <w:rsid w:val="71BC663C"/>
    <w:rsid w:val="71C11019"/>
    <w:rsid w:val="71C43B3E"/>
    <w:rsid w:val="71D609E2"/>
    <w:rsid w:val="71DE6D28"/>
    <w:rsid w:val="71F8282C"/>
    <w:rsid w:val="7201383B"/>
    <w:rsid w:val="721F02C0"/>
    <w:rsid w:val="723E2669"/>
    <w:rsid w:val="725D42D9"/>
    <w:rsid w:val="72676064"/>
    <w:rsid w:val="726B0044"/>
    <w:rsid w:val="72836D27"/>
    <w:rsid w:val="729322BD"/>
    <w:rsid w:val="72A66335"/>
    <w:rsid w:val="72BF09CF"/>
    <w:rsid w:val="72D273A8"/>
    <w:rsid w:val="72D54481"/>
    <w:rsid w:val="72F670BB"/>
    <w:rsid w:val="731444DE"/>
    <w:rsid w:val="733572CD"/>
    <w:rsid w:val="733F48EB"/>
    <w:rsid w:val="735F5A63"/>
    <w:rsid w:val="73667929"/>
    <w:rsid w:val="738075A5"/>
    <w:rsid w:val="7393089D"/>
    <w:rsid w:val="73AA3458"/>
    <w:rsid w:val="73AF0292"/>
    <w:rsid w:val="73CC4590"/>
    <w:rsid w:val="73D239B1"/>
    <w:rsid w:val="73EF4563"/>
    <w:rsid w:val="73F531FC"/>
    <w:rsid w:val="73F95191"/>
    <w:rsid w:val="73FD3A4D"/>
    <w:rsid w:val="741713C4"/>
    <w:rsid w:val="741A6074"/>
    <w:rsid w:val="743A449C"/>
    <w:rsid w:val="7443040B"/>
    <w:rsid w:val="746C5BB4"/>
    <w:rsid w:val="74837D90"/>
    <w:rsid w:val="748656D5"/>
    <w:rsid w:val="74C762A4"/>
    <w:rsid w:val="74F636CF"/>
    <w:rsid w:val="74FC52C7"/>
    <w:rsid w:val="7510653F"/>
    <w:rsid w:val="75140FC8"/>
    <w:rsid w:val="752C4F4C"/>
    <w:rsid w:val="752F1C88"/>
    <w:rsid w:val="754F63FB"/>
    <w:rsid w:val="755C0CA5"/>
    <w:rsid w:val="756179E8"/>
    <w:rsid w:val="75643578"/>
    <w:rsid w:val="756E03B6"/>
    <w:rsid w:val="757B249D"/>
    <w:rsid w:val="757F5A92"/>
    <w:rsid w:val="758D0C35"/>
    <w:rsid w:val="759D13B8"/>
    <w:rsid w:val="75B5284F"/>
    <w:rsid w:val="75BB48D9"/>
    <w:rsid w:val="75C17CBF"/>
    <w:rsid w:val="75C9621C"/>
    <w:rsid w:val="75CE3C64"/>
    <w:rsid w:val="75D45542"/>
    <w:rsid w:val="75D5092A"/>
    <w:rsid w:val="75F54172"/>
    <w:rsid w:val="76012189"/>
    <w:rsid w:val="76091803"/>
    <w:rsid w:val="76216471"/>
    <w:rsid w:val="76317661"/>
    <w:rsid w:val="76403258"/>
    <w:rsid w:val="764A3CD3"/>
    <w:rsid w:val="765860E0"/>
    <w:rsid w:val="7666438C"/>
    <w:rsid w:val="766E6FAE"/>
    <w:rsid w:val="767A7845"/>
    <w:rsid w:val="7682346D"/>
    <w:rsid w:val="769211D6"/>
    <w:rsid w:val="769D2661"/>
    <w:rsid w:val="76D378D2"/>
    <w:rsid w:val="76E738E9"/>
    <w:rsid w:val="76F637AC"/>
    <w:rsid w:val="76F66287"/>
    <w:rsid w:val="7707120C"/>
    <w:rsid w:val="770C2587"/>
    <w:rsid w:val="773724A9"/>
    <w:rsid w:val="773B361B"/>
    <w:rsid w:val="774175D5"/>
    <w:rsid w:val="777A7420"/>
    <w:rsid w:val="777B473C"/>
    <w:rsid w:val="77822BFC"/>
    <w:rsid w:val="77826587"/>
    <w:rsid w:val="778E503F"/>
    <w:rsid w:val="77A4062A"/>
    <w:rsid w:val="77E141C3"/>
    <w:rsid w:val="77FE4D75"/>
    <w:rsid w:val="781A06BE"/>
    <w:rsid w:val="782A6348"/>
    <w:rsid w:val="782D565A"/>
    <w:rsid w:val="78540D51"/>
    <w:rsid w:val="78547CED"/>
    <w:rsid w:val="78591A10"/>
    <w:rsid w:val="7860158C"/>
    <w:rsid w:val="786250C1"/>
    <w:rsid w:val="78904407"/>
    <w:rsid w:val="78977AED"/>
    <w:rsid w:val="78AF2453"/>
    <w:rsid w:val="78B47B29"/>
    <w:rsid w:val="78B85A5A"/>
    <w:rsid w:val="78BF05B7"/>
    <w:rsid w:val="78C61633"/>
    <w:rsid w:val="78CE1E32"/>
    <w:rsid w:val="78E636B9"/>
    <w:rsid w:val="78EF0B61"/>
    <w:rsid w:val="78F67653"/>
    <w:rsid w:val="78F7095D"/>
    <w:rsid w:val="790731BE"/>
    <w:rsid w:val="79083653"/>
    <w:rsid w:val="79273E57"/>
    <w:rsid w:val="793548B4"/>
    <w:rsid w:val="794C7D62"/>
    <w:rsid w:val="794D40F5"/>
    <w:rsid w:val="795A5FDB"/>
    <w:rsid w:val="79664602"/>
    <w:rsid w:val="79753FF1"/>
    <w:rsid w:val="798474FC"/>
    <w:rsid w:val="798F46C5"/>
    <w:rsid w:val="799D41E7"/>
    <w:rsid w:val="79A23A4F"/>
    <w:rsid w:val="79A609CD"/>
    <w:rsid w:val="79B75266"/>
    <w:rsid w:val="79D22BA4"/>
    <w:rsid w:val="79D27F63"/>
    <w:rsid w:val="79E70B47"/>
    <w:rsid w:val="79FC2DF2"/>
    <w:rsid w:val="7A0B49AD"/>
    <w:rsid w:val="7A110706"/>
    <w:rsid w:val="7A232FA5"/>
    <w:rsid w:val="7A2B3A0D"/>
    <w:rsid w:val="7A302B18"/>
    <w:rsid w:val="7A3251AA"/>
    <w:rsid w:val="7A3723EB"/>
    <w:rsid w:val="7A3E0C80"/>
    <w:rsid w:val="7A5A2603"/>
    <w:rsid w:val="7A5D73D7"/>
    <w:rsid w:val="7A6130C0"/>
    <w:rsid w:val="7A887C7F"/>
    <w:rsid w:val="7A995229"/>
    <w:rsid w:val="7AC55674"/>
    <w:rsid w:val="7AD7365B"/>
    <w:rsid w:val="7AF141B2"/>
    <w:rsid w:val="7AF16DC3"/>
    <w:rsid w:val="7AF52905"/>
    <w:rsid w:val="7AFE1093"/>
    <w:rsid w:val="7B0F2D9D"/>
    <w:rsid w:val="7B166F8A"/>
    <w:rsid w:val="7B2318F3"/>
    <w:rsid w:val="7B27514B"/>
    <w:rsid w:val="7B5A3FCE"/>
    <w:rsid w:val="7B5D1DB2"/>
    <w:rsid w:val="7B5F3D7C"/>
    <w:rsid w:val="7B6616C1"/>
    <w:rsid w:val="7B792D35"/>
    <w:rsid w:val="7B7D717A"/>
    <w:rsid w:val="7B7D729E"/>
    <w:rsid w:val="7B900716"/>
    <w:rsid w:val="7B917740"/>
    <w:rsid w:val="7B937ECA"/>
    <w:rsid w:val="7B9A4DB4"/>
    <w:rsid w:val="7BB15DD0"/>
    <w:rsid w:val="7BB434C1"/>
    <w:rsid w:val="7BC26B8A"/>
    <w:rsid w:val="7BF976D4"/>
    <w:rsid w:val="7BFE4138"/>
    <w:rsid w:val="7C5C6B25"/>
    <w:rsid w:val="7C602892"/>
    <w:rsid w:val="7C761A94"/>
    <w:rsid w:val="7C7F0574"/>
    <w:rsid w:val="7C8D42CE"/>
    <w:rsid w:val="7C941F85"/>
    <w:rsid w:val="7CC04EA8"/>
    <w:rsid w:val="7CD71033"/>
    <w:rsid w:val="7CDE0A96"/>
    <w:rsid w:val="7CE32CDB"/>
    <w:rsid w:val="7CF95B0B"/>
    <w:rsid w:val="7D006548"/>
    <w:rsid w:val="7D127BB2"/>
    <w:rsid w:val="7D197F5B"/>
    <w:rsid w:val="7D1D251D"/>
    <w:rsid w:val="7D2E4CDC"/>
    <w:rsid w:val="7D380E83"/>
    <w:rsid w:val="7D4A0A5C"/>
    <w:rsid w:val="7D4A13AA"/>
    <w:rsid w:val="7D6F2C70"/>
    <w:rsid w:val="7D7F51E6"/>
    <w:rsid w:val="7D917B30"/>
    <w:rsid w:val="7DA131C4"/>
    <w:rsid w:val="7DA168CE"/>
    <w:rsid w:val="7DA71A0B"/>
    <w:rsid w:val="7DBB54B6"/>
    <w:rsid w:val="7DBD6776"/>
    <w:rsid w:val="7DBE4D80"/>
    <w:rsid w:val="7E042252"/>
    <w:rsid w:val="7E0A11A2"/>
    <w:rsid w:val="7E244E09"/>
    <w:rsid w:val="7E45730E"/>
    <w:rsid w:val="7E494C1E"/>
    <w:rsid w:val="7E5B17FD"/>
    <w:rsid w:val="7E61619A"/>
    <w:rsid w:val="7E6A3164"/>
    <w:rsid w:val="7E6F61AB"/>
    <w:rsid w:val="7E7D055C"/>
    <w:rsid w:val="7E81400A"/>
    <w:rsid w:val="7E867872"/>
    <w:rsid w:val="7E8C0AF9"/>
    <w:rsid w:val="7EAC48DA"/>
    <w:rsid w:val="7ECA3C03"/>
    <w:rsid w:val="7ECA4B3A"/>
    <w:rsid w:val="7EE33139"/>
    <w:rsid w:val="7F0A1287"/>
    <w:rsid w:val="7F197D7E"/>
    <w:rsid w:val="7F1A7F5F"/>
    <w:rsid w:val="7F231157"/>
    <w:rsid w:val="7F4D294D"/>
    <w:rsid w:val="7F5652D3"/>
    <w:rsid w:val="7F6E2034"/>
    <w:rsid w:val="7F8B73C1"/>
    <w:rsid w:val="7F8F3D54"/>
    <w:rsid w:val="7FAF1BA0"/>
    <w:rsid w:val="7FD5285F"/>
    <w:rsid w:val="7FE54EC5"/>
    <w:rsid w:val="7FF75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52"/>
    <w:qFormat/>
    <w:uiPriority w:val="0"/>
    <w:pPr>
      <w:keepNext/>
      <w:keepLines/>
      <w:outlineLvl w:val="0"/>
    </w:pPr>
    <w:rPr>
      <w:b/>
      <w:bCs/>
      <w:kern w:val="44"/>
      <w:sz w:val="32"/>
      <w:szCs w:val="44"/>
    </w:rPr>
  </w:style>
  <w:style w:type="paragraph" w:styleId="2">
    <w:name w:val="heading 2"/>
    <w:basedOn w:val="1"/>
    <w:next w:val="1"/>
    <w:link w:val="47"/>
    <w:qFormat/>
    <w:uiPriority w:val="1"/>
    <w:pPr>
      <w:keepNext/>
      <w:keepLines/>
      <w:spacing w:line="240" w:lineRule="auto"/>
      <w:outlineLvl w:val="1"/>
    </w:pPr>
    <w:rPr>
      <w:bCs/>
      <w:sz w:val="21"/>
      <w:szCs w:val="32"/>
    </w:rPr>
  </w:style>
  <w:style w:type="paragraph" w:styleId="4">
    <w:name w:val="heading 4"/>
    <w:basedOn w:val="1"/>
    <w:next w:val="1"/>
    <w:qFormat/>
    <w:uiPriority w:val="0"/>
    <w:pPr>
      <w:keepNext/>
      <w:keepLines/>
      <w:autoSpaceDE w:val="0"/>
      <w:autoSpaceDN w:val="0"/>
      <w:snapToGrid w:val="0"/>
      <w:spacing w:line="460" w:lineRule="exact"/>
      <w:outlineLvl w:val="3"/>
    </w:pPr>
    <w:rPr>
      <w:rFonts w:hAnsi="Arial" w:eastAsia="黑体"/>
      <w:b/>
      <w:snapToGrid w:val="0"/>
      <w:kern w:val="0"/>
      <w:lang w:val="zh-CN"/>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85"/>
    <w:qFormat/>
    <w:uiPriority w:val="0"/>
    <w:pPr>
      <w:ind w:firstLine="420" w:firstLineChars="200"/>
    </w:pPr>
    <w:rPr>
      <w:rFonts w:ascii="Calibri" w:hAnsi="Calibri"/>
      <w:sz w:val="21"/>
      <w:szCs w:val="22"/>
    </w:rPr>
  </w:style>
  <w:style w:type="paragraph" w:styleId="6">
    <w:name w:val="caption"/>
    <w:basedOn w:val="1"/>
    <w:next w:val="1"/>
    <w:qFormat/>
    <w:uiPriority w:val="0"/>
    <w:pPr>
      <w:spacing w:line="400" w:lineRule="atLeast"/>
      <w:jc w:val="center"/>
    </w:pPr>
    <w:rPr>
      <w:b/>
      <w:sz w:val="21"/>
    </w:rPr>
  </w:style>
  <w:style w:type="paragraph" w:styleId="7">
    <w:name w:val="Document Map"/>
    <w:basedOn w:val="1"/>
    <w:link w:val="75"/>
    <w:qFormat/>
    <w:uiPriority w:val="0"/>
    <w:pPr>
      <w:shd w:val="clear" w:color="auto" w:fill="000080"/>
    </w:pPr>
    <w:rPr>
      <w:szCs w:val="20"/>
    </w:rPr>
  </w:style>
  <w:style w:type="paragraph" w:styleId="8">
    <w:name w:val="annotation text"/>
    <w:basedOn w:val="1"/>
    <w:link w:val="90"/>
    <w:unhideWhenUsed/>
    <w:qFormat/>
    <w:uiPriority w:val="0"/>
    <w:pPr>
      <w:jc w:val="left"/>
    </w:pPr>
  </w:style>
  <w:style w:type="paragraph" w:styleId="9">
    <w:name w:val="Body Text"/>
    <w:basedOn w:val="1"/>
    <w:link w:val="56"/>
    <w:qFormat/>
    <w:uiPriority w:val="0"/>
    <w:pPr>
      <w:widowControl/>
      <w:snapToGrid w:val="0"/>
      <w:spacing w:before="60" w:after="160" w:line="259" w:lineRule="auto"/>
      <w:ind w:right="113"/>
    </w:pPr>
    <w:rPr>
      <w:rFonts w:ascii="Calibri" w:hAnsi="Calibri"/>
      <w:sz w:val="18"/>
      <w:szCs w:val="22"/>
    </w:rPr>
  </w:style>
  <w:style w:type="paragraph" w:styleId="10">
    <w:name w:val="Body Text Indent"/>
    <w:basedOn w:val="1"/>
    <w:next w:val="11"/>
    <w:link w:val="77"/>
    <w:qFormat/>
    <w:uiPriority w:val="0"/>
    <w:pPr>
      <w:spacing w:after="120"/>
      <w:ind w:left="420" w:leftChars="200"/>
    </w:pPr>
    <w:rPr>
      <w:szCs w:val="22"/>
    </w:rPr>
  </w:style>
  <w:style w:type="paragraph" w:styleId="11">
    <w:name w:val="Body Text Indent 2"/>
    <w:basedOn w:val="1"/>
    <w:next w:val="1"/>
    <w:qFormat/>
    <w:uiPriority w:val="0"/>
    <w:pPr>
      <w:spacing w:line="440" w:lineRule="exact"/>
      <w:ind w:firstLine="482"/>
    </w:pPr>
    <w:rPr>
      <w:b/>
      <w:color w:val="FF0000"/>
      <w:spacing w:val="4"/>
    </w:rPr>
  </w:style>
  <w:style w:type="paragraph" w:styleId="12">
    <w:name w:val="Plain Text"/>
    <w:basedOn w:val="1"/>
    <w:next w:val="1"/>
    <w:link w:val="51"/>
    <w:qFormat/>
    <w:uiPriority w:val="0"/>
    <w:pPr>
      <w:spacing w:line="240" w:lineRule="auto"/>
    </w:pPr>
    <w:rPr>
      <w:rFonts w:ascii="宋体" w:hAnsi="Courier New" w:cs="Courier New"/>
      <w:sz w:val="21"/>
      <w:szCs w:val="21"/>
    </w:rPr>
  </w:style>
  <w:style w:type="paragraph" w:styleId="13">
    <w:name w:val="Date"/>
    <w:basedOn w:val="1"/>
    <w:next w:val="1"/>
    <w:link w:val="68"/>
    <w:qFormat/>
    <w:uiPriority w:val="0"/>
    <w:pPr>
      <w:ind w:left="100" w:leftChars="2500"/>
    </w:pPr>
    <w:rPr>
      <w:szCs w:val="22"/>
    </w:rPr>
  </w:style>
  <w:style w:type="paragraph" w:styleId="14">
    <w:name w:val="Balloon Text"/>
    <w:basedOn w:val="1"/>
    <w:link w:val="46"/>
    <w:semiHidden/>
    <w:qFormat/>
    <w:uiPriority w:val="0"/>
    <w:rPr>
      <w:sz w:val="18"/>
      <w:szCs w:val="22"/>
    </w:rPr>
  </w:style>
  <w:style w:type="paragraph" w:styleId="15">
    <w:name w:val="footer"/>
    <w:basedOn w:val="1"/>
    <w:link w:val="88"/>
    <w:qFormat/>
    <w:uiPriority w:val="99"/>
    <w:pPr>
      <w:tabs>
        <w:tab w:val="center" w:pos="4153"/>
        <w:tab w:val="right" w:pos="8306"/>
      </w:tabs>
      <w:snapToGrid w:val="0"/>
      <w:jc w:val="left"/>
    </w:pPr>
    <w:rPr>
      <w:rFonts w:ascii="Calibri" w:hAnsi="Calibri"/>
      <w:sz w:val="18"/>
      <w:szCs w:val="22"/>
    </w:rPr>
  </w:style>
  <w:style w:type="paragraph" w:styleId="16">
    <w:name w:val="header"/>
    <w:basedOn w:val="1"/>
    <w:link w:val="60"/>
    <w:qFormat/>
    <w:uiPriority w:val="0"/>
    <w:pPr>
      <w:pBdr>
        <w:bottom w:val="single" w:color="auto" w:sz="6" w:space="1"/>
      </w:pBdr>
      <w:tabs>
        <w:tab w:val="center" w:pos="4153"/>
        <w:tab w:val="right" w:pos="8306"/>
      </w:tabs>
      <w:snapToGrid w:val="0"/>
      <w:jc w:val="center"/>
    </w:pPr>
    <w:rPr>
      <w:rFonts w:ascii="Calibri" w:hAnsi="Calibri"/>
      <w:sz w:val="18"/>
      <w:szCs w:val="22"/>
    </w:rPr>
  </w:style>
  <w:style w:type="paragraph" w:styleId="17">
    <w:name w:val="toc 1"/>
    <w:basedOn w:val="1"/>
    <w:next w:val="1"/>
    <w:unhideWhenUsed/>
    <w:qFormat/>
    <w:uiPriority w:val="39"/>
  </w:style>
  <w:style w:type="paragraph" w:styleId="18">
    <w:name w:val="List"/>
    <w:basedOn w:val="1"/>
    <w:unhideWhenUsed/>
    <w:qFormat/>
    <w:uiPriority w:val="0"/>
    <w:pPr>
      <w:spacing w:line="240" w:lineRule="auto"/>
      <w:jc w:val="center"/>
    </w:pPr>
    <w:rPr>
      <w:sz w:val="21"/>
    </w:rPr>
  </w:style>
  <w:style w:type="paragraph" w:styleId="19">
    <w:name w:val="Body Text Indent 3"/>
    <w:basedOn w:val="1"/>
    <w:link w:val="73"/>
    <w:qFormat/>
    <w:uiPriority w:val="0"/>
    <w:pPr>
      <w:spacing w:after="120"/>
      <w:ind w:left="420" w:leftChars="200"/>
    </w:pPr>
    <w:rPr>
      <w:sz w:val="16"/>
      <w:szCs w:val="16"/>
    </w:rPr>
  </w:style>
  <w:style w:type="paragraph" w:styleId="20">
    <w:name w:val="Normal (Web)"/>
    <w:basedOn w:val="1"/>
    <w:next w:val="1"/>
    <w:link w:val="66"/>
    <w:qFormat/>
    <w:uiPriority w:val="0"/>
    <w:pPr>
      <w:widowControl/>
      <w:spacing w:before="100" w:beforeAutospacing="1" w:after="100" w:afterAutospacing="1"/>
      <w:jc w:val="left"/>
    </w:pPr>
    <w:rPr>
      <w:rFonts w:ascii="宋体" w:hAnsi="宋体"/>
      <w:szCs w:val="22"/>
    </w:rPr>
  </w:style>
  <w:style w:type="paragraph" w:styleId="21">
    <w:name w:val="Title"/>
    <w:basedOn w:val="1"/>
    <w:next w:val="1"/>
    <w:link w:val="83"/>
    <w:qFormat/>
    <w:uiPriority w:val="0"/>
    <w:pPr>
      <w:jc w:val="center"/>
      <w:outlineLvl w:val="0"/>
    </w:pPr>
    <w:rPr>
      <w:rFonts w:eastAsia="黑体"/>
      <w:bCs/>
      <w:sz w:val="30"/>
      <w:szCs w:val="32"/>
    </w:rPr>
  </w:style>
  <w:style w:type="paragraph" w:styleId="22">
    <w:name w:val="annotation subject"/>
    <w:basedOn w:val="8"/>
    <w:next w:val="8"/>
    <w:link w:val="49"/>
    <w:semiHidden/>
    <w:qFormat/>
    <w:uiPriority w:val="0"/>
    <w:rPr>
      <w:b/>
      <w:szCs w:val="22"/>
    </w:rPr>
  </w:style>
  <w:style w:type="paragraph" w:styleId="23">
    <w:name w:val="Body Text First Indent"/>
    <w:basedOn w:val="1"/>
    <w:next w:val="24"/>
    <w:qFormat/>
    <w:uiPriority w:val="0"/>
    <w:pPr>
      <w:tabs>
        <w:tab w:val="left" w:pos="1620"/>
        <w:tab w:val="left" w:pos="2700"/>
      </w:tabs>
      <w:spacing w:line="240" w:lineRule="exact"/>
      <w:ind w:firstLine="420" w:firstLineChars="100"/>
      <w:jc w:val="center"/>
    </w:pPr>
    <w:rPr>
      <w:sz w:val="28"/>
      <w:szCs w:val="20"/>
    </w:rPr>
  </w:style>
  <w:style w:type="paragraph" w:styleId="24">
    <w:name w:val="Body Text First Indent 2"/>
    <w:basedOn w:val="10"/>
    <w:next w:val="23"/>
    <w:link w:val="62"/>
    <w:unhideWhenUsed/>
    <w:qFormat/>
    <w:uiPriority w:val="99"/>
    <w:pPr>
      <w:ind w:firstLine="420" w:firstLineChars="200"/>
    </w:pPr>
    <w:rPr>
      <w:szCs w:val="24"/>
    </w:rPr>
  </w:style>
  <w:style w:type="table" w:styleId="26">
    <w:name w:val="Table Grid"/>
    <w:basedOn w:val="2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page number"/>
    <w:qFormat/>
    <w:uiPriority w:val="0"/>
  </w:style>
  <w:style w:type="character" w:styleId="30">
    <w:name w:val="Hyperlink"/>
    <w:qFormat/>
    <w:uiPriority w:val="99"/>
    <w:rPr>
      <w:rFonts w:cs="Times New Roman"/>
      <w:color w:val="0563C1"/>
      <w:u w:val="single"/>
    </w:rPr>
  </w:style>
  <w:style w:type="character" w:styleId="31">
    <w:name w:val="annotation reference"/>
    <w:semiHidden/>
    <w:qFormat/>
    <w:uiPriority w:val="0"/>
    <w:rPr>
      <w:sz w:val="21"/>
    </w:rPr>
  </w:style>
  <w:style w:type="paragraph" w:customStyle="1" w:styleId="32">
    <w:name w:val="标准正文"/>
    <w:basedOn w:val="1"/>
    <w:next w:val="33"/>
    <w:qFormat/>
    <w:uiPriority w:val="0"/>
    <w:pPr>
      <w:spacing w:line="500" w:lineRule="exact"/>
      <w:ind w:firstLine="200" w:firstLineChars="200"/>
      <w:jc w:val="left"/>
    </w:pPr>
  </w:style>
  <w:style w:type="paragraph" w:customStyle="1" w:styleId="33">
    <w:name w:val="正文 New New New New New New New New New New New"/>
    <w:next w:val="34"/>
    <w:qFormat/>
    <w:uiPriority w:val="0"/>
    <w:pPr>
      <w:widowControl w:val="0"/>
      <w:jc w:val="both"/>
    </w:pPr>
    <w:rPr>
      <w:rFonts w:ascii="Times New Roman" w:hAnsi="Times New Roman" w:eastAsia="宋体" w:cs="Times New Roman"/>
      <w:sz w:val="21"/>
      <w:lang w:val="en-US" w:eastAsia="zh-CN" w:bidi="ar-SA"/>
    </w:rPr>
  </w:style>
  <w:style w:type="paragraph" w:customStyle="1" w:styleId="34">
    <w:name w:val="样式 标题 2标题 21标题 121标题 2 Char1 Char节H2节标题 1.1节标题 1.1 Char...1"/>
    <w:basedOn w:val="2"/>
    <w:next w:val="35"/>
    <w:qFormat/>
    <w:uiPriority w:val="0"/>
    <w:pPr>
      <w:widowControl/>
    </w:pPr>
    <w:rPr>
      <w:rFonts w:ascii="黑体"/>
      <w:color w:val="000000"/>
      <w:sz w:val="28"/>
    </w:rPr>
  </w:style>
  <w:style w:type="paragraph" w:customStyle="1" w:styleId="35">
    <w:name w:val="xl41"/>
    <w:basedOn w:val="1"/>
    <w:next w:val="36"/>
    <w:qFormat/>
    <w:uiPriority w:val="0"/>
    <w:pPr>
      <w:widowControl/>
      <w:spacing w:before="280" w:after="280"/>
      <w:jc w:val="center"/>
    </w:pPr>
    <w:rPr>
      <w:rFonts w:ascii="Arial Unicode MS"/>
    </w:rPr>
  </w:style>
  <w:style w:type="paragraph" w:customStyle="1" w:styleId="36">
    <w:name w:val="样式 正文 + 首行缩进:  2 字符 + 宋体 四号 首行缩进:  2 字符"/>
    <w:basedOn w:val="1"/>
    <w:next w:val="37"/>
    <w:qFormat/>
    <w:uiPriority w:val="0"/>
    <w:pPr>
      <w:widowControl/>
      <w:spacing w:line="480" w:lineRule="exact"/>
    </w:pPr>
    <w:rPr>
      <w:rFonts w:ascii="宋体"/>
      <w:sz w:val="28"/>
    </w:rPr>
  </w:style>
  <w:style w:type="paragraph" w:customStyle="1" w:styleId="37">
    <w:name w:val="表标题"/>
    <w:next w:val="38"/>
    <w:qFormat/>
    <w:uiPriority w:val="0"/>
    <w:pPr>
      <w:widowControl w:val="0"/>
      <w:spacing w:before="156" w:line="300" w:lineRule="auto"/>
      <w:ind w:firstLine="7"/>
      <w:jc w:val="center"/>
    </w:pPr>
    <w:rPr>
      <w:rFonts w:ascii="Times New Roman" w:hAnsi="Times New Roman" w:eastAsia="宋体" w:cs="Times New Roman"/>
      <w:b/>
      <w:sz w:val="24"/>
      <w:lang w:val="en-US" w:eastAsia="zh-CN" w:bidi="ar-SA"/>
    </w:rPr>
  </w:style>
  <w:style w:type="paragraph" w:customStyle="1" w:styleId="38">
    <w:name w:val="自动表格内部"/>
    <w:basedOn w:val="1"/>
    <w:next w:val="39"/>
    <w:qFormat/>
    <w:uiPriority w:val="0"/>
    <w:pPr>
      <w:widowControl/>
      <w:jc w:val="center"/>
    </w:pPr>
    <w:rPr>
      <w:rFonts w:ascii="宋体"/>
    </w:rPr>
  </w:style>
  <w:style w:type="paragraph" w:customStyle="1" w:styleId="39">
    <w:name w:val="正文 New New New New New New New New New New New New New New New New New New New New New New New New New New New New New New"/>
    <w:next w:val="40"/>
    <w:qFormat/>
    <w:uiPriority w:val="0"/>
    <w:pPr>
      <w:widowControl w:val="0"/>
      <w:jc w:val="both"/>
    </w:pPr>
    <w:rPr>
      <w:rFonts w:ascii="Times New Roman" w:hAnsi="Times New Roman" w:eastAsia="宋体" w:cs="Times New Roman"/>
      <w:sz w:val="21"/>
      <w:lang w:val="en-US" w:eastAsia="zh-CN" w:bidi="ar-SA"/>
    </w:rPr>
  </w:style>
  <w:style w:type="paragraph" w:customStyle="1" w:styleId="40">
    <w:name w:val="自动A"/>
    <w:basedOn w:val="1"/>
    <w:next w:val="41"/>
    <w:qFormat/>
    <w:uiPriority w:val="0"/>
    <w:pPr>
      <w:spacing w:before="120" w:after="120"/>
      <w:ind w:firstLine="480" w:firstLineChars="200"/>
    </w:pPr>
    <w:rPr>
      <w:color w:val="000000"/>
      <w:kern w:val="0"/>
    </w:rPr>
  </w:style>
  <w:style w:type="paragraph" w:customStyle="1" w:styleId="41">
    <w:name w:val="样式 标题 2标题 21标题 121H2SeHead wsa2标题 1.1 + 小三 非加粗 段前: 12.5..."/>
    <w:basedOn w:val="2"/>
    <w:next w:val="42"/>
    <w:qFormat/>
    <w:uiPriority w:val="0"/>
    <w:pPr>
      <w:widowControl/>
      <w:spacing w:before="120" w:line="413" w:lineRule="auto"/>
      <w:ind w:left="238"/>
    </w:pPr>
  </w:style>
  <w:style w:type="paragraph" w:customStyle="1" w:styleId="42">
    <w:name w:val="my table header"/>
    <w:next w:val="43"/>
    <w:qFormat/>
    <w:uiPriority w:val="0"/>
    <w:pPr>
      <w:autoSpaceDE w:val="0"/>
      <w:autoSpaceDN w:val="0"/>
      <w:spacing w:line="312" w:lineRule="auto"/>
      <w:ind w:firstLine="480"/>
    </w:pPr>
    <w:rPr>
      <w:rFonts w:ascii="黑体" w:hAnsi="Times New Roman" w:eastAsia="黑体" w:cs="Times New Roman"/>
      <w:sz w:val="24"/>
      <w:lang w:val="en-US" w:eastAsia="zh-CN" w:bidi="ar-SA"/>
    </w:rPr>
  </w:style>
  <w:style w:type="paragraph" w:customStyle="1" w:styleId="43">
    <w:name w:val="表头名称"/>
    <w:basedOn w:val="5"/>
    <w:next w:val="13"/>
    <w:qFormat/>
    <w:uiPriority w:val="0"/>
    <w:pPr>
      <w:autoSpaceDE w:val="0"/>
      <w:autoSpaceDN w:val="0"/>
      <w:adjustRightInd w:val="0"/>
      <w:snapToGrid w:val="0"/>
      <w:spacing w:after="156" w:afterLines="50" w:line="500" w:lineRule="exact"/>
      <w:ind w:firstLine="0"/>
      <w:jc w:val="center"/>
    </w:pPr>
    <w:rPr>
      <w:rFonts w:ascii="宋体" w:hAnsi="宋体"/>
      <w:b/>
      <w:color w:val="000000"/>
      <w:kern w:val="0"/>
    </w:rPr>
  </w:style>
  <w:style w:type="character" w:customStyle="1" w:styleId="44">
    <w:name w:val="日期 Char1"/>
    <w:semiHidden/>
    <w:qFormat/>
    <w:uiPriority w:val="99"/>
    <w:rPr>
      <w:rFonts w:ascii="Times New Roman" w:hAnsi="Times New Roman" w:eastAsia="宋体" w:cs="Times New Roman"/>
      <w:sz w:val="24"/>
      <w:szCs w:val="24"/>
    </w:rPr>
  </w:style>
  <w:style w:type="character" w:customStyle="1" w:styleId="45">
    <w:name w:val="批注文字 Char"/>
    <w:qFormat/>
    <w:locked/>
    <w:uiPriority w:val="0"/>
    <w:rPr>
      <w:rFonts w:ascii="Times New Roman" w:hAnsi="Times New Roman" w:eastAsia="宋体"/>
      <w:sz w:val="24"/>
    </w:rPr>
  </w:style>
  <w:style w:type="character" w:customStyle="1" w:styleId="46">
    <w:name w:val="批注框文本 字符1"/>
    <w:link w:val="14"/>
    <w:semiHidden/>
    <w:qFormat/>
    <w:locked/>
    <w:uiPriority w:val="0"/>
    <w:rPr>
      <w:rFonts w:ascii="Times New Roman" w:hAnsi="Times New Roman" w:eastAsia="宋体"/>
      <w:sz w:val="18"/>
    </w:rPr>
  </w:style>
  <w:style w:type="character" w:customStyle="1" w:styleId="47">
    <w:name w:val="标题 2 字符"/>
    <w:link w:val="2"/>
    <w:semiHidden/>
    <w:qFormat/>
    <w:uiPriority w:val="9"/>
    <w:rPr>
      <w:rFonts w:ascii="Times New Roman" w:hAnsi="Times New Roman" w:eastAsia="宋体" w:cs="Times New Roman"/>
      <w:bCs/>
      <w:szCs w:val="32"/>
    </w:rPr>
  </w:style>
  <w:style w:type="character" w:customStyle="1" w:styleId="48">
    <w:name w:val="日期 字符1"/>
    <w:semiHidden/>
    <w:qFormat/>
    <w:uiPriority w:val="99"/>
    <w:rPr>
      <w:rFonts w:ascii="Times New Roman" w:hAnsi="Times New Roman" w:eastAsia="宋体" w:cs="Times New Roman"/>
      <w:sz w:val="24"/>
      <w:szCs w:val="24"/>
    </w:rPr>
  </w:style>
  <w:style w:type="character" w:customStyle="1" w:styleId="49">
    <w:name w:val="批注主题 字符1"/>
    <w:link w:val="22"/>
    <w:semiHidden/>
    <w:qFormat/>
    <w:locked/>
    <w:uiPriority w:val="0"/>
    <w:rPr>
      <w:rFonts w:ascii="Times New Roman" w:hAnsi="Times New Roman" w:eastAsia="宋体"/>
      <w:b/>
      <w:sz w:val="24"/>
    </w:rPr>
  </w:style>
  <w:style w:type="character" w:customStyle="1" w:styleId="50">
    <w:name w:val="ca-01"/>
    <w:qFormat/>
    <w:uiPriority w:val="0"/>
    <w:rPr>
      <w:rFonts w:hint="eastAsia" w:ascii="宋体" w:hAnsi="宋体" w:eastAsia="宋体"/>
      <w:sz w:val="24"/>
      <w:szCs w:val="24"/>
    </w:rPr>
  </w:style>
  <w:style w:type="character" w:customStyle="1" w:styleId="51">
    <w:name w:val="纯文本 字符1"/>
    <w:link w:val="12"/>
    <w:qFormat/>
    <w:uiPriority w:val="99"/>
    <w:rPr>
      <w:rFonts w:ascii="宋体" w:hAnsi="Courier New" w:cs="Courier New"/>
      <w:szCs w:val="21"/>
    </w:rPr>
  </w:style>
  <w:style w:type="character" w:customStyle="1" w:styleId="52">
    <w:name w:val="标题 1 字符"/>
    <w:link w:val="3"/>
    <w:qFormat/>
    <w:uiPriority w:val="9"/>
    <w:rPr>
      <w:rFonts w:ascii="Times New Roman" w:hAnsi="Times New Roman" w:eastAsia="宋体"/>
      <w:b/>
      <w:bCs/>
      <w:kern w:val="44"/>
      <w:sz w:val="32"/>
      <w:szCs w:val="44"/>
    </w:rPr>
  </w:style>
  <w:style w:type="character" w:customStyle="1" w:styleId="53">
    <w:name w:val="标题 字符"/>
    <w:qFormat/>
    <w:uiPriority w:val="10"/>
    <w:rPr>
      <w:rFonts w:ascii="Calibri Light" w:hAnsi="Calibri Light" w:eastAsia="宋体" w:cs="Times New Roman"/>
      <w:b/>
      <w:bCs/>
      <w:sz w:val="32"/>
      <w:szCs w:val="32"/>
    </w:rPr>
  </w:style>
  <w:style w:type="character" w:customStyle="1" w:styleId="54">
    <w:name w:val="页脚 字符"/>
    <w:qFormat/>
    <w:uiPriority w:val="99"/>
  </w:style>
  <w:style w:type="character" w:customStyle="1" w:styleId="55">
    <w:name w:val="fontstyle01"/>
    <w:qFormat/>
    <w:uiPriority w:val="0"/>
    <w:rPr>
      <w:rFonts w:hint="eastAsia" w:ascii="宋体" w:hAnsi="宋体" w:eastAsia="宋体"/>
      <w:color w:val="000000"/>
      <w:sz w:val="24"/>
      <w:szCs w:val="24"/>
    </w:rPr>
  </w:style>
  <w:style w:type="character" w:customStyle="1" w:styleId="56">
    <w:name w:val="正文文本 字符2"/>
    <w:link w:val="9"/>
    <w:qFormat/>
    <w:locked/>
    <w:uiPriority w:val="0"/>
    <w:rPr>
      <w:sz w:val="18"/>
    </w:rPr>
  </w:style>
  <w:style w:type="character" w:customStyle="1" w:styleId="57">
    <w:name w:val="正文文本缩进 Char1"/>
    <w:semiHidden/>
    <w:qFormat/>
    <w:uiPriority w:val="99"/>
    <w:rPr>
      <w:rFonts w:ascii="Times New Roman" w:hAnsi="Times New Roman" w:eastAsia="宋体" w:cs="Times New Roman"/>
      <w:sz w:val="24"/>
      <w:szCs w:val="24"/>
    </w:rPr>
  </w:style>
  <w:style w:type="character" w:customStyle="1" w:styleId="58">
    <w:name w:val="正文文本缩进 字符"/>
    <w:semiHidden/>
    <w:qFormat/>
    <w:uiPriority w:val="99"/>
    <w:rPr>
      <w:rFonts w:ascii="Times New Roman" w:hAnsi="Times New Roman" w:eastAsia="宋体" w:cs="Times New Roman"/>
      <w:sz w:val="24"/>
      <w:szCs w:val="24"/>
    </w:rPr>
  </w:style>
  <w:style w:type="character" w:customStyle="1" w:styleId="59">
    <w:name w:val="fontstyle11"/>
    <w:qFormat/>
    <w:uiPriority w:val="0"/>
    <w:rPr>
      <w:rFonts w:hint="default" w:ascii="TimesNewRomanPSMT" w:hAnsi="TimesNewRomanPSMT"/>
      <w:color w:val="000000"/>
      <w:sz w:val="24"/>
      <w:szCs w:val="24"/>
    </w:rPr>
  </w:style>
  <w:style w:type="character" w:customStyle="1" w:styleId="60">
    <w:name w:val="页眉 字符1"/>
    <w:link w:val="16"/>
    <w:qFormat/>
    <w:locked/>
    <w:uiPriority w:val="0"/>
    <w:rPr>
      <w:sz w:val="18"/>
    </w:rPr>
  </w:style>
  <w:style w:type="character" w:customStyle="1" w:styleId="61">
    <w:name w:val="正文首行缩进 2 Char"/>
    <w:qFormat/>
    <w:uiPriority w:val="0"/>
    <w:rPr>
      <w:rFonts w:ascii="Times New Roman" w:hAnsi="Times New Roman" w:eastAsia="宋体" w:cs="Times New Roman"/>
      <w:sz w:val="24"/>
      <w:szCs w:val="24"/>
    </w:rPr>
  </w:style>
  <w:style w:type="character" w:customStyle="1" w:styleId="62">
    <w:name w:val="正文文本首行缩进 2 字符"/>
    <w:link w:val="24"/>
    <w:semiHidden/>
    <w:qFormat/>
    <w:uiPriority w:val="99"/>
  </w:style>
  <w:style w:type="character" w:customStyle="1" w:styleId="63">
    <w:name w:val="标题 2 Char"/>
    <w:qFormat/>
    <w:uiPriority w:val="1"/>
    <w:rPr>
      <w:rFonts w:ascii="Times New Roman" w:hAnsi="Times New Roman"/>
      <w:bCs/>
      <w:kern w:val="2"/>
      <w:sz w:val="21"/>
      <w:szCs w:val="32"/>
    </w:rPr>
  </w:style>
  <w:style w:type="character" w:customStyle="1" w:styleId="64">
    <w:name w:val="表格文字 Char"/>
    <w:link w:val="65"/>
    <w:qFormat/>
    <w:locked/>
    <w:uiPriority w:val="0"/>
    <w:rPr>
      <w:rFonts w:ascii="Times New Roman" w:hAnsi="Times New Roman" w:eastAsia="宋体" w:cs="Times New Roman"/>
      <w:kern w:val="0"/>
      <w:position w:val="-10"/>
      <w:szCs w:val="20"/>
    </w:rPr>
  </w:style>
  <w:style w:type="paragraph" w:customStyle="1" w:styleId="65">
    <w:name w:val="表格文字"/>
    <w:basedOn w:val="1"/>
    <w:link w:val="64"/>
    <w:qFormat/>
    <w:uiPriority w:val="0"/>
    <w:pPr>
      <w:tabs>
        <w:tab w:val="left" w:pos="-2848"/>
      </w:tabs>
      <w:spacing w:line="240" w:lineRule="auto"/>
      <w:jc w:val="center"/>
    </w:pPr>
    <w:rPr>
      <w:kern w:val="0"/>
      <w:position w:val="-10"/>
      <w:sz w:val="21"/>
      <w:szCs w:val="20"/>
    </w:rPr>
  </w:style>
  <w:style w:type="character" w:customStyle="1" w:styleId="66">
    <w:name w:val="普通(网站) 字符"/>
    <w:link w:val="20"/>
    <w:qFormat/>
    <w:locked/>
    <w:uiPriority w:val="0"/>
    <w:rPr>
      <w:rFonts w:ascii="宋体" w:hAnsi="宋体" w:eastAsia="宋体"/>
      <w:sz w:val="24"/>
    </w:rPr>
  </w:style>
  <w:style w:type="character" w:customStyle="1" w:styleId="67">
    <w:name w:val="纯文本 字符"/>
    <w:semiHidden/>
    <w:qFormat/>
    <w:uiPriority w:val="0"/>
    <w:rPr>
      <w:rFonts w:ascii="宋体" w:hAnsi="Courier New" w:cs="Courier New"/>
      <w:sz w:val="24"/>
      <w:szCs w:val="24"/>
    </w:rPr>
  </w:style>
  <w:style w:type="character" w:customStyle="1" w:styleId="68">
    <w:name w:val="日期 字符2"/>
    <w:link w:val="13"/>
    <w:qFormat/>
    <w:locked/>
    <w:uiPriority w:val="0"/>
    <w:rPr>
      <w:rFonts w:ascii="Times New Roman" w:hAnsi="Times New Roman" w:eastAsia="宋体"/>
      <w:sz w:val="24"/>
    </w:rPr>
  </w:style>
  <w:style w:type="character" w:customStyle="1" w:styleId="69">
    <w:name w:val="font41"/>
    <w:qFormat/>
    <w:uiPriority w:val="0"/>
    <w:rPr>
      <w:rFonts w:hint="eastAsia" w:ascii="宋体" w:hAnsi="宋体" w:eastAsia="宋体" w:cs="宋体"/>
      <w:color w:val="000000"/>
      <w:sz w:val="21"/>
      <w:szCs w:val="21"/>
      <w:u w:val="none"/>
    </w:rPr>
  </w:style>
  <w:style w:type="character" w:customStyle="1" w:styleId="70">
    <w:name w:val="表格 Char"/>
    <w:link w:val="71"/>
    <w:qFormat/>
    <w:locked/>
    <w:uiPriority w:val="0"/>
  </w:style>
  <w:style w:type="paragraph" w:customStyle="1" w:styleId="71">
    <w:name w:val="表格"/>
    <w:basedOn w:val="12"/>
    <w:next w:val="1"/>
    <w:link w:val="70"/>
    <w:qFormat/>
    <w:uiPriority w:val="0"/>
    <w:pPr>
      <w:adjustRightInd w:val="0"/>
      <w:snapToGrid w:val="0"/>
      <w:jc w:val="center"/>
    </w:pPr>
    <w:rPr>
      <w:rFonts w:ascii="Calibri" w:hAnsi="Calibri"/>
      <w:szCs w:val="22"/>
    </w:rPr>
  </w:style>
  <w:style w:type="character" w:customStyle="1" w:styleId="72">
    <w:name w:val="文档结构图 字符"/>
    <w:semiHidden/>
    <w:qFormat/>
    <w:uiPriority w:val="99"/>
    <w:rPr>
      <w:rFonts w:ascii="Microsoft YaHei UI" w:hAnsi="Times New Roman" w:eastAsia="Microsoft YaHei UI" w:cs="Times New Roman"/>
      <w:sz w:val="18"/>
      <w:szCs w:val="18"/>
    </w:rPr>
  </w:style>
  <w:style w:type="character" w:customStyle="1" w:styleId="73">
    <w:name w:val="正文文本缩进 3 字符1"/>
    <w:link w:val="19"/>
    <w:qFormat/>
    <w:uiPriority w:val="0"/>
    <w:rPr>
      <w:rFonts w:ascii="Times New Roman" w:hAnsi="Times New Roman" w:eastAsia="宋体" w:cs="Times New Roman"/>
      <w:sz w:val="16"/>
      <w:szCs w:val="16"/>
    </w:rPr>
  </w:style>
  <w:style w:type="character" w:customStyle="1" w:styleId="74">
    <w:name w:val="纯文本 Char1"/>
    <w:qFormat/>
    <w:uiPriority w:val="0"/>
    <w:rPr>
      <w:rFonts w:ascii="宋体" w:hAnsi="Courier New" w:eastAsia="宋体" w:cs="Courier New"/>
      <w:szCs w:val="21"/>
    </w:rPr>
  </w:style>
  <w:style w:type="character" w:customStyle="1" w:styleId="75">
    <w:name w:val="文档结构图 字符1"/>
    <w:link w:val="7"/>
    <w:qFormat/>
    <w:uiPriority w:val="0"/>
    <w:rPr>
      <w:rFonts w:ascii="Times New Roman" w:hAnsi="Times New Roman" w:eastAsia="宋体" w:cs="Times New Roman"/>
      <w:sz w:val="24"/>
      <w:szCs w:val="20"/>
      <w:shd w:val="clear" w:color="auto" w:fill="000080"/>
    </w:rPr>
  </w:style>
  <w:style w:type="character" w:customStyle="1" w:styleId="76">
    <w:name w:val="font21"/>
    <w:qFormat/>
    <w:uiPriority w:val="0"/>
    <w:rPr>
      <w:rFonts w:hint="eastAsia" w:ascii="宋体" w:hAnsi="宋体" w:eastAsia="宋体" w:cs="宋体"/>
      <w:color w:val="000000"/>
      <w:sz w:val="21"/>
      <w:szCs w:val="21"/>
      <w:u w:val="none"/>
    </w:rPr>
  </w:style>
  <w:style w:type="character" w:customStyle="1" w:styleId="77">
    <w:name w:val="正文文本缩进 字符1"/>
    <w:link w:val="10"/>
    <w:qFormat/>
    <w:locked/>
    <w:uiPriority w:val="0"/>
    <w:rPr>
      <w:rFonts w:ascii="Times New Roman" w:hAnsi="Times New Roman" w:eastAsia="宋体"/>
      <w:sz w:val="24"/>
    </w:rPr>
  </w:style>
  <w:style w:type="character" w:customStyle="1" w:styleId="78">
    <w:name w:val="批注文字 字符"/>
    <w:semiHidden/>
    <w:qFormat/>
    <w:uiPriority w:val="99"/>
    <w:rPr>
      <w:rFonts w:ascii="Times New Roman" w:hAnsi="Times New Roman" w:eastAsia="宋体" w:cs="Times New Roman"/>
      <w:sz w:val="24"/>
      <w:szCs w:val="24"/>
    </w:rPr>
  </w:style>
  <w:style w:type="character" w:customStyle="1" w:styleId="79">
    <w:name w:val="页脚 字符1"/>
    <w:semiHidden/>
    <w:qFormat/>
    <w:uiPriority w:val="99"/>
    <w:rPr>
      <w:rFonts w:ascii="Times New Roman" w:hAnsi="Times New Roman" w:eastAsia="宋体" w:cs="Times New Roman"/>
      <w:sz w:val="18"/>
      <w:szCs w:val="18"/>
    </w:rPr>
  </w:style>
  <w:style w:type="character" w:customStyle="1" w:styleId="80">
    <w:name w:val="正文文本缩进 3 字符"/>
    <w:semiHidden/>
    <w:qFormat/>
    <w:uiPriority w:val="99"/>
    <w:rPr>
      <w:rFonts w:ascii="Times New Roman" w:hAnsi="Times New Roman" w:eastAsia="宋体" w:cs="Times New Roman"/>
      <w:sz w:val="16"/>
      <w:szCs w:val="16"/>
    </w:rPr>
  </w:style>
  <w:style w:type="character" w:customStyle="1" w:styleId="81">
    <w:name w:val="批注主题 Char1"/>
    <w:semiHidden/>
    <w:qFormat/>
    <w:uiPriority w:val="99"/>
    <w:rPr>
      <w:rFonts w:ascii="Times New Roman" w:hAnsi="Times New Roman" w:eastAsia="宋体" w:cs="Times New Roman"/>
      <w:b/>
      <w:bCs/>
      <w:sz w:val="24"/>
      <w:szCs w:val="24"/>
    </w:rPr>
  </w:style>
  <w:style w:type="character" w:customStyle="1" w:styleId="82">
    <w:name w:val="正文文本 字符1"/>
    <w:semiHidden/>
    <w:qFormat/>
    <w:uiPriority w:val="0"/>
    <w:rPr>
      <w:rFonts w:ascii="Times New Roman" w:hAnsi="Times New Roman" w:eastAsia="宋体"/>
      <w:sz w:val="24"/>
    </w:rPr>
  </w:style>
  <w:style w:type="character" w:customStyle="1" w:styleId="83">
    <w:name w:val="标题 字符1"/>
    <w:link w:val="21"/>
    <w:qFormat/>
    <w:uiPriority w:val="0"/>
    <w:rPr>
      <w:rFonts w:ascii="Times New Roman" w:hAnsi="Times New Roman" w:eastAsia="黑体" w:cs="Times New Roman"/>
      <w:bCs/>
      <w:sz w:val="30"/>
      <w:szCs w:val="32"/>
    </w:rPr>
  </w:style>
  <w:style w:type="character" w:customStyle="1" w:styleId="84">
    <w:name w:val="fontstyle21"/>
    <w:qFormat/>
    <w:uiPriority w:val="0"/>
    <w:rPr>
      <w:rFonts w:hint="default" w:ascii="TimesNewRomanPSMT" w:hAnsi="TimesNewRomanPSMT"/>
      <w:color w:val="000000"/>
      <w:sz w:val="24"/>
      <w:szCs w:val="24"/>
    </w:rPr>
  </w:style>
  <w:style w:type="character" w:customStyle="1" w:styleId="85">
    <w:name w:val="正文缩进 字符"/>
    <w:link w:val="5"/>
    <w:qFormat/>
    <w:locked/>
    <w:uiPriority w:val="0"/>
  </w:style>
  <w:style w:type="character" w:customStyle="1" w:styleId="86">
    <w:name w:val="font11"/>
    <w:qFormat/>
    <w:uiPriority w:val="0"/>
    <w:rPr>
      <w:rFonts w:hint="default" w:ascii="Times New Roman" w:hAnsi="Times New Roman" w:cs="Times New Roman"/>
      <w:color w:val="0000FF"/>
      <w:sz w:val="21"/>
      <w:szCs w:val="21"/>
      <w:u w:val="none"/>
      <w:vertAlign w:val="subscript"/>
    </w:rPr>
  </w:style>
  <w:style w:type="character" w:customStyle="1" w:styleId="87">
    <w:name w:val="标题 1 Char"/>
    <w:qFormat/>
    <w:uiPriority w:val="0"/>
    <w:rPr>
      <w:rFonts w:ascii="Times New Roman" w:hAnsi="Times New Roman" w:eastAsia="宋体"/>
      <w:b/>
      <w:bCs/>
      <w:kern w:val="44"/>
      <w:sz w:val="32"/>
      <w:szCs w:val="44"/>
    </w:rPr>
  </w:style>
  <w:style w:type="character" w:customStyle="1" w:styleId="88">
    <w:name w:val="页脚 字符2"/>
    <w:link w:val="15"/>
    <w:qFormat/>
    <w:locked/>
    <w:uiPriority w:val="99"/>
    <w:rPr>
      <w:sz w:val="18"/>
    </w:rPr>
  </w:style>
  <w:style w:type="character" w:customStyle="1" w:styleId="89">
    <w:name w:val="qowt-font1-timesnewroman"/>
    <w:qFormat/>
    <w:uiPriority w:val="0"/>
  </w:style>
  <w:style w:type="character" w:customStyle="1" w:styleId="90">
    <w:name w:val="批注文字 字符2"/>
    <w:link w:val="8"/>
    <w:semiHidden/>
    <w:qFormat/>
    <w:uiPriority w:val="0"/>
    <w:rPr>
      <w:rFonts w:ascii="Times New Roman" w:hAnsi="Times New Roman" w:eastAsia="宋体" w:cs="Times New Roman"/>
      <w:sz w:val="24"/>
      <w:szCs w:val="24"/>
    </w:rPr>
  </w:style>
  <w:style w:type="character" w:customStyle="1" w:styleId="91">
    <w:name w:val="日期 字符"/>
    <w:semiHidden/>
    <w:qFormat/>
    <w:uiPriority w:val="0"/>
    <w:rPr>
      <w:rFonts w:ascii="Times New Roman" w:hAnsi="Times New Roman" w:eastAsia="宋体"/>
      <w:sz w:val="24"/>
    </w:rPr>
  </w:style>
  <w:style w:type="character" w:customStyle="1" w:styleId="92">
    <w:name w:val="批注文字 字符1"/>
    <w:semiHidden/>
    <w:qFormat/>
    <w:uiPriority w:val="0"/>
    <w:rPr>
      <w:rFonts w:ascii="Times New Roman" w:hAnsi="Times New Roman" w:eastAsia="宋体"/>
      <w:sz w:val="24"/>
    </w:rPr>
  </w:style>
  <w:style w:type="character" w:customStyle="1" w:styleId="93">
    <w:name w:val="页眉 字符"/>
    <w:semiHidden/>
    <w:qFormat/>
    <w:uiPriority w:val="99"/>
    <w:rPr>
      <w:rFonts w:ascii="Times New Roman" w:hAnsi="Times New Roman" w:eastAsia="宋体" w:cs="Times New Roman"/>
      <w:sz w:val="18"/>
      <w:szCs w:val="18"/>
    </w:rPr>
  </w:style>
  <w:style w:type="character" w:customStyle="1" w:styleId="94">
    <w:name w:val="页眉 Char1"/>
    <w:semiHidden/>
    <w:qFormat/>
    <w:uiPriority w:val="99"/>
    <w:rPr>
      <w:rFonts w:ascii="Times New Roman" w:hAnsi="Times New Roman" w:eastAsia="宋体" w:cs="Times New Roman"/>
      <w:sz w:val="18"/>
      <w:szCs w:val="18"/>
    </w:rPr>
  </w:style>
  <w:style w:type="character" w:customStyle="1" w:styleId="95">
    <w:name w:val="页脚 Char1"/>
    <w:semiHidden/>
    <w:qFormat/>
    <w:uiPriority w:val="99"/>
    <w:rPr>
      <w:rFonts w:ascii="Times New Roman" w:hAnsi="Times New Roman" w:eastAsia="宋体" w:cs="Times New Roman"/>
      <w:sz w:val="18"/>
      <w:szCs w:val="18"/>
    </w:rPr>
  </w:style>
  <w:style w:type="character" w:customStyle="1" w:styleId="96">
    <w:name w:val="正文文本 字符"/>
    <w:semiHidden/>
    <w:qFormat/>
    <w:uiPriority w:val="99"/>
    <w:rPr>
      <w:rFonts w:ascii="Times New Roman" w:hAnsi="Times New Roman" w:eastAsia="宋体" w:cs="Times New Roman"/>
      <w:sz w:val="24"/>
      <w:szCs w:val="24"/>
    </w:rPr>
  </w:style>
  <w:style w:type="character" w:customStyle="1" w:styleId="97">
    <w:name w:val="正文文本 Char1"/>
    <w:semiHidden/>
    <w:qFormat/>
    <w:uiPriority w:val="99"/>
    <w:rPr>
      <w:rFonts w:ascii="Times New Roman" w:hAnsi="Times New Roman" w:eastAsia="宋体" w:cs="Times New Roman"/>
      <w:sz w:val="24"/>
      <w:szCs w:val="24"/>
    </w:rPr>
  </w:style>
  <w:style w:type="character" w:customStyle="1" w:styleId="98">
    <w:name w:val="批注框文本 字符"/>
    <w:semiHidden/>
    <w:qFormat/>
    <w:uiPriority w:val="99"/>
    <w:rPr>
      <w:rFonts w:ascii="Times New Roman" w:hAnsi="Times New Roman" w:eastAsia="宋体" w:cs="Times New Roman"/>
      <w:sz w:val="18"/>
      <w:szCs w:val="18"/>
    </w:rPr>
  </w:style>
  <w:style w:type="character" w:customStyle="1" w:styleId="99">
    <w:name w:val="批注框文本 Char1"/>
    <w:semiHidden/>
    <w:qFormat/>
    <w:uiPriority w:val="99"/>
    <w:rPr>
      <w:rFonts w:ascii="Times New Roman" w:hAnsi="Times New Roman" w:eastAsia="宋体" w:cs="Times New Roman"/>
      <w:sz w:val="18"/>
      <w:szCs w:val="18"/>
    </w:rPr>
  </w:style>
  <w:style w:type="character" w:customStyle="1" w:styleId="100">
    <w:name w:val="批注主题 字符"/>
    <w:semiHidden/>
    <w:qFormat/>
    <w:uiPriority w:val="99"/>
    <w:rPr>
      <w:rFonts w:ascii="Times New Roman" w:hAnsi="Times New Roman" w:eastAsia="宋体" w:cs="Times New Roman"/>
      <w:b/>
      <w:bCs/>
      <w:sz w:val="24"/>
      <w:szCs w:val="24"/>
    </w:rPr>
  </w:style>
  <w:style w:type="character" w:customStyle="1" w:styleId="101">
    <w:name w:val="占位符文本1"/>
    <w:semiHidden/>
    <w:qFormat/>
    <w:uiPriority w:val="0"/>
    <w:rPr>
      <w:rFonts w:cs="Times New Roman"/>
      <w:color w:val="808080"/>
    </w:rPr>
  </w:style>
  <w:style w:type="character" w:customStyle="1" w:styleId="102">
    <w:name w:val="font31"/>
    <w:qFormat/>
    <w:uiPriority w:val="0"/>
    <w:rPr>
      <w:rFonts w:hint="default" w:ascii="Times New Roman" w:hAnsi="Times New Roman" w:cs="Times New Roman"/>
      <w:color w:val="000000"/>
      <w:sz w:val="21"/>
      <w:szCs w:val="21"/>
      <w:u w:val="none"/>
      <w:vertAlign w:val="subscript"/>
    </w:rPr>
  </w:style>
  <w:style w:type="character" w:customStyle="1" w:styleId="103">
    <w:name w:val="font51"/>
    <w:qFormat/>
    <w:uiPriority w:val="0"/>
    <w:rPr>
      <w:rFonts w:hint="eastAsia" w:ascii="宋体" w:hAnsi="宋体" w:eastAsia="宋体" w:cs="宋体"/>
      <w:color w:val="000000"/>
      <w:sz w:val="21"/>
      <w:szCs w:val="21"/>
      <w:u w:val="none"/>
    </w:rPr>
  </w:style>
  <w:style w:type="paragraph" w:customStyle="1" w:styleId="10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
    <w:name w:val="修订1"/>
    <w:unhideWhenUsed/>
    <w:qFormat/>
    <w:uiPriority w:val="99"/>
    <w:rPr>
      <w:rFonts w:ascii="Times New Roman" w:hAnsi="Times New Roman" w:eastAsia="宋体" w:cs="Times New Roman"/>
      <w:kern w:val="2"/>
      <w:sz w:val="24"/>
      <w:szCs w:val="24"/>
      <w:lang w:val="en-US" w:eastAsia="zh-CN" w:bidi="ar-SA"/>
    </w:rPr>
  </w:style>
  <w:style w:type="paragraph" w:customStyle="1" w:styleId="106">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107">
    <w:name w:val="Default"/>
    <w:basedOn w:val="108"/>
    <w:next w:val="15"/>
    <w:qFormat/>
    <w:uiPriority w:val="0"/>
    <w:pPr>
      <w:autoSpaceDE w:val="0"/>
      <w:autoSpaceDN w:val="0"/>
    </w:pPr>
    <w:rPr>
      <w:rFonts w:ascii="宋体" w:cs="宋体"/>
      <w:color w:val="000000"/>
    </w:rPr>
  </w:style>
  <w:style w:type="paragraph" w:customStyle="1" w:styleId="108">
    <w:name w:val="纯文本1"/>
    <w:basedOn w:val="1"/>
    <w:qFormat/>
    <w:uiPriority w:val="0"/>
    <w:pPr>
      <w:adjustRightInd w:val="0"/>
      <w:jc w:val="center"/>
      <w:textAlignment w:val="baseline"/>
    </w:pPr>
    <w:rPr>
      <w:rFonts w:hAnsi="Courier New"/>
    </w:rPr>
  </w:style>
  <w:style w:type="paragraph" w:customStyle="1" w:styleId="109">
    <w:name w:val="p0"/>
    <w:basedOn w:val="1"/>
    <w:qFormat/>
    <w:uiPriority w:val="0"/>
    <w:pPr>
      <w:widowControl/>
      <w:spacing w:before="100" w:beforeAutospacing="1" w:after="100" w:afterAutospacing="1"/>
      <w:jc w:val="left"/>
    </w:pPr>
    <w:rPr>
      <w:rFonts w:ascii="宋体" w:hAnsi="宋体" w:cs="宋体"/>
      <w:kern w:val="0"/>
    </w:rPr>
  </w:style>
  <w:style w:type="paragraph" w:customStyle="1" w:styleId="110">
    <w:name w:val="TOC 标题1"/>
    <w:basedOn w:val="3"/>
    <w:next w:val="1"/>
    <w:qFormat/>
    <w:uiPriority w:val="39"/>
    <w:pPr>
      <w:widowControl/>
      <w:spacing w:before="240" w:line="259" w:lineRule="auto"/>
      <w:jc w:val="left"/>
      <w:outlineLvl w:val="9"/>
    </w:pPr>
    <w:rPr>
      <w:rFonts w:ascii="Calibri Light" w:hAnsi="Calibri Light"/>
      <w:b w:val="0"/>
      <w:bCs w:val="0"/>
      <w:color w:val="2E74B5"/>
      <w:kern w:val="0"/>
      <w:szCs w:val="32"/>
    </w:rPr>
  </w:style>
  <w:style w:type="paragraph" w:styleId="111">
    <w:name w:val="No Spacing"/>
    <w:basedOn w:val="1"/>
    <w:next w:val="1"/>
    <w:qFormat/>
    <w:uiPriority w:val="1"/>
    <w:pPr>
      <w:jc w:val="center"/>
    </w:pPr>
    <w:rPr>
      <w:sz w:val="21"/>
    </w:rPr>
  </w:style>
  <w:style w:type="paragraph" w:customStyle="1" w:styleId="112">
    <w:name w:val="TOC 标题11"/>
    <w:basedOn w:val="3"/>
    <w:next w:val="1"/>
    <w:qFormat/>
    <w:uiPriority w:val="0"/>
    <w:pPr>
      <w:widowControl/>
      <w:spacing w:before="240" w:line="259" w:lineRule="auto"/>
      <w:jc w:val="left"/>
      <w:outlineLvl w:val="9"/>
    </w:pPr>
    <w:rPr>
      <w:rFonts w:ascii="Calibri Light" w:hAnsi="Calibri Light"/>
      <w:b w:val="0"/>
      <w:bCs w:val="0"/>
      <w:color w:val="2E74B5"/>
      <w:kern w:val="0"/>
      <w:szCs w:val="32"/>
    </w:rPr>
  </w:style>
  <w:style w:type="paragraph" w:customStyle="1" w:styleId="113">
    <w:name w:val="表格-RED"/>
    <w:qFormat/>
    <w:uiPriority w:val="0"/>
    <w:pPr>
      <w:spacing w:line="276" w:lineRule="auto"/>
      <w:jc w:val="center"/>
    </w:pPr>
    <w:rPr>
      <w:rFonts w:ascii="Times New Roman" w:hAnsi="宋体" w:eastAsia="宋体" w:cs="Times New Roman"/>
      <w:b/>
      <w:kern w:val="2"/>
      <w:sz w:val="18"/>
      <w:szCs w:val="18"/>
      <w:lang w:val="en-US" w:eastAsia="zh-CN" w:bidi="ar-SA"/>
    </w:rPr>
  </w:style>
  <w:style w:type="paragraph" w:customStyle="1" w:styleId="114">
    <w:name w:val="列出段落1"/>
    <w:basedOn w:val="1"/>
    <w:qFormat/>
    <w:uiPriority w:val="0"/>
    <w:pPr>
      <w:ind w:firstLine="420" w:firstLineChars="200"/>
    </w:pPr>
    <w:rPr>
      <w:szCs w:val="20"/>
    </w:rPr>
  </w:style>
  <w:style w:type="paragraph" w:customStyle="1" w:styleId="115">
    <w:name w:val="表格111"/>
    <w:basedOn w:val="1"/>
    <w:qFormat/>
    <w:uiPriority w:val="0"/>
    <w:pPr>
      <w:adjustRightInd w:val="0"/>
      <w:snapToGrid w:val="0"/>
      <w:spacing w:line="240" w:lineRule="auto"/>
      <w:jc w:val="center"/>
    </w:pPr>
    <w:rPr>
      <w:rFonts w:ascii="楷体" w:hAnsi="楷体"/>
      <w:sz w:val="21"/>
    </w:rPr>
  </w:style>
  <w:style w:type="table" w:customStyle="1" w:styleId="116">
    <w:name w:val="Table Normal"/>
    <w:unhideWhenUsed/>
    <w:qFormat/>
    <w:uiPriority w:val="0"/>
    <w:tblPr>
      <w:tblCellMar>
        <w:top w:w="0" w:type="dxa"/>
        <w:left w:w="0" w:type="dxa"/>
        <w:bottom w:w="0" w:type="dxa"/>
        <w:right w:w="0" w:type="dxa"/>
      </w:tblCellMar>
    </w:tblPr>
  </w:style>
  <w:style w:type="paragraph" w:customStyle="1" w:styleId="117">
    <w:name w:val="HJ-正文"/>
    <w:basedOn w:val="1"/>
    <w:qFormat/>
    <w:uiPriority w:val="0"/>
    <w:pPr>
      <w:ind w:firstLine="200" w:firstLineChars="200"/>
      <w:jc w:val="left"/>
    </w:pPr>
    <w:rPr>
      <w:sz w:val="21"/>
      <w:szCs w:val="21"/>
      <w:lang w:eastAsia="en-US"/>
    </w:rPr>
  </w:style>
  <w:style w:type="paragraph" w:customStyle="1" w:styleId="118">
    <w:name w:val="表格内容居中"/>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119">
    <w:name w:val="表头文字"/>
    <w:basedOn w:val="1"/>
    <w:qFormat/>
    <w:uiPriority w:val="0"/>
    <w:pPr>
      <w:spacing w:beforeLines="100" w:line="400" w:lineRule="exact"/>
      <w:jc w:val="center"/>
    </w:pPr>
    <w:rPr>
      <w:rFonts w:ascii="黑体" w:hAnsi="宋体" w:eastAsia="黑体"/>
      <w:szCs w:val="20"/>
    </w:rPr>
  </w:style>
  <w:style w:type="character" w:customStyle="1" w:styleId="120">
    <w:name w:val="表格名称1 Char"/>
    <w:link w:val="121"/>
    <w:qFormat/>
    <w:locked/>
    <w:uiPriority w:val="0"/>
    <w:rPr>
      <w:b/>
      <w:sz w:val="24"/>
      <w:szCs w:val="24"/>
    </w:rPr>
  </w:style>
  <w:style w:type="paragraph" w:customStyle="1" w:styleId="121">
    <w:name w:val="表格名称1"/>
    <w:basedOn w:val="1"/>
    <w:link w:val="120"/>
    <w:qFormat/>
    <w:uiPriority w:val="0"/>
    <w:pPr>
      <w:spacing w:line="240" w:lineRule="auto"/>
      <w:jc w:val="center"/>
    </w:pPr>
    <w:rPr>
      <w:b/>
      <w:kern w:val="0"/>
    </w:rPr>
  </w:style>
  <w:style w:type="paragraph" w:customStyle="1" w:styleId="122">
    <w:name w:val="我的正文"/>
    <w:basedOn w:val="1"/>
    <w:qFormat/>
    <w:uiPriority w:val="0"/>
    <w:pPr>
      <w:spacing w:line="240" w:lineRule="auto"/>
      <w:ind w:firstLine="538" w:firstLineChars="192"/>
    </w:pPr>
    <w:rPr>
      <w:sz w:val="28"/>
      <w:szCs w:val="20"/>
    </w:rPr>
  </w:style>
  <w:style w:type="paragraph" w:customStyle="1" w:styleId="123">
    <w:name w:val="Table Paragraph"/>
    <w:basedOn w:val="1"/>
    <w:qFormat/>
    <w:uiPriority w:val="1"/>
    <w:pPr>
      <w:autoSpaceDE w:val="0"/>
      <w:autoSpaceDN w:val="0"/>
      <w:spacing w:line="240" w:lineRule="auto"/>
    </w:pPr>
    <w:rPr>
      <w:rFonts w:ascii="宋体" w:hAnsi="宋体" w:cs="宋体"/>
      <w:kern w:val="0"/>
      <w:sz w:val="22"/>
      <w:szCs w:val="22"/>
      <w:lang w:val="zh-CN" w:bidi="zh-CN"/>
    </w:rPr>
  </w:style>
  <w:style w:type="paragraph" w:customStyle="1" w:styleId="124">
    <w:name w:val="表格中文字0705"/>
    <w:basedOn w:val="1"/>
    <w:qFormat/>
    <w:uiPriority w:val="0"/>
    <w:pPr>
      <w:adjustRightInd w:val="0"/>
      <w:snapToGrid w:val="0"/>
      <w:jc w:val="center"/>
    </w:pPr>
    <w:rPr>
      <w:color w:val="000000"/>
      <w:kern w:val="18"/>
      <w:sz w:val="21"/>
      <w:szCs w:val="21"/>
    </w:rPr>
  </w:style>
  <w:style w:type="paragraph" w:customStyle="1" w:styleId="125">
    <w:name w:val="表中文字"/>
    <w:basedOn w:val="1"/>
    <w:qFormat/>
    <w:uiPriority w:val="0"/>
    <w:pPr>
      <w:jc w:val="center"/>
    </w:pPr>
    <w:rPr>
      <w:rFonts w:ascii="宋体"/>
      <w:spacing w:val="4"/>
      <w:w w:val="90"/>
    </w:rPr>
  </w:style>
  <w:style w:type="paragraph" w:customStyle="1" w:styleId="126">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27">
    <w:name w:val="正文文字 6"/>
    <w:basedOn w:val="128"/>
    <w:next w:val="1"/>
    <w:qFormat/>
    <w:uiPriority w:val="0"/>
    <w:pPr>
      <w:ind w:left="240"/>
      <w:jc w:val="both"/>
    </w:pPr>
    <w:rPr>
      <w:rFonts w:ascii="宋体" w:cs="Times New Roman"/>
      <w:bCs/>
      <w:sz w:val="32"/>
      <w:szCs w:val="32"/>
    </w:rPr>
  </w:style>
  <w:style w:type="paragraph" w:customStyle="1" w:styleId="128">
    <w:name w:val="TT标题"/>
    <w:basedOn w:val="1"/>
    <w:qFormat/>
    <w:uiPriority w:val="0"/>
    <w:pPr>
      <w:spacing w:line="240" w:lineRule="auto"/>
      <w:jc w:val="center"/>
    </w:pPr>
    <w:rPr>
      <w:rFonts w:cs="宋体"/>
      <w:b/>
      <w:szCs w:val="20"/>
    </w:rPr>
  </w:style>
  <w:style w:type="paragraph" w:customStyle="1" w:styleId="129">
    <w:name w:val="正文报告书"/>
    <w:basedOn w:val="1"/>
    <w:qFormat/>
    <w:uiPriority w:val="0"/>
    <w:pPr>
      <w:ind w:firstLine="480" w:firstLineChars="200"/>
    </w:pPr>
    <w:rPr>
      <w:kern w:val="0"/>
      <w:szCs w:val="20"/>
      <w:lang w:val="zh-CN"/>
    </w:rPr>
  </w:style>
  <w:style w:type="paragraph" w:customStyle="1" w:styleId="130">
    <w:name w:val="表格-报告表"/>
    <w:basedOn w:val="1"/>
    <w:qFormat/>
    <w:uiPriority w:val="0"/>
    <w:pPr>
      <w:jc w:val="center"/>
    </w:pPr>
    <w:rPr>
      <w:rFonts w:eastAsia="Times New Roman"/>
      <w:szCs w:val="22"/>
    </w:rPr>
  </w:style>
  <w:style w:type="paragraph" w:customStyle="1" w:styleId="131">
    <w:name w:val="段落 Char1"/>
    <w:basedOn w:val="1"/>
    <w:qFormat/>
    <w:uiPriority w:val="0"/>
    <w:pPr>
      <w:tabs>
        <w:tab w:val="left" w:pos="1021"/>
      </w:tabs>
      <w:ind w:firstLine="504" w:firstLineChars="200"/>
    </w:pPr>
    <w:rPr>
      <w:rFonts w:hAnsi="宋体"/>
      <w:bCs/>
      <w:color w:val="000000"/>
      <w:spacing w:val="6"/>
      <w:kern w:val="0"/>
      <w:szCs w:val="28"/>
    </w:rPr>
  </w:style>
  <w:style w:type="paragraph" w:customStyle="1" w:styleId="132">
    <w:name w:val="表中正文"/>
    <w:basedOn w:val="1"/>
    <w:qFormat/>
    <w:uiPriority w:val="0"/>
    <w:pPr>
      <w:ind w:firstLine="720" w:firstLineChars="200"/>
    </w:pPr>
  </w:style>
  <w:style w:type="paragraph" w:customStyle="1" w:styleId="133">
    <w:name w:val="表题"/>
    <w:basedOn w:val="1"/>
    <w:qFormat/>
    <w:uiPriority w:val="0"/>
    <w:pPr>
      <w:jc w:val="center"/>
    </w:pPr>
    <w:rPr>
      <w:b/>
      <w:sz w:val="21"/>
    </w:rPr>
  </w:style>
  <w:style w:type="paragraph" w:customStyle="1" w:styleId="134">
    <w:name w:val="报告表  段"/>
    <w:basedOn w:val="1"/>
    <w:qFormat/>
    <w:uiPriority w:val="0"/>
    <w:pPr>
      <w:adjustRightInd w:val="0"/>
      <w:ind w:firstLine="505"/>
      <w:textAlignment w:val="baseline"/>
    </w:pPr>
    <w:rPr>
      <w:rFonts w:ascii="宋体" w:hAnsi="宋体"/>
      <w:kern w:val="0"/>
      <w:szCs w:val="20"/>
    </w:rPr>
  </w:style>
  <w:style w:type="paragraph" w:customStyle="1" w:styleId="135">
    <w:name w:val="表"/>
    <w:basedOn w:val="1"/>
    <w:qFormat/>
    <w:uiPriority w:val="0"/>
    <w:pPr>
      <w:spacing w:line="240" w:lineRule="auto"/>
      <w:jc w:val="center"/>
    </w:pPr>
    <w:rPr>
      <w:rFonts w:hint="eastAsia"/>
      <w:szCs w:val="21"/>
    </w:rPr>
  </w:style>
  <w:style w:type="paragraph" w:customStyle="1" w:styleId="136">
    <w:name w:val="表头"/>
    <w:basedOn w:val="1"/>
    <w:next w:val="1"/>
    <w:qFormat/>
    <w:uiPriority w:val="0"/>
    <w:pPr>
      <w:jc w:val="center"/>
    </w:pPr>
    <w:rPr>
      <w:b/>
      <w:bCs/>
      <w:sz w:val="21"/>
      <w:szCs w:val="21"/>
    </w:rPr>
  </w:style>
  <w:style w:type="paragraph" w:customStyle="1" w:styleId="137">
    <w:name w:val="正文1"/>
    <w:basedOn w:val="1"/>
    <w:qFormat/>
    <w:uiPriority w:val="0"/>
    <w:pPr>
      <w:ind w:firstLine="720" w:firstLineChars="200"/>
    </w:pPr>
    <w:rPr>
      <w:szCs w:val="21"/>
    </w:rPr>
  </w:style>
  <w:style w:type="paragraph" w:customStyle="1" w:styleId="138">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9">
    <w:name w:val="表L"/>
    <w:next w:val="140"/>
    <w:qFormat/>
    <w:uiPriority w:val="0"/>
    <w:pPr>
      <w:widowControl w:val="0"/>
      <w:autoSpaceDE w:val="0"/>
      <w:autoSpaceDN w:val="0"/>
      <w:adjustRightInd w:val="0"/>
      <w:jc w:val="center"/>
    </w:pPr>
    <w:rPr>
      <w:rFonts w:ascii="Times New Roman" w:hAnsi="Times New Roman" w:eastAsia="宋体" w:cs="宋体"/>
      <w:color w:val="000000"/>
      <w:sz w:val="21"/>
      <w:szCs w:val="24"/>
      <w:lang w:val="en-US" w:eastAsia="zh-CN" w:bidi="ar-SA"/>
    </w:rPr>
  </w:style>
  <w:style w:type="paragraph" w:customStyle="1" w:styleId="140">
    <w:name w:val="表头e"/>
    <w:basedOn w:val="1"/>
    <w:qFormat/>
    <w:uiPriority w:val="0"/>
    <w:pPr>
      <w:spacing w:line="520" w:lineRule="exact"/>
      <w:jc w:val="center"/>
    </w:pPr>
    <w:rPr>
      <w:rFonts w:eastAsia="黑体"/>
    </w:rPr>
  </w:style>
  <w:style w:type="paragraph" w:customStyle="1" w:styleId="141">
    <w:name w:val="2j"/>
    <w:basedOn w:val="1"/>
    <w:qFormat/>
    <w:uiPriority w:val="0"/>
    <w:pPr>
      <w:adjustRightInd w:val="0"/>
      <w:snapToGrid w:val="0"/>
      <w:spacing w:before="120" w:beforeLines="50"/>
      <w:ind w:firstLine="482" w:firstLineChars="200"/>
    </w:pPr>
    <w:rPr>
      <w:rFonts w:ascii="宋体" w:hAnsi="宋体"/>
      <w:b/>
    </w:rPr>
  </w:style>
  <w:style w:type="character" w:customStyle="1" w:styleId="142">
    <w:name w:val="标题 4 Char1"/>
    <w:qFormat/>
    <w:uiPriority w:val="0"/>
    <w:rPr>
      <w:rFonts w:ascii="Times New Roman" w:hAnsi="Times New Roman" w:eastAsia="Times New Roman" w:cs="Times New Roman"/>
      <w:b/>
      <w:bCs/>
      <w:sz w:val="24"/>
      <w:szCs w:val="28"/>
    </w:rPr>
  </w:style>
  <w:style w:type="paragraph" w:customStyle="1" w:styleId="143">
    <w:name w:val="正文标准样式"/>
    <w:basedOn w:val="1"/>
    <w:qFormat/>
    <w:uiPriority w:val="0"/>
    <w:pPr>
      <w:adjustRightInd w:val="0"/>
      <w:spacing w:line="300" w:lineRule="auto"/>
      <w:ind w:firstLine="482"/>
    </w:pPr>
    <w:rPr>
      <w:kern w:val="0"/>
      <w:sz w:val="24"/>
    </w:rPr>
  </w:style>
  <w:style w:type="paragraph" w:customStyle="1" w:styleId="144">
    <w:name w:val="7表格(治)"/>
    <w:qFormat/>
    <w:uiPriority w:val="0"/>
    <w:pPr>
      <w:jc w:val="center"/>
    </w:pPr>
    <w:rPr>
      <w:rFonts w:ascii="Times New Roman" w:hAnsi="Times New Roman" w:eastAsia="楷体_GB2312" w:cs="Times New Roman"/>
      <w:color w:val="000000"/>
      <w:sz w:val="21"/>
      <w:lang w:val="en-US" w:eastAsia="zh-CN" w:bidi="ar-SA"/>
    </w:rPr>
  </w:style>
  <w:style w:type="paragraph" w:customStyle="1" w:styleId="145">
    <w:name w:val="Table Text"/>
    <w:basedOn w:val="1"/>
    <w:semiHidden/>
    <w:qFormat/>
    <w:uiPriority w:val="0"/>
    <w:rPr>
      <w:rFonts w:ascii="宋体" w:hAnsi="宋体" w:eastAsia="宋体" w:cs="宋体"/>
      <w:sz w:val="24"/>
      <w:szCs w:val="24"/>
      <w:lang w:val="en-US" w:eastAsia="en-US" w:bidi="ar-SA"/>
    </w:rPr>
  </w:style>
  <w:style w:type="paragraph" w:customStyle="1" w:styleId="146">
    <w:name w:val="表格_正文"/>
    <w:qFormat/>
    <w:uiPriority w:val="0"/>
    <w:pPr>
      <w:widowControl w:val="0"/>
      <w:tabs>
        <w:tab w:val="left" w:pos="0"/>
      </w:tabs>
      <w:adjustRightInd w:val="0"/>
      <w:snapToGrid w:val="0"/>
      <w:jc w:val="center"/>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2.bin"/><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175"/>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604</Words>
  <Characters>656</Characters>
  <Lines>311</Lines>
  <Paragraphs>87</Paragraphs>
  <TotalTime>4</TotalTime>
  <ScaleCrop>false</ScaleCrop>
  <LinksUpToDate>false</LinksUpToDate>
  <CharactersWithSpaces>759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2023-07-10T03:02:00Z</dcterms:created>
  <dc:creator>微软用户</dc:creator>
  <cp:lastModifiedBy>岁月如歌</cp:lastModifiedBy>
  <cp:lastPrinted>2023-09-28T01:35:00Z</cp:lastPrinted>
  <dcterms:modified xsi:type="dcterms:W3CDTF">2024-12-20T08:06:49Z</dcterms:modified>
  <cp:revision>1252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B749E189E47041929B8E68A02A488273_13</vt:lpwstr>
  </property>
</Properties>
</file>