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7B14F">
      <w:pPr>
        <w:rPr>
          <w:rFonts w:hint="eastAsia" w:ascii="仿宋_GB2312" w:hAnsi="仿宋_GB2312" w:eastAsia="仿宋_GB2312" w:cs="仿宋_GB2312"/>
          <w:sz w:val="36"/>
          <w:szCs w:val="36"/>
        </w:rPr>
      </w:pPr>
      <w:bookmarkStart w:id="0" w:name="_Hlk57883707"/>
    </w:p>
    <w:p w14:paraId="66F9F2AA">
      <w:pPr>
        <w:rPr>
          <w:rFonts w:hint="eastAsia" w:ascii="仿宋_GB2312" w:hAnsi="仿宋_GB2312" w:eastAsia="仿宋_GB2312" w:cs="仿宋_GB2312"/>
          <w:sz w:val="36"/>
          <w:szCs w:val="36"/>
        </w:rPr>
      </w:pPr>
    </w:p>
    <w:p w14:paraId="1DDF6217">
      <w:pPr>
        <w:rPr>
          <w:rFonts w:hint="eastAsia" w:ascii="仿宋_GB2312" w:hAnsi="仿宋_GB2312" w:eastAsia="仿宋_GB2312" w:cs="仿宋_GB2312"/>
          <w:sz w:val="36"/>
          <w:szCs w:val="36"/>
        </w:rPr>
      </w:pPr>
    </w:p>
    <w:p w14:paraId="1DC2C946">
      <w:pPr>
        <w:rPr>
          <w:rFonts w:hint="eastAsia" w:ascii="仿宋_GB2312" w:hAnsi="仿宋_GB2312" w:eastAsia="仿宋_GB2312" w:cs="仿宋_GB2312"/>
          <w:sz w:val="36"/>
          <w:szCs w:val="36"/>
        </w:rPr>
      </w:pPr>
    </w:p>
    <w:bookmarkEnd w:id="0"/>
    <w:p w14:paraId="54B04FC1">
      <w:pPr>
        <w:adjustRightInd w:val="0"/>
        <w:snapToGrid w:val="0"/>
        <w:jc w:val="center"/>
        <w:outlineLvl w:val="0"/>
        <w:rPr>
          <w:rFonts w:ascii="方正小标宋_GBK" w:eastAsia="方正小标宋_GBK"/>
          <w:bCs/>
          <w:sz w:val="72"/>
          <w:szCs w:val="72"/>
        </w:rPr>
      </w:pPr>
      <w:bookmarkStart w:id="1" w:name="_Toc182380103"/>
      <w:bookmarkStart w:id="2" w:name="_Toc182815849"/>
      <w:bookmarkStart w:id="3" w:name="_Toc132899316"/>
      <w:bookmarkStart w:id="4" w:name="_Toc132899294"/>
      <w:r>
        <w:rPr>
          <w:rFonts w:hint="eastAsia" w:ascii="方正小标宋_GBK" w:eastAsia="方正小标宋_GBK"/>
          <w:bCs/>
          <w:sz w:val="72"/>
          <w:szCs w:val="72"/>
        </w:rPr>
        <w:t>建设项目环境影响报告表</w:t>
      </w:r>
      <w:bookmarkEnd w:id="1"/>
      <w:bookmarkEnd w:id="2"/>
      <w:bookmarkEnd w:id="3"/>
      <w:bookmarkEnd w:id="4"/>
    </w:p>
    <w:p w14:paraId="48F7DC4F">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67CB9F15">
      <w:pPr>
        <w:adjustRightInd w:val="0"/>
        <w:snapToGrid w:val="0"/>
        <w:spacing w:before="120" w:beforeLines="50" w:line="288" w:lineRule="auto"/>
        <w:jc w:val="center"/>
        <w:rPr>
          <w:rFonts w:hint="eastAsia" w:ascii="华文仿宋" w:hAnsi="华文仿宋" w:eastAsia="华文仿宋" w:cs="华文仿宋"/>
          <w:kern w:val="44"/>
          <w:sz w:val="44"/>
          <w:szCs w:val="44"/>
        </w:rPr>
      </w:pPr>
      <w:bookmarkStart w:id="5" w:name="_Hlk57883728"/>
      <w:r>
        <w:rPr>
          <w:rFonts w:hint="eastAsia" w:ascii="华文仿宋" w:hAnsi="华文仿宋" w:eastAsia="华文仿宋" w:cs="华文仿宋"/>
          <w:kern w:val="44"/>
          <w:sz w:val="44"/>
          <w:szCs w:val="44"/>
        </w:rPr>
        <w:t>（公示稿）</w:t>
      </w:r>
    </w:p>
    <w:p w14:paraId="09A2E769">
      <w:pPr>
        <w:jc w:val="center"/>
        <w:rPr>
          <w:rFonts w:eastAsia="仿宋"/>
          <w:sz w:val="52"/>
          <w:szCs w:val="52"/>
        </w:rPr>
      </w:pPr>
    </w:p>
    <w:p w14:paraId="49946782">
      <w:pPr>
        <w:ind w:firstLine="1040"/>
        <w:rPr>
          <w:rFonts w:eastAsia="仿宋"/>
          <w:sz w:val="44"/>
          <w:szCs w:val="44"/>
        </w:rPr>
      </w:pPr>
    </w:p>
    <w:p w14:paraId="5D53C130">
      <w:pPr>
        <w:ind w:firstLine="1040"/>
        <w:rPr>
          <w:rFonts w:eastAsia="仿宋"/>
          <w:sz w:val="44"/>
          <w:szCs w:val="44"/>
        </w:rPr>
      </w:pPr>
    </w:p>
    <w:p w14:paraId="71273BE8">
      <w:pPr>
        <w:ind w:firstLine="1040"/>
        <w:rPr>
          <w:rFonts w:eastAsia="仿宋"/>
          <w:sz w:val="44"/>
          <w:szCs w:val="44"/>
        </w:rPr>
      </w:pPr>
    </w:p>
    <w:p w14:paraId="09321B96">
      <w:pPr>
        <w:ind w:firstLine="1040"/>
        <w:rPr>
          <w:rFonts w:eastAsia="仿宋"/>
          <w:sz w:val="44"/>
          <w:szCs w:val="44"/>
        </w:rPr>
      </w:pPr>
    </w:p>
    <w:bookmarkEnd w:id="5"/>
    <w:p w14:paraId="6258F6F9">
      <w:pPr>
        <w:adjustRightInd w:val="0"/>
        <w:snapToGrid w:val="0"/>
        <w:spacing w:line="288" w:lineRule="auto"/>
        <w:ind w:firstLine="540" w:firstLineChars="150"/>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林德气体（广西）有限公司钦州园区三期氮气供应项目         </w:t>
      </w:r>
      <w:r>
        <w:rPr>
          <w:rFonts w:ascii="仿宋_GB2312" w:eastAsia="仿宋_GB2312"/>
          <w:sz w:val="36"/>
          <w:szCs w:val="36"/>
          <w:u w:val="single"/>
        </w:rPr>
        <w:t xml:space="preserve">  </w:t>
      </w:r>
    </w:p>
    <w:p w14:paraId="0A07921E">
      <w:pPr>
        <w:adjustRightInd w:val="0"/>
        <w:snapToGrid w:val="0"/>
        <w:spacing w:line="288" w:lineRule="auto"/>
        <w:ind w:firstLine="540" w:firstLineChars="15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林德气体（广西）有限公司  </w:t>
      </w:r>
    </w:p>
    <w:p w14:paraId="5F7D2C57">
      <w:pPr>
        <w:adjustRightInd w:val="0"/>
        <w:snapToGrid w:val="0"/>
        <w:spacing w:line="288" w:lineRule="auto"/>
        <w:ind w:firstLine="540" w:firstLineChars="15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二〇二四年十一月</w:t>
      </w:r>
      <w:r>
        <w:rPr>
          <w:rFonts w:ascii="仿宋_GB2312" w:eastAsia="仿宋_GB2312"/>
          <w:sz w:val="36"/>
          <w:szCs w:val="36"/>
          <w:u w:val="single"/>
        </w:rPr>
        <w:t xml:space="preserve">         </w:t>
      </w:r>
    </w:p>
    <w:p w14:paraId="601ADC39">
      <w:pPr>
        <w:adjustRightInd w:val="0"/>
        <w:snapToGrid w:val="0"/>
        <w:spacing w:line="288" w:lineRule="auto"/>
        <w:ind w:firstLine="1040"/>
        <w:rPr>
          <w:rFonts w:ascii="仿宋_GB2312" w:eastAsia="仿宋_GB2312"/>
          <w:sz w:val="36"/>
          <w:szCs w:val="36"/>
          <w:u w:val="single"/>
        </w:rPr>
      </w:pPr>
    </w:p>
    <w:p w14:paraId="017F4FA7">
      <w:pPr>
        <w:adjustRightInd w:val="0"/>
        <w:snapToGrid w:val="0"/>
        <w:spacing w:line="288" w:lineRule="auto"/>
        <w:ind w:firstLine="1040"/>
        <w:rPr>
          <w:rFonts w:ascii="仿宋_GB2312" w:eastAsia="仿宋_GB2312"/>
          <w:sz w:val="36"/>
          <w:szCs w:val="36"/>
        </w:rPr>
      </w:pPr>
    </w:p>
    <w:p w14:paraId="0C1F5E16">
      <w:pPr>
        <w:adjustRightInd w:val="0"/>
        <w:snapToGrid w:val="0"/>
        <w:spacing w:line="288" w:lineRule="auto"/>
        <w:ind w:firstLine="1040"/>
        <w:rPr>
          <w:rFonts w:ascii="仿宋_GB2312" w:eastAsia="仿宋_GB2312"/>
          <w:sz w:val="36"/>
          <w:szCs w:val="36"/>
        </w:rPr>
      </w:pPr>
    </w:p>
    <w:p w14:paraId="2A69301C">
      <w:pPr>
        <w:adjustRightInd w:val="0"/>
        <w:snapToGrid w:val="0"/>
        <w:spacing w:line="288" w:lineRule="auto"/>
        <w:ind w:firstLine="1040"/>
        <w:rPr>
          <w:rFonts w:ascii="仿宋_GB2312" w:eastAsia="仿宋_GB2312"/>
          <w:sz w:val="36"/>
          <w:szCs w:val="36"/>
        </w:rPr>
      </w:pPr>
    </w:p>
    <w:p w14:paraId="20677768">
      <w:pPr>
        <w:adjustRightInd w:val="0"/>
        <w:snapToGrid w:val="0"/>
        <w:spacing w:line="288" w:lineRule="auto"/>
        <w:ind w:firstLine="1040"/>
        <w:rPr>
          <w:rFonts w:ascii="仿宋_GB2312" w:eastAsia="仿宋_GB2312"/>
          <w:sz w:val="36"/>
          <w:szCs w:val="36"/>
        </w:rPr>
      </w:pPr>
    </w:p>
    <w:p w14:paraId="3C5C88B7">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7E78FB33">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21"/>
          <w:cols w:space="720" w:num="1"/>
          <w:docGrid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17"/>
      </w:tblGrid>
      <w:tr w14:paraId="0EDE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4CA2AE8B">
            <w:pPr>
              <w:pStyle w:val="42"/>
            </w:pPr>
            <w:r>
              <w:drawing>
                <wp:inline distT="0" distB="0" distL="0" distR="0">
                  <wp:extent cx="2555875" cy="1915160"/>
                  <wp:effectExtent l="0" t="0" r="0" b="8890"/>
                  <wp:docPr id="404891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1291"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6000" cy="1915200"/>
                          </a:xfrm>
                          <a:prstGeom prst="rect">
                            <a:avLst/>
                          </a:prstGeom>
                        </pic:spPr>
                      </pic:pic>
                    </a:graphicData>
                  </a:graphic>
                </wp:inline>
              </w:drawing>
            </w:r>
          </w:p>
        </w:tc>
        <w:tc>
          <w:tcPr>
            <w:tcW w:w="4417" w:type="dxa"/>
            <w:vAlign w:val="center"/>
          </w:tcPr>
          <w:p w14:paraId="180EE7C9">
            <w:pPr>
              <w:pStyle w:val="42"/>
            </w:pPr>
            <w:r>
              <w:drawing>
                <wp:inline distT="0" distB="0" distL="0" distR="0">
                  <wp:extent cx="2555875" cy="1915160"/>
                  <wp:effectExtent l="0" t="0" r="0" b="8890"/>
                  <wp:docPr id="1184467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67119"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6000" cy="1915200"/>
                          </a:xfrm>
                          <a:prstGeom prst="rect">
                            <a:avLst/>
                          </a:prstGeom>
                        </pic:spPr>
                      </pic:pic>
                    </a:graphicData>
                  </a:graphic>
                </wp:inline>
              </w:drawing>
            </w:r>
          </w:p>
        </w:tc>
      </w:tr>
      <w:tr w14:paraId="3902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12EA595F">
            <w:pPr>
              <w:pStyle w:val="42"/>
            </w:pPr>
            <w:r>
              <w:rPr>
                <w:rFonts w:hint="eastAsia"/>
              </w:rPr>
              <w:t>项目拟建氮压机场地现状</w:t>
            </w:r>
          </w:p>
        </w:tc>
        <w:tc>
          <w:tcPr>
            <w:tcW w:w="4417" w:type="dxa"/>
            <w:vAlign w:val="center"/>
          </w:tcPr>
          <w:p w14:paraId="43734A9B">
            <w:pPr>
              <w:pStyle w:val="42"/>
            </w:pPr>
            <w:r>
              <w:rPr>
                <w:rFonts w:hint="eastAsia"/>
              </w:rPr>
              <w:t>项目拟建液氮储罐场地现状</w:t>
            </w:r>
          </w:p>
        </w:tc>
      </w:tr>
      <w:tr w14:paraId="5970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1DA88652">
            <w:pPr>
              <w:pStyle w:val="42"/>
            </w:pPr>
            <w:r>
              <w:drawing>
                <wp:inline distT="0" distB="0" distL="0" distR="0">
                  <wp:extent cx="2552065" cy="1915160"/>
                  <wp:effectExtent l="0" t="0" r="635" b="8890"/>
                  <wp:docPr id="4684749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74927" name="图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6535BBBF">
            <w:pPr>
              <w:pStyle w:val="42"/>
            </w:pPr>
            <w:r>
              <w:drawing>
                <wp:inline distT="0" distB="0" distL="0" distR="0">
                  <wp:extent cx="2552065" cy="1915160"/>
                  <wp:effectExtent l="0" t="0" r="635" b="8890"/>
                  <wp:docPr id="15075906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90693" name="图片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r>
      <w:tr w14:paraId="75C6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4CA83936">
            <w:pPr>
              <w:pStyle w:val="42"/>
            </w:pPr>
            <w:r>
              <w:rPr>
                <w:rFonts w:hint="eastAsia"/>
              </w:rPr>
              <w:t>项目拟建冷却塔场地现状</w:t>
            </w:r>
          </w:p>
        </w:tc>
        <w:tc>
          <w:tcPr>
            <w:tcW w:w="4417" w:type="dxa"/>
            <w:vAlign w:val="center"/>
          </w:tcPr>
          <w:p w14:paraId="6CA7A089">
            <w:pPr>
              <w:pStyle w:val="42"/>
            </w:pPr>
            <w:r>
              <w:rPr>
                <w:rFonts w:hint="eastAsia"/>
              </w:rPr>
              <w:t>项目拟建变电设施场地现状</w:t>
            </w:r>
          </w:p>
        </w:tc>
      </w:tr>
      <w:tr w14:paraId="006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5DEAF273">
            <w:pPr>
              <w:pStyle w:val="42"/>
            </w:pPr>
            <w:r>
              <w:drawing>
                <wp:inline distT="0" distB="0" distL="0" distR="0">
                  <wp:extent cx="2552065" cy="1915160"/>
                  <wp:effectExtent l="0" t="0" r="635" b="8890"/>
                  <wp:docPr id="14824005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0516" name="图片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196403D1">
            <w:pPr>
              <w:pStyle w:val="42"/>
            </w:pPr>
            <w:r>
              <mc:AlternateContent>
                <mc:Choice Requires="wps">
                  <w:drawing>
                    <wp:anchor distT="0" distB="0" distL="114300" distR="114300" simplePos="0" relativeHeight="251661312" behindDoc="0" locked="0" layoutInCell="1" allowOverlap="1">
                      <wp:simplePos x="0" y="0"/>
                      <wp:positionH relativeFrom="column">
                        <wp:posOffset>667385</wp:posOffset>
                      </wp:positionH>
                      <wp:positionV relativeFrom="paragraph">
                        <wp:posOffset>390525</wp:posOffset>
                      </wp:positionV>
                      <wp:extent cx="361950" cy="371475"/>
                      <wp:effectExtent l="0" t="0" r="57150" b="47625"/>
                      <wp:wrapNone/>
                      <wp:docPr id="1504423398" name="直接箭头连接符 8"/>
                      <wp:cNvGraphicFramePr/>
                      <a:graphic xmlns:a="http://schemas.openxmlformats.org/drawingml/2006/main">
                        <a:graphicData uri="http://schemas.microsoft.com/office/word/2010/wordprocessingShape">
                          <wps:wsp>
                            <wps:cNvCnPr/>
                            <wps:spPr>
                              <a:xfrm>
                                <a:off x="0" y="0"/>
                                <a:ext cx="361950"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 o:spid="_x0000_s1026" o:spt="32" type="#_x0000_t32" style="position:absolute;left:0pt;margin-left:52.55pt;margin-top:30.75pt;height:29.25pt;width:28.5pt;z-index:251661312;mso-width-relative:page;mso-height-relative:page;" filled="f" stroked="t" coordsize="21600,21600" o:gfxdata="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A7ZpnWAAAACgEAAA8AAAAAAAAA&#10;AQAgAAAAIgAAAGRycy9kb3ducmV2LnhtbFBLAQIUABQAAAAIAIdO4kBtenScEwIAAO4DAAAOAAAA&#10;AAAAAAEAIAAAACUBAABkcnMvZTJvRG9jLnhtbFBLBQYAAAAABgAGAFkBAACqBQAAAAA=&#10;">
                      <v:fill on="f" focussize="0,0"/>
                      <v:stroke weight="0.5pt" color="#FF0000 [3204]" miterlimit="8" joinstyle="miter" endarrow="block"/>
                      <v:imagedata o:title=""/>
                      <o:lock v:ext="edit" aspectratio="f"/>
                    </v:shape>
                  </w:pict>
                </mc:Fallback>
              </mc:AlternateContent>
            </w:r>
            <w:r>
              <mc:AlternateContent>
                <mc:Choice Requires="wps">
                  <w:drawing>
                    <wp:anchor distT="45720" distB="45720" distL="114300" distR="114300" simplePos="0" relativeHeight="251660288" behindDoc="0" locked="0" layoutInCell="1" allowOverlap="1">
                      <wp:simplePos x="0" y="0"/>
                      <wp:positionH relativeFrom="column">
                        <wp:posOffset>269875</wp:posOffset>
                      </wp:positionH>
                      <wp:positionV relativeFrom="paragraph">
                        <wp:posOffset>146685</wp:posOffset>
                      </wp:positionV>
                      <wp:extent cx="1200150" cy="140462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ln>
                            </wps:spPr>
                            <wps:txbx>
                              <w:txbxContent>
                                <w:p w14:paraId="1CBFAD5B">
                                  <w:pPr>
                                    <w:rPr>
                                      <w:color w:val="FF0000"/>
                                    </w:rPr>
                                  </w:pPr>
                                  <w:r>
                                    <w:rPr>
                                      <w:rFonts w:hint="eastAsia"/>
                                      <w:color w:val="FF0000"/>
                                    </w:rPr>
                                    <w:t>中石油码头罐区</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1.25pt;margin-top:11.55pt;height:110.6pt;width:94.5pt;z-index:251660288;mso-width-relative:page;mso-height-relative:page;" filled="f" stroked="f" coordsize="21600,21600" o:gfxdata="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3s/m1gAAAAkBAAAPAAAAAAAAAAEAIAAAACIAAABkcnMvZG93bnJldi54bWxQSwECFAAUAAAACACH&#10;TuJAwQNmHCYCAAAsBAAADgAAAAAAAAABACAAAAAlAQAAZHJzL2Uyb0RvYy54bWxQSwUGAAAAAAYA&#10;BgBZAQAAvQUAAAAA&#10;">
                      <v:fill on="f" focussize="0,0"/>
                      <v:stroke on="f" miterlimit="8" joinstyle="miter"/>
                      <v:imagedata o:title=""/>
                      <o:lock v:ext="edit" aspectratio="f"/>
                      <v:textbox style="mso-fit-shape-to-text:t;">
                        <w:txbxContent>
                          <w:p w14:paraId="1CBFAD5B">
                            <w:pPr>
                              <w:rPr>
                                <w:color w:val="FF0000"/>
                              </w:rPr>
                            </w:pPr>
                            <w:r>
                              <w:rPr>
                                <w:rFonts w:hint="eastAsia"/>
                                <w:color w:val="FF0000"/>
                              </w:rPr>
                              <w:t>中石油码头罐区</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712470</wp:posOffset>
                      </wp:positionV>
                      <wp:extent cx="923925" cy="428625"/>
                      <wp:effectExtent l="19050" t="19050" r="28575" b="28575"/>
                      <wp:wrapNone/>
                      <wp:docPr id="5389730" name="椭圆 7"/>
                      <wp:cNvGraphicFramePr/>
                      <a:graphic xmlns:a="http://schemas.openxmlformats.org/drawingml/2006/main">
                        <a:graphicData uri="http://schemas.microsoft.com/office/word/2010/wordprocessingShape">
                          <wps:wsp>
                            <wps:cNvSpPr/>
                            <wps:spPr>
                              <a:xfrm>
                                <a:off x="0" y="0"/>
                                <a:ext cx="923925" cy="42862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7" o:spid="_x0000_s1026" o:spt="3" type="#_x0000_t3" style="position:absolute;left:0pt;margin-left:71.95pt;margin-top:56.1pt;height:33.75pt;width:72.75pt;z-index:251659264;v-text-anchor:middle;mso-width-relative:page;mso-height-relative:page;" filled="f" stroked="t" coordsize="21600,21600" o:gfxdata="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8YxWdgAAAALAQAADwAAAAAAAAABACAAAAAiAAAAZHJzL2Rv&#10;d25yZXYueG1sUEsBAhQAFAAAAAgAh07iQOXw419zAgAA0wQAAA4AAAAAAAAAAQAgAAAAJwEAAGRy&#10;cy9lMm9Eb2MueG1sUEsFBgAAAAAGAAYAWQEAAAwGAAAAAA==&#10;">
                      <v:fill on="f" focussize="0,0"/>
                      <v:stroke weight="3pt" color="#FF0000 [3204]" miterlimit="8" joinstyle="miter"/>
                      <v:imagedata o:title=""/>
                      <o:lock v:ext="edit" aspectratio="f"/>
                    </v:shape>
                  </w:pict>
                </mc:Fallback>
              </mc:AlternateContent>
            </w:r>
            <w:r>
              <w:drawing>
                <wp:inline distT="0" distB="0" distL="0" distR="0">
                  <wp:extent cx="2552065" cy="1915160"/>
                  <wp:effectExtent l="0" t="0" r="635" b="8890"/>
                  <wp:docPr id="3932747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74776" name="图片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r>
      <w:tr w14:paraId="19DC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07E76754">
            <w:pPr>
              <w:pStyle w:val="42"/>
            </w:pPr>
            <w:r>
              <w:rPr>
                <w:rFonts w:hint="eastAsia"/>
              </w:rPr>
              <w:t>项目厂区东面-国投钦电发电厂</w:t>
            </w:r>
          </w:p>
        </w:tc>
        <w:tc>
          <w:tcPr>
            <w:tcW w:w="4417" w:type="dxa"/>
            <w:vAlign w:val="center"/>
          </w:tcPr>
          <w:p w14:paraId="5373BB10">
            <w:pPr>
              <w:pStyle w:val="42"/>
            </w:pPr>
            <w:r>
              <w:rPr>
                <w:rFonts w:hint="eastAsia"/>
              </w:rPr>
              <w:t>项目厂区南面-中石油原油码头</w:t>
            </w:r>
          </w:p>
        </w:tc>
      </w:tr>
      <w:tr w14:paraId="48A6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2DCFEBA2">
            <w:pPr>
              <w:pStyle w:val="42"/>
            </w:pPr>
            <w:r>
              <w:drawing>
                <wp:inline distT="0" distB="0" distL="0" distR="0">
                  <wp:extent cx="2552065" cy="1915160"/>
                  <wp:effectExtent l="0" t="0" r="635" b="8890"/>
                  <wp:docPr id="8720583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8332" name="图片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1C8F8324">
            <w:pPr>
              <w:pStyle w:val="42"/>
            </w:pPr>
            <w:r>
              <w:drawing>
                <wp:inline distT="0" distB="0" distL="0" distR="0">
                  <wp:extent cx="2552065" cy="1915160"/>
                  <wp:effectExtent l="0" t="0" r="635" b="8890"/>
                  <wp:docPr id="10273496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9698" name="图片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r>
      <w:tr w14:paraId="4562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3E7B82D1">
            <w:pPr>
              <w:pStyle w:val="42"/>
            </w:pPr>
            <w:r>
              <w:rPr>
                <w:rFonts w:hint="eastAsia"/>
              </w:rPr>
              <w:t>项目厂区西面-国投钦电发电厂堆煤场</w:t>
            </w:r>
          </w:p>
        </w:tc>
        <w:tc>
          <w:tcPr>
            <w:tcW w:w="4417" w:type="dxa"/>
            <w:vAlign w:val="center"/>
          </w:tcPr>
          <w:p w14:paraId="23566B63">
            <w:pPr>
              <w:pStyle w:val="42"/>
            </w:pPr>
            <w:r>
              <w:rPr>
                <w:rFonts w:hint="eastAsia"/>
              </w:rPr>
              <w:t>项目厂区北面-国投钦州港口有限公司</w:t>
            </w:r>
          </w:p>
        </w:tc>
      </w:tr>
      <w:tr w14:paraId="3051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6DA92D90">
            <w:pPr>
              <w:pStyle w:val="42"/>
            </w:pPr>
            <w:r>
              <mc:AlternateContent>
                <mc:Choice Requires="wps">
                  <w:drawing>
                    <wp:anchor distT="0" distB="0" distL="114300" distR="114300" simplePos="0" relativeHeight="251664384" behindDoc="0" locked="0" layoutInCell="1" allowOverlap="1">
                      <wp:simplePos x="0" y="0"/>
                      <wp:positionH relativeFrom="column">
                        <wp:posOffset>899160</wp:posOffset>
                      </wp:positionH>
                      <wp:positionV relativeFrom="paragraph">
                        <wp:posOffset>407670</wp:posOffset>
                      </wp:positionV>
                      <wp:extent cx="266700" cy="361950"/>
                      <wp:effectExtent l="19050" t="19050" r="38100" b="38100"/>
                      <wp:wrapNone/>
                      <wp:docPr id="424954234" name="直接箭头连接符 13"/>
                      <wp:cNvGraphicFramePr/>
                      <a:graphic xmlns:a="http://schemas.openxmlformats.org/drawingml/2006/main">
                        <a:graphicData uri="http://schemas.microsoft.com/office/word/2010/wordprocessingShape">
                          <wps:wsp>
                            <wps:cNvCnPr/>
                            <wps:spPr>
                              <a:xfrm>
                                <a:off x="0" y="0"/>
                                <a:ext cx="266700" cy="361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 o:spid="_x0000_s1026" o:spt="32" type="#_x0000_t32" style="position:absolute;left:0pt;margin-left:70.8pt;margin-top:32.1pt;height:28.5pt;width:21pt;z-index:251664384;mso-width-relative:page;mso-height-relative:page;" filled="f" stroked="t" coordsize="21600,21600" o:gfxdata="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EOKC9YAAAAKAQAADwAAAAAA&#10;AAABACAAAAAiAAAAZHJzL2Rvd25yZXYueG1sUEsBAhQAFAAAAAgAh07iQCvflzUVAgAA7wMAAA4A&#10;AAAAAAAAAQAgAAAAJQEAAGRycy9lMm9Eb2MueG1sUEsFBgAAAAAGAAYAWQEAAKwFAAAAAA==&#10;">
                      <v:fill on="f" focussize="0,0"/>
                      <v:stroke weight="3pt" color="#FF0000 [3204]" miterlimit="8" joinstyle="miter" endarrow="block"/>
                      <v:imagedata o:title=""/>
                      <o:lock v:ext="edit" aspectratio="f"/>
                    </v:shape>
                  </w:pict>
                </mc:Fallback>
              </mc:AlternateContent>
            </w:r>
            <w:r>
              <mc:AlternateContent>
                <mc:Choice Requires="wps">
                  <w:drawing>
                    <wp:anchor distT="45720" distB="45720" distL="114300" distR="114300" simplePos="0" relativeHeight="251663360" behindDoc="0" locked="0" layoutInCell="1" allowOverlap="1">
                      <wp:simplePos x="0" y="0"/>
                      <wp:positionH relativeFrom="column">
                        <wp:posOffset>200660</wp:posOffset>
                      </wp:positionH>
                      <wp:positionV relativeFrom="paragraph">
                        <wp:posOffset>161925</wp:posOffset>
                      </wp:positionV>
                      <wp:extent cx="1038225" cy="1404620"/>
                      <wp:effectExtent l="0" t="0" r="0" b="0"/>
                      <wp:wrapNone/>
                      <wp:docPr id="12468889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ln>
                            </wps:spPr>
                            <wps:txbx>
                              <w:txbxContent>
                                <w:p w14:paraId="2C449550">
                                  <w:pPr>
                                    <w:rPr>
                                      <w:color w:val="FF0000"/>
                                    </w:rPr>
                                  </w:pPr>
                                  <w:r>
                                    <w:rPr>
                                      <w:rFonts w:hint="eastAsia"/>
                                      <w:color w:val="FF0000"/>
                                    </w:rPr>
                                    <w:t>预留管道接口</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5.8pt;margin-top:12.75pt;height:110.6pt;width:81.75pt;z-index:251663360;mso-width-relative:page;mso-height-relative:page;" filled="f" stroked="f" coordsize="21600,21600" o:gfxdata="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lgQ0jWAAAACQEAAA8AAAAAAAAAAQAgAAAAIgAAAGRycy9kb3ducmV2LnhtbFBLAQIUABQA&#10;AAAIAIdO4kAzXtuMKwIAADMEAAAOAAAAAAAAAAEAIAAAACUBAABkcnMvZTJvRG9jLnhtbFBLBQYA&#10;AAAABgAGAFkBAADCBQAAAAA=&#10;">
                      <v:fill on="f" focussize="0,0"/>
                      <v:stroke on="f" miterlimit="8" joinstyle="miter"/>
                      <v:imagedata o:title=""/>
                      <o:lock v:ext="edit" aspectratio="f"/>
                      <v:textbox style="mso-fit-shape-to-text:t;">
                        <w:txbxContent>
                          <w:p w14:paraId="2C449550">
                            <w:pPr>
                              <w:rPr>
                                <w:color w:val="FF0000"/>
                              </w:rPr>
                            </w:pPr>
                            <w:r>
                              <w:rPr>
                                <w:rFonts w:hint="eastAsia"/>
                                <w:color w:val="FF0000"/>
                              </w:rPr>
                              <w:t>预留管道接口</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1102360</wp:posOffset>
                      </wp:positionH>
                      <wp:positionV relativeFrom="paragraph">
                        <wp:posOffset>765810</wp:posOffset>
                      </wp:positionV>
                      <wp:extent cx="409575" cy="304800"/>
                      <wp:effectExtent l="19050" t="19050" r="28575" b="19050"/>
                      <wp:wrapNone/>
                      <wp:docPr id="961191963" name="椭圆 12"/>
                      <wp:cNvGraphicFramePr/>
                      <a:graphic xmlns:a="http://schemas.openxmlformats.org/drawingml/2006/main">
                        <a:graphicData uri="http://schemas.microsoft.com/office/word/2010/wordprocessingShape">
                          <wps:wsp>
                            <wps:cNvSpPr/>
                            <wps:spPr>
                              <a:xfrm>
                                <a:off x="0" y="0"/>
                                <a:ext cx="409575" cy="3048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2" o:spid="_x0000_s1026" o:spt="3" type="#_x0000_t3" style="position:absolute;left:0pt;margin-left:86.8pt;margin-top:60.3pt;height:24pt;width:32.25pt;z-index:251662336;v-text-anchor:middle;mso-width-relative:page;mso-height-relative:page;" filled="f" stroked="t" coordsize="21600,21600" o:gfxdata="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SDBbvWAAAACwEAAA8AAAAAAAAAAQAgAAAAIgAAAGRycy9kb3du&#10;cmV2LnhtbFBLAQIUABQAAAAIAIdO4kDyP4cccwIAANYEAAAOAAAAAAAAAAEAIAAAACUBAABkcnMv&#10;ZTJvRG9jLnhtbFBLBQYAAAAABgAGAFkBAAAKBgAAAAA=&#10;">
                      <v:fill on="f" focussize="0,0"/>
                      <v:stroke weight="3pt" color="#FF0000 [3204]" miterlimit="8" joinstyle="miter"/>
                      <v:imagedata o:title=""/>
                      <o:lock v:ext="edit" aspectratio="f"/>
                    </v:shape>
                  </w:pict>
                </mc:Fallback>
              </mc:AlternateContent>
            </w:r>
            <w:r>
              <w:drawing>
                <wp:inline distT="0" distB="0" distL="0" distR="0">
                  <wp:extent cx="2552065" cy="1915160"/>
                  <wp:effectExtent l="0" t="0" r="635" b="8890"/>
                  <wp:docPr id="9841464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6436" name="图片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5E20EDDC">
            <w:pPr>
              <w:pStyle w:val="42"/>
            </w:pPr>
            <w:r>
              <w:drawing>
                <wp:inline distT="0" distB="0" distL="0" distR="0">
                  <wp:extent cx="2552065" cy="1915160"/>
                  <wp:effectExtent l="0" t="0" r="635" b="8890"/>
                  <wp:docPr id="1814747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47109" name="图片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r>
      <w:tr w14:paraId="5D2B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543A4EE5">
            <w:pPr>
              <w:pStyle w:val="42"/>
            </w:pPr>
            <w:r>
              <w:rPr>
                <w:rFonts w:hint="eastAsia"/>
              </w:rPr>
              <w:t>项目新建管道起点（勒沟东大街与南港大道交界处）</w:t>
            </w:r>
          </w:p>
        </w:tc>
        <w:tc>
          <w:tcPr>
            <w:tcW w:w="4417" w:type="dxa"/>
            <w:vAlign w:val="center"/>
          </w:tcPr>
          <w:p w14:paraId="5BF18FF1">
            <w:pPr>
              <w:pStyle w:val="42"/>
            </w:pPr>
            <w:r>
              <w:rPr>
                <w:rFonts w:hint="eastAsia"/>
              </w:rPr>
              <w:t>南港大道（金鼓大街至勒沟东大道段）公共管廊</w:t>
            </w:r>
          </w:p>
        </w:tc>
      </w:tr>
      <w:tr w14:paraId="6770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786A1465">
            <w:pPr>
              <w:pStyle w:val="42"/>
            </w:pPr>
            <w:r>
              <w:drawing>
                <wp:inline distT="0" distB="0" distL="0" distR="0">
                  <wp:extent cx="2552065" cy="1915160"/>
                  <wp:effectExtent l="0" t="0" r="635" b="8890"/>
                  <wp:docPr id="14707663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66370" name="图片 1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189D591C">
            <w:pPr>
              <w:pStyle w:val="42"/>
            </w:pPr>
            <w:r>
              <w:drawing>
                <wp:inline distT="0" distB="0" distL="0" distR="0">
                  <wp:extent cx="2580640" cy="1936750"/>
                  <wp:effectExtent l="0" t="0" r="0" b="6350"/>
                  <wp:docPr id="3329665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6562"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1200" cy="1936800"/>
                          </a:xfrm>
                          <a:prstGeom prst="rect">
                            <a:avLst/>
                          </a:prstGeom>
                        </pic:spPr>
                      </pic:pic>
                    </a:graphicData>
                  </a:graphic>
                </wp:inline>
              </w:drawing>
            </w:r>
          </w:p>
        </w:tc>
      </w:tr>
      <w:tr w14:paraId="140C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59A32BA9">
            <w:pPr>
              <w:pStyle w:val="42"/>
            </w:pPr>
            <w:r>
              <w:rPr>
                <w:rFonts w:hint="eastAsia"/>
              </w:rPr>
              <w:t>园区公共管廊-南港大道东侧（滨海公路至还珠东大街）</w:t>
            </w:r>
          </w:p>
        </w:tc>
        <w:tc>
          <w:tcPr>
            <w:tcW w:w="4417" w:type="dxa"/>
            <w:vAlign w:val="center"/>
          </w:tcPr>
          <w:p w14:paraId="63CEEAA7">
            <w:pPr>
              <w:pStyle w:val="42"/>
            </w:pPr>
            <w:r>
              <w:rPr>
                <w:rFonts w:hint="eastAsia"/>
              </w:rPr>
              <w:t>园区公共管廊-南港大道东侧（滨海公路至还珠东大街）</w:t>
            </w:r>
          </w:p>
        </w:tc>
      </w:tr>
      <w:tr w14:paraId="18EA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506B2397">
            <w:pPr>
              <w:pStyle w:val="42"/>
            </w:pPr>
            <w:r>
              <w:drawing>
                <wp:inline distT="0" distB="0" distL="0" distR="0">
                  <wp:extent cx="2552065" cy="1915160"/>
                  <wp:effectExtent l="0" t="0" r="635" b="8890"/>
                  <wp:docPr id="14586397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9794" name="图片 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c>
          <w:tcPr>
            <w:tcW w:w="4417" w:type="dxa"/>
            <w:vAlign w:val="center"/>
          </w:tcPr>
          <w:p w14:paraId="39414B19">
            <w:pPr>
              <w:pStyle w:val="42"/>
            </w:pPr>
            <w:r>
              <w:drawing>
                <wp:inline distT="0" distB="0" distL="0" distR="0">
                  <wp:extent cx="2552065" cy="1915160"/>
                  <wp:effectExtent l="0" t="0" r="635" b="8890"/>
                  <wp:docPr id="20327897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89768" name="图片 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400" cy="1915200"/>
                          </a:xfrm>
                          <a:prstGeom prst="rect">
                            <a:avLst/>
                          </a:prstGeom>
                        </pic:spPr>
                      </pic:pic>
                    </a:graphicData>
                  </a:graphic>
                </wp:inline>
              </w:drawing>
            </w:r>
          </w:p>
        </w:tc>
      </w:tr>
      <w:tr w14:paraId="1FC9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7" w:type="dxa"/>
            <w:vAlign w:val="center"/>
          </w:tcPr>
          <w:p w14:paraId="00C13492">
            <w:pPr>
              <w:pStyle w:val="42"/>
            </w:pPr>
            <w:r>
              <w:rPr>
                <w:rFonts w:hint="eastAsia"/>
              </w:rPr>
              <w:t>国投钦州第二发电有限公司</w:t>
            </w:r>
          </w:p>
        </w:tc>
        <w:tc>
          <w:tcPr>
            <w:tcW w:w="4417" w:type="dxa"/>
            <w:vAlign w:val="center"/>
          </w:tcPr>
          <w:p w14:paraId="0F0A78D1">
            <w:pPr>
              <w:pStyle w:val="42"/>
            </w:pPr>
            <w:r>
              <w:rPr>
                <w:rFonts w:hint="eastAsia"/>
              </w:rPr>
              <w:t>项目新建管道终点（中石油厂区东面，国投钦州第二发电有限公司电厂厂区西面）</w:t>
            </w:r>
          </w:p>
        </w:tc>
      </w:tr>
    </w:tbl>
    <w:p w14:paraId="179C5395">
      <w:pPr>
        <w:pStyle w:val="41"/>
        <w:spacing w:before="120" w:beforeLines="50" w:line="240" w:lineRule="auto"/>
        <w:ind w:firstLine="0" w:firstLineChars="0"/>
        <w:jc w:val="center"/>
        <w:rPr>
          <w:b/>
          <w:bCs/>
          <w:sz w:val="21"/>
          <w:szCs w:val="15"/>
        </w:rPr>
      </w:pPr>
      <w:r>
        <w:rPr>
          <w:rFonts w:hint="eastAsia"/>
          <w:b/>
          <w:bCs/>
          <w:sz w:val="21"/>
          <w:szCs w:val="15"/>
        </w:rPr>
        <w:t>页前图 项目占地现状及周边环境现状照片</w:t>
      </w:r>
    </w:p>
    <w:p w14:paraId="633F3323">
      <w:pPr>
        <w:pStyle w:val="41"/>
        <w:ind w:firstLine="480"/>
      </w:pPr>
    </w:p>
    <w:p w14:paraId="3A82E684">
      <w:pPr>
        <w:sectPr>
          <w:headerReference r:id="rId6" w:type="default"/>
          <w:footerReference r:id="rId8" w:type="default"/>
          <w:headerReference r:id="rId7" w:type="even"/>
          <w:footerReference r:id="rId9" w:type="even"/>
          <w:pgSz w:w="11906" w:h="16838"/>
          <w:pgMar w:top="1418" w:right="1418" w:bottom="1418" w:left="1418" w:header="851" w:footer="1077" w:gutter="0"/>
          <w:pgNumType w:fmt="upperRoman" w:start="1"/>
          <w:cols w:space="720" w:num="1"/>
          <w:docGrid w:linePitch="312" w:charSpace="0"/>
        </w:sectPr>
      </w:pPr>
    </w:p>
    <w:p w14:paraId="43391EB0">
      <w:pPr>
        <w:pStyle w:val="44"/>
        <w:outlineLvl w:val="0"/>
        <w:rPr>
          <w:rFonts w:hint="eastAsia" w:ascii="黑体" w:hAnsi="黑体" w:eastAsia="黑体"/>
          <w:sz w:val="36"/>
          <w:szCs w:val="36"/>
        </w:rPr>
      </w:pPr>
      <w:bookmarkStart w:id="6" w:name="_Toc182815850"/>
      <w:bookmarkStart w:id="7" w:name="_Toc182380104"/>
      <w:r>
        <w:rPr>
          <w:rFonts w:hint="eastAsia" w:ascii="黑体" w:hAnsi="黑体" w:eastAsia="黑体"/>
          <w:sz w:val="36"/>
          <w:szCs w:val="36"/>
        </w:rPr>
        <w:t xml:space="preserve">目 </w:t>
      </w:r>
      <w:r>
        <w:rPr>
          <w:rFonts w:ascii="黑体" w:hAnsi="黑体" w:eastAsia="黑体"/>
          <w:sz w:val="36"/>
          <w:szCs w:val="36"/>
        </w:rPr>
        <w:t xml:space="preserve"> </w:t>
      </w:r>
      <w:r>
        <w:rPr>
          <w:rFonts w:hint="eastAsia" w:ascii="黑体" w:hAnsi="黑体" w:eastAsia="黑体"/>
          <w:sz w:val="36"/>
          <w:szCs w:val="36"/>
        </w:rPr>
        <w:t>录</w:t>
      </w:r>
      <w:bookmarkEnd w:id="6"/>
      <w:bookmarkEnd w:id="7"/>
    </w:p>
    <w:p w14:paraId="015B0BC6">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一、建设项目基本情况</w:t>
      </w:r>
      <w:r>
        <w:rPr>
          <w:sz w:val="28"/>
          <w:szCs w:val="28"/>
        </w:rPr>
        <w:tab/>
      </w:r>
      <w:r>
        <w:rPr>
          <w:sz w:val="28"/>
          <w:szCs w:val="28"/>
        </w:rPr>
        <w:fldChar w:fldCharType="begin"/>
      </w:r>
      <w:r>
        <w:rPr>
          <w:sz w:val="28"/>
          <w:szCs w:val="28"/>
        </w:rPr>
        <w:instrText xml:space="preserve"> PAGEREF _Ref141873177 \h </w:instrText>
      </w:r>
      <w:r>
        <w:rPr>
          <w:sz w:val="28"/>
          <w:szCs w:val="28"/>
        </w:rPr>
        <w:fldChar w:fldCharType="separate"/>
      </w:r>
      <w:r>
        <w:rPr>
          <w:sz w:val="28"/>
          <w:szCs w:val="28"/>
        </w:rPr>
        <w:t>1</w:t>
      </w:r>
      <w:r>
        <w:rPr>
          <w:sz w:val="28"/>
          <w:szCs w:val="28"/>
        </w:rPr>
        <w:fldChar w:fldCharType="end"/>
      </w:r>
    </w:p>
    <w:p w14:paraId="1CDF697F">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二、建设内容</w:t>
      </w:r>
      <w:r>
        <w:rPr>
          <w:sz w:val="28"/>
          <w:szCs w:val="28"/>
        </w:rPr>
        <w:tab/>
      </w:r>
      <w:r>
        <w:rPr>
          <w:sz w:val="28"/>
          <w:szCs w:val="28"/>
        </w:rPr>
        <w:fldChar w:fldCharType="begin"/>
      </w:r>
      <w:r>
        <w:rPr>
          <w:sz w:val="28"/>
          <w:szCs w:val="28"/>
        </w:rPr>
        <w:instrText xml:space="preserve"> PAGEREF _Ref141873187 \h </w:instrText>
      </w:r>
      <w:r>
        <w:rPr>
          <w:sz w:val="28"/>
          <w:szCs w:val="28"/>
        </w:rPr>
        <w:fldChar w:fldCharType="separate"/>
      </w:r>
      <w:r>
        <w:rPr>
          <w:sz w:val="28"/>
          <w:szCs w:val="28"/>
        </w:rPr>
        <w:t>18</w:t>
      </w:r>
      <w:r>
        <w:rPr>
          <w:sz w:val="28"/>
          <w:szCs w:val="28"/>
        </w:rPr>
        <w:fldChar w:fldCharType="end"/>
      </w:r>
    </w:p>
    <w:p w14:paraId="41DEFA50">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三、生态环境现状</w:t>
      </w:r>
      <w:r>
        <w:rPr>
          <w:sz w:val="28"/>
          <w:szCs w:val="28"/>
        </w:rPr>
        <w:tab/>
      </w:r>
      <w:r>
        <w:rPr>
          <w:sz w:val="28"/>
          <w:szCs w:val="28"/>
        </w:rPr>
        <w:fldChar w:fldCharType="begin"/>
      </w:r>
      <w:r>
        <w:rPr>
          <w:sz w:val="28"/>
          <w:szCs w:val="28"/>
        </w:rPr>
        <w:instrText xml:space="preserve"> PAGEREF _Ref141873200 \h </w:instrText>
      </w:r>
      <w:r>
        <w:rPr>
          <w:sz w:val="28"/>
          <w:szCs w:val="28"/>
        </w:rPr>
        <w:fldChar w:fldCharType="separate"/>
      </w:r>
      <w:r>
        <w:rPr>
          <w:sz w:val="28"/>
          <w:szCs w:val="28"/>
        </w:rPr>
        <w:t>28</w:t>
      </w:r>
      <w:r>
        <w:rPr>
          <w:sz w:val="28"/>
          <w:szCs w:val="28"/>
        </w:rPr>
        <w:fldChar w:fldCharType="end"/>
      </w:r>
    </w:p>
    <w:p w14:paraId="2235B7DA">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四、生态环境影响分析</w:t>
      </w:r>
      <w:r>
        <w:rPr>
          <w:sz w:val="28"/>
          <w:szCs w:val="28"/>
        </w:rPr>
        <w:tab/>
      </w:r>
      <w:r>
        <w:rPr>
          <w:sz w:val="28"/>
          <w:szCs w:val="28"/>
        </w:rPr>
        <w:fldChar w:fldCharType="begin"/>
      </w:r>
      <w:r>
        <w:rPr>
          <w:sz w:val="28"/>
          <w:szCs w:val="28"/>
        </w:rPr>
        <w:instrText xml:space="preserve"> PAGEREF _Ref141873214 \h </w:instrText>
      </w:r>
      <w:r>
        <w:rPr>
          <w:sz w:val="28"/>
          <w:szCs w:val="28"/>
        </w:rPr>
        <w:fldChar w:fldCharType="separate"/>
      </w:r>
      <w:r>
        <w:rPr>
          <w:sz w:val="28"/>
          <w:szCs w:val="28"/>
        </w:rPr>
        <w:t>49</w:t>
      </w:r>
      <w:r>
        <w:rPr>
          <w:sz w:val="28"/>
          <w:szCs w:val="28"/>
        </w:rPr>
        <w:fldChar w:fldCharType="end"/>
      </w:r>
    </w:p>
    <w:p w14:paraId="01DAEDD5">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五、主要生态环境保护措施</w:t>
      </w:r>
      <w:r>
        <w:rPr>
          <w:sz w:val="28"/>
          <w:szCs w:val="28"/>
        </w:rPr>
        <w:tab/>
      </w:r>
      <w:r>
        <w:rPr>
          <w:sz w:val="28"/>
          <w:szCs w:val="28"/>
        </w:rPr>
        <w:fldChar w:fldCharType="begin"/>
      </w:r>
      <w:r>
        <w:rPr>
          <w:sz w:val="28"/>
          <w:szCs w:val="28"/>
        </w:rPr>
        <w:instrText xml:space="preserve"> PAGEREF _Ref141873223 \h </w:instrText>
      </w:r>
      <w:r>
        <w:rPr>
          <w:sz w:val="28"/>
          <w:szCs w:val="28"/>
        </w:rPr>
        <w:fldChar w:fldCharType="separate"/>
      </w:r>
      <w:r>
        <w:rPr>
          <w:sz w:val="28"/>
          <w:szCs w:val="28"/>
        </w:rPr>
        <w:t>63</w:t>
      </w:r>
      <w:r>
        <w:rPr>
          <w:sz w:val="28"/>
          <w:szCs w:val="28"/>
        </w:rPr>
        <w:fldChar w:fldCharType="end"/>
      </w:r>
    </w:p>
    <w:p w14:paraId="46E2AA5E">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六、生态环境保护措施监督检查清单</w:t>
      </w:r>
      <w:r>
        <w:rPr>
          <w:sz w:val="28"/>
          <w:szCs w:val="28"/>
        </w:rPr>
        <w:tab/>
      </w:r>
      <w:r>
        <w:rPr>
          <w:sz w:val="28"/>
          <w:szCs w:val="28"/>
        </w:rPr>
        <w:fldChar w:fldCharType="begin"/>
      </w:r>
      <w:r>
        <w:rPr>
          <w:sz w:val="28"/>
          <w:szCs w:val="28"/>
        </w:rPr>
        <w:instrText xml:space="preserve"> PAGEREF _Ref141873229 \h </w:instrText>
      </w:r>
      <w:r>
        <w:rPr>
          <w:sz w:val="28"/>
          <w:szCs w:val="28"/>
        </w:rPr>
        <w:fldChar w:fldCharType="separate"/>
      </w:r>
      <w:r>
        <w:rPr>
          <w:sz w:val="28"/>
          <w:szCs w:val="28"/>
        </w:rPr>
        <w:t>68</w:t>
      </w:r>
      <w:r>
        <w:rPr>
          <w:sz w:val="28"/>
          <w:szCs w:val="28"/>
        </w:rPr>
        <w:fldChar w:fldCharType="end"/>
      </w:r>
    </w:p>
    <w:p w14:paraId="00AEB584">
      <w:pPr>
        <w:pStyle w:val="41"/>
        <w:tabs>
          <w:tab w:val="right" w:leader="middleDot" w:pos="8610"/>
        </w:tabs>
        <w:spacing w:line="560" w:lineRule="exact"/>
        <w:ind w:firstLine="0" w:firstLineChars="0"/>
        <w:rPr>
          <w:sz w:val="28"/>
          <w:szCs w:val="28"/>
        </w:rPr>
      </w:pPr>
      <w:r>
        <w:rPr>
          <w:rFonts w:hint="eastAsia" w:ascii="仿宋_GB2312" w:eastAsia="仿宋_GB2312"/>
          <w:sz w:val="28"/>
          <w:szCs w:val="28"/>
        </w:rPr>
        <w:t>七、结论</w:t>
      </w:r>
      <w:r>
        <w:rPr>
          <w:sz w:val="28"/>
          <w:szCs w:val="28"/>
        </w:rPr>
        <w:tab/>
      </w:r>
      <w:r>
        <w:rPr>
          <w:sz w:val="28"/>
          <w:szCs w:val="28"/>
        </w:rPr>
        <w:fldChar w:fldCharType="begin"/>
      </w:r>
      <w:r>
        <w:rPr>
          <w:sz w:val="28"/>
          <w:szCs w:val="28"/>
        </w:rPr>
        <w:instrText xml:space="preserve"> PAGEREF _Ref141873234 \h </w:instrText>
      </w:r>
      <w:r>
        <w:rPr>
          <w:sz w:val="28"/>
          <w:szCs w:val="28"/>
        </w:rPr>
        <w:fldChar w:fldCharType="separate"/>
      </w:r>
      <w:r>
        <w:rPr>
          <w:sz w:val="28"/>
          <w:szCs w:val="28"/>
        </w:rPr>
        <w:t>70</w:t>
      </w:r>
      <w:r>
        <w:rPr>
          <w:sz w:val="28"/>
          <w:szCs w:val="28"/>
        </w:rPr>
        <w:fldChar w:fldCharType="end"/>
      </w:r>
    </w:p>
    <w:p w14:paraId="49763982">
      <w:pPr>
        <w:pStyle w:val="41"/>
        <w:ind w:firstLine="0" w:firstLineChars="0"/>
      </w:pPr>
    </w:p>
    <w:p w14:paraId="5788FEAD">
      <w:pPr>
        <w:pStyle w:val="41"/>
        <w:ind w:firstLine="0" w:firstLineChars="0"/>
        <w:rPr>
          <w:b/>
          <w:bCs/>
          <w:u w:val="single"/>
        </w:rPr>
      </w:pPr>
      <w:r>
        <w:rPr>
          <w:rFonts w:hint="eastAsia"/>
          <w:b/>
          <w:bCs/>
          <w:u w:val="single"/>
        </w:rPr>
        <w:t>专题：</w:t>
      </w:r>
    </w:p>
    <w:p w14:paraId="3D9F1EF8">
      <w:pPr>
        <w:pStyle w:val="41"/>
        <w:ind w:firstLine="480"/>
        <w:rPr>
          <w:u w:val="single"/>
        </w:rPr>
      </w:pPr>
      <w:r>
        <w:rPr>
          <w:rFonts w:hint="eastAsia"/>
          <w:u w:val="single"/>
        </w:rPr>
        <w:t>专题1 林德气体（广西）有限公司钦州园区三期氮气供应项目环境风险影响专项评价</w:t>
      </w:r>
    </w:p>
    <w:p w14:paraId="72E197A5">
      <w:pPr>
        <w:pStyle w:val="41"/>
        <w:ind w:firstLine="480"/>
        <w:rPr>
          <w:u w:val="single"/>
        </w:rPr>
      </w:pPr>
    </w:p>
    <w:p w14:paraId="19456F33">
      <w:pPr>
        <w:pStyle w:val="41"/>
        <w:ind w:firstLine="480"/>
      </w:pPr>
    </w:p>
    <w:p w14:paraId="383269F1">
      <w:pPr>
        <w:pStyle w:val="41"/>
        <w:ind w:firstLine="720"/>
        <w:rPr>
          <w:rFonts w:ascii="仿宋_GB2312" w:eastAsia="仿宋_GB2312"/>
          <w:sz w:val="36"/>
          <w:szCs w:val="36"/>
        </w:rPr>
        <w:sectPr>
          <w:headerReference r:id="rId10" w:type="default"/>
          <w:footerReference r:id="rId12" w:type="default"/>
          <w:headerReference r:id="rId11" w:type="even"/>
          <w:footerReference r:id="rId13" w:type="even"/>
          <w:pgSz w:w="11906" w:h="16838"/>
          <w:pgMar w:top="1418" w:right="1418" w:bottom="1418" w:left="1418" w:header="851" w:footer="1077" w:gutter="0"/>
          <w:pgNumType w:fmt="upperRoman" w:start="1"/>
          <w:cols w:space="720" w:num="1"/>
          <w:docGrid w:linePitch="312" w:charSpace="0"/>
        </w:sectPr>
      </w:pPr>
      <w:r>
        <w:rPr>
          <w:rFonts w:ascii="仿宋_GB2312" w:eastAsia="仿宋_GB2312"/>
          <w:sz w:val="36"/>
          <w:szCs w:val="36"/>
        </w:rPr>
        <w:tab/>
      </w:r>
    </w:p>
    <w:p w14:paraId="120BF1FF">
      <w:pPr>
        <w:pStyle w:val="15"/>
        <w:numPr>
          <w:ilvl w:val="0"/>
          <w:numId w:val="2"/>
        </w:numPr>
        <w:jc w:val="center"/>
        <w:outlineLvl w:val="0"/>
        <w:rPr>
          <w:rFonts w:hint="eastAsia" w:ascii="黑体" w:hAnsi="黑体" w:eastAsia="黑体"/>
          <w:snapToGrid w:val="0"/>
          <w:sz w:val="30"/>
          <w:szCs w:val="30"/>
        </w:rPr>
      </w:pPr>
      <w:bookmarkStart w:id="8" w:name="_Toc182380105"/>
      <w:bookmarkStart w:id="9" w:name="_Toc132899317"/>
      <w:bookmarkStart w:id="10" w:name="_Toc132899295"/>
      <w:bookmarkStart w:id="11" w:name="_Toc182815851"/>
      <w:bookmarkStart w:id="12" w:name="_Ref141873177"/>
      <w:r>
        <w:rPr>
          <w:rFonts w:hint="eastAsia" w:ascii="黑体" w:hAnsi="黑体" w:eastAsia="黑体"/>
          <w:snapToGrid w:val="0"/>
          <w:sz w:val="30"/>
          <w:szCs w:val="30"/>
        </w:rPr>
        <w:t>建设项目基本情况</w:t>
      </w:r>
      <w:bookmarkEnd w:id="8"/>
      <w:bookmarkEnd w:id="9"/>
      <w:bookmarkEnd w:id="10"/>
      <w:bookmarkEnd w:id="11"/>
      <w:bookmarkEnd w:id="12"/>
    </w:p>
    <w:tbl>
      <w:tblPr>
        <w:tblStyle w:val="1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1"/>
        <w:gridCol w:w="1685"/>
        <w:gridCol w:w="2043"/>
        <w:gridCol w:w="2218"/>
        <w:gridCol w:w="10"/>
        <w:gridCol w:w="2542"/>
      </w:tblGrid>
      <w:tr w14:paraId="51C07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gridSpan w:val="2"/>
            <w:tcMar>
              <w:top w:w="16" w:type="dxa"/>
              <w:left w:w="16" w:type="dxa"/>
              <w:right w:w="16" w:type="dxa"/>
            </w:tcMar>
            <w:vAlign w:val="center"/>
          </w:tcPr>
          <w:p w14:paraId="6F4F7B75">
            <w:pPr>
              <w:adjustRightInd w:val="0"/>
              <w:snapToGrid w:val="0"/>
              <w:jc w:val="center"/>
              <w:rPr>
                <w:rFonts w:hint="eastAsia" w:ascii="宋体" w:hAnsi="宋体" w:cs="宋体"/>
                <w:sz w:val="24"/>
                <w:szCs w:val="21"/>
              </w:rPr>
            </w:pPr>
            <w:r>
              <w:rPr>
                <w:rFonts w:hint="eastAsia" w:ascii="宋体" w:hAnsi="宋体" w:cs="宋体"/>
                <w:sz w:val="24"/>
                <w:szCs w:val="21"/>
              </w:rPr>
              <w:t>建设项目名称</w:t>
            </w:r>
          </w:p>
        </w:tc>
        <w:tc>
          <w:tcPr>
            <w:tcW w:w="6813" w:type="dxa"/>
            <w:gridSpan w:val="4"/>
            <w:vAlign w:val="center"/>
          </w:tcPr>
          <w:p w14:paraId="57401DB4">
            <w:pPr>
              <w:adjustRightInd w:val="0"/>
              <w:snapToGrid w:val="0"/>
              <w:jc w:val="center"/>
              <w:rPr>
                <w:rFonts w:hint="eastAsia" w:ascii="宋体" w:hAnsi="宋体" w:cs="宋体"/>
                <w:sz w:val="24"/>
                <w:szCs w:val="21"/>
              </w:rPr>
            </w:pPr>
            <w:r>
              <w:rPr>
                <w:rFonts w:hint="eastAsia" w:ascii="宋体" w:hAnsi="宋体" w:cs="宋体"/>
                <w:sz w:val="24"/>
                <w:szCs w:val="21"/>
              </w:rPr>
              <w:t>林德气体（广西）有限公司钦州园区三期氮气供应项目</w:t>
            </w:r>
          </w:p>
        </w:tc>
      </w:tr>
      <w:tr w14:paraId="7F47A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gridSpan w:val="2"/>
            <w:tcMar>
              <w:top w:w="16" w:type="dxa"/>
              <w:left w:w="16" w:type="dxa"/>
              <w:right w:w="16" w:type="dxa"/>
            </w:tcMar>
            <w:vAlign w:val="center"/>
          </w:tcPr>
          <w:p w14:paraId="5FFA62ED">
            <w:pPr>
              <w:adjustRightInd w:val="0"/>
              <w:snapToGrid w:val="0"/>
              <w:jc w:val="center"/>
              <w:rPr>
                <w:rFonts w:hint="eastAsia" w:ascii="宋体" w:hAnsi="宋体" w:cs="宋体"/>
                <w:sz w:val="24"/>
                <w:szCs w:val="21"/>
              </w:rPr>
            </w:pPr>
            <w:r>
              <w:rPr>
                <w:rFonts w:hint="eastAsia" w:ascii="宋体" w:hAnsi="宋体" w:cs="宋体"/>
                <w:sz w:val="24"/>
                <w:szCs w:val="21"/>
              </w:rPr>
              <w:t>项目代码</w:t>
            </w:r>
          </w:p>
        </w:tc>
        <w:tc>
          <w:tcPr>
            <w:tcW w:w="6813" w:type="dxa"/>
            <w:gridSpan w:val="4"/>
            <w:vAlign w:val="center"/>
          </w:tcPr>
          <w:p w14:paraId="23B203C7">
            <w:pPr>
              <w:adjustRightInd w:val="0"/>
              <w:snapToGrid w:val="0"/>
              <w:jc w:val="center"/>
              <w:rPr>
                <w:sz w:val="24"/>
                <w:szCs w:val="21"/>
              </w:rPr>
            </w:pPr>
            <w:r>
              <w:rPr>
                <w:sz w:val="24"/>
                <w:szCs w:val="21"/>
              </w:rPr>
              <w:t>2405-450704-04-01-880737</w:t>
            </w:r>
          </w:p>
        </w:tc>
      </w:tr>
      <w:tr w14:paraId="39B89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gridSpan w:val="2"/>
            <w:tcMar>
              <w:top w:w="16" w:type="dxa"/>
              <w:left w:w="16" w:type="dxa"/>
              <w:right w:w="16" w:type="dxa"/>
            </w:tcMar>
            <w:vAlign w:val="center"/>
          </w:tcPr>
          <w:p w14:paraId="7C21C308">
            <w:pPr>
              <w:adjustRightInd w:val="0"/>
              <w:snapToGrid w:val="0"/>
              <w:jc w:val="center"/>
              <w:rPr>
                <w:rFonts w:hint="eastAsia" w:ascii="宋体" w:hAnsi="宋体" w:cs="宋体"/>
                <w:sz w:val="24"/>
                <w:szCs w:val="21"/>
              </w:rPr>
            </w:pPr>
            <w:r>
              <w:rPr>
                <w:rFonts w:hint="eastAsia" w:ascii="宋体" w:hAnsi="宋体" w:cs="宋体"/>
                <w:sz w:val="24"/>
                <w:szCs w:val="21"/>
              </w:rPr>
              <w:t>建设单位联系人</w:t>
            </w:r>
          </w:p>
        </w:tc>
        <w:tc>
          <w:tcPr>
            <w:tcW w:w="2043" w:type="dxa"/>
            <w:vAlign w:val="center"/>
          </w:tcPr>
          <w:p w14:paraId="36441367">
            <w:pPr>
              <w:adjustRightInd w:val="0"/>
              <w:snapToGrid w:val="0"/>
              <w:jc w:val="center"/>
              <w:rPr>
                <w:rFonts w:hint="eastAsia" w:ascii="宋体" w:hAnsi="宋体" w:cs="宋体"/>
                <w:sz w:val="24"/>
                <w:szCs w:val="21"/>
              </w:rPr>
            </w:pPr>
          </w:p>
        </w:tc>
        <w:tc>
          <w:tcPr>
            <w:tcW w:w="2228" w:type="dxa"/>
            <w:gridSpan w:val="2"/>
            <w:vAlign w:val="center"/>
          </w:tcPr>
          <w:p w14:paraId="6CA915E1">
            <w:pPr>
              <w:adjustRightInd w:val="0"/>
              <w:snapToGrid w:val="0"/>
              <w:jc w:val="center"/>
              <w:rPr>
                <w:rFonts w:hint="eastAsia" w:ascii="宋体" w:hAnsi="宋体" w:cs="宋体"/>
                <w:sz w:val="24"/>
                <w:szCs w:val="21"/>
              </w:rPr>
            </w:pPr>
            <w:r>
              <w:rPr>
                <w:rFonts w:hint="eastAsia" w:ascii="宋体" w:hAnsi="宋体" w:cs="宋体"/>
                <w:sz w:val="24"/>
                <w:szCs w:val="21"/>
              </w:rPr>
              <w:t>联系方式</w:t>
            </w:r>
          </w:p>
        </w:tc>
        <w:tc>
          <w:tcPr>
            <w:tcW w:w="2542" w:type="dxa"/>
            <w:vAlign w:val="center"/>
          </w:tcPr>
          <w:p w14:paraId="2DB9532C">
            <w:pPr>
              <w:adjustRightInd w:val="0"/>
              <w:snapToGrid w:val="0"/>
              <w:jc w:val="center"/>
              <w:rPr>
                <w:sz w:val="24"/>
                <w:szCs w:val="21"/>
              </w:rPr>
            </w:pPr>
          </w:p>
        </w:tc>
      </w:tr>
      <w:tr w14:paraId="3E46B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gridSpan w:val="2"/>
            <w:tcMar>
              <w:top w:w="16" w:type="dxa"/>
              <w:left w:w="16" w:type="dxa"/>
              <w:right w:w="16" w:type="dxa"/>
            </w:tcMar>
            <w:vAlign w:val="center"/>
          </w:tcPr>
          <w:p w14:paraId="78AC3541">
            <w:pPr>
              <w:adjustRightInd w:val="0"/>
              <w:snapToGrid w:val="0"/>
              <w:jc w:val="center"/>
              <w:rPr>
                <w:rFonts w:hint="eastAsia" w:ascii="宋体" w:hAnsi="宋体" w:cs="宋体"/>
                <w:sz w:val="24"/>
                <w:szCs w:val="21"/>
              </w:rPr>
            </w:pPr>
            <w:r>
              <w:rPr>
                <w:rFonts w:hint="eastAsia" w:ascii="宋体" w:hAnsi="宋体" w:cs="宋体"/>
                <w:sz w:val="24"/>
                <w:szCs w:val="21"/>
              </w:rPr>
              <w:t>建设地点</w:t>
            </w:r>
          </w:p>
        </w:tc>
        <w:tc>
          <w:tcPr>
            <w:tcW w:w="6813" w:type="dxa"/>
            <w:gridSpan w:val="4"/>
            <w:vAlign w:val="center"/>
          </w:tcPr>
          <w:p w14:paraId="0183F47B">
            <w:pPr>
              <w:adjustRightInd w:val="0"/>
              <w:snapToGrid w:val="0"/>
              <w:jc w:val="center"/>
              <w:rPr>
                <w:rFonts w:hint="eastAsia" w:ascii="宋体" w:hAnsi="宋体" w:cs="宋体"/>
                <w:sz w:val="24"/>
                <w:szCs w:val="21"/>
              </w:rPr>
            </w:pPr>
            <w:bookmarkStart w:id="13" w:name="_Hlk141542709"/>
            <w:r>
              <w:rPr>
                <w:rFonts w:hint="eastAsia" w:ascii="宋体" w:hAnsi="宋体" w:cs="宋体"/>
                <w:sz w:val="24"/>
                <w:szCs w:val="21"/>
              </w:rPr>
              <w:t>广西壮族自治区钦州市</w:t>
            </w:r>
            <w:bookmarkEnd w:id="13"/>
            <w:r>
              <w:rPr>
                <w:rFonts w:hint="eastAsia" w:ascii="宋体" w:hAnsi="宋体" w:cs="宋体"/>
                <w:sz w:val="24"/>
                <w:szCs w:val="21"/>
              </w:rPr>
              <w:t>钦州港钦州石化产业园果鹰大道1号</w:t>
            </w:r>
          </w:p>
        </w:tc>
      </w:tr>
      <w:tr w14:paraId="672B3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gridSpan w:val="2"/>
            <w:tcMar>
              <w:top w:w="16" w:type="dxa"/>
              <w:left w:w="16" w:type="dxa"/>
              <w:right w:w="16" w:type="dxa"/>
            </w:tcMar>
            <w:vAlign w:val="center"/>
          </w:tcPr>
          <w:p w14:paraId="3A94B6EF">
            <w:pPr>
              <w:adjustRightInd w:val="0"/>
              <w:snapToGrid w:val="0"/>
              <w:jc w:val="center"/>
              <w:rPr>
                <w:rFonts w:hint="eastAsia" w:ascii="宋体" w:hAnsi="宋体" w:cs="宋体"/>
                <w:sz w:val="24"/>
                <w:szCs w:val="21"/>
              </w:rPr>
            </w:pPr>
            <w:r>
              <w:rPr>
                <w:rFonts w:hint="eastAsia" w:ascii="宋体" w:hAnsi="宋体" w:cs="宋体"/>
                <w:sz w:val="24"/>
                <w:szCs w:val="21"/>
              </w:rPr>
              <w:t>地理坐标</w:t>
            </w:r>
          </w:p>
        </w:tc>
        <w:tc>
          <w:tcPr>
            <w:tcW w:w="6813" w:type="dxa"/>
            <w:gridSpan w:val="4"/>
            <w:vAlign w:val="center"/>
          </w:tcPr>
          <w:p w14:paraId="763AB70D">
            <w:pPr>
              <w:adjustRightInd w:val="0"/>
              <w:snapToGrid w:val="0"/>
              <w:jc w:val="center"/>
              <w:rPr>
                <w:rFonts w:hint="eastAsia" w:ascii="宋体" w:hAnsi="宋体" w:cs="宋体"/>
                <w:sz w:val="24"/>
              </w:rPr>
            </w:pPr>
            <w:r>
              <w:rPr>
                <w:rFonts w:hint="eastAsia" w:ascii="宋体" w:hAnsi="宋体" w:cs="宋体"/>
                <w:sz w:val="24"/>
              </w:rPr>
              <w:t>厂区中心（</w:t>
            </w:r>
            <w:r>
              <w:rPr>
                <w:rFonts w:hint="eastAsia" w:ascii="宋体" w:hAnsi="宋体" w:cs="宋体"/>
                <w:sz w:val="24"/>
                <w:u w:val="single"/>
              </w:rPr>
              <w:t xml:space="preserve"> 108 </w:t>
            </w:r>
            <w:r>
              <w:rPr>
                <w:rFonts w:hint="eastAsia" w:ascii="宋体" w:hAnsi="宋体" w:cs="宋体"/>
                <w:sz w:val="24"/>
              </w:rPr>
              <w:t>度</w:t>
            </w:r>
            <w:r>
              <w:rPr>
                <w:rFonts w:hint="eastAsia" w:ascii="宋体" w:hAnsi="宋体" w:cs="宋体"/>
                <w:sz w:val="24"/>
                <w:u w:val="single"/>
              </w:rPr>
              <w:t xml:space="preserve"> 37 </w:t>
            </w:r>
            <w:r>
              <w:rPr>
                <w:rFonts w:hint="eastAsia" w:ascii="宋体" w:hAnsi="宋体" w:cs="宋体"/>
                <w:sz w:val="24"/>
              </w:rPr>
              <w:t>分</w:t>
            </w:r>
            <w:r>
              <w:rPr>
                <w:rFonts w:hint="eastAsia" w:ascii="宋体" w:hAnsi="宋体" w:cs="宋体"/>
                <w:sz w:val="24"/>
                <w:u w:val="single"/>
              </w:rPr>
              <w:t xml:space="preserve"> 16.345 </w:t>
            </w:r>
            <w:r>
              <w:rPr>
                <w:rFonts w:hint="eastAsia" w:ascii="宋体" w:hAnsi="宋体" w:cs="宋体"/>
                <w:sz w:val="24"/>
              </w:rPr>
              <w:t>秒，</w:t>
            </w:r>
            <w:r>
              <w:rPr>
                <w:rFonts w:hint="eastAsia" w:ascii="宋体" w:hAnsi="宋体" w:cs="宋体"/>
                <w:sz w:val="24"/>
                <w:u w:val="single"/>
              </w:rPr>
              <w:t xml:space="preserve"> 21 </w:t>
            </w:r>
            <w:r>
              <w:rPr>
                <w:rFonts w:hint="eastAsia" w:ascii="宋体" w:hAnsi="宋体" w:cs="宋体"/>
                <w:sz w:val="24"/>
              </w:rPr>
              <w:t>度</w:t>
            </w:r>
            <w:r>
              <w:rPr>
                <w:rFonts w:hint="eastAsia" w:ascii="宋体" w:hAnsi="宋体" w:cs="宋体"/>
                <w:sz w:val="24"/>
                <w:u w:val="single"/>
              </w:rPr>
              <w:t xml:space="preserve"> 42 </w:t>
            </w:r>
            <w:r>
              <w:rPr>
                <w:rFonts w:hint="eastAsia" w:ascii="宋体" w:hAnsi="宋体" w:cs="宋体"/>
                <w:sz w:val="24"/>
              </w:rPr>
              <w:t>分</w:t>
            </w:r>
            <w:r>
              <w:rPr>
                <w:rFonts w:hint="eastAsia" w:ascii="宋体" w:hAnsi="宋体" w:cs="宋体"/>
                <w:sz w:val="24"/>
                <w:u w:val="single"/>
              </w:rPr>
              <w:t xml:space="preserve"> 10.844 </w:t>
            </w:r>
            <w:r>
              <w:rPr>
                <w:rFonts w:hint="eastAsia" w:ascii="宋体" w:hAnsi="宋体" w:cs="宋体"/>
                <w:sz w:val="24"/>
              </w:rPr>
              <w:t>秒）</w:t>
            </w:r>
          </w:p>
          <w:p w14:paraId="458D71D2">
            <w:pPr>
              <w:adjustRightInd w:val="0"/>
              <w:snapToGrid w:val="0"/>
              <w:jc w:val="center"/>
              <w:rPr>
                <w:rFonts w:hint="eastAsia" w:ascii="宋体" w:hAnsi="宋体" w:cs="宋体"/>
                <w:sz w:val="24"/>
              </w:rPr>
            </w:pPr>
            <w:r>
              <w:rPr>
                <w:rFonts w:hint="eastAsia" w:ascii="宋体" w:hAnsi="宋体" w:cs="宋体"/>
                <w:sz w:val="24"/>
              </w:rPr>
              <w:t>新建管道起点（</w:t>
            </w:r>
            <w:r>
              <w:rPr>
                <w:rFonts w:hint="eastAsia" w:ascii="宋体" w:hAnsi="宋体" w:cs="宋体"/>
                <w:sz w:val="24"/>
                <w:u w:val="single"/>
              </w:rPr>
              <w:t xml:space="preserve"> 108 </w:t>
            </w:r>
            <w:r>
              <w:rPr>
                <w:rFonts w:hint="eastAsia" w:ascii="宋体" w:hAnsi="宋体" w:cs="宋体"/>
                <w:sz w:val="24"/>
              </w:rPr>
              <w:t>度</w:t>
            </w:r>
            <w:r>
              <w:rPr>
                <w:rFonts w:hint="eastAsia" w:ascii="宋体" w:hAnsi="宋体" w:cs="宋体"/>
                <w:sz w:val="24"/>
                <w:u w:val="single"/>
              </w:rPr>
              <w:t xml:space="preserve"> 36 </w:t>
            </w:r>
            <w:r>
              <w:rPr>
                <w:rFonts w:hint="eastAsia" w:ascii="宋体" w:hAnsi="宋体" w:cs="宋体"/>
                <w:sz w:val="24"/>
              </w:rPr>
              <w:t>分</w:t>
            </w:r>
            <w:r>
              <w:rPr>
                <w:rFonts w:hint="eastAsia" w:ascii="宋体" w:hAnsi="宋体" w:cs="宋体"/>
                <w:sz w:val="24"/>
                <w:u w:val="single"/>
              </w:rPr>
              <w:t xml:space="preserve"> 44.583 </w:t>
            </w:r>
            <w:r>
              <w:rPr>
                <w:rFonts w:hint="eastAsia" w:ascii="宋体" w:hAnsi="宋体" w:cs="宋体"/>
                <w:sz w:val="24"/>
              </w:rPr>
              <w:t>秒，</w:t>
            </w:r>
            <w:r>
              <w:rPr>
                <w:rFonts w:hint="eastAsia" w:ascii="宋体" w:hAnsi="宋体" w:cs="宋体"/>
                <w:sz w:val="24"/>
                <w:u w:val="single"/>
              </w:rPr>
              <w:t xml:space="preserve"> 21 </w:t>
            </w:r>
            <w:r>
              <w:rPr>
                <w:rFonts w:hint="eastAsia" w:ascii="宋体" w:hAnsi="宋体" w:cs="宋体"/>
                <w:sz w:val="24"/>
              </w:rPr>
              <w:t>度</w:t>
            </w:r>
            <w:r>
              <w:rPr>
                <w:rFonts w:hint="eastAsia" w:ascii="宋体" w:hAnsi="宋体" w:cs="宋体"/>
                <w:sz w:val="24"/>
                <w:u w:val="single"/>
              </w:rPr>
              <w:t xml:space="preserve"> 43 </w:t>
            </w:r>
            <w:r>
              <w:rPr>
                <w:rFonts w:hint="eastAsia" w:ascii="宋体" w:hAnsi="宋体" w:cs="宋体"/>
                <w:sz w:val="24"/>
              </w:rPr>
              <w:t>分</w:t>
            </w:r>
            <w:r>
              <w:rPr>
                <w:rFonts w:hint="eastAsia" w:ascii="宋体" w:hAnsi="宋体" w:cs="宋体"/>
                <w:sz w:val="24"/>
                <w:u w:val="single"/>
              </w:rPr>
              <w:t xml:space="preserve"> 39.621 </w:t>
            </w:r>
            <w:r>
              <w:rPr>
                <w:rFonts w:hint="eastAsia" w:ascii="宋体" w:hAnsi="宋体" w:cs="宋体"/>
                <w:sz w:val="24"/>
              </w:rPr>
              <w:t>秒）</w:t>
            </w:r>
          </w:p>
          <w:p w14:paraId="5E54681E">
            <w:pPr>
              <w:adjustRightInd w:val="0"/>
              <w:snapToGrid w:val="0"/>
              <w:jc w:val="center"/>
              <w:rPr>
                <w:sz w:val="24"/>
              </w:rPr>
            </w:pPr>
            <w:r>
              <w:rPr>
                <w:rFonts w:hint="eastAsia" w:ascii="宋体" w:hAnsi="宋体" w:cs="宋体"/>
                <w:sz w:val="24"/>
              </w:rPr>
              <w:t>新建管道终点（</w:t>
            </w:r>
            <w:r>
              <w:rPr>
                <w:rFonts w:hint="eastAsia" w:ascii="宋体" w:hAnsi="宋体" w:cs="宋体"/>
                <w:sz w:val="24"/>
                <w:u w:val="single"/>
              </w:rPr>
              <w:t xml:space="preserve"> 108 </w:t>
            </w:r>
            <w:r>
              <w:rPr>
                <w:rFonts w:hint="eastAsia" w:ascii="宋体" w:hAnsi="宋体" w:cs="宋体"/>
                <w:sz w:val="24"/>
              </w:rPr>
              <w:t>度</w:t>
            </w:r>
            <w:r>
              <w:rPr>
                <w:rFonts w:hint="eastAsia" w:ascii="宋体" w:hAnsi="宋体" w:cs="宋体"/>
                <w:sz w:val="24"/>
                <w:u w:val="single"/>
              </w:rPr>
              <w:t xml:space="preserve"> 36 </w:t>
            </w:r>
            <w:r>
              <w:rPr>
                <w:rFonts w:hint="eastAsia" w:ascii="宋体" w:hAnsi="宋体" w:cs="宋体"/>
                <w:sz w:val="24"/>
              </w:rPr>
              <w:t>分</w:t>
            </w:r>
            <w:r>
              <w:rPr>
                <w:rFonts w:hint="eastAsia" w:ascii="宋体" w:hAnsi="宋体" w:cs="宋体"/>
                <w:sz w:val="24"/>
                <w:u w:val="single"/>
              </w:rPr>
              <w:t xml:space="preserve"> 54.308 </w:t>
            </w:r>
            <w:r>
              <w:rPr>
                <w:rFonts w:hint="eastAsia" w:ascii="宋体" w:hAnsi="宋体" w:cs="宋体"/>
                <w:sz w:val="24"/>
              </w:rPr>
              <w:t>秒，</w:t>
            </w:r>
            <w:r>
              <w:rPr>
                <w:rFonts w:hint="eastAsia" w:ascii="宋体" w:hAnsi="宋体" w:cs="宋体"/>
                <w:sz w:val="24"/>
                <w:u w:val="single"/>
              </w:rPr>
              <w:t xml:space="preserve"> 21 </w:t>
            </w:r>
            <w:r>
              <w:rPr>
                <w:rFonts w:hint="eastAsia" w:ascii="宋体" w:hAnsi="宋体" w:cs="宋体"/>
                <w:sz w:val="24"/>
              </w:rPr>
              <w:t>度</w:t>
            </w:r>
            <w:r>
              <w:rPr>
                <w:rFonts w:hint="eastAsia" w:ascii="宋体" w:hAnsi="宋体" w:cs="宋体"/>
                <w:sz w:val="24"/>
                <w:u w:val="single"/>
              </w:rPr>
              <w:t xml:space="preserve"> 46 </w:t>
            </w:r>
            <w:r>
              <w:rPr>
                <w:rFonts w:hint="eastAsia" w:ascii="宋体" w:hAnsi="宋体" w:cs="宋体"/>
                <w:sz w:val="24"/>
              </w:rPr>
              <w:t>分</w:t>
            </w:r>
            <w:r>
              <w:rPr>
                <w:rFonts w:hint="eastAsia" w:ascii="宋体" w:hAnsi="宋体" w:cs="宋体"/>
                <w:sz w:val="24"/>
                <w:u w:val="single"/>
              </w:rPr>
              <w:t xml:space="preserve"> 21.724 </w:t>
            </w:r>
            <w:r>
              <w:rPr>
                <w:rFonts w:hint="eastAsia" w:ascii="宋体" w:hAnsi="宋体" w:cs="宋体"/>
                <w:sz w:val="24"/>
              </w:rPr>
              <w:t>秒）</w:t>
            </w:r>
          </w:p>
        </w:tc>
      </w:tr>
      <w:tr w14:paraId="4EDB3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gridSpan w:val="2"/>
            <w:tcMar>
              <w:top w:w="16" w:type="dxa"/>
              <w:left w:w="16" w:type="dxa"/>
              <w:right w:w="16" w:type="dxa"/>
            </w:tcMar>
            <w:vAlign w:val="center"/>
          </w:tcPr>
          <w:p w14:paraId="7FEF3DA9">
            <w:pPr>
              <w:adjustRightInd w:val="0"/>
              <w:snapToGrid w:val="0"/>
              <w:jc w:val="center"/>
              <w:rPr>
                <w:rFonts w:hint="eastAsia" w:ascii="宋体" w:hAnsi="宋体" w:cs="宋体"/>
                <w:sz w:val="24"/>
                <w:szCs w:val="21"/>
              </w:rPr>
            </w:pPr>
            <w:r>
              <w:rPr>
                <w:rFonts w:hint="eastAsia" w:ascii="宋体" w:hAnsi="宋体" w:cs="宋体"/>
                <w:sz w:val="24"/>
                <w:szCs w:val="21"/>
              </w:rPr>
              <w:t>建设项目</w:t>
            </w:r>
          </w:p>
          <w:p w14:paraId="181D7794">
            <w:pPr>
              <w:adjustRightInd w:val="0"/>
              <w:snapToGrid w:val="0"/>
              <w:jc w:val="center"/>
              <w:rPr>
                <w:rFonts w:hint="eastAsia" w:ascii="宋体" w:hAnsi="宋体" w:cs="宋体"/>
                <w:sz w:val="24"/>
                <w:szCs w:val="21"/>
              </w:rPr>
            </w:pPr>
            <w:r>
              <w:rPr>
                <w:rFonts w:hint="eastAsia" w:ascii="宋体" w:hAnsi="宋体" w:cs="宋体"/>
                <w:sz w:val="24"/>
                <w:szCs w:val="21"/>
              </w:rPr>
              <w:t>行业类别</w:t>
            </w:r>
          </w:p>
        </w:tc>
        <w:tc>
          <w:tcPr>
            <w:tcW w:w="2043" w:type="dxa"/>
            <w:vAlign w:val="center"/>
          </w:tcPr>
          <w:p w14:paraId="3D8133EB">
            <w:pPr>
              <w:adjustRightInd w:val="0"/>
              <w:snapToGrid w:val="0"/>
              <w:jc w:val="center"/>
              <w:rPr>
                <w:rFonts w:hint="eastAsia" w:ascii="宋体" w:hAnsi="宋体" w:cs="宋体"/>
                <w:sz w:val="24"/>
                <w:szCs w:val="21"/>
              </w:rPr>
            </w:pPr>
            <w:r>
              <w:rPr>
                <w:rFonts w:hint="eastAsia" w:ascii="宋体" w:hAnsi="宋体" w:cs="宋体"/>
                <w:sz w:val="24"/>
                <w:szCs w:val="21"/>
              </w:rPr>
              <w:t>二十三、化学原料和化学制品制造业</w:t>
            </w:r>
          </w:p>
          <w:p w14:paraId="20B19F55">
            <w:pPr>
              <w:adjustRightInd w:val="0"/>
              <w:snapToGrid w:val="0"/>
              <w:jc w:val="center"/>
              <w:rPr>
                <w:rFonts w:hint="eastAsia" w:ascii="宋体" w:hAnsi="宋体" w:cs="宋体"/>
                <w:sz w:val="24"/>
                <w:szCs w:val="21"/>
              </w:rPr>
            </w:pPr>
            <w:r>
              <w:rPr>
                <w:rFonts w:hint="eastAsia" w:ascii="宋体" w:hAnsi="宋体" w:cs="宋体"/>
                <w:sz w:val="24"/>
                <w:szCs w:val="21"/>
              </w:rPr>
              <w:t>44 基础化学原料制造261</w:t>
            </w:r>
          </w:p>
          <w:p w14:paraId="593A3500">
            <w:pPr>
              <w:adjustRightInd w:val="0"/>
              <w:snapToGrid w:val="0"/>
              <w:jc w:val="center"/>
              <w:rPr>
                <w:rFonts w:hint="eastAsia" w:ascii="宋体" w:hAnsi="宋体" w:cs="宋体"/>
                <w:sz w:val="24"/>
                <w:szCs w:val="21"/>
              </w:rPr>
            </w:pPr>
            <w:r>
              <w:rPr>
                <w:rFonts w:hint="eastAsia" w:ascii="宋体" w:hAnsi="宋体" w:cs="宋体"/>
                <w:sz w:val="24"/>
                <w:szCs w:val="21"/>
              </w:rPr>
              <w:t>五十二、交通运输业、管道运输业</w:t>
            </w:r>
          </w:p>
          <w:p w14:paraId="291038E3">
            <w:pPr>
              <w:adjustRightInd w:val="0"/>
              <w:snapToGrid w:val="0"/>
              <w:jc w:val="center"/>
              <w:rPr>
                <w:rFonts w:hint="eastAsia" w:ascii="宋体" w:hAnsi="宋体" w:cs="宋体"/>
                <w:sz w:val="24"/>
                <w:szCs w:val="21"/>
              </w:rPr>
            </w:pPr>
            <w:r>
              <w:rPr>
                <w:rFonts w:hint="eastAsia" w:ascii="宋体" w:hAnsi="宋体" w:cs="宋体"/>
                <w:sz w:val="24"/>
                <w:szCs w:val="21"/>
              </w:rPr>
              <w:t>148 危险化学品输送管线（不含企业厂区内管线）</w:t>
            </w:r>
          </w:p>
          <w:p w14:paraId="6E6327EA">
            <w:pPr>
              <w:adjustRightInd w:val="0"/>
              <w:snapToGrid w:val="0"/>
              <w:jc w:val="center"/>
              <w:rPr>
                <w:rFonts w:hint="eastAsia" w:ascii="宋体" w:hAnsi="宋体" w:cs="宋体"/>
                <w:sz w:val="24"/>
                <w:szCs w:val="21"/>
              </w:rPr>
            </w:pPr>
            <w:r>
              <w:rPr>
                <w:rFonts w:hint="eastAsia" w:ascii="宋体" w:hAnsi="宋体" w:cs="宋体"/>
                <w:sz w:val="24"/>
                <w:szCs w:val="21"/>
              </w:rPr>
              <w:t>五十三、装卸搬运和仓储业</w:t>
            </w:r>
          </w:p>
          <w:p w14:paraId="6CFF38D6">
            <w:pPr>
              <w:adjustRightInd w:val="0"/>
              <w:snapToGrid w:val="0"/>
              <w:jc w:val="center"/>
              <w:rPr>
                <w:rFonts w:hint="eastAsia" w:ascii="宋体" w:hAnsi="宋体" w:cs="宋体"/>
                <w:sz w:val="24"/>
                <w:szCs w:val="21"/>
              </w:rPr>
            </w:pPr>
            <w:r>
              <w:rPr>
                <w:rFonts w:hint="eastAsia" w:ascii="宋体" w:hAnsi="宋体" w:cs="宋体"/>
                <w:sz w:val="24"/>
                <w:szCs w:val="21"/>
              </w:rPr>
              <w:t>149 危险品仓储594（不含加油站的油库；不含加气站的气库）</w:t>
            </w:r>
          </w:p>
        </w:tc>
        <w:tc>
          <w:tcPr>
            <w:tcW w:w="2218" w:type="dxa"/>
            <w:vAlign w:val="center"/>
          </w:tcPr>
          <w:p w14:paraId="16345B43">
            <w:pPr>
              <w:adjustRightInd w:val="0"/>
              <w:snapToGrid w:val="0"/>
              <w:jc w:val="center"/>
              <w:rPr>
                <w:rFonts w:hint="eastAsia" w:ascii="宋体" w:hAnsi="宋体" w:cs="宋体"/>
                <w:sz w:val="24"/>
                <w:szCs w:val="21"/>
              </w:rPr>
            </w:pPr>
            <w:r>
              <w:rPr>
                <w:rFonts w:hint="eastAsia" w:ascii="宋体" w:hAnsi="宋体" w:cs="宋体"/>
                <w:sz w:val="24"/>
                <w:szCs w:val="21"/>
              </w:rPr>
              <w:t>用地（用海）面积（</w:t>
            </w:r>
            <w:r>
              <w:rPr>
                <w:rFonts w:ascii="宋体" w:hAnsi="宋体" w:cs="宋体"/>
                <w:sz w:val="24"/>
                <w:szCs w:val="21"/>
              </w:rPr>
              <w:t>m</w:t>
            </w:r>
            <w:r>
              <w:rPr>
                <w:rFonts w:ascii="宋体" w:hAnsi="宋体" w:cs="宋体"/>
                <w:sz w:val="24"/>
                <w:szCs w:val="21"/>
                <w:vertAlign w:val="superscript"/>
              </w:rPr>
              <w:t>2</w:t>
            </w:r>
            <w:r>
              <w:rPr>
                <w:rFonts w:hint="eastAsia" w:ascii="宋体" w:hAnsi="宋体" w:cs="宋体"/>
                <w:sz w:val="24"/>
                <w:szCs w:val="21"/>
              </w:rPr>
              <w:t>）</w:t>
            </w:r>
            <w:r>
              <w:rPr>
                <w:rFonts w:ascii="宋体" w:hAnsi="宋体" w:cs="宋体"/>
                <w:sz w:val="24"/>
                <w:szCs w:val="21"/>
              </w:rPr>
              <w:t>/</w:t>
            </w:r>
            <w:r>
              <w:rPr>
                <w:rFonts w:hint="eastAsia" w:ascii="宋体" w:hAnsi="宋体" w:cs="宋体"/>
                <w:sz w:val="24"/>
                <w:szCs w:val="21"/>
              </w:rPr>
              <w:t>长度（</w:t>
            </w:r>
            <w:r>
              <w:rPr>
                <w:rFonts w:ascii="宋体" w:hAnsi="宋体" w:cs="宋体"/>
                <w:sz w:val="24"/>
                <w:szCs w:val="21"/>
              </w:rPr>
              <w:t>km</w:t>
            </w:r>
            <w:r>
              <w:rPr>
                <w:rFonts w:hint="eastAsia" w:ascii="宋体" w:hAnsi="宋体" w:cs="宋体"/>
                <w:sz w:val="24"/>
                <w:szCs w:val="21"/>
              </w:rPr>
              <w:t>）</w:t>
            </w:r>
          </w:p>
        </w:tc>
        <w:tc>
          <w:tcPr>
            <w:tcW w:w="2552" w:type="dxa"/>
            <w:gridSpan w:val="2"/>
            <w:vAlign w:val="center"/>
          </w:tcPr>
          <w:p w14:paraId="719DD402">
            <w:pPr>
              <w:adjustRightInd w:val="0"/>
              <w:snapToGrid w:val="0"/>
              <w:jc w:val="center"/>
              <w:rPr>
                <w:sz w:val="24"/>
                <w:szCs w:val="21"/>
              </w:rPr>
            </w:pPr>
            <w:r>
              <w:rPr>
                <w:rFonts w:hint="eastAsia"/>
                <w:sz w:val="24"/>
                <w:szCs w:val="21"/>
              </w:rPr>
              <w:t>新建管道长度</w:t>
            </w:r>
            <w:r>
              <w:rPr>
                <w:sz w:val="24"/>
                <w:szCs w:val="21"/>
              </w:rPr>
              <w:t>7km</w:t>
            </w:r>
          </w:p>
        </w:tc>
      </w:tr>
      <w:tr w14:paraId="5F74E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gridSpan w:val="2"/>
            <w:tcMar>
              <w:top w:w="16" w:type="dxa"/>
              <w:left w:w="16" w:type="dxa"/>
              <w:right w:w="16" w:type="dxa"/>
            </w:tcMar>
            <w:vAlign w:val="center"/>
          </w:tcPr>
          <w:p w14:paraId="4A475FA0">
            <w:pPr>
              <w:adjustRightInd w:val="0"/>
              <w:snapToGrid w:val="0"/>
              <w:jc w:val="center"/>
              <w:rPr>
                <w:rFonts w:hint="eastAsia" w:ascii="宋体" w:hAnsi="宋体" w:cs="宋体"/>
                <w:sz w:val="24"/>
                <w:szCs w:val="21"/>
              </w:rPr>
            </w:pPr>
            <w:r>
              <w:rPr>
                <w:rFonts w:hint="eastAsia" w:ascii="宋体" w:hAnsi="宋体" w:cs="宋体"/>
                <w:sz w:val="24"/>
                <w:szCs w:val="21"/>
              </w:rPr>
              <w:t>建设性质</w:t>
            </w:r>
          </w:p>
        </w:tc>
        <w:tc>
          <w:tcPr>
            <w:tcW w:w="2043" w:type="dxa"/>
            <w:vAlign w:val="center"/>
          </w:tcPr>
          <w:p w14:paraId="2F2C56E4">
            <w:pPr>
              <w:adjustRightInd w:val="0"/>
              <w:snapToGrid w:val="0"/>
              <w:jc w:val="left"/>
              <w:rPr>
                <w:rFonts w:hint="eastAsia" w:ascii="宋体" w:hAnsi="宋体" w:cs="宋体"/>
                <w:sz w:val="24"/>
                <w:szCs w:val="21"/>
              </w:rPr>
            </w:pPr>
            <w:r>
              <w:rPr>
                <w:rFonts w:hint="eastAsia" w:ascii="宋体" w:hAnsi="宋体" w:cs="宋体"/>
                <w:sz w:val="24"/>
                <w:szCs w:val="21"/>
              </w:rPr>
              <w:t>□新建（迁建）</w:t>
            </w:r>
          </w:p>
          <w:p w14:paraId="530E3388">
            <w:pPr>
              <w:adjustRightInd w:val="0"/>
              <w:snapToGrid w:val="0"/>
              <w:jc w:val="left"/>
              <w:rPr>
                <w:rFonts w:hint="eastAsia" w:ascii="宋体" w:hAnsi="宋体" w:cs="宋体"/>
                <w:sz w:val="24"/>
                <w:szCs w:val="21"/>
              </w:rPr>
            </w:pPr>
            <w:r>
              <w:rPr>
                <w:rFonts w:hint="eastAsia" w:ascii="宋体" w:hAnsi="宋体" w:cs="宋体"/>
                <w:sz w:val="24"/>
                <w:szCs w:val="21"/>
              </w:rPr>
              <w:t>□改建</w:t>
            </w:r>
          </w:p>
          <w:p w14:paraId="62DBC5EA">
            <w:pPr>
              <w:adjustRightInd w:val="0"/>
              <w:snapToGrid w:val="0"/>
              <w:jc w:val="left"/>
              <w:rPr>
                <w:rFonts w:hint="eastAsia" w:ascii="宋体" w:hAnsi="宋体" w:cs="宋体"/>
                <w:sz w:val="24"/>
                <w:szCs w:val="21"/>
              </w:rPr>
            </w:pPr>
            <w:r>
              <w:rPr>
                <w:rFonts w:hint="eastAsia" w:ascii="宋体" w:hAnsi="宋体" w:cs="宋体"/>
                <w:sz w:val="24"/>
                <w:szCs w:val="21"/>
              </w:rPr>
              <w:sym w:font="Wingdings 2" w:char="F052"/>
            </w:r>
            <w:r>
              <w:rPr>
                <w:rFonts w:hint="eastAsia" w:ascii="宋体" w:hAnsi="宋体" w:cs="宋体"/>
                <w:sz w:val="24"/>
                <w:szCs w:val="21"/>
              </w:rPr>
              <w:t>扩建</w:t>
            </w:r>
          </w:p>
          <w:p w14:paraId="24449639">
            <w:pPr>
              <w:adjustRightInd w:val="0"/>
              <w:snapToGrid w:val="0"/>
              <w:jc w:val="left"/>
              <w:rPr>
                <w:rFonts w:hint="eastAsia" w:ascii="宋体" w:hAnsi="宋体" w:cs="宋体"/>
                <w:sz w:val="24"/>
                <w:szCs w:val="21"/>
              </w:rPr>
            </w:pPr>
            <w:r>
              <w:rPr>
                <w:rFonts w:hint="eastAsia" w:ascii="宋体" w:hAnsi="宋体" w:cs="宋体"/>
                <w:sz w:val="24"/>
                <w:szCs w:val="21"/>
              </w:rPr>
              <w:t>□技术改造</w:t>
            </w:r>
          </w:p>
        </w:tc>
        <w:tc>
          <w:tcPr>
            <w:tcW w:w="2218" w:type="dxa"/>
            <w:vAlign w:val="center"/>
          </w:tcPr>
          <w:p w14:paraId="7643D7FA">
            <w:pPr>
              <w:adjustRightInd w:val="0"/>
              <w:snapToGrid w:val="0"/>
              <w:jc w:val="center"/>
              <w:rPr>
                <w:rFonts w:hint="eastAsia" w:ascii="宋体" w:hAnsi="宋体" w:cs="宋体"/>
                <w:sz w:val="24"/>
                <w:szCs w:val="21"/>
              </w:rPr>
            </w:pPr>
            <w:r>
              <w:rPr>
                <w:rFonts w:hint="eastAsia" w:ascii="宋体" w:hAnsi="宋体" w:cs="宋体"/>
                <w:sz w:val="24"/>
                <w:szCs w:val="21"/>
              </w:rPr>
              <w:t>建设项目</w:t>
            </w:r>
          </w:p>
          <w:p w14:paraId="23C198C5">
            <w:pPr>
              <w:adjustRightInd w:val="0"/>
              <w:snapToGrid w:val="0"/>
              <w:jc w:val="center"/>
              <w:rPr>
                <w:rFonts w:hint="eastAsia" w:ascii="宋体" w:hAnsi="宋体" w:cs="宋体"/>
                <w:sz w:val="24"/>
                <w:szCs w:val="21"/>
              </w:rPr>
            </w:pPr>
            <w:r>
              <w:rPr>
                <w:rFonts w:hint="eastAsia" w:ascii="宋体" w:hAnsi="宋体" w:cs="宋体"/>
                <w:sz w:val="24"/>
                <w:szCs w:val="21"/>
              </w:rPr>
              <w:t>申报情形</w:t>
            </w:r>
          </w:p>
        </w:tc>
        <w:tc>
          <w:tcPr>
            <w:tcW w:w="2552" w:type="dxa"/>
            <w:gridSpan w:val="2"/>
            <w:vAlign w:val="center"/>
          </w:tcPr>
          <w:p w14:paraId="550E7649">
            <w:pPr>
              <w:adjustRightInd w:val="0"/>
              <w:snapToGrid w:val="0"/>
              <w:jc w:val="left"/>
              <w:rPr>
                <w:rFonts w:hint="eastAsia" w:ascii="宋体" w:hAnsi="宋体" w:cs="宋体"/>
                <w:sz w:val="24"/>
                <w:szCs w:val="21"/>
              </w:rPr>
            </w:pPr>
            <w:r>
              <w:rPr>
                <w:rFonts w:hint="eastAsia" w:ascii="宋体" w:hAnsi="宋体" w:cs="宋体"/>
                <w:sz w:val="24"/>
                <w:szCs w:val="21"/>
              </w:rPr>
              <w:sym w:font="Wingdings 2" w:char="F052"/>
            </w:r>
            <w:r>
              <w:rPr>
                <w:rFonts w:hint="eastAsia" w:ascii="宋体" w:hAnsi="宋体" w:cs="宋体"/>
                <w:sz w:val="24"/>
                <w:szCs w:val="21"/>
              </w:rPr>
              <w:t>首次申报项目</w:t>
            </w:r>
          </w:p>
          <w:p w14:paraId="26DCBB9E">
            <w:pPr>
              <w:adjustRightInd w:val="0"/>
              <w:snapToGrid w:val="0"/>
              <w:jc w:val="left"/>
              <w:rPr>
                <w:rFonts w:hint="eastAsia" w:ascii="宋体" w:hAnsi="宋体" w:cs="宋体"/>
                <w:sz w:val="24"/>
                <w:szCs w:val="21"/>
              </w:rPr>
            </w:pPr>
            <w:r>
              <w:rPr>
                <w:rFonts w:hint="eastAsia" w:ascii="宋体" w:hAnsi="宋体" w:cs="宋体"/>
                <w:sz w:val="24"/>
                <w:szCs w:val="21"/>
              </w:rPr>
              <w:t>□不予批准后再次申报项目</w:t>
            </w:r>
          </w:p>
          <w:p w14:paraId="7D1661DB">
            <w:pPr>
              <w:adjustRightInd w:val="0"/>
              <w:snapToGrid w:val="0"/>
              <w:jc w:val="left"/>
              <w:rPr>
                <w:rFonts w:hint="eastAsia" w:ascii="宋体" w:hAnsi="宋体" w:cs="宋体"/>
                <w:sz w:val="24"/>
                <w:szCs w:val="21"/>
              </w:rPr>
            </w:pPr>
            <w:r>
              <w:rPr>
                <w:rFonts w:hint="eastAsia" w:ascii="宋体" w:hAnsi="宋体" w:cs="宋体"/>
                <w:sz w:val="24"/>
                <w:szCs w:val="21"/>
              </w:rPr>
              <w:t>□超五年重新审核项目</w:t>
            </w:r>
          </w:p>
          <w:p w14:paraId="5EB4F702">
            <w:pPr>
              <w:adjustRightInd w:val="0"/>
              <w:snapToGrid w:val="0"/>
              <w:rPr>
                <w:rFonts w:hint="eastAsia" w:ascii="宋体" w:hAnsi="宋体" w:cs="宋体"/>
                <w:sz w:val="24"/>
                <w:szCs w:val="21"/>
              </w:rPr>
            </w:pPr>
            <w:r>
              <w:rPr>
                <w:rFonts w:hint="eastAsia" w:ascii="宋体" w:hAnsi="宋体" w:cs="宋体"/>
                <w:sz w:val="24"/>
                <w:szCs w:val="21"/>
              </w:rPr>
              <w:t>□重大变动重新报批项目</w:t>
            </w:r>
          </w:p>
        </w:tc>
      </w:tr>
      <w:tr w14:paraId="6C452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26" w:type="dxa"/>
            <w:gridSpan w:val="2"/>
            <w:tcMar>
              <w:top w:w="16" w:type="dxa"/>
              <w:left w:w="16" w:type="dxa"/>
              <w:right w:w="16" w:type="dxa"/>
            </w:tcMar>
            <w:vAlign w:val="center"/>
          </w:tcPr>
          <w:p w14:paraId="2334BB62">
            <w:pPr>
              <w:adjustRightInd w:val="0"/>
              <w:snapToGrid w:val="0"/>
              <w:jc w:val="center"/>
              <w:rPr>
                <w:rFonts w:hint="eastAsia" w:ascii="宋体" w:hAnsi="宋体" w:cs="宋体"/>
                <w:sz w:val="24"/>
                <w:szCs w:val="21"/>
              </w:rPr>
            </w:pPr>
            <w:r>
              <w:rPr>
                <w:rFonts w:hint="eastAsia" w:ascii="宋体" w:hAnsi="宋体" w:cs="宋体"/>
                <w:sz w:val="24"/>
                <w:szCs w:val="21"/>
              </w:rPr>
              <w:t>项目审批（核准</w:t>
            </w:r>
            <w:r>
              <w:rPr>
                <w:rFonts w:ascii="宋体" w:hAnsi="宋体" w:cs="宋体"/>
                <w:sz w:val="24"/>
                <w:szCs w:val="21"/>
              </w:rPr>
              <w:t>/</w:t>
            </w:r>
          </w:p>
          <w:p w14:paraId="390560EA">
            <w:pPr>
              <w:adjustRightInd w:val="0"/>
              <w:snapToGrid w:val="0"/>
              <w:jc w:val="center"/>
              <w:rPr>
                <w:rFonts w:hint="eastAsia" w:ascii="宋体" w:hAnsi="宋体" w:cs="宋体"/>
                <w:sz w:val="24"/>
                <w:szCs w:val="21"/>
              </w:rPr>
            </w:pPr>
            <w:r>
              <w:rPr>
                <w:rFonts w:hint="eastAsia" w:ascii="宋体" w:hAnsi="宋体" w:cs="宋体"/>
                <w:sz w:val="24"/>
                <w:szCs w:val="21"/>
              </w:rPr>
              <w:t>备案）部门（选填）</w:t>
            </w:r>
          </w:p>
        </w:tc>
        <w:tc>
          <w:tcPr>
            <w:tcW w:w="2043" w:type="dxa"/>
            <w:vAlign w:val="center"/>
          </w:tcPr>
          <w:p w14:paraId="1E63C155">
            <w:pPr>
              <w:adjustRightInd w:val="0"/>
              <w:snapToGrid w:val="0"/>
              <w:jc w:val="center"/>
              <w:rPr>
                <w:rFonts w:hint="eastAsia" w:ascii="宋体" w:hAnsi="宋体" w:cs="宋体"/>
                <w:sz w:val="24"/>
                <w:szCs w:val="21"/>
              </w:rPr>
            </w:pPr>
            <w:r>
              <w:rPr>
                <w:rFonts w:hint="eastAsia" w:ascii="宋体" w:hAnsi="宋体" w:cs="宋体"/>
                <w:sz w:val="24"/>
                <w:szCs w:val="21"/>
              </w:rPr>
              <w:t>广西自贸区钦州港片区行政审批局</w:t>
            </w:r>
          </w:p>
        </w:tc>
        <w:tc>
          <w:tcPr>
            <w:tcW w:w="2218" w:type="dxa"/>
            <w:vAlign w:val="center"/>
          </w:tcPr>
          <w:p w14:paraId="73FCA8ED">
            <w:pPr>
              <w:adjustRightInd w:val="0"/>
              <w:snapToGrid w:val="0"/>
              <w:jc w:val="center"/>
              <w:rPr>
                <w:rFonts w:hint="eastAsia" w:ascii="宋体" w:hAnsi="宋体" w:cs="宋体"/>
                <w:sz w:val="24"/>
                <w:szCs w:val="21"/>
              </w:rPr>
            </w:pPr>
            <w:r>
              <w:rPr>
                <w:rFonts w:hint="eastAsia" w:ascii="宋体" w:hAnsi="宋体" w:cs="宋体"/>
                <w:sz w:val="24"/>
                <w:szCs w:val="21"/>
              </w:rPr>
              <w:t>项目审批（核准</w:t>
            </w:r>
            <w:r>
              <w:rPr>
                <w:rFonts w:ascii="宋体" w:hAnsi="宋体" w:cs="宋体"/>
                <w:sz w:val="24"/>
                <w:szCs w:val="21"/>
              </w:rPr>
              <w:t>/</w:t>
            </w:r>
          </w:p>
          <w:p w14:paraId="3EE97E24">
            <w:pPr>
              <w:adjustRightInd w:val="0"/>
              <w:snapToGrid w:val="0"/>
              <w:jc w:val="center"/>
              <w:rPr>
                <w:rFonts w:hint="eastAsia" w:ascii="宋体" w:hAnsi="宋体" w:cs="宋体"/>
                <w:sz w:val="24"/>
                <w:szCs w:val="21"/>
              </w:rPr>
            </w:pPr>
            <w:r>
              <w:rPr>
                <w:rFonts w:hint="eastAsia" w:ascii="宋体" w:hAnsi="宋体" w:cs="宋体"/>
                <w:sz w:val="24"/>
                <w:szCs w:val="21"/>
              </w:rPr>
              <w:t>备案）文号（选填）</w:t>
            </w:r>
          </w:p>
        </w:tc>
        <w:tc>
          <w:tcPr>
            <w:tcW w:w="2552" w:type="dxa"/>
            <w:gridSpan w:val="2"/>
            <w:vAlign w:val="center"/>
          </w:tcPr>
          <w:p w14:paraId="1E98F03D">
            <w:pPr>
              <w:adjustRightInd w:val="0"/>
              <w:snapToGrid w:val="0"/>
              <w:jc w:val="center"/>
              <w:rPr>
                <w:rFonts w:cs="宋体"/>
                <w:sz w:val="24"/>
                <w:szCs w:val="21"/>
              </w:rPr>
            </w:pPr>
            <w:r>
              <w:rPr>
                <w:rFonts w:hint="eastAsia" w:cs="宋体"/>
                <w:sz w:val="24"/>
                <w:szCs w:val="21"/>
              </w:rPr>
              <w:t>/</w:t>
            </w:r>
          </w:p>
        </w:tc>
      </w:tr>
      <w:tr w14:paraId="2E016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6" w:hRule="atLeast"/>
        </w:trPr>
        <w:tc>
          <w:tcPr>
            <w:tcW w:w="2226" w:type="dxa"/>
            <w:gridSpan w:val="2"/>
            <w:tcMar>
              <w:top w:w="16" w:type="dxa"/>
              <w:left w:w="16" w:type="dxa"/>
              <w:right w:w="16" w:type="dxa"/>
            </w:tcMar>
            <w:vAlign w:val="center"/>
          </w:tcPr>
          <w:p w14:paraId="5EC03F1F">
            <w:pPr>
              <w:adjustRightInd w:val="0"/>
              <w:snapToGrid w:val="0"/>
              <w:jc w:val="center"/>
              <w:rPr>
                <w:rFonts w:hint="eastAsia" w:ascii="宋体" w:hAnsi="宋体" w:cs="宋体"/>
                <w:sz w:val="24"/>
                <w:szCs w:val="21"/>
              </w:rPr>
            </w:pPr>
            <w:r>
              <w:rPr>
                <w:rFonts w:hint="eastAsia" w:ascii="宋体" w:hAnsi="宋体" w:cs="宋体"/>
                <w:sz w:val="24"/>
                <w:szCs w:val="21"/>
              </w:rPr>
              <w:t>总投资（万元）</w:t>
            </w:r>
          </w:p>
        </w:tc>
        <w:tc>
          <w:tcPr>
            <w:tcW w:w="2043" w:type="dxa"/>
            <w:vAlign w:val="center"/>
          </w:tcPr>
          <w:p w14:paraId="10425FB5">
            <w:pPr>
              <w:adjustRightInd w:val="0"/>
              <w:snapToGrid w:val="0"/>
              <w:jc w:val="center"/>
              <w:rPr>
                <w:rFonts w:hint="eastAsia" w:ascii="宋体" w:hAnsi="宋体" w:cs="宋体"/>
                <w:sz w:val="24"/>
                <w:szCs w:val="21"/>
              </w:rPr>
            </w:pPr>
          </w:p>
        </w:tc>
        <w:tc>
          <w:tcPr>
            <w:tcW w:w="2218" w:type="dxa"/>
            <w:vAlign w:val="center"/>
          </w:tcPr>
          <w:p w14:paraId="5D5E5541">
            <w:pPr>
              <w:adjustRightInd w:val="0"/>
              <w:snapToGrid w:val="0"/>
              <w:jc w:val="center"/>
              <w:rPr>
                <w:rFonts w:hint="eastAsia" w:ascii="宋体" w:hAnsi="宋体" w:cs="宋体"/>
                <w:sz w:val="24"/>
                <w:szCs w:val="21"/>
              </w:rPr>
            </w:pPr>
            <w:r>
              <w:rPr>
                <w:rFonts w:hint="eastAsia" w:ascii="宋体" w:hAnsi="宋体" w:cs="宋体"/>
                <w:sz w:val="24"/>
                <w:szCs w:val="21"/>
              </w:rPr>
              <w:t>环保投资（万元）</w:t>
            </w:r>
          </w:p>
        </w:tc>
        <w:tc>
          <w:tcPr>
            <w:tcW w:w="2552" w:type="dxa"/>
            <w:gridSpan w:val="2"/>
            <w:vAlign w:val="center"/>
          </w:tcPr>
          <w:p w14:paraId="06F988CA">
            <w:pPr>
              <w:adjustRightInd w:val="0"/>
              <w:snapToGrid w:val="0"/>
              <w:jc w:val="center"/>
              <w:rPr>
                <w:rFonts w:cs="宋体"/>
                <w:sz w:val="24"/>
                <w:szCs w:val="21"/>
              </w:rPr>
            </w:pPr>
          </w:p>
        </w:tc>
      </w:tr>
      <w:tr w14:paraId="4ACE1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226" w:type="dxa"/>
            <w:gridSpan w:val="2"/>
            <w:tcMar>
              <w:top w:w="16" w:type="dxa"/>
              <w:left w:w="16" w:type="dxa"/>
              <w:right w:w="16" w:type="dxa"/>
            </w:tcMar>
            <w:vAlign w:val="center"/>
          </w:tcPr>
          <w:p w14:paraId="473C826D">
            <w:pPr>
              <w:adjustRightInd w:val="0"/>
              <w:snapToGrid w:val="0"/>
              <w:jc w:val="center"/>
              <w:rPr>
                <w:rFonts w:hint="eastAsia" w:ascii="宋体" w:hAnsi="宋体" w:cs="宋体"/>
                <w:sz w:val="24"/>
                <w:szCs w:val="21"/>
              </w:rPr>
            </w:pPr>
            <w:r>
              <w:rPr>
                <w:rFonts w:hint="eastAsia" w:ascii="宋体" w:hAnsi="宋体" w:cs="宋体"/>
                <w:sz w:val="24"/>
                <w:szCs w:val="21"/>
              </w:rPr>
              <w:t>环保投资占比（</w:t>
            </w:r>
            <w:r>
              <w:rPr>
                <w:rFonts w:ascii="宋体" w:hAnsi="宋体" w:cs="宋体"/>
                <w:sz w:val="24"/>
                <w:szCs w:val="21"/>
              </w:rPr>
              <w:t>%</w:t>
            </w:r>
            <w:r>
              <w:rPr>
                <w:rFonts w:hint="eastAsia" w:ascii="宋体" w:hAnsi="宋体" w:cs="宋体"/>
                <w:sz w:val="24"/>
                <w:szCs w:val="21"/>
              </w:rPr>
              <w:t>）</w:t>
            </w:r>
          </w:p>
        </w:tc>
        <w:tc>
          <w:tcPr>
            <w:tcW w:w="2043" w:type="dxa"/>
            <w:vAlign w:val="center"/>
          </w:tcPr>
          <w:p w14:paraId="776466A9">
            <w:pPr>
              <w:adjustRightInd w:val="0"/>
              <w:snapToGrid w:val="0"/>
              <w:jc w:val="center"/>
              <w:rPr>
                <w:sz w:val="24"/>
                <w:szCs w:val="21"/>
              </w:rPr>
            </w:pPr>
            <w:r>
              <w:rPr>
                <w:sz w:val="24"/>
                <w:szCs w:val="21"/>
              </w:rPr>
              <w:t>2.35</w:t>
            </w:r>
          </w:p>
        </w:tc>
        <w:tc>
          <w:tcPr>
            <w:tcW w:w="2218" w:type="dxa"/>
            <w:tcMar>
              <w:top w:w="16" w:type="dxa"/>
              <w:left w:w="16" w:type="dxa"/>
              <w:right w:w="16" w:type="dxa"/>
            </w:tcMar>
            <w:vAlign w:val="center"/>
          </w:tcPr>
          <w:p w14:paraId="61C36425">
            <w:pPr>
              <w:adjustRightInd w:val="0"/>
              <w:snapToGrid w:val="0"/>
              <w:jc w:val="center"/>
              <w:rPr>
                <w:rFonts w:hint="eastAsia" w:ascii="宋体" w:hAnsi="宋体" w:cs="宋体"/>
                <w:sz w:val="24"/>
                <w:szCs w:val="21"/>
              </w:rPr>
            </w:pPr>
            <w:r>
              <w:rPr>
                <w:rFonts w:hint="eastAsia" w:ascii="宋体" w:hAnsi="宋体" w:cs="宋体"/>
                <w:sz w:val="24"/>
                <w:szCs w:val="21"/>
              </w:rPr>
              <w:t>施工工期</w:t>
            </w:r>
          </w:p>
        </w:tc>
        <w:tc>
          <w:tcPr>
            <w:tcW w:w="2552" w:type="dxa"/>
            <w:gridSpan w:val="2"/>
            <w:vAlign w:val="center"/>
          </w:tcPr>
          <w:p w14:paraId="1FE5B7EF">
            <w:pPr>
              <w:adjustRightInd w:val="0"/>
              <w:snapToGrid w:val="0"/>
              <w:jc w:val="center"/>
              <w:rPr>
                <w:rFonts w:hint="eastAsia" w:ascii="宋体" w:hAnsi="宋体" w:cs="宋体"/>
                <w:sz w:val="24"/>
                <w:szCs w:val="21"/>
              </w:rPr>
            </w:pPr>
            <w:r>
              <w:rPr>
                <w:sz w:val="24"/>
                <w:szCs w:val="21"/>
              </w:rPr>
              <w:t>15</w:t>
            </w:r>
            <w:r>
              <w:rPr>
                <w:rFonts w:hint="eastAsia" w:ascii="宋体" w:hAnsi="宋体" w:cs="宋体"/>
                <w:sz w:val="24"/>
                <w:szCs w:val="21"/>
              </w:rPr>
              <w:t>个月</w:t>
            </w:r>
          </w:p>
        </w:tc>
      </w:tr>
      <w:tr w14:paraId="38D8A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gridSpan w:val="2"/>
            <w:tcMar>
              <w:top w:w="16" w:type="dxa"/>
              <w:left w:w="16" w:type="dxa"/>
              <w:right w:w="16" w:type="dxa"/>
            </w:tcMar>
            <w:vAlign w:val="center"/>
          </w:tcPr>
          <w:p w14:paraId="5EC1BC5F">
            <w:pPr>
              <w:adjustRightInd w:val="0"/>
              <w:snapToGrid w:val="0"/>
              <w:jc w:val="center"/>
              <w:rPr>
                <w:rFonts w:hint="eastAsia" w:ascii="宋体" w:hAnsi="宋体" w:cs="宋体"/>
                <w:sz w:val="24"/>
                <w:szCs w:val="21"/>
              </w:rPr>
            </w:pPr>
            <w:r>
              <w:rPr>
                <w:rFonts w:hint="eastAsia" w:ascii="宋体" w:hAnsi="宋体" w:cs="宋体"/>
                <w:sz w:val="24"/>
                <w:szCs w:val="21"/>
              </w:rPr>
              <w:t>是否开工建设</w:t>
            </w:r>
          </w:p>
        </w:tc>
        <w:tc>
          <w:tcPr>
            <w:tcW w:w="6813" w:type="dxa"/>
            <w:gridSpan w:val="4"/>
            <w:vAlign w:val="center"/>
          </w:tcPr>
          <w:p w14:paraId="4964765B">
            <w:pPr>
              <w:adjustRightInd w:val="0"/>
              <w:snapToGrid w:val="0"/>
              <w:ind w:firstLine="105"/>
              <w:jc w:val="left"/>
              <w:rPr>
                <w:rFonts w:hint="eastAsia" w:ascii="宋体" w:hAnsi="宋体" w:cs="宋体"/>
                <w:sz w:val="24"/>
                <w:szCs w:val="21"/>
              </w:rPr>
            </w:pPr>
            <w:r>
              <w:rPr>
                <w:rFonts w:hint="eastAsia" w:ascii="宋体" w:hAnsi="宋体" w:cs="宋体"/>
                <w:sz w:val="24"/>
                <w:szCs w:val="21"/>
              </w:rPr>
              <w:sym w:font="Wingdings 2" w:char="F052"/>
            </w:r>
            <w:r>
              <w:rPr>
                <w:rFonts w:hint="eastAsia" w:ascii="宋体" w:hAnsi="宋体" w:cs="宋体"/>
                <w:sz w:val="24"/>
                <w:szCs w:val="21"/>
              </w:rPr>
              <w:t>否</w:t>
            </w:r>
          </w:p>
          <w:p w14:paraId="2E1D65D7">
            <w:pPr>
              <w:adjustRightInd w:val="0"/>
              <w:snapToGrid w:val="0"/>
              <w:ind w:firstLine="92"/>
              <w:jc w:val="left"/>
              <w:rPr>
                <w:rFonts w:hint="eastAsia" w:ascii="宋体" w:hAnsi="宋体" w:cs="宋体"/>
                <w:sz w:val="24"/>
                <w:szCs w:val="21"/>
              </w:rPr>
            </w:pPr>
            <w:r>
              <w:rPr>
                <w:rFonts w:hint="eastAsia" w:ascii="宋体" w:hAnsi="宋体" w:cs="宋体"/>
                <w:sz w:val="24"/>
                <w:szCs w:val="21"/>
              </w:rPr>
              <w:t>□是：</w:t>
            </w:r>
            <w:r>
              <w:rPr>
                <w:rFonts w:ascii="宋体" w:hAnsi="宋体" w:cs="宋体"/>
                <w:sz w:val="24"/>
                <w:szCs w:val="21"/>
                <w:u w:val="single"/>
              </w:rPr>
              <w:t xml:space="preserve"> </w:t>
            </w:r>
            <w:r>
              <w:rPr>
                <w:rFonts w:hint="eastAsia" w:ascii="宋体" w:hAnsi="宋体" w:cs="宋体"/>
                <w:sz w:val="24"/>
                <w:szCs w:val="21"/>
                <w:u w:val="single"/>
              </w:rPr>
              <w:t xml:space="preserve">                     </w:t>
            </w:r>
            <w:r>
              <w:rPr>
                <w:rFonts w:ascii="宋体" w:hAnsi="宋体" w:cs="宋体"/>
                <w:sz w:val="24"/>
                <w:szCs w:val="21"/>
                <w:u w:val="single"/>
              </w:rPr>
              <w:t xml:space="preserve">       </w:t>
            </w:r>
          </w:p>
        </w:tc>
      </w:tr>
      <w:tr w14:paraId="39DF5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gridSpan w:val="2"/>
            <w:tcMar>
              <w:top w:w="16" w:type="dxa"/>
              <w:left w:w="16" w:type="dxa"/>
              <w:right w:w="16" w:type="dxa"/>
            </w:tcMar>
            <w:vAlign w:val="center"/>
          </w:tcPr>
          <w:p w14:paraId="6ABF1D7F">
            <w:pPr>
              <w:autoSpaceDE w:val="0"/>
              <w:autoSpaceDN w:val="0"/>
              <w:adjustRightInd w:val="0"/>
              <w:snapToGrid w:val="0"/>
              <w:jc w:val="center"/>
              <w:rPr>
                <w:rFonts w:hint="eastAsia" w:ascii="宋体" w:hAnsi="宋体" w:cs="宋体"/>
                <w:kern w:val="0"/>
                <w:sz w:val="24"/>
                <w:szCs w:val="21"/>
              </w:rPr>
            </w:pPr>
            <w:r>
              <w:rPr>
                <w:rFonts w:hint="eastAsia" w:ascii="宋体" w:hAnsi="宋体" w:cs="宋体"/>
                <w:kern w:val="0"/>
                <w:sz w:val="24"/>
                <w:szCs w:val="21"/>
              </w:rPr>
              <w:t>专项评价设置情况</w:t>
            </w:r>
          </w:p>
        </w:tc>
        <w:tc>
          <w:tcPr>
            <w:tcW w:w="6813" w:type="dxa"/>
            <w:gridSpan w:val="4"/>
            <w:tcMar>
              <w:top w:w="16" w:type="dxa"/>
              <w:left w:w="16" w:type="dxa"/>
              <w:right w:w="16" w:type="dxa"/>
            </w:tcMar>
            <w:vAlign w:val="center"/>
          </w:tcPr>
          <w:p w14:paraId="40DB6FB2">
            <w:pPr>
              <w:autoSpaceDE w:val="0"/>
              <w:autoSpaceDN w:val="0"/>
              <w:adjustRightInd w:val="0"/>
              <w:snapToGrid w:val="0"/>
              <w:spacing w:line="360" w:lineRule="auto"/>
              <w:ind w:firstLine="480" w:firstLineChars="200"/>
              <w:jc w:val="left"/>
              <w:rPr>
                <w:rFonts w:cs="宋体"/>
                <w:kern w:val="0"/>
                <w:sz w:val="24"/>
                <w:szCs w:val="21"/>
              </w:rPr>
            </w:pPr>
            <w:r>
              <w:rPr>
                <w:rFonts w:hint="eastAsia" w:cs="宋体"/>
                <w:kern w:val="0"/>
                <w:sz w:val="24"/>
                <w:szCs w:val="21"/>
              </w:rPr>
              <w:t>本次评价设置环境风险专项评价</w:t>
            </w:r>
          </w:p>
          <w:p w14:paraId="3D58E258">
            <w:pPr>
              <w:autoSpaceDE w:val="0"/>
              <w:autoSpaceDN w:val="0"/>
              <w:adjustRightInd w:val="0"/>
              <w:snapToGrid w:val="0"/>
              <w:spacing w:line="360" w:lineRule="auto"/>
              <w:ind w:firstLine="480" w:firstLineChars="200"/>
              <w:jc w:val="left"/>
              <w:rPr>
                <w:rFonts w:cs="宋体"/>
                <w:kern w:val="0"/>
                <w:sz w:val="24"/>
                <w:szCs w:val="21"/>
              </w:rPr>
            </w:pPr>
            <w:r>
              <w:rPr>
                <w:rFonts w:hint="eastAsia" w:cs="宋体"/>
                <w:kern w:val="0"/>
                <w:sz w:val="24"/>
                <w:szCs w:val="21"/>
              </w:rPr>
              <w:t>根据《建设项目环境影响报告表编制技术指南（生态影响类）（试行）》中表1要求，危险化学品输送管线应当设置环境风险专项评价。项目输送来自</w:t>
            </w:r>
            <w:r>
              <w:rPr>
                <w:rFonts w:hint="eastAsia" w:cs="宋体"/>
                <w:kern w:val="0"/>
                <w:sz w:val="24"/>
                <w:szCs w:val="21"/>
                <w:u w:val="single"/>
              </w:rPr>
              <w:t>广西华谊能源化工配套空分项目</w:t>
            </w:r>
            <w:r>
              <w:rPr>
                <w:rFonts w:hint="eastAsia" w:cs="宋体"/>
                <w:kern w:val="0"/>
                <w:sz w:val="24"/>
                <w:szCs w:val="21"/>
              </w:rPr>
              <w:t>生产的压缩氮气，属于《危险化学品目录》（2022调整版）中的172氮[压缩的或液化的]（CAS号：7727-37-9）</w:t>
            </w:r>
          </w:p>
        </w:tc>
      </w:tr>
      <w:tr w14:paraId="49CCF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gridSpan w:val="2"/>
            <w:tcMar>
              <w:top w:w="16" w:type="dxa"/>
              <w:left w:w="16" w:type="dxa"/>
              <w:right w:w="16" w:type="dxa"/>
            </w:tcMar>
            <w:vAlign w:val="center"/>
          </w:tcPr>
          <w:p w14:paraId="49563B0C">
            <w:pPr>
              <w:autoSpaceDE w:val="0"/>
              <w:autoSpaceDN w:val="0"/>
              <w:adjustRightInd w:val="0"/>
              <w:snapToGrid w:val="0"/>
              <w:jc w:val="center"/>
              <w:rPr>
                <w:rFonts w:hint="eastAsia" w:ascii="宋体" w:hAnsi="宋体" w:cs="宋体"/>
                <w:kern w:val="0"/>
                <w:sz w:val="24"/>
                <w:szCs w:val="21"/>
              </w:rPr>
            </w:pPr>
            <w:r>
              <w:rPr>
                <w:rFonts w:hint="eastAsia" w:ascii="宋体" w:hAnsi="宋体" w:cs="宋体"/>
                <w:sz w:val="24"/>
                <w:szCs w:val="21"/>
              </w:rPr>
              <w:t>规划情况</w:t>
            </w:r>
          </w:p>
        </w:tc>
        <w:tc>
          <w:tcPr>
            <w:tcW w:w="6813" w:type="dxa"/>
            <w:gridSpan w:val="4"/>
            <w:tcMar>
              <w:top w:w="16" w:type="dxa"/>
              <w:left w:w="16" w:type="dxa"/>
              <w:right w:w="16" w:type="dxa"/>
            </w:tcMar>
            <w:vAlign w:val="center"/>
          </w:tcPr>
          <w:p w14:paraId="0C240D8F">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（1）规划名称：</w:t>
            </w:r>
            <w:r>
              <w:rPr>
                <w:rFonts w:hint="eastAsia" w:cs="宋体"/>
                <w:kern w:val="0"/>
                <w:sz w:val="24"/>
                <w:szCs w:val="21"/>
              </w:rPr>
              <w:t>《钦州港总体规划（2035年）》</w:t>
            </w:r>
          </w:p>
          <w:p w14:paraId="5E28E464">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审批机关：</w:t>
            </w:r>
            <w:r>
              <w:rPr>
                <w:rFonts w:hint="eastAsia" w:cs="宋体"/>
                <w:kern w:val="0"/>
                <w:sz w:val="24"/>
                <w:szCs w:val="21"/>
              </w:rPr>
              <w:t>广西壮族自治区人民政府</w:t>
            </w:r>
          </w:p>
          <w:p w14:paraId="61CEA811">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审批文件名称及文号：</w:t>
            </w:r>
            <w:r>
              <w:rPr>
                <w:rFonts w:hint="eastAsia" w:cs="宋体"/>
                <w:kern w:val="0"/>
                <w:sz w:val="24"/>
                <w:szCs w:val="21"/>
              </w:rPr>
              <w:t>《广西壮族自治区人民政府关于钦州港总体规划（2035年）的批复》（桂政函〔2020〕92号）</w:t>
            </w:r>
          </w:p>
          <w:p w14:paraId="501288EA">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（2）规划名称：</w:t>
            </w:r>
            <w:r>
              <w:rPr>
                <w:rFonts w:hint="eastAsia" w:cs="宋体"/>
                <w:kern w:val="0"/>
                <w:sz w:val="24"/>
                <w:szCs w:val="21"/>
              </w:rPr>
              <w:t>《广西钦州石化产业园总体发展规划（2020—2035年）》</w:t>
            </w:r>
          </w:p>
          <w:p w14:paraId="721B52B2">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审批机关：</w:t>
            </w:r>
            <w:r>
              <w:rPr>
                <w:rFonts w:hint="eastAsia" w:cs="宋体"/>
                <w:kern w:val="0"/>
                <w:sz w:val="24"/>
                <w:szCs w:val="21"/>
              </w:rPr>
              <w:t>广西壮族自治区人民政府</w:t>
            </w:r>
          </w:p>
          <w:p w14:paraId="1D4060C4">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审批文件名称及文号：</w:t>
            </w:r>
            <w:r>
              <w:rPr>
                <w:rFonts w:hint="eastAsia" w:cs="宋体"/>
                <w:kern w:val="0"/>
                <w:sz w:val="24"/>
                <w:szCs w:val="21"/>
              </w:rPr>
              <w:t>《广西壮族自治区人民政府关于广西钦州石化产业园总体发展规划（2020—2035年）的批复》（桂政函〔2021〕153号）</w:t>
            </w:r>
          </w:p>
        </w:tc>
      </w:tr>
      <w:tr w14:paraId="268D3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gridSpan w:val="2"/>
            <w:tcMar>
              <w:top w:w="16" w:type="dxa"/>
              <w:left w:w="16" w:type="dxa"/>
              <w:right w:w="16" w:type="dxa"/>
            </w:tcMar>
            <w:vAlign w:val="center"/>
          </w:tcPr>
          <w:p w14:paraId="57B1C16F">
            <w:pPr>
              <w:autoSpaceDE w:val="0"/>
              <w:autoSpaceDN w:val="0"/>
              <w:adjustRightInd w:val="0"/>
              <w:snapToGrid w:val="0"/>
              <w:jc w:val="center"/>
              <w:rPr>
                <w:rFonts w:hint="eastAsia" w:ascii="宋体" w:hAnsi="宋体" w:cs="宋体"/>
                <w:sz w:val="24"/>
                <w:szCs w:val="21"/>
              </w:rPr>
            </w:pPr>
            <w:r>
              <w:rPr>
                <w:rFonts w:hint="eastAsia" w:ascii="宋体" w:hAnsi="宋体" w:cs="宋体"/>
                <w:sz w:val="24"/>
                <w:szCs w:val="21"/>
              </w:rPr>
              <w:t>规划环境影响</w:t>
            </w:r>
          </w:p>
          <w:p w14:paraId="5956921E">
            <w:pPr>
              <w:autoSpaceDE w:val="0"/>
              <w:autoSpaceDN w:val="0"/>
              <w:adjustRightInd w:val="0"/>
              <w:snapToGrid w:val="0"/>
              <w:jc w:val="center"/>
              <w:rPr>
                <w:rFonts w:hint="eastAsia" w:ascii="宋体" w:hAnsi="宋体" w:cs="宋体"/>
                <w:kern w:val="0"/>
                <w:sz w:val="24"/>
                <w:szCs w:val="21"/>
              </w:rPr>
            </w:pPr>
            <w:r>
              <w:rPr>
                <w:rFonts w:hint="eastAsia" w:ascii="宋体" w:hAnsi="宋体" w:cs="宋体"/>
                <w:sz w:val="24"/>
                <w:szCs w:val="21"/>
              </w:rPr>
              <w:t>评价情况</w:t>
            </w:r>
          </w:p>
        </w:tc>
        <w:tc>
          <w:tcPr>
            <w:tcW w:w="6813" w:type="dxa"/>
            <w:gridSpan w:val="4"/>
            <w:tcMar>
              <w:top w:w="16" w:type="dxa"/>
              <w:left w:w="16" w:type="dxa"/>
              <w:right w:w="16" w:type="dxa"/>
            </w:tcMar>
            <w:vAlign w:val="center"/>
          </w:tcPr>
          <w:p w14:paraId="69307E16">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（1）环境影响评价文件名称：</w:t>
            </w:r>
            <w:r>
              <w:rPr>
                <w:rFonts w:hint="eastAsia" w:cs="宋体"/>
                <w:kern w:val="0"/>
                <w:sz w:val="24"/>
                <w:szCs w:val="21"/>
              </w:rPr>
              <w:t>《钦州港总体规划（2019-2035年）环境影响报告书》</w:t>
            </w:r>
          </w:p>
          <w:p w14:paraId="0461EF22">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召集审查机关：</w:t>
            </w:r>
            <w:r>
              <w:rPr>
                <w:rFonts w:hint="eastAsia" w:cs="宋体"/>
                <w:kern w:val="0"/>
                <w:sz w:val="24"/>
                <w:szCs w:val="21"/>
              </w:rPr>
              <w:t>广西壮族自治区生态环境厅</w:t>
            </w:r>
          </w:p>
          <w:p w14:paraId="3C1F965C">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审查文件名称及文号：</w:t>
            </w:r>
            <w:r>
              <w:rPr>
                <w:rFonts w:hint="eastAsia" w:cs="宋体"/>
                <w:kern w:val="0"/>
                <w:sz w:val="24"/>
                <w:szCs w:val="21"/>
              </w:rPr>
              <w:t>《广西壮族自治区生态环境厅关于印发钦州港总体规划（2019-2035年）环境影响报告书审查意见的函》（桂环函〔2020〕264号）</w:t>
            </w:r>
          </w:p>
          <w:p w14:paraId="22D82B4E">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（2）环境影响评价文件名称：</w:t>
            </w:r>
            <w:r>
              <w:rPr>
                <w:rFonts w:hint="eastAsia" w:cs="宋体"/>
                <w:kern w:val="0"/>
                <w:sz w:val="24"/>
                <w:szCs w:val="21"/>
              </w:rPr>
              <w:t>《广西钦州石化产业园总体发展规划（2020-2035）环境影响报告书》</w:t>
            </w:r>
          </w:p>
          <w:p w14:paraId="5A0207AE">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召集审查机关：</w:t>
            </w:r>
            <w:r>
              <w:rPr>
                <w:rFonts w:hint="eastAsia" w:cs="宋体"/>
                <w:kern w:val="0"/>
                <w:sz w:val="24"/>
                <w:szCs w:val="21"/>
              </w:rPr>
              <w:t>广西壮族自治区生态环境厅</w:t>
            </w:r>
          </w:p>
          <w:p w14:paraId="1AED8ED5">
            <w:pPr>
              <w:autoSpaceDE w:val="0"/>
              <w:autoSpaceDN w:val="0"/>
              <w:adjustRightInd w:val="0"/>
              <w:snapToGrid w:val="0"/>
              <w:spacing w:line="360" w:lineRule="auto"/>
              <w:ind w:firstLine="482" w:firstLineChars="200"/>
              <w:jc w:val="left"/>
              <w:rPr>
                <w:rFonts w:cs="宋体"/>
                <w:kern w:val="0"/>
                <w:sz w:val="24"/>
                <w:szCs w:val="21"/>
              </w:rPr>
            </w:pPr>
            <w:r>
              <w:rPr>
                <w:rFonts w:hint="eastAsia" w:cs="宋体"/>
                <w:b/>
                <w:bCs/>
                <w:kern w:val="0"/>
                <w:sz w:val="24"/>
                <w:szCs w:val="21"/>
              </w:rPr>
              <w:t>审查文件名称及文号：</w:t>
            </w:r>
            <w:r>
              <w:rPr>
                <w:rFonts w:hint="eastAsia" w:cs="宋体"/>
                <w:kern w:val="0"/>
                <w:sz w:val="24"/>
                <w:szCs w:val="21"/>
              </w:rPr>
              <w:t>《广西壮族自治区生态环境厅关于印发钦州石化产业园总体发展规划环境影响报告书审查意见的函》（桂环函〔2021〕388号）</w:t>
            </w:r>
          </w:p>
        </w:tc>
      </w:tr>
      <w:tr w14:paraId="23B97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541" w:type="dxa"/>
            <w:tcMar>
              <w:top w:w="16" w:type="dxa"/>
              <w:left w:w="16" w:type="dxa"/>
              <w:right w:w="16" w:type="dxa"/>
            </w:tcMar>
            <w:vAlign w:val="center"/>
          </w:tcPr>
          <w:p w14:paraId="123A26D8">
            <w:pPr>
              <w:autoSpaceDE w:val="0"/>
              <w:autoSpaceDN w:val="0"/>
              <w:adjustRightInd w:val="0"/>
              <w:snapToGrid w:val="0"/>
              <w:jc w:val="center"/>
              <w:rPr>
                <w:rFonts w:hint="eastAsia" w:ascii="宋体" w:hAnsi="宋体" w:cs="宋体"/>
                <w:kern w:val="0"/>
                <w:sz w:val="24"/>
                <w:szCs w:val="21"/>
              </w:rPr>
            </w:pPr>
            <w:r>
              <w:rPr>
                <w:rFonts w:hint="eastAsia" w:ascii="宋体" w:hAnsi="宋体" w:cs="宋体"/>
                <w:kern w:val="0"/>
                <w:sz w:val="24"/>
                <w:szCs w:val="21"/>
              </w:rPr>
              <w:t>规划及</w:t>
            </w:r>
            <w:r>
              <w:rPr>
                <w:rFonts w:hint="eastAsia" w:ascii="宋体" w:hAnsi="宋体" w:cs="宋体"/>
                <w:sz w:val="24"/>
                <w:szCs w:val="21"/>
              </w:rPr>
              <w:t>规划环境影响评价</w:t>
            </w:r>
            <w:r>
              <w:rPr>
                <w:rFonts w:hint="eastAsia" w:ascii="宋体" w:hAnsi="宋体" w:cs="宋体"/>
                <w:kern w:val="0"/>
                <w:sz w:val="24"/>
                <w:szCs w:val="21"/>
              </w:rPr>
              <w:t>符合性分析</w:t>
            </w:r>
          </w:p>
        </w:tc>
        <w:tc>
          <w:tcPr>
            <w:tcW w:w="8498" w:type="dxa"/>
            <w:gridSpan w:val="5"/>
            <w:tcMar>
              <w:top w:w="16" w:type="dxa"/>
              <w:left w:w="16" w:type="dxa"/>
              <w:right w:w="16" w:type="dxa"/>
            </w:tcMar>
          </w:tcPr>
          <w:p w14:paraId="5BF0F97E">
            <w:pPr>
              <w:pStyle w:val="41"/>
              <w:ind w:firstLine="482"/>
              <w:rPr>
                <w:b/>
                <w:bCs/>
              </w:rPr>
            </w:pPr>
            <w:r>
              <w:rPr>
                <w:rFonts w:hint="eastAsia"/>
                <w:b/>
                <w:bCs/>
              </w:rPr>
              <w:t>一、项目与《钦州港总体规划（2035年）》的相符性分析</w:t>
            </w:r>
          </w:p>
          <w:p w14:paraId="46A04C7C">
            <w:pPr>
              <w:pStyle w:val="41"/>
              <w:ind w:firstLine="480"/>
            </w:pPr>
            <w:r>
              <w:rPr>
                <w:rFonts w:hint="eastAsia"/>
              </w:rPr>
              <w:t>（1）规划相符性</w:t>
            </w:r>
          </w:p>
          <w:p w14:paraId="0EA3189A">
            <w:pPr>
              <w:pStyle w:val="41"/>
              <w:ind w:firstLine="480"/>
            </w:pPr>
            <w:r>
              <w:rPr>
                <w:rFonts w:hint="eastAsia"/>
              </w:rPr>
              <w:t>钦州港划分为金谷港区、大榄坪港区、三墩港区和龙门港点、茅岭港点、平山港点、沙井港点、三娘湾港点</w:t>
            </w:r>
            <w:r>
              <w:rPr>
                <w:rFonts w:hint="eastAsia"/>
                <w:lang w:eastAsia="zh-CN"/>
              </w:rPr>
              <w:t>等。</w:t>
            </w:r>
            <w:r>
              <w:rPr>
                <w:rFonts w:hint="eastAsia"/>
              </w:rPr>
              <w:t>各港区、港点主要功能定位如下：</w:t>
            </w:r>
          </w:p>
          <w:p w14:paraId="21F38079">
            <w:pPr>
              <w:pStyle w:val="41"/>
              <w:ind w:firstLine="480"/>
            </w:pPr>
            <w:r>
              <w:rPr>
                <w:rFonts w:hint="eastAsia"/>
              </w:rPr>
              <w:t>金谷港区：以油品、液体化工品和煤炭运输为主，兼顾散杂货运输，主要为临港产业园区发展服务。</w:t>
            </w:r>
          </w:p>
          <w:p w14:paraId="15946219">
            <w:pPr>
              <w:pStyle w:val="41"/>
              <w:ind w:firstLine="480"/>
            </w:pPr>
            <w:r>
              <w:rPr>
                <w:rFonts w:hint="eastAsia"/>
              </w:rPr>
              <w:t>大榄坪港区：以集装箱运输为核心的大型专业化、智能化港区，兼顾滚装和散杂货运输，支撑中国（广西）自由贸易试验区钦州港片区建设，将其发展成为现代综合物流服务中心，主要为中西部地区货物运输服务。</w:t>
            </w:r>
          </w:p>
          <w:p w14:paraId="78841F23">
            <w:pPr>
              <w:pStyle w:val="41"/>
              <w:ind w:firstLine="480"/>
            </w:pPr>
            <w:r>
              <w:rPr>
                <w:rFonts w:hint="eastAsia"/>
              </w:rPr>
              <w:t>三墩港区：以油品、液体化工品和集装箱运输为主，兼顾散杂货运输，将其发展成为大型综合性港区，主要为临港产业园区发展和腹地集装箱运输服务。</w:t>
            </w:r>
          </w:p>
          <w:p w14:paraId="7FAB7B8B">
            <w:pPr>
              <w:pStyle w:val="41"/>
              <w:ind w:firstLine="480"/>
            </w:pPr>
            <w:r>
              <w:rPr>
                <w:rFonts w:hint="eastAsia"/>
              </w:rPr>
              <w:t>各港点：作为发展当地经济的重要依托和全港功能的有效补充，主要为当地生产生活物资运输和旅游客运服务。</w:t>
            </w:r>
          </w:p>
          <w:p w14:paraId="70AF912F">
            <w:pPr>
              <w:pStyle w:val="41"/>
              <w:ind w:firstLine="480"/>
            </w:pPr>
            <w:r>
              <w:rPr>
                <w:rFonts w:hint="eastAsia"/>
              </w:rPr>
              <w:t>本项目为氮气供应工程，位于金谷港区，为园区企业的配套工程项目，服务园区发展，符合《钦州港总体规划（2035 年）》。</w:t>
            </w:r>
          </w:p>
          <w:p w14:paraId="1A61A480">
            <w:pPr>
              <w:pStyle w:val="41"/>
              <w:ind w:firstLine="480"/>
            </w:pPr>
            <w:r>
              <w:rPr>
                <w:rFonts w:hint="eastAsia"/>
              </w:rPr>
              <w:t>（2）规划环评相符性</w:t>
            </w:r>
          </w:p>
          <w:p w14:paraId="2EF06FAF">
            <w:pPr>
              <w:pStyle w:val="41"/>
              <w:ind w:firstLine="480"/>
            </w:pPr>
            <w:r>
              <w:rPr>
                <w:rFonts w:hint="eastAsia"/>
              </w:rPr>
              <w:t>《钦州港总体规划（2019~2035 年）环境影响报告书》提出的环境准入负面清单，（1）对规划散货用途的作业区应限制发展煤炭、矿石类大宗干散货货运功能，确需发展须经充分论证，并采取有效的防尘措施；（2）对为当地生产生活服务的小港区（港点）应限制发展当地生产生活所需货物以外的散货和件杂货输运；（3）对位于北部湾二长棘鲷长毛对虾国家级水产种质资源保护区内的建设项目实施前应征得农业部或自治区渔业行政主管部门的同意，并严格执行农业部《水产种质资源保护区管理暂行办法》有关规定要求；（4）对规划液体散货用途的作业区内的码头项目，应禁止发展剧毒化学品货运功能；限制发展液体化学品货运功能，确需发展须经充分论证，并采取有效的风险防范措施、制订完善的事故应急预案。（5）新建码头项目应禁止建设排污口。本项目均不涉及。</w:t>
            </w:r>
          </w:p>
          <w:p w14:paraId="58F9545B">
            <w:pPr>
              <w:pStyle w:val="41"/>
              <w:ind w:firstLine="480"/>
            </w:pPr>
            <w:r>
              <w:rPr>
                <w:rFonts w:hint="eastAsia"/>
              </w:rPr>
              <w:t>综上，项目的建设符合《</w:t>
            </w:r>
            <w:r>
              <w:rPr>
                <w:rFonts w:hint="eastAsia" w:cs="宋体"/>
                <w:szCs w:val="21"/>
              </w:rPr>
              <w:t>钦州港总体规划（2035年）</w:t>
            </w:r>
            <w:r>
              <w:rPr>
                <w:rFonts w:hint="eastAsia"/>
              </w:rPr>
              <w:t>》。</w:t>
            </w:r>
          </w:p>
          <w:p w14:paraId="70260158">
            <w:pPr>
              <w:pStyle w:val="41"/>
              <w:ind w:firstLine="482"/>
              <w:rPr>
                <w:b/>
                <w:bCs/>
              </w:rPr>
            </w:pPr>
            <w:r>
              <w:rPr>
                <w:rFonts w:hint="eastAsia"/>
                <w:b/>
                <w:bCs/>
              </w:rPr>
              <w:t>二、项目与《广西钦州石化产业园总体发展规划（2020—2035年）》的相符性分析</w:t>
            </w:r>
          </w:p>
          <w:p w14:paraId="7D0E8872">
            <w:pPr>
              <w:pStyle w:val="41"/>
              <w:ind w:firstLine="480"/>
            </w:pPr>
            <w:r>
              <w:rPr>
                <w:rFonts w:hint="eastAsia"/>
              </w:rPr>
              <w:t>（1）规划相符性</w:t>
            </w:r>
          </w:p>
          <w:p w14:paraId="31958ACE">
            <w:pPr>
              <w:pStyle w:val="41"/>
              <w:ind w:firstLine="480"/>
            </w:pPr>
            <w:r>
              <w:rPr>
                <w:rFonts w:hint="eastAsia"/>
              </w:rPr>
              <w:t>规划范围：规划面积约76.27km</w:t>
            </w:r>
            <w:r>
              <w:rPr>
                <w:rFonts w:hint="eastAsia"/>
                <w:vertAlign w:val="superscript"/>
              </w:rPr>
              <w:t>2</w:t>
            </w:r>
            <w:r>
              <w:rPr>
                <w:rFonts w:hint="eastAsia"/>
              </w:rPr>
              <w:t>，包括三个片区：金谷片区40.02km</w:t>
            </w:r>
            <w:r>
              <w:rPr>
                <w:rFonts w:hint="eastAsia"/>
                <w:vertAlign w:val="superscript"/>
              </w:rPr>
              <w:t>2</w:t>
            </w:r>
            <w:r>
              <w:rPr>
                <w:rFonts w:hint="eastAsia"/>
              </w:rPr>
              <w:t>、三墩片区24.93km</w:t>
            </w:r>
            <w:r>
              <w:rPr>
                <w:rFonts w:hint="eastAsia"/>
                <w:vertAlign w:val="superscript"/>
              </w:rPr>
              <w:t>2</w:t>
            </w:r>
            <w:r>
              <w:rPr>
                <w:rFonts w:hint="eastAsia"/>
              </w:rPr>
              <w:t>、新增鹿耳片区11.32km</w:t>
            </w:r>
            <w:r>
              <w:rPr>
                <w:rFonts w:hint="eastAsia"/>
                <w:vertAlign w:val="superscript"/>
              </w:rPr>
              <w:t>2</w:t>
            </w:r>
            <w:r>
              <w:rPr>
                <w:rFonts w:hint="eastAsia"/>
              </w:rPr>
              <w:t>。</w:t>
            </w:r>
          </w:p>
          <w:p w14:paraId="50FAD162">
            <w:pPr>
              <w:pStyle w:val="41"/>
              <w:ind w:firstLine="480"/>
            </w:pPr>
            <w:r>
              <w:rPr>
                <w:rFonts w:hint="eastAsia"/>
              </w:rPr>
              <w:t>总体定位：坚持强龙头、补链条、聚集群，以绿色化、高端化为引领，全</w:t>
            </w:r>
            <w:r>
              <w:rPr>
                <w:rFonts w:hint="eastAsia"/>
                <w:lang w:eastAsia="zh-CN"/>
              </w:rPr>
              <w:t>面</w:t>
            </w:r>
            <w:r>
              <w:rPr>
                <w:rFonts w:hint="eastAsia"/>
              </w:rPr>
              <w:t>构建以大型炼化一体化产业为核心，基础工业气体和基础化工原料为辅助，专用化学品、功能化学品和化工新材料为终端延伸的产业体系。</w:t>
            </w:r>
          </w:p>
          <w:p w14:paraId="413F808E">
            <w:pPr>
              <w:pStyle w:val="41"/>
              <w:ind w:firstLine="480"/>
            </w:pPr>
            <w:r>
              <w:rPr>
                <w:rFonts w:hint="eastAsia"/>
              </w:rPr>
              <w:t>本项目在钦州石化产业园内，服务园区企业，为园区企业提供生产所需氮气，符合规划目标及产业定位。项目新建的氮气压缩机、液氮储罐在广西华谊能源化工配套空分项目现有厂区内建设，新建氮气输送管道依托园区公共管廊架设，均未新增占地。综上，项目建设符合《广西钦州石化产业园总体发展规划（</w:t>
            </w:r>
            <w:r>
              <w:t>2020</w:t>
            </w:r>
            <w:r>
              <w:rPr>
                <w:rFonts w:hint="eastAsia"/>
              </w:rPr>
              <w:t>－</w:t>
            </w:r>
            <w:r>
              <w:t>2035</w:t>
            </w:r>
            <w:r>
              <w:rPr>
                <w:rFonts w:hint="eastAsia"/>
              </w:rPr>
              <w:t>）》。</w:t>
            </w:r>
          </w:p>
          <w:p w14:paraId="3C33AD44">
            <w:pPr>
              <w:pStyle w:val="41"/>
              <w:ind w:firstLine="480"/>
            </w:pPr>
            <w:r>
              <w:rPr>
                <w:rFonts w:hint="eastAsia"/>
              </w:rPr>
              <w:t>（2）规划环评相符性</w:t>
            </w:r>
          </w:p>
          <w:p w14:paraId="258ACFD7">
            <w:pPr>
              <w:pStyle w:val="41"/>
              <w:ind w:firstLine="480"/>
            </w:pPr>
            <w:r>
              <w:rPr>
                <w:rFonts w:hint="eastAsia"/>
              </w:rPr>
              <w:t>经与《广西钦州石化产业园总体发展规划（2020－2035）》规划环评及审查意见对比，项目建设符合园区规划环评及审查意见的要求，详见下表。</w:t>
            </w:r>
          </w:p>
          <w:p w14:paraId="59541F2E">
            <w:pPr>
              <w:pStyle w:val="41"/>
              <w:numPr>
                <w:ilvl w:val="0"/>
                <w:numId w:val="3"/>
              </w:numPr>
              <w:spacing w:line="240" w:lineRule="auto"/>
              <w:ind w:left="0" w:firstLine="0" w:firstLineChars="0"/>
              <w:jc w:val="center"/>
              <w:rPr>
                <w:b/>
                <w:sz w:val="21"/>
              </w:rPr>
            </w:pPr>
            <w:r>
              <w:rPr>
                <w:rFonts w:hint="eastAsia"/>
                <w:b/>
                <w:sz w:val="21"/>
              </w:rPr>
              <w:t>项目与园区规划环评及审查意见相符性分析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5"/>
              <w:gridCol w:w="2835"/>
              <w:gridCol w:w="966"/>
            </w:tblGrid>
            <w:tr w14:paraId="3075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655" w:type="dxa"/>
                  <w:vAlign w:val="center"/>
                </w:tcPr>
                <w:p w14:paraId="0B3D0AC5">
                  <w:pPr>
                    <w:pStyle w:val="42"/>
                    <w:rPr>
                      <w:b/>
                      <w:bCs/>
                    </w:rPr>
                  </w:pPr>
                  <w:r>
                    <w:rPr>
                      <w:rFonts w:hint="eastAsia"/>
                      <w:b/>
                      <w:bCs/>
                    </w:rPr>
                    <w:t>规划环评及审查意见要求</w:t>
                  </w:r>
                </w:p>
              </w:tc>
              <w:tc>
                <w:tcPr>
                  <w:tcW w:w="2835" w:type="dxa"/>
                  <w:vAlign w:val="center"/>
                </w:tcPr>
                <w:p w14:paraId="3FD2DFFD">
                  <w:pPr>
                    <w:pStyle w:val="42"/>
                    <w:rPr>
                      <w:b/>
                      <w:bCs/>
                    </w:rPr>
                  </w:pPr>
                  <w:r>
                    <w:rPr>
                      <w:rFonts w:hint="eastAsia"/>
                      <w:b/>
                      <w:bCs/>
                    </w:rPr>
                    <w:t>项目情况</w:t>
                  </w:r>
                </w:p>
              </w:tc>
              <w:tc>
                <w:tcPr>
                  <w:tcW w:w="966" w:type="dxa"/>
                  <w:vAlign w:val="center"/>
                </w:tcPr>
                <w:p w14:paraId="17E7BE23">
                  <w:pPr>
                    <w:pStyle w:val="42"/>
                    <w:rPr>
                      <w:b/>
                      <w:bCs/>
                    </w:rPr>
                  </w:pPr>
                  <w:r>
                    <w:rPr>
                      <w:rFonts w:hint="eastAsia"/>
                      <w:b/>
                      <w:bCs/>
                    </w:rPr>
                    <w:t>相符性</w:t>
                  </w:r>
                </w:p>
              </w:tc>
            </w:tr>
            <w:tr w14:paraId="0573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3829C833">
                  <w:pPr>
                    <w:pStyle w:val="42"/>
                  </w:pPr>
                  <w:r>
                    <w:rPr>
                      <w:rFonts w:hint="eastAsia"/>
                    </w:rPr>
                    <w:t>（一）全面贯彻习近平生态文明思想的绿色发展观，坚持“环保优先、绿色发展”理念，建立健全石化基地循环发展、清洁生产的指标体系并明确落实机制和保障措施。切实维护石化基地和周边区域生态环境质量，坚持高起点规划、高标准建设、高水平管理。钦州石化产业园区要加快转变经济发展方式，以资源环境承载力为基础，促进经济社会与资源环境协调发展，积极探索代价小、效益好、排放低、可持续的环境保护新道路，把科学开发与保护区域生态环境紧密结合起来，努力实现开发与保护双赢。</w:t>
                  </w:r>
                </w:p>
              </w:tc>
              <w:tc>
                <w:tcPr>
                  <w:tcW w:w="2835" w:type="dxa"/>
                  <w:vAlign w:val="center"/>
                </w:tcPr>
                <w:p w14:paraId="35F21608">
                  <w:pPr>
                    <w:pStyle w:val="42"/>
                  </w:pPr>
                  <w:r>
                    <w:rPr>
                      <w:rFonts w:hint="eastAsia"/>
                    </w:rPr>
                    <w:t>项目为氮气供应工程，服务园区企业生产，对区域环境影响较小，符合园区发展目标</w:t>
                  </w:r>
                </w:p>
              </w:tc>
              <w:tc>
                <w:tcPr>
                  <w:tcW w:w="966" w:type="dxa"/>
                  <w:vAlign w:val="center"/>
                </w:tcPr>
                <w:p w14:paraId="23441204">
                  <w:pPr>
                    <w:pStyle w:val="42"/>
                  </w:pPr>
                  <w:r>
                    <w:rPr>
                      <w:rFonts w:hint="eastAsia"/>
                    </w:rPr>
                    <w:t>相符</w:t>
                  </w:r>
                </w:p>
              </w:tc>
            </w:tr>
            <w:tr w14:paraId="36CF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4A5F1F3C">
                  <w:pPr>
                    <w:pStyle w:val="42"/>
                  </w:pPr>
                  <w:r>
                    <w:rPr>
                      <w:rFonts w:hint="eastAsia"/>
                    </w:rPr>
                    <w:t>（二）主动对接生态保护红线划定和国土空间规划编制，将生态保护红线作为保障和维护区域生态安全的底线，依法依规实施强制性保护。严格保护广西茅尾海红树林自然保护区、滨海湿地、金窝水库饮用水源一级保护区等生态保护区。不符合自然保护区和环境功能区划等相关管控要求的各类开发建设活动不得纳入《规划》。</w:t>
                  </w:r>
                </w:p>
              </w:tc>
              <w:tc>
                <w:tcPr>
                  <w:tcW w:w="2835" w:type="dxa"/>
                  <w:vAlign w:val="center"/>
                </w:tcPr>
                <w:p w14:paraId="3E3E0D00">
                  <w:pPr>
                    <w:pStyle w:val="42"/>
                  </w:pPr>
                  <w:r>
                    <w:rPr>
                      <w:rFonts w:hint="eastAsia"/>
                    </w:rPr>
                    <w:t>项目不涉及占用自然保护区，符合环境功能区划等相关要求</w:t>
                  </w:r>
                </w:p>
              </w:tc>
              <w:tc>
                <w:tcPr>
                  <w:tcW w:w="966" w:type="dxa"/>
                  <w:vAlign w:val="center"/>
                </w:tcPr>
                <w:p w14:paraId="6D85886C">
                  <w:pPr>
                    <w:pStyle w:val="42"/>
                  </w:pPr>
                  <w:r>
                    <w:rPr>
                      <w:rFonts w:hint="eastAsia"/>
                    </w:rPr>
                    <w:t>相符</w:t>
                  </w:r>
                </w:p>
              </w:tc>
            </w:tr>
            <w:tr w14:paraId="72C2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524B13F4">
                  <w:pPr>
                    <w:pStyle w:val="42"/>
                  </w:pPr>
                  <w:r>
                    <w:rPr>
                      <w:rFonts w:hint="eastAsia"/>
                    </w:rPr>
                    <w:t>（三）加快现有排污口建设及污水处理厂提标改造，同时随着规划的实施开展3个排污口外迁排海相关技术论证。鉴于钦州港港口规划及规划实施可能对海域水文动力条件及近岸海域排污区水环境容量造成影响，应尽快开展海域排污区论证，掌握海域水环境资源，明确园区生产和生活废水排污方案，近期规划依托整改后的A1、A2 排口，中远期排污口应重新规划。</w:t>
                  </w:r>
                </w:p>
              </w:tc>
              <w:tc>
                <w:tcPr>
                  <w:tcW w:w="2835" w:type="dxa"/>
                  <w:vAlign w:val="center"/>
                </w:tcPr>
                <w:p w14:paraId="2549657D">
                  <w:pPr>
                    <w:pStyle w:val="42"/>
                  </w:pPr>
                  <w:r>
                    <w:rPr>
                      <w:rFonts w:hint="eastAsia"/>
                    </w:rPr>
                    <w:t>项目为园区内的氮气供应工程，服务园区企业，生产废水依托天宜污水厂一期处理达标后近期近岸排放，远期依托园区深海排放管道于金鼓江污水深海排放区排放。生活污水依托国投钦电生活污水处理系统处理后用于场区绿化，不外排</w:t>
                  </w:r>
                </w:p>
              </w:tc>
              <w:tc>
                <w:tcPr>
                  <w:tcW w:w="966" w:type="dxa"/>
                  <w:vAlign w:val="center"/>
                </w:tcPr>
                <w:p w14:paraId="0BC72AD4">
                  <w:pPr>
                    <w:pStyle w:val="42"/>
                  </w:pPr>
                  <w:r>
                    <w:rPr>
                      <w:rFonts w:hint="eastAsia"/>
                    </w:rPr>
                    <w:t>相符</w:t>
                  </w:r>
                </w:p>
              </w:tc>
            </w:tr>
            <w:tr w14:paraId="0801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353C9124">
                  <w:pPr>
                    <w:pStyle w:val="42"/>
                  </w:pPr>
                  <w:r>
                    <w:rPr>
                      <w:rFonts w:hint="eastAsia"/>
                    </w:rPr>
                    <w:t>（四）严格落实规划空间用地方案，优化空间开发格局，尽快完善园区搬迁规划及实施。石化园区规划新增鹿耳片区，规划范围涉及鸡墩头村、老鸦坑、大坡顶、铁藤山等居民点。部分规划项目装置在建设时必须与居民区之间留有足够的安全及环境防护距离，为保证园区产业的健康可持续发展，规划应合理制订搬迁计划，实施时序，并按时落实，消除这些环境敏感点的环境风险。</w:t>
                  </w:r>
                </w:p>
              </w:tc>
              <w:tc>
                <w:tcPr>
                  <w:tcW w:w="2835" w:type="dxa"/>
                  <w:vAlign w:val="center"/>
                </w:tcPr>
                <w:p w14:paraId="6F98F0B6">
                  <w:pPr>
                    <w:pStyle w:val="42"/>
                  </w:pPr>
                  <w:r>
                    <w:rPr>
                      <w:rFonts w:hint="eastAsia"/>
                    </w:rPr>
                    <w:t>项目厂区外</w:t>
                  </w:r>
                  <w:r>
                    <w:t>200m</w:t>
                  </w:r>
                  <w:r>
                    <w:rPr>
                      <w:rFonts w:hint="eastAsia"/>
                    </w:rPr>
                    <w:t>范围内无村庄等环境敏感点分布。项目管线沿线两侧分布的旧村、南港村等村庄正在有序实施搬迁计划，搬迁完毕后可消除这些环境敏感点的环境风险</w:t>
                  </w:r>
                </w:p>
              </w:tc>
              <w:tc>
                <w:tcPr>
                  <w:tcW w:w="966" w:type="dxa"/>
                  <w:vAlign w:val="center"/>
                </w:tcPr>
                <w:p w14:paraId="59575FC4">
                  <w:pPr>
                    <w:pStyle w:val="42"/>
                  </w:pPr>
                  <w:r>
                    <w:rPr>
                      <w:rFonts w:hint="eastAsia"/>
                    </w:rPr>
                    <w:t>相符</w:t>
                  </w:r>
                </w:p>
              </w:tc>
            </w:tr>
            <w:tr w14:paraId="1F8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46443BE9">
                  <w:pPr>
                    <w:pStyle w:val="42"/>
                  </w:pPr>
                  <w:r>
                    <w:rPr>
                      <w:rFonts w:hint="eastAsia"/>
                    </w:rPr>
                    <w:t>（五）进一步优化《规划》布局、用地和产业发展规模、建设时序和产品方案等，严格控制近期发展的炼油以及石化下游产业规模。</w:t>
                  </w:r>
                </w:p>
                <w:p w14:paraId="42BB21F3">
                  <w:pPr>
                    <w:pStyle w:val="42"/>
                  </w:pPr>
                  <w:r>
                    <w:rPr>
                      <w:rFonts w:hint="eastAsia"/>
                    </w:rPr>
                    <w:t>加强对石化产业园的环境风险管理，实行园区封闭式管理；完善区域应急方案，指定事故应急疏散点；建议石化区内主要产业区及相关风险源用地外扩1公里范围作为工业区环境风险防控区域。加强环境风险防范及环境风险应急体系建设。落实环境风险防范的主体责任，强化环境风险防范体系建设，形成与各规划区规划项目环境风险相匹配的应急能力，制定环境污染事故应急预案，应急预案应与当地政府和相关部门的应急预案相衔接，配备足够的应急处置设施和器材，加强区域应急物资调配，健全规划园区环境风险防范区域联动机制，有效应对突发环境事件。建立健全“装置-企业-园区”防控体系，在各企业设置环境风险事故应急池的基础上，分片区设置足够容积的园区级公共事故应急池，并形成互相联通系统；优化布局并保持与周边居住区、红树林保护区、滨海湿地等重要敏感目标合理距离，预防和减缓不利环境影响和风险。</w:t>
                  </w:r>
                </w:p>
              </w:tc>
              <w:tc>
                <w:tcPr>
                  <w:tcW w:w="2835" w:type="dxa"/>
                  <w:vAlign w:val="center"/>
                </w:tcPr>
                <w:p w14:paraId="20124BFC">
                  <w:pPr>
                    <w:pStyle w:val="42"/>
                  </w:pPr>
                  <w:r>
                    <w:rPr>
                      <w:rFonts w:hint="eastAsia"/>
                    </w:rPr>
                    <w:t>项目为园区氮气供应工程，要求落实环境风险防范措施及应急预案，与相关单位、园区联防联控</w:t>
                  </w:r>
                </w:p>
              </w:tc>
              <w:tc>
                <w:tcPr>
                  <w:tcW w:w="966" w:type="dxa"/>
                  <w:vAlign w:val="center"/>
                </w:tcPr>
                <w:p w14:paraId="78F9BAD1">
                  <w:pPr>
                    <w:pStyle w:val="42"/>
                  </w:pPr>
                  <w:r>
                    <w:rPr>
                      <w:rFonts w:hint="eastAsia"/>
                    </w:rPr>
                    <w:t>相符</w:t>
                  </w:r>
                </w:p>
              </w:tc>
            </w:tr>
            <w:tr w14:paraId="4770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2B5B5EBD">
                  <w:pPr>
                    <w:pStyle w:val="42"/>
                  </w:pPr>
                  <w:r>
                    <w:rPr>
                      <w:rFonts w:hint="eastAsia"/>
                    </w:rPr>
                    <w:t>（六）落实污染防治措施。针对规划项目废气、废（污）水、固体废物、危险化学品仓储及输运等，制定明确、有效的全过程监管方案。优先采用有利于生态环境保护的集疏运方式，强化扬尘、挥发性有机物等无组织排放污染控制和治理，严格各项污染防治措施，完善化学仓储、化学品输送管廊、危险废物（处置中心）规划，依法依规妥善处置固体废物。落实区域总量削减、环境质量改善方案，严格污染物总量控制要求和石化基地环境准入，引进项目的生产工艺、设备、污染治理技术，清洁生产水平等应达到同行业国际先进水平。严格控制石油类、氨氮、总磷等污染物排放浓度及排放量，采取有效措施减少挥发性有机化合物（VOC</w:t>
                  </w:r>
                  <w:r>
                    <w:rPr>
                      <w:rFonts w:hint="eastAsia"/>
                      <w:vertAlign w:val="subscript"/>
                    </w:rPr>
                    <w:t>S</w:t>
                  </w:r>
                  <w:r>
                    <w:rPr>
                      <w:rFonts w:hint="eastAsia"/>
                    </w:rPr>
                    <w:t>）、氮氧化物（NO</w:t>
                  </w:r>
                  <w:r>
                    <w:rPr>
                      <w:rFonts w:hint="eastAsia"/>
                      <w:vertAlign w:val="subscript"/>
                    </w:rPr>
                    <w:t>X</w:t>
                  </w:r>
                  <w:r>
                    <w:rPr>
                      <w:rFonts w:hint="eastAsia"/>
                    </w:rPr>
                    <w:t>）等污染物排放量。参照国际先进的VOC</w:t>
                  </w:r>
                  <w:r>
                    <w:rPr>
                      <w:rFonts w:hint="eastAsia"/>
                      <w:vertAlign w:val="subscript"/>
                    </w:rPr>
                    <w:t>S</w:t>
                  </w:r>
                  <w:r>
                    <w:rPr>
                      <w:rFonts w:hint="eastAsia"/>
                    </w:rPr>
                    <w:t>排放控制体系，提升管理和控制水平。在生产、运输、储存各个环节，加强污染物排放控制和管理，全面提升环境保护管理水平。</w:t>
                  </w:r>
                </w:p>
              </w:tc>
              <w:tc>
                <w:tcPr>
                  <w:tcW w:w="2835" w:type="dxa"/>
                  <w:vAlign w:val="center"/>
                </w:tcPr>
                <w:p w14:paraId="6B4E466F">
                  <w:pPr>
                    <w:pStyle w:val="42"/>
                  </w:pPr>
                  <w:r>
                    <w:rPr>
                      <w:rFonts w:hint="eastAsia"/>
                    </w:rPr>
                    <w:t>项目运营期无废气产生；</w:t>
                  </w:r>
                </w:p>
                <w:p w14:paraId="34F0FEFF">
                  <w:pPr>
                    <w:pStyle w:val="42"/>
                  </w:pPr>
                  <w:r>
                    <w:rPr>
                      <w:rFonts w:hint="eastAsia"/>
                    </w:rPr>
                    <w:t>生产废水依托天宜污水厂一期处理达标后近期近岸排放，远期依托园区深海排放管道于金鼓江污水深海排放区排放。生活污水依托国投钦电生活污水处理系统处理后用于场区绿化，不外排；</w:t>
                  </w:r>
                </w:p>
                <w:p w14:paraId="1C733B0E">
                  <w:pPr>
                    <w:pStyle w:val="42"/>
                  </w:pPr>
                  <w:r>
                    <w:rPr>
                      <w:rFonts w:hint="eastAsia"/>
                    </w:rPr>
                    <w:t>废机油等危险废物暂存于现有危废暂存间内，定期委托有资质单位处置；生活垃圾收集后由当地环卫管理部门统一清运。</w:t>
                  </w:r>
                </w:p>
                <w:p w14:paraId="0BAD4754">
                  <w:pPr>
                    <w:pStyle w:val="42"/>
                  </w:pPr>
                  <w:r>
                    <w:rPr>
                      <w:rFonts w:hint="eastAsia"/>
                    </w:rPr>
                    <w:t>项目运营期产生的“三废”均采用恰当的污染防治措施，对环境的影响较小</w:t>
                  </w:r>
                </w:p>
              </w:tc>
              <w:tc>
                <w:tcPr>
                  <w:tcW w:w="966" w:type="dxa"/>
                  <w:vAlign w:val="center"/>
                </w:tcPr>
                <w:p w14:paraId="119620AF">
                  <w:pPr>
                    <w:pStyle w:val="42"/>
                  </w:pPr>
                  <w:r>
                    <w:rPr>
                      <w:rFonts w:hint="eastAsia"/>
                    </w:rPr>
                    <w:t>相符</w:t>
                  </w:r>
                </w:p>
              </w:tc>
            </w:tr>
            <w:tr w14:paraId="3DAC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4495153F">
                  <w:pPr>
                    <w:pStyle w:val="42"/>
                  </w:pPr>
                  <w:r>
                    <w:rPr>
                      <w:rFonts w:hint="eastAsia"/>
                    </w:rPr>
                    <w:t>（七）建立涵盖水、生态、大气、湿地生态系统、珍稀保护物种、重要生境、渔业资源等环境敏感目标的常态化监测体系，对石化基地及周边主要环境要素中VOC</w:t>
                  </w:r>
                  <w:r>
                    <w:rPr>
                      <w:rFonts w:hint="eastAsia"/>
                      <w:vertAlign w:val="subscript"/>
                    </w:rPr>
                    <w:t>S</w:t>
                  </w:r>
                  <w:r>
                    <w:rPr>
                      <w:rFonts w:hint="eastAsia"/>
                    </w:rPr>
                    <w:t>、半挥发性有机物（SVOC）等石化特征污染物，排污口附近海域的海水水质、沉积物、海洋生物、渔业资源和鱼类“三场”等进行定期监测和评估，并根据监测评估结果适时优化调整《规划》及生态环境保护措施和运营管理；明确环保投资、实施时限、责任主体等。</w:t>
                  </w:r>
                </w:p>
              </w:tc>
              <w:tc>
                <w:tcPr>
                  <w:tcW w:w="2835" w:type="dxa"/>
                  <w:vAlign w:val="center"/>
                </w:tcPr>
                <w:p w14:paraId="265CF432">
                  <w:pPr>
                    <w:pStyle w:val="42"/>
                  </w:pPr>
                  <w:r>
                    <w:rPr>
                      <w:rFonts w:hint="eastAsia"/>
                    </w:rPr>
                    <w:t>项目所在厂区周边范围内及管道沿线无湿地生态系统、重要生境等环境敏感目标分布，无常规监测体系</w:t>
                  </w:r>
                </w:p>
              </w:tc>
              <w:tc>
                <w:tcPr>
                  <w:tcW w:w="966" w:type="dxa"/>
                  <w:vAlign w:val="center"/>
                </w:tcPr>
                <w:p w14:paraId="5710E1A1">
                  <w:pPr>
                    <w:pStyle w:val="42"/>
                  </w:pPr>
                  <w:r>
                    <w:rPr>
                      <w:rFonts w:hint="eastAsia"/>
                    </w:rPr>
                    <w:t>相符</w:t>
                  </w:r>
                </w:p>
              </w:tc>
            </w:tr>
            <w:tr w14:paraId="6E37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25248D26">
                  <w:pPr>
                    <w:pStyle w:val="42"/>
                  </w:pPr>
                  <w:r>
                    <w:rPr>
                      <w:rFonts w:hint="eastAsia"/>
                    </w:rPr>
                    <w:t>（八）应进一步延伸园区下游产业链，积极引入补链产业和静脉产业，拓展和优化石化园区行业内部以及行业间的产品代谢链和废物代谢链，严格控制不属于产业链项目（公用服务项目除外）的引入；应积极引进和扩大区内危险废物处理处置项目，优先引入单位产品能耗低、附加值较高的精细化工项目。建设钦州石化产业园区产品、副产品、固体废物等信息交流平台，整合钦州石化产业园区产业链上、中、下游资源需求，鼓励企业间加强各种代谢废物（如废气中二氧化硫、二氧化碳、污泥等）、蒸汽、中水、产品、副产品等的回收利用和梯级利用，充分发挥石化园区一体化优势，实现园区上游物料与园区下游需求充分对接，构建石化园区绿色循环经济产业链。优化园区环保基础设施建设。</w:t>
                  </w:r>
                </w:p>
              </w:tc>
              <w:tc>
                <w:tcPr>
                  <w:tcW w:w="2835" w:type="dxa"/>
                  <w:vAlign w:val="center"/>
                </w:tcPr>
                <w:p w14:paraId="0647A840">
                  <w:pPr>
                    <w:pStyle w:val="42"/>
                  </w:pPr>
                  <w:r>
                    <w:rPr>
                      <w:rFonts w:hint="eastAsia"/>
                    </w:rPr>
                    <w:t>项目为氮气供应工程，可满足园区工业企业氮气需求。</w:t>
                  </w:r>
                </w:p>
              </w:tc>
              <w:tc>
                <w:tcPr>
                  <w:tcW w:w="966" w:type="dxa"/>
                  <w:vAlign w:val="center"/>
                </w:tcPr>
                <w:p w14:paraId="060E50A2">
                  <w:pPr>
                    <w:pStyle w:val="42"/>
                  </w:pPr>
                  <w:r>
                    <w:rPr>
                      <w:rFonts w:hint="eastAsia"/>
                    </w:rPr>
                    <w:t>相符</w:t>
                  </w:r>
                </w:p>
              </w:tc>
            </w:tr>
            <w:tr w14:paraId="74E5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75393DF9">
                  <w:pPr>
                    <w:pStyle w:val="42"/>
                  </w:pPr>
                  <w:r>
                    <w:rPr>
                      <w:rFonts w:hint="eastAsia"/>
                    </w:rPr>
                    <w:t>（九）按照“以人为本”的原则，合理布局项目，对于防护带应做到用地性质不调整、不开发占用、不蚕食用地。建议钦州市及自贸区钦州港片区层面，进一步优化自贸区钦州港片区中心区、居住文教区的范围和规模，合理调整中心区的布局及未来人口居住区发展方向，限制常住人口规模。进一步优化园区产业布局和开发规模，规划新增的鹿耳片区与中港区居住生活区相连，应尽量避免鹿耳片区大气污染物高排放企业的进驻，并预留环境防护距离。</w:t>
                  </w:r>
                </w:p>
              </w:tc>
              <w:tc>
                <w:tcPr>
                  <w:tcW w:w="2835" w:type="dxa"/>
                  <w:vAlign w:val="center"/>
                </w:tcPr>
                <w:p w14:paraId="300B63A2">
                  <w:pPr>
                    <w:pStyle w:val="42"/>
                  </w:pPr>
                  <w:r>
                    <w:rPr>
                      <w:rFonts w:hint="eastAsia"/>
                    </w:rPr>
                    <w:t>项目不涉及防护距离</w:t>
                  </w:r>
                </w:p>
              </w:tc>
              <w:tc>
                <w:tcPr>
                  <w:tcW w:w="966" w:type="dxa"/>
                  <w:vAlign w:val="center"/>
                </w:tcPr>
                <w:p w14:paraId="3FFA002A">
                  <w:pPr>
                    <w:pStyle w:val="42"/>
                  </w:pPr>
                  <w:r>
                    <w:rPr>
                      <w:rFonts w:hint="eastAsia"/>
                    </w:rPr>
                    <w:t>相符</w:t>
                  </w:r>
                </w:p>
              </w:tc>
            </w:tr>
            <w:tr w14:paraId="6D70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145FF22E">
                  <w:pPr>
                    <w:pStyle w:val="42"/>
                  </w:pPr>
                  <w:r>
                    <w:rPr>
                      <w:rFonts w:hint="eastAsia"/>
                    </w:rPr>
                    <w:t>（十）三墩片区规划填海范围较大，并拟布置大型炼化项目，其周边存在三娘湾旅游区、北部湾二长棘鲷长毛对虾国家级种质资源保护区、中华白海豚核心活动区等生态敏感目标。建议规划实施过程中，应按生态优先、集约用地的原则，着力于进行功能布局优化，在已完成围填海的基础上进行集约利用现有陆域和岸线。未来中、远期规模经跟踪评价进一步论证后实施，深挖现有可利用土地资源的潜力，落实《国务院关于加强滨海湿地保护严格管控围填海的通知》精神，严格控制填海造地规模，并在围填海工作开展之前需对围填海的必要性、围填海生态环境影响以及对中华白海豚生态影响等进行充分论证评估，围填海手续完备的前提下，方可开展填海建设。</w:t>
                  </w:r>
                </w:p>
              </w:tc>
              <w:tc>
                <w:tcPr>
                  <w:tcW w:w="2835" w:type="dxa"/>
                  <w:vAlign w:val="center"/>
                </w:tcPr>
                <w:p w14:paraId="3FDA9A77">
                  <w:pPr>
                    <w:pStyle w:val="42"/>
                  </w:pPr>
                  <w:r>
                    <w:rPr>
                      <w:rFonts w:hint="eastAsia"/>
                    </w:rPr>
                    <w:t>项目不涉及上述生态敏感目标，不涉及围填海</w:t>
                  </w:r>
                </w:p>
              </w:tc>
              <w:tc>
                <w:tcPr>
                  <w:tcW w:w="966" w:type="dxa"/>
                  <w:vAlign w:val="center"/>
                </w:tcPr>
                <w:p w14:paraId="40649335">
                  <w:pPr>
                    <w:pStyle w:val="42"/>
                  </w:pPr>
                  <w:r>
                    <w:rPr>
                      <w:rFonts w:hint="eastAsia"/>
                    </w:rPr>
                    <w:t>相符</w:t>
                  </w:r>
                </w:p>
              </w:tc>
            </w:tr>
            <w:tr w14:paraId="1B23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054CC83D">
                  <w:pPr>
                    <w:pStyle w:val="42"/>
                  </w:pPr>
                  <w:r>
                    <w:rPr>
                      <w:rFonts w:hint="eastAsia"/>
                    </w:rPr>
                    <w:t>（十一）应进一步加强环境监管能力建设，根据功能分区、产业布局、重点项目和装置分布、特征污染物排放情况、环境敏感目标分布等，建立和完善大气、海洋、土壤、地下水等环境要素的监控体系，进行定期监测和评估，根据监测和评估结果适时优化《规划》。在生产、运输、储存各个环节，加强污染物排放控制和管理，全面提升环境保护管理水平，加强NO</w:t>
                  </w:r>
                  <w:r>
                    <w:rPr>
                      <w:rFonts w:hint="eastAsia"/>
                      <w:vertAlign w:val="subscript"/>
                    </w:rPr>
                    <w:t>X</w:t>
                  </w:r>
                  <w:r>
                    <w:rPr>
                      <w:rFonts w:hint="eastAsia"/>
                    </w:rPr>
                    <w:t>和VOC</w:t>
                  </w:r>
                  <w:r>
                    <w:rPr>
                      <w:rFonts w:hint="eastAsia"/>
                      <w:vertAlign w:val="subscript"/>
                    </w:rPr>
                    <w:t>S</w:t>
                  </w:r>
                  <w:r>
                    <w:rPr>
                      <w:rFonts w:hint="eastAsia"/>
                    </w:rPr>
                    <w:t>等臭氧前体物协同监控，采用国际先进的VOC</w:t>
                  </w:r>
                  <w:r>
                    <w:rPr>
                      <w:rFonts w:hint="eastAsia"/>
                      <w:vertAlign w:val="subscript"/>
                    </w:rPr>
                    <w:t>S</w:t>
                  </w:r>
                  <w:r>
                    <w:rPr>
                      <w:rFonts w:hint="eastAsia"/>
                    </w:rPr>
                    <w:t>排放控制体系，加强重点污染物VOC</w:t>
                  </w:r>
                  <w:r>
                    <w:rPr>
                      <w:rFonts w:hint="eastAsia"/>
                      <w:vertAlign w:val="subscript"/>
                    </w:rPr>
                    <w:t>S</w:t>
                  </w:r>
                  <w:r>
                    <w:rPr>
                      <w:rFonts w:hint="eastAsia"/>
                    </w:rPr>
                    <w:t>监测监控，加强环境信息共享，不断提升管理和控制水平。</w:t>
                  </w:r>
                </w:p>
              </w:tc>
              <w:tc>
                <w:tcPr>
                  <w:tcW w:w="2835" w:type="dxa"/>
                  <w:vAlign w:val="center"/>
                </w:tcPr>
                <w:p w14:paraId="6DAA7B70">
                  <w:pPr>
                    <w:pStyle w:val="42"/>
                  </w:pPr>
                  <w:r>
                    <w:rPr>
                      <w:rFonts w:hint="eastAsia"/>
                    </w:rPr>
                    <w:t>项目运营期不涉及NO</w:t>
                  </w:r>
                  <w:r>
                    <w:rPr>
                      <w:rFonts w:hint="eastAsia"/>
                      <w:vertAlign w:val="subscript"/>
                    </w:rPr>
                    <w:t>X</w:t>
                  </w:r>
                  <w:r>
                    <w:rPr>
                      <w:rFonts w:hint="eastAsia"/>
                    </w:rPr>
                    <w:t>、非甲烷总烃等大气污染物的排放，产生废水、固废均采取适当的污染防治措施，过程加强环境监管，加强环境风险监控。</w:t>
                  </w:r>
                </w:p>
              </w:tc>
              <w:tc>
                <w:tcPr>
                  <w:tcW w:w="966" w:type="dxa"/>
                  <w:vAlign w:val="center"/>
                </w:tcPr>
                <w:p w14:paraId="404E6921">
                  <w:pPr>
                    <w:pStyle w:val="42"/>
                  </w:pPr>
                  <w:r>
                    <w:rPr>
                      <w:rFonts w:hint="eastAsia"/>
                    </w:rPr>
                    <w:t>相符</w:t>
                  </w:r>
                </w:p>
              </w:tc>
            </w:tr>
            <w:tr w14:paraId="3D94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5" w:type="dxa"/>
                  <w:vAlign w:val="center"/>
                </w:tcPr>
                <w:p w14:paraId="4CE6462B">
                  <w:pPr>
                    <w:pStyle w:val="42"/>
                  </w:pPr>
                  <w:r>
                    <w:rPr>
                      <w:rFonts w:hint="eastAsia"/>
                    </w:rPr>
                    <w:t>（十二）在《规划》实施过程中产生重大不良环境影响的，规划编制机关应当及时提出改进措施，向规划审批机关报告，并通报环境保护等有关部门；规划正式实施每五年应依法开展环境影响跟踪评价，将评价结果报告规划审批机关，并通报环境保护等有关部门；在《规划》修编时应重新编制环境影响报告书。</w:t>
                  </w:r>
                </w:p>
              </w:tc>
              <w:tc>
                <w:tcPr>
                  <w:tcW w:w="2835" w:type="dxa"/>
                  <w:vAlign w:val="center"/>
                </w:tcPr>
                <w:p w14:paraId="391ECEE4">
                  <w:pPr>
                    <w:pStyle w:val="42"/>
                  </w:pPr>
                  <w:r>
                    <w:rPr>
                      <w:rFonts w:hint="eastAsia"/>
                    </w:rPr>
                    <w:t>/</w:t>
                  </w:r>
                </w:p>
              </w:tc>
              <w:tc>
                <w:tcPr>
                  <w:tcW w:w="966" w:type="dxa"/>
                  <w:vAlign w:val="center"/>
                </w:tcPr>
                <w:p w14:paraId="6DF3D08D">
                  <w:pPr>
                    <w:pStyle w:val="42"/>
                  </w:pPr>
                  <w:r>
                    <w:rPr>
                      <w:rFonts w:hint="eastAsia"/>
                    </w:rPr>
                    <w:t>/</w:t>
                  </w:r>
                </w:p>
              </w:tc>
            </w:tr>
          </w:tbl>
          <w:p w14:paraId="082EA4FA">
            <w:pPr>
              <w:pStyle w:val="41"/>
              <w:ind w:firstLine="480"/>
            </w:pPr>
          </w:p>
          <w:p w14:paraId="007BAD71">
            <w:pPr>
              <w:pStyle w:val="41"/>
              <w:ind w:firstLine="480"/>
            </w:pPr>
          </w:p>
        </w:tc>
      </w:tr>
      <w:tr w14:paraId="775D7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541" w:type="dxa"/>
            <w:tcMar>
              <w:top w:w="16" w:type="dxa"/>
              <w:left w:w="16" w:type="dxa"/>
              <w:right w:w="16" w:type="dxa"/>
            </w:tcMar>
            <w:vAlign w:val="center"/>
          </w:tcPr>
          <w:p w14:paraId="1D4C0126">
            <w:pPr>
              <w:autoSpaceDE w:val="0"/>
              <w:autoSpaceDN w:val="0"/>
              <w:adjustRightInd w:val="0"/>
              <w:snapToGrid w:val="0"/>
              <w:jc w:val="center"/>
              <w:rPr>
                <w:rFonts w:hint="eastAsia" w:ascii="宋体" w:hAnsi="宋体" w:cs="宋体"/>
                <w:kern w:val="0"/>
                <w:sz w:val="24"/>
                <w:szCs w:val="21"/>
              </w:rPr>
            </w:pPr>
            <w:bookmarkStart w:id="14" w:name="_Hlk56690880"/>
            <w:r>
              <w:rPr>
                <w:rFonts w:hint="eastAsia" w:ascii="宋体" w:hAnsi="宋体" w:cs="宋体"/>
                <w:kern w:val="0"/>
                <w:sz w:val="24"/>
                <w:szCs w:val="21"/>
              </w:rPr>
              <w:t>其他符合性分析</w:t>
            </w:r>
            <w:bookmarkEnd w:id="14"/>
          </w:p>
        </w:tc>
        <w:tc>
          <w:tcPr>
            <w:tcW w:w="8498" w:type="dxa"/>
            <w:gridSpan w:val="5"/>
            <w:tcMar>
              <w:top w:w="16" w:type="dxa"/>
              <w:left w:w="16" w:type="dxa"/>
              <w:right w:w="16" w:type="dxa"/>
            </w:tcMar>
          </w:tcPr>
          <w:p w14:paraId="07D4E0F8">
            <w:pPr>
              <w:pStyle w:val="41"/>
              <w:ind w:firstLine="482"/>
              <w:rPr>
                <w:b/>
                <w:bCs/>
              </w:rPr>
            </w:pPr>
            <w:r>
              <w:rPr>
                <w:rFonts w:hint="eastAsia"/>
                <w:b/>
                <w:bCs/>
              </w:rPr>
              <w:t>一、项目与产业政策相符性分析</w:t>
            </w:r>
          </w:p>
          <w:p w14:paraId="0CC730DF">
            <w:pPr>
              <w:pStyle w:val="41"/>
              <w:ind w:firstLine="480"/>
            </w:pPr>
            <w:r>
              <w:rPr>
                <w:rFonts w:hint="eastAsia"/>
              </w:rPr>
              <w:t>本项目属于氮气供应工程，根据国家发改委《产业结构调整指导目录（2024年本）》，本项目不属于其中所列的限制类和淘汰类项目。</w:t>
            </w:r>
          </w:p>
          <w:p w14:paraId="50AAA1A2">
            <w:pPr>
              <w:pStyle w:val="41"/>
              <w:ind w:firstLine="480"/>
            </w:pPr>
            <w:r>
              <w:rPr>
                <w:rFonts w:hint="eastAsia"/>
              </w:rPr>
              <w:t>根据</w:t>
            </w:r>
            <w:r>
              <w:rPr>
                <w:rFonts w:hint="eastAsia"/>
                <w:lang w:eastAsia="zh-CN"/>
              </w:rPr>
              <w:t>中华人民共和国国家发展和改革委员会</w:t>
            </w:r>
            <w:r>
              <w:rPr>
                <w:rFonts w:hint="eastAsia"/>
              </w:rPr>
              <w:t>、中华人民共和国商务部联合发布的《外商投资产业指导目录》（2017年修订），项目不属于限制或禁止外商投资产业目录中所列产业。</w:t>
            </w:r>
          </w:p>
          <w:p w14:paraId="3D07920A">
            <w:pPr>
              <w:pStyle w:val="41"/>
              <w:ind w:firstLine="480"/>
            </w:pPr>
            <w:r>
              <w:rPr>
                <w:rFonts w:hint="eastAsia"/>
              </w:rPr>
              <w:t>综上，项目的建设符合国家产业政策要求。</w:t>
            </w:r>
          </w:p>
          <w:p w14:paraId="667A650B">
            <w:pPr>
              <w:pStyle w:val="41"/>
              <w:ind w:firstLine="482"/>
              <w:rPr>
                <w:b/>
                <w:bCs/>
              </w:rPr>
            </w:pPr>
            <w:r>
              <w:rPr>
                <w:rFonts w:hint="eastAsia"/>
                <w:b/>
                <w:bCs/>
              </w:rPr>
              <w:t>二、与《钦州市生态环境保护“十四五”规划》相符性分析</w:t>
            </w:r>
          </w:p>
          <w:p w14:paraId="008347EB">
            <w:pPr>
              <w:pStyle w:val="41"/>
              <w:ind w:firstLine="480"/>
            </w:pPr>
            <w:r>
              <w:rPr>
                <w:rFonts w:hint="eastAsia"/>
              </w:rPr>
              <w:t>《钦州市生态环境保护“十四五”规划》中提出，到2025年，实现环境质量进一步改善，减污降碳实现协同增效，重点领域污染治理取得更大成效，水环境质量全面改善，空气质量稳定达标，生态环境质量稳中向好，森林覆盖率保持在57%左右，绿色低碳循环发展体系更加完善，生态环境治理制度体系基本建立，为2035年达到“生态环境根本好转，美丽中国”远景目标的实现打下坚实基础。本项目为钦州石化产业园内的氮气供应工程，运营期间无废气产生，废水、固废均采取适当的污染防治措施，不会显著降低周边区域环境质量。</w:t>
            </w:r>
          </w:p>
          <w:p w14:paraId="476AAB95">
            <w:pPr>
              <w:pStyle w:val="41"/>
              <w:ind w:firstLine="482"/>
              <w:rPr>
                <w:b/>
                <w:bCs/>
              </w:rPr>
            </w:pPr>
            <w:r>
              <w:rPr>
                <w:rFonts w:hint="eastAsia"/>
                <w:b/>
                <w:bCs/>
              </w:rPr>
              <w:t>三、与《广西壮族自治区人民政府办公厅关于印发北钦防一体化产业协同发展限制布局清单（工业类2021 年版）的通知》相符性分析</w:t>
            </w:r>
          </w:p>
          <w:p w14:paraId="62454939">
            <w:pPr>
              <w:pStyle w:val="41"/>
              <w:ind w:firstLine="480"/>
            </w:pPr>
            <w:r>
              <w:rPr>
                <w:rFonts w:hint="eastAsia"/>
              </w:rPr>
              <w:t>根据《广西壮族自治区人民政府办公厅关于印发北钦防一体化产业协同发展限制布局清单（工业类2021年版）的通知》（桂政办函〔2021〕4号）。钦州市钦州港经济技术开发区限制布局水泥制造、建筑陶瓷制品制造、制革及皮毛加工，本项目为钦州石化产业园内的氮气供应工程，不属于上述限制布局产业。</w:t>
            </w:r>
          </w:p>
          <w:p w14:paraId="1716E9B3">
            <w:pPr>
              <w:pStyle w:val="41"/>
              <w:ind w:firstLine="482"/>
              <w:rPr>
                <w:b/>
                <w:bCs/>
              </w:rPr>
            </w:pPr>
            <w:r>
              <w:rPr>
                <w:rFonts w:hint="eastAsia"/>
                <w:b/>
                <w:bCs/>
              </w:rPr>
              <w:t>四、与《广西钦州石化产业园公共管廊管理规定（试行）》相符性分析</w:t>
            </w:r>
          </w:p>
          <w:p w14:paraId="65103145">
            <w:pPr>
              <w:pStyle w:val="41"/>
              <w:ind w:firstLine="480"/>
            </w:pPr>
            <w:r>
              <w:rPr>
                <w:rFonts w:hint="eastAsia"/>
              </w:rPr>
              <w:t>《规定》是公共管廊管理工作的基石和保障，能够有效整合各单位力量，充分发挥职能作用，从多方面致力于强化管廊安全防护措施，建立技防、物防、人防相结合的管廊安全保障体系。</w:t>
            </w:r>
          </w:p>
          <w:p w14:paraId="393F1B94">
            <w:pPr>
              <w:pStyle w:val="41"/>
              <w:ind w:firstLine="480"/>
            </w:pPr>
            <w:r>
              <w:rPr>
                <w:rFonts w:hint="eastAsia"/>
              </w:rPr>
              <w:t>《规定》共十二章一百一十三条，对钦州石化产业园公共管廊规划、设计、准入、建设、施工、巡检、维护、安全应急、数字化管理与监管职责等方面作出了明确要求，内容系统全面、具有适用性和操作性，是国内较全面和具体的管廊管理规定。本项目新建氮气输送管道依托广西钦州石化产业园公共管廊敷设，全面遵循《规定》管理要求。</w:t>
            </w:r>
          </w:p>
          <w:p w14:paraId="4511CBBD">
            <w:pPr>
              <w:pStyle w:val="41"/>
              <w:ind w:firstLine="482"/>
              <w:rPr>
                <w:b/>
                <w:bCs/>
              </w:rPr>
            </w:pPr>
            <w:r>
              <w:rPr>
                <w:rFonts w:hint="eastAsia"/>
                <w:b/>
                <w:bCs/>
              </w:rPr>
              <w:t>五、与“三线一单”相符性分析</w:t>
            </w:r>
          </w:p>
          <w:p w14:paraId="56C1FCBB">
            <w:pPr>
              <w:pStyle w:val="41"/>
              <w:ind w:firstLine="480"/>
            </w:pPr>
            <w:r>
              <w:rPr>
                <w:rFonts w:hint="eastAsia"/>
              </w:rPr>
              <w:t>项目与广西壮族自治区“三线一单”环境管控单元及生态环境准入清单相符性分析如下表所示。</w:t>
            </w:r>
          </w:p>
          <w:p w14:paraId="6B09816D">
            <w:pPr>
              <w:pStyle w:val="41"/>
              <w:numPr>
                <w:ilvl w:val="0"/>
                <w:numId w:val="3"/>
              </w:numPr>
              <w:spacing w:line="240" w:lineRule="auto"/>
              <w:ind w:left="0" w:firstLine="0" w:firstLineChars="0"/>
              <w:jc w:val="center"/>
              <w:rPr>
                <w:b/>
                <w:sz w:val="21"/>
              </w:rPr>
            </w:pPr>
            <w:r>
              <w:rPr>
                <w:rFonts w:hint="eastAsia"/>
                <w:b/>
                <w:sz w:val="21"/>
              </w:rPr>
              <w:t>项目与广西壮族自治区“三线一单”环境管控单元及生态环境准入清单相符性分析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54"/>
              <w:gridCol w:w="4344"/>
              <w:gridCol w:w="1964"/>
              <w:gridCol w:w="958"/>
            </w:tblGrid>
            <w:tr w14:paraId="258B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1" w:type="dxa"/>
                  <w:gridSpan w:val="2"/>
                  <w:vAlign w:val="center"/>
                </w:tcPr>
                <w:p w14:paraId="66B71739">
                  <w:pPr>
                    <w:pStyle w:val="42"/>
                    <w:rPr>
                      <w:b/>
                      <w:bCs/>
                    </w:rPr>
                  </w:pPr>
                  <w:r>
                    <w:rPr>
                      <w:rFonts w:hint="eastAsia"/>
                      <w:b/>
                      <w:bCs/>
                    </w:rPr>
                    <w:t>管控类别</w:t>
                  </w:r>
                </w:p>
              </w:tc>
              <w:tc>
                <w:tcPr>
                  <w:tcW w:w="4395" w:type="dxa"/>
                  <w:vAlign w:val="center"/>
                </w:tcPr>
                <w:p w14:paraId="1902E3D0">
                  <w:pPr>
                    <w:pStyle w:val="42"/>
                    <w:rPr>
                      <w:b/>
                      <w:bCs/>
                    </w:rPr>
                  </w:pPr>
                  <w:r>
                    <w:rPr>
                      <w:rFonts w:hint="eastAsia"/>
                      <w:b/>
                      <w:bCs/>
                    </w:rPr>
                    <w:t>管控要求</w:t>
                  </w:r>
                </w:p>
              </w:tc>
              <w:tc>
                <w:tcPr>
                  <w:tcW w:w="1984" w:type="dxa"/>
                  <w:vAlign w:val="center"/>
                </w:tcPr>
                <w:p w14:paraId="1EEA70F1">
                  <w:pPr>
                    <w:pStyle w:val="42"/>
                    <w:rPr>
                      <w:b/>
                      <w:bCs/>
                    </w:rPr>
                  </w:pPr>
                  <w:r>
                    <w:rPr>
                      <w:rFonts w:hint="eastAsia"/>
                      <w:b/>
                      <w:bCs/>
                    </w:rPr>
                    <w:t>项目情况</w:t>
                  </w:r>
                </w:p>
              </w:tc>
              <w:tc>
                <w:tcPr>
                  <w:tcW w:w="966" w:type="dxa"/>
                  <w:vAlign w:val="center"/>
                </w:tcPr>
                <w:p w14:paraId="22FB80E1">
                  <w:pPr>
                    <w:pStyle w:val="42"/>
                    <w:rPr>
                      <w:b/>
                      <w:bCs/>
                    </w:rPr>
                  </w:pPr>
                  <w:r>
                    <w:rPr>
                      <w:rFonts w:hint="eastAsia"/>
                      <w:b/>
                      <w:bCs/>
                    </w:rPr>
                    <w:t>相符性</w:t>
                  </w:r>
                </w:p>
              </w:tc>
            </w:tr>
            <w:tr w14:paraId="15B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gridSpan w:val="2"/>
                  <w:vMerge w:val="restart"/>
                  <w:vAlign w:val="center"/>
                </w:tcPr>
                <w:p w14:paraId="063B3298">
                  <w:pPr>
                    <w:pStyle w:val="42"/>
                  </w:pPr>
                  <w:r>
                    <w:rPr>
                      <w:rFonts w:hint="eastAsia"/>
                    </w:rPr>
                    <w:t>自治区层面空间布局约束</w:t>
                  </w:r>
                </w:p>
              </w:tc>
              <w:tc>
                <w:tcPr>
                  <w:tcW w:w="4395" w:type="dxa"/>
                  <w:vAlign w:val="center"/>
                </w:tcPr>
                <w:p w14:paraId="28109855">
                  <w:pPr>
                    <w:adjustRightInd w:val="0"/>
                    <w:snapToGrid w:val="0"/>
                  </w:pPr>
                  <w:r>
                    <w:rPr>
                      <w:rFonts w:hint="eastAsia"/>
                    </w:rPr>
                    <w:t>禁止新建、扩建《产业结构调整指导目录》明确的淘汰类项目；禁止引入不符合现行《市场准入负面清单》禁止准入类事项。新建项目要严格落实国家有关产业重大生产力规划布局要求，并符合广西优化主导产业布局及相关产业规划布局。新建化工项目应布局在自治区认定的化工园区内。</w:t>
                  </w:r>
                </w:p>
              </w:tc>
              <w:tc>
                <w:tcPr>
                  <w:tcW w:w="1984" w:type="dxa"/>
                  <w:vAlign w:val="center"/>
                </w:tcPr>
                <w:p w14:paraId="1FB0C7AD">
                  <w:pPr>
                    <w:pStyle w:val="42"/>
                  </w:pPr>
                  <w:r>
                    <w:rPr>
                      <w:rFonts w:hint="eastAsia"/>
                    </w:rPr>
                    <w:t>项目建设符合国家、地方产业政策，符合园区规划</w:t>
                  </w:r>
                </w:p>
              </w:tc>
              <w:tc>
                <w:tcPr>
                  <w:tcW w:w="966" w:type="dxa"/>
                  <w:vAlign w:val="center"/>
                </w:tcPr>
                <w:p w14:paraId="5BE906AC">
                  <w:pPr>
                    <w:pStyle w:val="42"/>
                  </w:pPr>
                  <w:r>
                    <w:rPr>
                      <w:rFonts w:hint="eastAsia"/>
                    </w:rPr>
                    <w:t>相符</w:t>
                  </w:r>
                </w:p>
              </w:tc>
            </w:tr>
            <w:tr w14:paraId="477A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 w:type="dxa"/>
                  <w:gridSpan w:val="2"/>
                  <w:vMerge w:val="continue"/>
                  <w:vAlign w:val="center"/>
                </w:tcPr>
                <w:p w14:paraId="61C39222">
                  <w:pPr>
                    <w:pStyle w:val="42"/>
                  </w:pPr>
                </w:p>
              </w:tc>
              <w:tc>
                <w:tcPr>
                  <w:tcW w:w="4395" w:type="dxa"/>
                  <w:vAlign w:val="center"/>
                </w:tcPr>
                <w:p w14:paraId="26CA063C">
                  <w:pPr>
                    <w:pStyle w:val="42"/>
                  </w:pPr>
                  <w:r>
                    <w:rPr>
                      <w:rFonts w:hint="eastAsia"/>
                    </w:rPr>
                    <w:t>鼓励和引导新建涉挥发性有机物VOCs排放的工业企业入园区（含工业园区、工业集中区、工业集聚区）。未纳入《石化产业规划布局方案》的新建炼化项目一律不得建设。</w:t>
                  </w:r>
                </w:p>
              </w:tc>
              <w:tc>
                <w:tcPr>
                  <w:tcW w:w="1984" w:type="dxa"/>
                  <w:vAlign w:val="center"/>
                </w:tcPr>
                <w:p w14:paraId="2F5DE425">
                  <w:pPr>
                    <w:pStyle w:val="42"/>
                  </w:pPr>
                  <w:r>
                    <w:rPr>
                      <w:rFonts w:hint="eastAsia"/>
                    </w:rPr>
                    <w:t>项目为氮气供应工程，运营期无废气排放</w:t>
                  </w:r>
                </w:p>
              </w:tc>
              <w:tc>
                <w:tcPr>
                  <w:tcW w:w="966" w:type="dxa"/>
                  <w:vAlign w:val="center"/>
                </w:tcPr>
                <w:p w14:paraId="400629B2">
                  <w:pPr>
                    <w:pStyle w:val="42"/>
                  </w:pPr>
                  <w:r>
                    <w:rPr>
                      <w:rFonts w:hint="eastAsia"/>
                    </w:rPr>
                    <w:t>相符</w:t>
                  </w:r>
                </w:p>
              </w:tc>
            </w:tr>
            <w:tr w14:paraId="3563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vAlign w:val="center"/>
                </w:tcPr>
                <w:p w14:paraId="3E83A526">
                  <w:pPr>
                    <w:adjustRightInd w:val="0"/>
                    <w:snapToGrid w:val="0"/>
                    <w:jc w:val="center"/>
                  </w:pPr>
                  <w:r>
                    <w:rPr>
                      <w:rFonts w:hint="eastAsia"/>
                      <w:szCs w:val="21"/>
                    </w:rPr>
                    <w:t>重点管控单元</w:t>
                  </w:r>
                  <w:r>
                    <w:rPr>
                      <w:szCs w:val="21"/>
                    </w:rPr>
                    <w:t>——</w:t>
                  </w:r>
                  <w:r>
                    <w:rPr>
                      <w:rFonts w:hint="eastAsia"/>
                      <w:szCs w:val="21"/>
                    </w:rPr>
                    <w:t>工业集聚区重点管控单元</w:t>
                  </w:r>
                </w:p>
              </w:tc>
              <w:tc>
                <w:tcPr>
                  <w:tcW w:w="556" w:type="dxa"/>
                  <w:vAlign w:val="center"/>
                </w:tcPr>
                <w:p w14:paraId="5B636FD4">
                  <w:pPr>
                    <w:adjustRightInd w:val="0"/>
                    <w:snapToGrid w:val="0"/>
                    <w:jc w:val="center"/>
                  </w:pPr>
                  <w:r>
                    <w:rPr>
                      <w:rFonts w:hint="eastAsia"/>
                      <w:szCs w:val="21"/>
                    </w:rPr>
                    <w:t>空间布局约束</w:t>
                  </w:r>
                </w:p>
              </w:tc>
              <w:tc>
                <w:tcPr>
                  <w:tcW w:w="4395" w:type="dxa"/>
                  <w:vAlign w:val="center"/>
                </w:tcPr>
                <w:p w14:paraId="10C60DBB">
                  <w:pPr>
                    <w:pStyle w:val="42"/>
                    <w:rPr>
                      <w:szCs w:val="21"/>
                    </w:rPr>
                  </w:pPr>
                  <w:r>
                    <w:rPr>
                      <w:rFonts w:hint="eastAsia"/>
                      <w:szCs w:val="21"/>
                    </w:rPr>
                    <w:t>各类产业园区管理机构应将规划环评结论及审查意见落实到规划中。负责统筹区域内生态环境基础设施建设，不得引入不符合规划环评结论及审查意见的项目入园。</w:t>
                  </w:r>
                </w:p>
              </w:tc>
              <w:tc>
                <w:tcPr>
                  <w:tcW w:w="1984" w:type="dxa"/>
                  <w:vAlign w:val="center"/>
                </w:tcPr>
                <w:p w14:paraId="19098020">
                  <w:pPr>
                    <w:pStyle w:val="42"/>
                  </w:pPr>
                  <w:r>
                    <w:rPr>
                      <w:rFonts w:hint="eastAsia"/>
                    </w:rPr>
                    <w:t>项目符合园区规划环评结论及审查意见</w:t>
                  </w:r>
                </w:p>
              </w:tc>
              <w:tc>
                <w:tcPr>
                  <w:tcW w:w="966" w:type="dxa"/>
                  <w:vAlign w:val="center"/>
                </w:tcPr>
                <w:p w14:paraId="1C850027">
                  <w:pPr>
                    <w:pStyle w:val="42"/>
                  </w:pPr>
                  <w:r>
                    <w:rPr>
                      <w:rFonts w:hint="eastAsia"/>
                    </w:rPr>
                    <w:t>相符</w:t>
                  </w:r>
                </w:p>
              </w:tc>
            </w:tr>
            <w:tr w14:paraId="7BB3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vAlign w:val="center"/>
                </w:tcPr>
                <w:p w14:paraId="48D6D4C2">
                  <w:pPr>
                    <w:adjustRightInd w:val="0"/>
                    <w:snapToGrid w:val="0"/>
                    <w:jc w:val="center"/>
                  </w:pPr>
                </w:p>
              </w:tc>
              <w:tc>
                <w:tcPr>
                  <w:tcW w:w="556" w:type="dxa"/>
                  <w:vMerge w:val="restart"/>
                  <w:vAlign w:val="center"/>
                </w:tcPr>
                <w:p w14:paraId="74ACE9F2">
                  <w:pPr>
                    <w:pStyle w:val="42"/>
                  </w:pPr>
                  <w:r>
                    <w:rPr>
                      <w:rFonts w:hint="eastAsia"/>
                    </w:rPr>
                    <w:t>污染物排放管控</w:t>
                  </w:r>
                </w:p>
              </w:tc>
              <w:tc>
                <w:tcPr>
                  <w:tcW w:w="4395" w:type="dxa"/>
                  <w:vAlign w:val="center"/>
                </w:tcPr>
                <w:p w14:paraId="2897D018">
                  <w:pPr>
                    <w:pStyle w:val="42"/>
                    <w:rPr>
                      <w:szCs w:val="21"/>
                    </w:rPr>
                  </w:pPr>
                  <w:r>
                    <w:rPr>
                      <w:rFonts w:hint="eastAsia"/>
                      <w:szCs w:val="21"/>
                    </w:rPr>
                    <w:t>1．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tc>
              <w:tc>
                <w:tcPr>
                  <w:tcW w:w="1984" w:type="dxa"/>
                  <w:vAlign w:val="center"/>
                </w:tcPr>
                <w:p w14:paraId="6316E0D7">
                  <w:pPr>
                    <w:pStyle w:val="42"/>
                  </w:pPr>
                  <w:r>
                    <w:rPr>
                      <w:rFonts w:hint="eastAsia"/>
                    </w:rPr>
                    <w:t>/</w:t>
                  </w:r>
                </w:p>
              </w:tc>
              <w:tc>
                <w:tcPr>
                  <w:tcW w:w="966" w:type="dxa"/>
                  <w:vAlign w:val="center"/>
                </w:tcPr>
                <w:p w14:paraId="7FBC73D0">
                  <w:pPr>
                    <w:pStyle w:val="42"/>
                  </w:pPr>
                  <w:r>
                    <w:rPr>
                      <w:rFonts w:hint="eastAsia"/>
                    </w:rPr>
                    <w:t>/</w:t>
                  </w:r>
                </w:p>
              </w:tc>
            </w:tr>
            <w:tr w14:paraId="5A1E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vAlign w:val="center"/>
                </w:tcPr>
                <w:p w14:paraId="43580539">
                  <w:pPr>
                    <w:pStyle w:val="42"/>
                  </w:pPr>
                </w:p>
              </w:tc>
              <w:tc>
                <w:tcPr>
                  <w:tcW w:w="556" w:type="dxa"/>
                  <w:vMerge w:val="continue"/>
                  <w:vAlign w:val="center"/>
                </w:tcPr>
                <w:p w14:paraId="22CD3A58">
                  <w:pPr>
                    <w:pStyle w:val="42"/>
                  </w:pPr>
                </w:p>
              </w:tc>
              <w:tc>
                <w:tcPr>
                  <w:tcW w:w="4395" w:type="dxa"/>
                  <w:vAlign w:val="center"/>
                </w:tcPr>
                <w:p w14:paraId="36440541">
                  <w:pPr>
                    <w:pStyle w:val="42"/>
                    <w:rPr>
                      <w:szCs w:val="21"/>
                    </w:rPr>
                  </w:pPr>
                  <w:r>
                    <w:rPr>
                      <w:rFonts w:hint="eastAsia"/>
                      <w:szCs w:val="21"/>
                    </w:rPr>
                    <w:t>2．新建、改建、扩建工业建设项目主要污染物排放应控制在区域环境承载能力范围内，确保环境质量达标。</w:t>
                  </w:r>
                </w:p>
              </w:tc>
              <w:tc>
                <w:tcPr>
                  <w:tcW w:w="1984" w:type="dxa"/>
                  <w:vAlign w:val="center"/>
                </w:tcPr>
                <w:p w14:paraId="6A8A6CCC">
                  <w:pPr>
                    <w:pStyle w:val="42"/>
                  </w:pPr>
                  <w:r>
                    <w:rPr>
                      <w:rFonts w:hint="eastAsia"/>
                    </w:rPr>
                    <w:t>项目运营期排放的废水、固废均采取适当的污染防治措施，对</w:t>
                  </w:r>
                  <w:r>
                    <w:rPr>
                      <w:rFonts w:hint="eastAsia"/>
                      <w:szCs w:val="21"/>
                    </w:rPr>
                    <w:t>区域环境承载能力、环境质量影响不大</w:t>
                  </w:r>
                </w:p>
              </w:tc>
              <w:tc>
                <w:tcPr>
                  <w:tcW w:w="966" w:type="dxa"/>
                  <w:vAlign w:val="center"/>
                </w:tcPr>
                <w:p w14:paraId="5B7CB44F">
                  <w:pPr>
                    <w:pStyle w:val="42"/>
                  </w:pPr>
                  <w:r>
                    <w:rPr>
                      <w:rFonts w:hint="eastAsia"/>
                    </w:rPr>
                    <w:t>相符</w:t>
                  </w:r>
                </w:p>
              </w:tc>
            </w:tr>
            <w:tr w14:paraId="189B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vAlign w:val="center"/>
                </w:tcPr>
                <w:p w14:paraId="536211A0">
                  <w:pPr>
                    <w:pStyle w:val="42"/>
                  </w:pPr>
                </w:p>
              </w:tc>
              <w:tc>
                <w:tcPr>
                  <w:tcW w:w="556" w:type="dxa"/>
                  <w:vMerge w:val="continue"/>
                  <w:vAlign w:val="center"/>
                </w:tcPr>
                <w:p w14:paraId="744B0CCD">
                  <w:pPr>
                    <w:pStyle w:val="42"/>
                  </w:pPr>
                </w:p>
              </w:tc>
              <w:tc>
                <w:tcPr>
                  <w:tcW w:w="4395" w:type="dxa"/>
                  <w:vAlign w:val="center"/>
                </w:tcPr>
                <w:p w14:paraId="7E3700F7">
                  <w:pPr>
                    <w:pStyle w:val="42"/>
                    <w:rPr>
                      <w:szCs w:val="21"/>
                    </w:rPr>
                  </w:pPr>
                  <w:r>
                    <w:rPr>
                      <w:rFonts w:hint="eastAsia"/>
                      <w:szCs w:val="21"/>
                    </w:rPr>
                    <w:t>3．新、改、扩建涉重金属重点行业建设项目必须以改善环境质量为核心，确保区域环境质量符合功能区定位，遵循重点重金属污染物排放“减量置换”或“等量置换”的原则，确保辖区完成重点行业重金属污染物排放总量控制目标。</w:t>
                  </w:r>
                </w:p>
              </w:tc>
              <w:tc>
                <w:tcPr>
                  <w:tcW w:w="1984" w:type="dxa"/>
                  <w:vAlign w:val="center"/>
                </w:tcPr>
                <w:p w14:paraId="1F2D0489">
                  <w:pPr>
                    <w:pStyle w:val="42"/>
                  </w:pPr>
                  <w:r>
                    <w:rPr>
                      <w:rFonts w:hint="eastAsia"/>
                    </w:rPr>
                    <w:t>项目不涉及重金属排放</w:t>
                  </w:r>
                </w:p>
              </w:tc>
              <w:tc>
                <w:tcPr>
                  <w:tcW w:w="966" w:type="dxa"/>
                  <w:vAlign w:val="center"/>
                </w:tcPr>
                <w:p w14:paraId="1D13B88A">
                  <w:pPr>
                    <w:pStyle w:val="42"/>
                  </w:pPr>
                  <w:r>
                    <w:rPr>
                      <w:rFonts w:hint="eastAsia"/>
                    </w:rPr>
                    <w:t>相符</w:t>
                  </w:r>
                </w:p>
              </w:tc>
            </w:tr>
            <w:tr w14:paraId="61BF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vAlign w:val="center"/>
                </w:tcPr>
                <w:p w14:paraId="17C6F2C9">
                  <w:pPr>
                    <w:pStyle w:val="42"/>
                  </w:pPr>
                </w:p>
              </w:tc>
              <w:tc>
                <w:tcPr>
                  <w:tcW w:w="556" w:type="dxa"/>
                  <w:vAlign w:val="center"/>
                </w:tcPr>
                <w:p w14:paraId="465CB8F9">
                  <w:pPr>
                    <w:adjustRightInd w:val="0"/>
                    <w:snapToGrid w:val="0"/>
                    <w:jc w:val="center"/>
                  </w:pPr>
                  <w:r>
                    <w:rPr>
                      <w:rFonts w:hint="eastAsia"/>
                      <w:szCs w:val="21"/>
                    </w:rPr>
                    <w:t>环境风险防控</w:t>
                  </w:r>
                </w:p>
              </w:tc>
              <w:tc>
                <w:tcPr>
                  <w:tcW w:w="4395" w:type="dxa"/>
                  <w:vAlign w:val="center"/>
                </w:tcPr>
                <w:p w14:paraId="6E310BE2">
                  <w:pPr>
                    <w:pStyle w:val="42"/>
                    <w:rPr>
                      <w:szCs w:val="21"/>
                    </w:rPr>
                  </w:pPr>
                  <w:r>
                    <w:rPr>
                      <w:rFonts w:hint="eastAsia"/>
                      <w:szCs w:val="21"/>
                    </w:rPr>
                    <w:t>加强产业园区环境风险防控体系建设并编制应急预案，细化明确产业园区及区内企业环境风险防范责任，与地方政府应急预案做好衔接联动，切实做好环境风险防范工作，督促污染企业做好退出地块的土壤、地下水等风险防控工作。</w:t>
                  </w:r>
                </w:p>
              </w:tc>
              <w:tc>
                <w:tcPr>
                  <w:tcW w:w="1984" w:type="dxa"/>
                  <w:vAlign w:val="center"/>
                </w:tcPr>
                <w:p w14:paraId="6AA1DEBA">
                  <w:pPr>
                    <w:pStyle w:val="42"/>
                  </w:pPr>
                  <w:r>
                    <w:rPr>
                      <w:rFonts w:hint="eastAsia"/>
                    </w:rPr>
                    <w:t>项目应急预案与工业园区及其相关企业衔接联动</w:t>
                  </w:r>
                </w:p>
              </w:tc>
              <w:tc>
                <w:tcPr>
                  <w:tcW w:w="966" w:type="dxa"/>
                  <w:vAlign w:val="center"/>
                </w:tcPr>
                <w:p w14:paraId="5EEA68B3">
                  <w:pPr>
                    <w:pStyle w:val="42"/>
                  </w:pPr>
                  <w:r>
                    <w:rPr>
                      <w:rFonts w:hint="eastAsia"/>
                    </w:rPr>
                    <w:t>相符</w:t>
                  </w:r>
                </w:p>
              </w:tc>
            </w:tr>
          </w:tbl>
          <w:p w14:paraId="0ABC45C3">
            <w:pPr>
              <w:pStyle w:val="41"/>
              <w:ind w:firstLine="480"/>
            </w:pPr>
          </w:p>
          <w:p w14:paraId="73CCF9CB">
            <w:pPr>
              <w:pStyle w:val="41"/>
              <w:ind w:firstLine="480"/>
            </w:pPr>
            <w:r>
              <w:rPr>
                <w:rFonts w:hint="eastAsia"/>
              </w:rPr>
              <w:t>项目所在地位于广西钦州石化产业园区内，对照《钦州市陆域环境管控单元分类图》，项目所在区域为钦州港经济技术开发区重点管控单元。不在钦州市近岸海域环境管控单元分类图范围内。项目与钦州市人民政府关于“三线一单”生态环境分区管控的实施意见相符性分析见</w:t>
            </w:r>
            <w:r>
              <w:fldChar w:fldCharType="begin"/>
            </w:r>
            <w:r>
              <w:instrText xml:space="preserve"> REF _Ref176340992 \r \h </w:instrText>
            </w:r>
            <w:r>
              <w:fldChar w:fldCharType="separate"/>
            </w:r>
            <w:r>
              <w:rPr>
                <w:rFonts w:hint="eastAsia"/>
              </w:rPr>
              <w:t>表</w:t>
            </w:r>
            <w:r>
              <w:t>1-3</w:t>
            </w:r>
            <w:r>
              <w:fldChar w:fldCharType="end"/>
            </w:r>
            <w:r>
              <w:rPr>
                <w:rFonts w:hint="eastAsia"/>
              </w:rPr>
              <w:t>，项目所在广西钦州石化产业园位于广西壮族自治区钦州港经济技术开发区，是钦州港经济技术开发区的核心组成部分，根据钦州港经济技术开发区重点管控单元生态环境准入及管控要求清单（试行），项目与其相符性分析见</w:t>
            </w:r>
            <w:r>
              <w:fldChar w:fldCharType="begin"/>
            </w:r>
            <w:r>
              <w:instrText xml:space="preserve"> REF _Ref176341006 \r \h </w:instrText>
            </w:r>
            <w:r>
              <w:fldChar w:fldCharType="separate"/>
            </w:r>
            <w:r>
              <w:rPr>
                <w:rFonts w:hint="eastAsia"/>
              </w:rPr>
              <w:t>表</w:t>
            </w:r>
            <w:r>
              <w:t>1-4</w:t>
            </w:r>
            <w:r>
              <w:fldChar w:fldCharType="end"/>
            </w:r>
            <w:r>
              <w:rPr>
                <w:rFonts w:hint="eastAsia"/>
              </w:rPr>
              <w:t>。</w:t>
            </w:r>
          </w:p>
          <w:p w14:paraId="1997C42E">
            <w:pPr>
              <w:pStyle w:val="41"/>
              <w:numPr>
                <w:ilvl w:val="0"/>
                <w:numId w:val="3"/>
              </w:numPr>
              <w:spacing w:line="240" w:lineRule="auto"/>
              <w:ind w:left="0" w:firstLine="0" w:firstLineChars="0"/>
              <w:jc w:val="center"/>
              <w:rPr>
                <w:b/>
                <w:sz w:val="21"/>
              </w:rPr>
            </w:pPr>
            <w:bookmarkStart w:id="15" w:name="_Ref176340992"/>
            <w:r>
              <w:rPr>
                <w:rFonts w:hint="eastAsia"/>
                <w:b/>
                <w:sz w:val="21"/>
              </w:rPr>
              <w:t>项目与钦州市生态环境准入及管控要求清单相符性分析</w:t>
            </w:r>
            <w:bookmarkEnd w:id="1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5102"/>
              <w:gridCol w:w="1986"/>
              <w:gridCol w:w="681"/>
            </w:tblGrid>
            <w:tr w14:paraId="7A1C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Align w:val="center"/>
                </w:tcPr>
                <w:p w14:paraId="6E4DCDAF">
                  <w:pPr>
                    <w:pStyle w:val="42"/>
                  </w:pPr>
                  <w:r>
                    <w:rPr>
                      <w:rFonts w:hint="eastAsia"/>
                      <w:b/>
                      <w:bCs/>
                    </w:rPr>
                    <w:t>管控类别</w:t>
                  </w:r>
                </w:p>
              </w:tc>
              <w:tc>
                <w:tcPr>
                  <w:tcW w:w="5102" w:type="dxa"/>
                  <w:vAlign w:val="center"/>
                </w:tcPr>
                <w:p w14:paraId="39D89C86">
                  <w:pPr>
                    <w:pStyle w:val="42"/>
                  </w:pPr>
                  <w:r>
                    <w:rPr>
                      <w:rFonts w:hint="eastAsia"/>
                      <w:b/>
                      <w:bCs/>
                    </w:rPr>
                    <w:t>管控要求</w:t>
                  </w:r>
                </w:p>
              </w:tc>
              <w:tc>
                <w:tcPr>
                  <w:tcW w:w="1986" w:type="dxa"/>
                  <w:vAlign w:val="center"/>
                </w:tcPr>
                <w:p w14:paraId="45F99486">
                  <w:pPr>
                    <w:pStyle w:val="42"/>
                  </w:pPr>
                  <w:r>
                    <w:rPr>
                      <w:rFonts w:hint="eastAsia"/>
                      <w:b/>
                      <w:bCs/>
                    </w:rPr>
                    <w:t>项目情况</w:t>
                  </w:r>
                </w:p>
              </w:tc>
              <w:tc>
                <w:tcPr>
                  <w:tcW w:w="681" w:type="dxa"/>
                  <w:vAlign w:val="center"/>
                </w:tcPr>
                <w:p w14:paraId="12C3BC56">
                  <w:pPr>
                    <w:pStyle w:val="42"/>
                  </w:pPr>
                  <w:r>
                    <w:rPr>
                      <w:rFonts w:hint="eastAsia"/>
                      <w:b/>
                      <w:bCs/>
                    </w:rPr>
                    <w:t>相符性</w:t>
                  </w:r>
                </w:p>
              </w:tc>
            </w:tr>
            <w:tr w14:paraId="38B2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restart"/>
                  <w:vAlign w:val="center"/>
                </w:tcPr>
                <w:p w14:paraId="448B17FA">
                  <w:pPr>
                    <w:pStyle w:val="42"/>
                  </w:pPr>
                  <w:r>
                    <w:rPr>
                      <w:rFonts w:hint="eastAsia"/>
                    </w:rPr>
                    <w:t>空间布局约束</w:t>
                  </w:r>
                </w:p>
              </w:tc>
              <w:tc>
                <w:tcPr>
                  <w:tcW w:w="5102" w:type="dxa"/>
                  <w:vAlign w:val="center"/>
                </w:tcPr>
                <w:p w14:paraId="2723AAC3">
                  <w:pPr>
                    <w:pStyle w:val="42"/>
                  </w:pPr>
                  <w:r>
                    <w:rPr>
                      <w:rFonts w:hint="eastAsia"/>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986" w:type="dxa"/>
                  <w:vAlign w:val="center"/>
                </w:tcPr>
                <w:p w14:paraId="1E5AC59F">
                  <w:pPr>
                    <w:pStyle w:val="42"/>
                  </w:pPr>
                  <w:r>
                    <w:rPr>
                      <w:rFonts w:hint="eastAsia"/>
                    </w:rPr>
                    <w:t>项目位于广西钦州石化产业园区内，不在生态保护红线区域内</w:t>
                  </w:r>
                </w:p>
              </w:tc>
              <w:tc>
                <w:tcPr>
                  <w:tcW w:w="681" w:type="dxa"/>
                  <w:vAlign w:val="center"/>
                </w:tcPr>
                <w:p w14:paraId="1B5C22E1">
                  <w:pPr>
                    <w:pStyle w:val="42"/>
                  </w:pPr>
                  <w:r>
                    <w:rPr>
                      <w:rFonts w:hint="eastAsia"/>
                    </w:rPr>
                    <w:t>相符</w:t>
                  </w:r>
                </w:p>
              </w:tc>
            </w:tr>
            <w:tr w14:paraId="24B9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409A5A3E">
                  <w:pPr>
                    <w:pStyle w:val="42"/>
                  </w:pPr>
                </w:p>
              </w:tc>
              <w:tc>
                <w:tcPr>
                  <w:tcW w:w="5102" w:type="dxa"/>
                  <w:vAlign w:val="center"/>
                </w:tcPr>
                <w:p w14:paraId="7C84D995">
                  <w:pPr>
                    <w:pStyle w:val="42"/>
                  </w:pPr>
                  <w:r>
                    <w:rPr>
                      <w:rFonts w:hint="eastAsia"/>
                    </w:rPr>
                    <w:t>2. 红树林依据《广西壮族自治区红树林资源保护条例》进行管理。开展红树林修复要依法依规进行，并符合红树林资源保护规划等相关要求。</w:t>
                  </w:r>
                </w:p>
              </w:tc>
              <w:tc>
                <w:tcPr>
                  <w:tcW w:w="1986" w:type="dxa"/>
                  <w:vAlign w:val="center"/>
                </w:tcPr>
                <w:p w14:paraId="0F9C19E6">
                  <w:pPr>
                    <w:pStyle w:val="42"/>
                  </w:pPr>
                  <w:r>
                    <w:rPr>
                      <w:rFonts w:hint="eastAsia"/>
                    </w:rPr>
                    <w:t>项目不涉及红树林</w:t>
                  </w:r>
                </w:p>
              </w:tc>
              <w:tc>
                <w:tcPr>
                  <w:tcW w:w="681" w:type="dxa"/>
                  <w:vAlign w:val="center"/>
                </w:tcPr>
                <w:p w14:paraId="729A4E44">
                  <w:pPr>
                    <w:pStyle w:val="42"/>
                  </w:pPr>
                  <w:r>
                    <w:rPr>
                      <w:rFonts w:hint="eastAsia"/>
                    </w:rPr>
                    <w:t>相符</w:t>
                  </w:r>
                </w:p>
              </w:tc>
            </w:tr>
            <w:tr w14:paraId="0B05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78715261">
                  <w:pPr>
                    <w:pStyle w:val="42"/>
                  </w:pPr>
                </w:p>
              </w:tc>
              <w:tc>
                <w:tcPr>
                  <w:tcW w:w="5102" w:type="dxa"/>
                  <w:vAlign w:val="center"/>
                </w:tcPr>
                <w:p w14:paraId="2E724249">
                  <w:pPr>
                    <w:pStyle w:val="42"/>
                  </w:pPr>
                  <w:r>
                    <w:rPr>
                      <w:rFonts w:hint="eastAsia"/>
                    </w:rPr>
                    <w:t>3. 重要湿地依据《广西壮族自治区湿地保护条例》进行管理。</w:t>
                  </w:r>
                </w:p>
              </w:tc>
              <w:tc>
                <w:tcPr>
                  <w:tcW w:w="1986" w:type="dxa"/>
                  <w:vAlign w:val="center"/>
                </w:tcPr>
                <w:p w14:paraId="7065A57C">
                  <w:pPr>
                    <w:pStyle w:val="42"/>
                  </w:pPr>
                  <w:r>
                    <w:rPr>
                      <w:rFonts w:hint="eastAsia"/>
                    </w:rPr>
                    <w:t>项目不涉及重要湿地</w:t>
                  </w:r>
                </w:p>
              </w:tc>
              <w:tc>
                <w:tcPr>
                  <w:tcW w:w="681" w:type="dxa"/>
                  <w:vAlign w:val="center"/>
                </w:tcPr>
                <w:p w14:paraId="068A8461">
                  <w:pPr>
                    <w:pStyle w:val="42"/>
                  </w:pPr>
                  <w:r>
                    <w:rPr>
                      <w:rFonts w:hint="eastAsia"/>
                    </w:rPr>
                    <w:t>相符</w:t>
                  </w:r>
                </w:p>
              </w:tc>
            </w:tr>
            <w:tr w14:paraId="2773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629A9D99">
                  <w:pPr>
                    <w:pStyle w:val="42"/>
                  </w:pPr>
                </w:p>
              </w:tc>
              <w:tc>
                <w:tcPr>
                  <w:tcW w:w="5102" w:type="dxa"/>
                  <w:vAlign w:val="center"/>
                </w:tcPr>
                <w:p w14:paraId="609CD990">
                  <w:pPr>
                    <w:pStyle w:val="42"/>
                  </w:pPr>
                  <w:r>
                    <w:rPr>
                      <w:rFonts w:hint="eastAsia"/>
                    </w:rPr>
                    <w:t>4. 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986" w:type="dxa"/>
                  <w:vAlign w:val="center"/>
                </w:tcPr>
                <w:p w14:paraId="7C534120">
                  <w:pPr>
                    <w:pStyle w:val="42"/>
                  </w:pPr>
                  <w:r>
                    <w:rPr>
                      <w:rFonts w:hint="eastAsia"/>
                    </w:rPr>
                    <w:t>项目位于广西钦州石化产业园区内，在广西华谊能源化工配套空分项目现有厂区内建设，氮气输送管道依托园区公共管廊架设，均未新增用地，不涉及占用上述生态敏感区域</w:t>
                  </w:r>
                </w:p>
              </w:tc>
              <w:tc>
                <w:tcPr>
                  <w:tcW w:w="681" w:type="dxa"/>
                  <w:vAlign w:val="center"/>
                </w:tcPr>
                <w:p w14:paraId="20F66455">
                  <w:pPr>
                    <w:pStyle w:val="42"/>
                  </w:pPr>
                  <w:r>
                    <w:rPr>
                      <w:rFonts w:hint="eastAsia"/>
                    </w:rPr>
                    <w:t>相符</w:t>
                  </w:r>
                </w:p>
              </w:tc>
            </w:tr>
            <w:tr w14:paraId="6EBC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245F6DC3">
                  <w:pPr>
                    <w:pStyle w:val="42"/>
                  </w:pPr>
                </w:p>
              </w:tc>
              <w:tc>
                <w:tcPr>
                  <w:tcW w:w="5102" w:type="dxa"/>
                  <w:vAlign w:val="center"/>
                </w:tcPr>
                <w:p w14:paraId="7C028576">
                  <w:pPr>
                    <w:pStyle w:val="42"/>
                  </w:pPr>
                  <w:r>
                    <w:rPr>
                      <w:rFonts w:hint="eastAsia"/>
                    </w:rPr>
                    <w:t>5. 以供给侧结构性改革为导向，坚持培育新增产能与淘汰落后产能相结合，严格审批，防止新增落后产能。严格控制“两高”和产能过剩行业新上项目，遏制高耗能产业无序发展和低水平扩张。</w:t>
                  </w:r>
                </w:p>
              </w:tc>
              <w:tc>
                <w:tcPr>
                  <w:tcW w:w="1986" w:type="dxa"/>
                  <w:vAlign w:val="center"/>
                </w:tcPr>
                <w:p w14:paraId="07C705D8">
                  <w:pPr>
                    <w:pStyle w:val="42"/>
                  </w:pPr>
                  <w:r>
                    <w:rPr>
                      <w:rFonts w:hint="eastAsia"/>
                    </w:rPr>
                    <w:t>项目符合国家、地方产业政策</w:t>
                  </w:r>
                </w:p>
              </w:tc>
              <w:tc>
                <w:tcPr>
                  <w:tcW w:w="681" w:type="dxa"/>
                  <w:vAlign w:val="center"/>
                </w:tcPr>
                <w:p w14:paraId="7937DA40">
                  <w:pPr>
                    <w:pStyle w:val="42"/>
                  </w:pPr>
                  <w:r>
                    <w:rPr>
                      <w:rFonts w:hint="eastAsia"/>
                    </w:rPr>
                    <w:t>相符</w:t>
                  </w:r>
                </w:p>
              </w:tc>
            </w:tr>
            <w:tr w14:paraId="758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59E86BB7">
                  <w:pPr>
                    <w:pStyle w:val="42"/>
                  </w:pPr>
                </w:p>
              </w:tc>
              <w:tc>
                <w:tcPr>
                  <w:tcW w:w="5102" w:type="dxa"/>
                  <w:vAlign w:val="center"/>
                </w:tcPr>
                <w:p w14:paraId="4479229F">
                  <w:pPr>
                    <w:pStyle w:val="42"/>
                  </w:pPr>
                  <w:r>
                    <w:rPr>
                      <w:rFonts w:hint="eastAsia"/>
                    </w:rPr>
                    <w:t>6. 全市产业准入执行《广西壮族自治区人民政府办公厅关于印发北钦防一体化产业协同发展限制布局清单（工业类2021 年版）的通知》（桂政办函〔2021〕4 号）要求，限制布局炼铁、炼钢、铝冶炼、平板玻璃制造。</w:t>
                  </w:r>
                </w:p>
              </w:tc>
              <w:tc>
                <w:tcPr>
                  <w:tcW w:w="1986" w:type="dxa"/>
                  <w:vAlign w:val="center"/>
                </w:tcPr>
                <w:p w14:paraId="7632111D">
                  <w:pPr>
                    <w:pStyle w:val="42"/>
                  </w:pPr>
                  <w:r>
                    <w:rPr>
                      <w:rFonts w:hint="eastAsia"/>
                    </w:rPr>
                    <w:t>项目不属于上述产业</w:t>
                  </w:r>
                </w:p>
              </w:tc>
              <w:tc>
                <w:tcPr>
                  <w:tcW w:w="681" w:type="dxa"/>
                  <w:vAlign w:val="center"/>
                </w:tcPr>
                <w:p w14:paraId="79C78031">
                  <w:pPr>
                    <w:pStyle w:val="42"/>
                  </w:pPr>
                  <w:r>
                    <w:rPr>
                      <w:rFonts w:hint="eastAsia"/>
                    </w:rPr>
                    <w:t>相符</w:t>
                  </w:r>
                </w:p>
              </w:tc>
            </w:tr>
            <w:tr w14:paraId="027D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59E45B4E">
                  <w:pPr>
                    <w:pStyle w:val="42"/>
                  </w:pPr>
                </w:p>
              </w:tc>
              <w:tc>
                <w:tcPr>
                  <w:tcW w:w="5102" w:type="dxa"/>
                  <w:vAlign w:val="center"/>
                </w:tcPr>
                <w:p w14:paraId="288F9B20">
                  <w:pPr>
                    <w:pStyle w:val="42"/>
                  </w:pPr>
                  <w:r>
                    <w:rPr>
                      <w:rFonts w:hint="eastAsia"/>
                    </w:rPr>
                    <w:t>7. 新建、扩建的石化、化工、焦化项目应按照《关于加强高耗能、高排放建设项目生态环境源头防控的指导意见》布设在依法合规设立并经规划环评的产业园区。</w:t>
                  </w:r>
                </w:p>
              </w:tc>
              <w:tc>
                <w:tcPr>
                  <w:tcW w:w="1986" w:type="dxa"/>
                  <w:vAlign w:val="center"/>
                </w:tcPr>
                <w:p w14:paraId="283EE1A9">
                  <w:pPr>
                    <w:pStyle w:val="42"/>
                  </w:pPr>
                  <w:r>
                    <w:rPr>
                      <w:rFonts w:hint="eastAsia"/>
                    </w:rPr>
                    <w:t>项目为氮气供应工程，不属于上述产业</w:t>
                  </w:r>
                </w:p>
              </w:tc>
              <w:tc>
                <w:tcPr>
                  <w:tcW w:w="681" w:type="dxa"/>
                  <w:vAlign w:val="center"/>
                </w:tcPr>
                <w:p w14:paraId="0F63CB5E">
                  <w:pPr>
                    <w:pStyle w:val="42"/>
                  </w:pPr>
                  <w:r>
                    <w:rPr>
                      <w:rFonts w:hint="eastAsia"/>
                    </w:rPr>
                    <w:t>相符</w:t>
                  </w:r>
                </w:p>
              </w:tc>
            </w:tr>
            <w:tr w14:paraId="051D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24A75708">
                  <w:pPr>
                    <w:pStyle w:val="42"/>
                  </w:pPr>
                </w:p>
              </w:tc>
              <w:tc>
                <w:tcPr>
                  <w:tcW w:w="5102" w:type="dxa"/>
                  <w:vAlign w:val="center"/>
                </w:tcPr>
                <w:p w14:paraId="42C29B3C">
                  <w:pPr>
                    <w:pStyle w:val="42"/>
                  </w:pPr>
                  <w:r>
                    <w:rPr>
                      <w:rFonts w:hint="eastAsia"/>
                    </w:rPr>
                    <w:t>8. 海洋开发和海岸开发各类活动，大陆自然岸线保有率标准不低于35%、无居民海岛岸线长度保有率标准不低于85%。</w:t>
                  </w:r>
                </w:p>
              </w:tc>
              <w:tc>
                <w:tcPr>
                  <w:tcW w:w="1986" w:type="dxa"/>
                  <w:vAlign w:val="center"/>
                </w:tcPr>
                <w:p w14:paraId="3ECA28A9">
                  <w:pPr>
                    <w:pStyle w:val="42"/>
                  </w:pPr>
                  <w:r>
                    <w:rPr>
                      <w:rFonts w:hint="eastAsia"/>
                    </w:rPr>
                    <w:t>项目不涉及海洋、海岸开发</w:t>
                  </w:r>
                </w:p>
              </w:tc>
              <w:tc>
                <w:tcPr>
                  <w:tcW w:w="681" w:type="dxa"/>
                  <w:vAlign w:val="center"/>
                </w:tcPr>
                <w:p w14:paraId="6C86A964">
                  <w:pPr>
                    <w:pStyle w:val="42"/>
                  </w:pPr>
                  <w:r>
                    <w:rPr>
                      <w:rFonts w:hint="eastAsia"/>
                    </w:rPr>
                    <w:t>相符</w:t>
                  </w:r>
                </w:p>
              </w:tc>
            </w:tr>
            <w:tr w14:paraId="3998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53B4CA42">
                  <w:pPr>
                    <w:pStyle w:val="42"/>
                  </w:pPr>
                </w:p>
              </w:tc>
              <w:tc>
                <w:tcPr>
                  <w:tcW w:w="5102" w:type="dxa"/>
                  <w:vAlign w:val="center"/>
                </w:tcPr>
                <w:p w14:paraId="59C025BC">
                  <w:pPr>
                    <w:pStyle w:val="42"/>
                  </w:pPr>
                  <w:r>
                    <w:rPr>
                      <w:rFonts w:hint="eastAsia"/>
                    </w:rPr>
                    <w:t>9. 推进海域资源市场化配置，严控新增围填海造地，完善围填海总量管控，除国家重大战略项目外，全面停止新增围填海项目审批，全面清理非法占用海洋生态保护红线区域的围填海项目。</w:t>
                  </w:r>
                </w:p>
              </w:tc>
              <w:tc>
                <w:tcPr>
                  <w:tcW w:w="1986" w:type="dxa"/>
                  <w:vAlign w:val="center"/>
                </w:tcPr>
                <w:p w14:paraId="3B747C62">
                  <w:pPr>
                    <w:pStyle w:val="42"/>
                  </w:pPr>
                  <w:r>
                    <w:rPr>
                      <w:rFonts w:hint="eastAsia"/>
                    </w:rPr>
                    <w:t>项目不涉及围填海</w:t>
                  </w:r>
                </w:p>
              </w:tc>
              <w:tc>
                <w:tcPr>
                  <w:tcW w:w="681" w:type="dxa"/>
                  <w:vAlign w:val="center"/>
                </w:tcPr>
                <w:p w14:paraId="7ED48255">
                  <w:pPr>
                    <w:pStyle w:val="42"/>
                  </w:pPr>
                  <w:r>
                    <w:rPr>
                      <w:rFonts w:hint="eastAsia"/>
                    </w:rPr>
                    <w:t>相符</w:t>
                  </w:r>
                </w:p>
              </w:tc>
            </w:tr>
            <w:tr w14:paraId="64AB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93DD58E">
                  <w:pPr>
                    <w:pStyle w:val="42"/>
                  </w:pPr>
                </w:p>
              </w:tc>
              <w:tc>
                <w:tcPr>
                  <w:tcW w:w="5102" w:type="dxa"/>
                  <w:vAlign w:val="center"/>
                </w:tcPr>
                <w:p w14:paraId="14366AFA">
                  <w:pPr>
                    <w:pStyle w:val="42"/>
                  </w:pPr>
                  <w:r>
                    <w:rPr>
                      <w:rFonts w:hint="eastAsia"/>
                    </w:rPr>
                    <w:t>10. 科学论证在三娘湾海洋保护区、茅尾海中部海洋保护区及周边区域的开发利用活动，严格落实保护区管理要求。</w:t>
                  </w:r>
                </w:p>
              </w:tc>
              <w:tc>
                <w:tcPr>
                  <w:tcW w:w="1986" w:type="dxa"/>
                  <w:vAlign w:val="center"/>
                </w:tcPr>
                <w:p w14:paraId="06B2A9C1">
                  <w:pPr>
                    <w:pStyle w:val="42"/>
                  </w:pPr>
                  <w:r>
                    <w:rPr>
                      <w:rFonts w:hint="eastAsia"/>
                    </w:rPr>
                    <w:t>项目不涉及上述保护区</w:t>
                  </w:r>
                </w:p>
              </w:tc>
              <w:tc>
                <w:tcPr>
                  <w:tcW w:w="681" w:type="dxa"/>
                  <w:vAlign w:val="center"/>
                </w:tcPr>
                <w:p w14:paraId="0F26F5AE">
                  <w:pPr>
                    <w:pStyle w:val="42"/>
                  </w:pPr>
                  <w:r>
                    <w:rPr>
                      <w:rFonts w:hint="eastAsia"/>
                    </w:rPr>
                    <w:t>相符</w:t>
                  </w:r>
                </w:p>
              </w:tc>
            </w:tr>
            <w:tr w14:paraId="63AE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0C75231">
                  <w:pPr>
                    <w:pStyle w:val="42"/>
                  </w:pPr>
                </w:p>
              </w:tc>
              <w:tc>
                <w:tcPr>
                  <w:tcW w:w="5102" w:type="dxa"/>
                  <w:vAlign w:val="center"/>
                </w:tcPr>
                <w:p w14:paraId="69A8F232">
                  <w:pPr>
                    <w:pStyle w:val="42"/>
                  </w:pPr>
                  <w:r>
                    <w:rPr>
                      <w:rFonts w:hint="eastAsia"/>
                    </w:rPr>
                    <w:t>11. 严格按照相关法律法规及海洋国土空间规划等要求，规范设置和监管入海排污口。禁止采挖海砂、设置直排排污口及其他破坏河口生态功能的开发活动。</w:t>
                  </w:r>
                </w:p>
              </w:tc>
              <w:tc>
                <w:tcPr>
                  <w:tcW w:w="1986" w:type="dxa"/>
                  <w:vAlign w:val="center"/>
                </w:tcPr>
                <w:p w14:paraId="1160648C">
                  <w:pPr>
                    <w:pStyle w:val="42"/>
                  </w:pPr>
                  <w:r>
                    <w:rPr>
                      <w:rFonts w:hint="eastAsia"/>
                    </w:rPr>
                    <w:t>项目不涉及上述开发活动</w:t>
                  </w:r>
                </w:p>
              </w:tc>
              <w:tc>
                <w:tcPr>
                  <w:tcW w:w="681" w:type="dxa"/>
                  <w:vAlign w:val="center"/>
                </w:tcPr>
                <w:p w14:paraId="39FE166B">
                  <w:pPr>
                    <w:pStyle w:val="42"/>
                  </w:pPr>
                  <w:r>
                    <w:rPr>
                      <w:rFonts w:hint="eastAsia"/>
                    </w:rPr>
                    <w:t>相符</w:t>
                  </w:r>
                </w:p>
              </w:tc>
            </w:tr>
            <w:tr w14:paraId="4FEE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43DEBB18">
                  <w:pPr>
                    <w:pStyle w:val="42"/>
                  </w:pPr>
                </w:p>
              </w:tc>
              <w:tc>
                <w:tcPr>
                  <w:tcW w:w="5102" w:type="dxa"/>
                  <w:vAlign w:val="center"/>
                </w:tcPr>
                <w:p w14:paraId="52BC6D9F">
                  <w:pPr>
                    <w:pStyle w:val="42"/>
                  </w:pPr>
                  <w:r>
                    <w:rPr>
                      <w:rFonts w:hint="eastAsia"/>
                    </w:rPr>
                    <w:t>12. 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986" w:type="dxa"/>
                  <w:vAlign w:val="center"/>
                </w:tcPr>
                <w:p w14:paraId="21C647CD">
                  <w:pPr>
                    <w:pStyle w:val="42"/>
                  </w:pPr>
                  <w:r>
                    <w:rPr>
                      <w:rFonts w:hint="eastAsia"/>
                    </w:rPr>
                    <w:t>项目位于钦州石化产业园内，不占用沙滩和红树林</w:t>
                  </w:r>
                </w:p>
              </w:tc>
              <w:tc>
                <w:tcPr>
                  <w:tcW w:w="681" w:type="dxa"/>
                  <w:vAlign w:val="center"/>
                </w:tcPr>
                <w:p w14:paraId="4EBD518C">
                  <w:pPr>
                    <w:pStyle w:val="42"/>
                  </w:pPr>
                  <w:r>
                    <w:rPr>
                      <w:rFonts w:hint="eastAsia"/>
                    </w:rPr>
                    <w:t>相符</w:t>
                  </w:r>
                </w:p>
              </w:tc>
            </w:tr>
            <w:tr w14:paraId="76FE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3E7EFDB">
                  <w:pPr>
                    <w:pStyle w:val="42"/>
                  </w:pPr>
                </w:p>
              </w:tc>
              <w:tc>
                <w:tcPr>
                  <w:tcW w:w="5102" w:type="dxa"/>
                  <w:vAlign w:val="center"/>
                </w:tcPr>
                <w:p w14:paraId="73E95E53">
                  <w:pPr>
                    <w:pStyle w:val="42"/>
                  </w:pPr>
                  <w:r>
                    <w:rPr>
                      <w:rFonts w:hint="eastAsia"/>
                    </w:rPr>
                    <w:t>13. 严格用途管制，坚持陆海统筹，严禁国家产业政策淘汰类、限制类项目在滨海湿地布局，实现山水林田湖草整体保护、系统修复、综合治理。</w:t>
                  </w:r>
                </w:p>
              </w:tc>
              <w:tc>
                <w:tcPr>
                  <w:tcW w:w="1986" w:type="dxa"/>
                  <w:vAlign w:val="center"/>
                </w:tcPr>
                <w:p w14:paraId="5AD49814">
                  <w:pPr>
                    <w:pStyle w:val="42"/>
                  </w:pPr>
                  <w:r>
                    <w:rPr>
                      <w:rFonts w:hint="eastAsia"/>
                    </w:rPr>
                    <w:t>项目符合国家、地方产业政策</w:t>
                  </w:r>
                </w:p>
              </w:tc>
              <w:tc>
                <w:tcPr>
                  <w:tcW w:w="681" w:type="dxa"/>
                  <w:vAlign w:val="center"/>
                </w:tcPr>
                <w:p w14:paraId="28DB0FE8">
                  <w:pPr>
                    <w:pStyle w:val="42"/>
                  </w:pPr>
                  <w:r>
                    <w:rPr>
                      <w:rFonts w:hint="eastAsia"/>
                    </w:rPr>
                    <w:t>相符</w:t>
                  </w:r>
                </w:p>
              </w:tc>
            </w:tr>
            <w:tr w14:paraId="6024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restart"/>
                  <w:vAlign w:val="center"/>
                </w:tcPr>
                <w:p w14:paraId="0B344BD3">
                  <w:pPr>
                    <w:pStyle w:val="42"/>
                  </w:pPr>
                  <w:r>
                    <w:rPr>
                      <w:rFonts w:hint="eastAsia"/>
                    </w:rPr>
                    <w:t>污染物排放管控</w:t>
                  </w:r>
                </w:p>
              </w:tc>
              <w:tc>
                <w:tcPr>
                  <w:tcW w:w="5102" w:type="dxa"/>
                  <w:vAlign w:val="center"/>
                </w:tcPr>
                <w:p w14:paraId="704DA5F5">
                  <w:pPr>
                    <w:pStyle w:val="42"/>
                  </w:pPr>
                  <w:r>
                    <w:rPr>
                      <w:rFonts w:hint="eastAsia"/>
                    </w:rPr>
                    <w:t>1. 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1986" w:type="dxa"/>
                  <w:vAlign w:val="center"/>
                </w:tcPr>
                <w:p w14:paraId="6DE48CB4">
                  <w:pPr>
                    <w:pStyle w:val="42"/>
                  </w:pPr>
                  <w:r>
                    <w:rPr>
                      <w:rFonts w:hint="eastAsia"/>
                    </w:rPr>
                    <w:t>项目为氮气供应工程，不属于上述行业，运营期无废气产生，废水、固废均采用适当的污染防治措施，对区域总量、环境质量影响不大</w:t>
                  </w:r>
                </w:p>
              </w:tc>
              <w:tc>
                <w:tcPr>
                  <w:tcW w:w="681" w:type="dxa"/>
                  <w:vAlign w:val="center"/>
                </w:tcPr>
                <w:p w14:paraId="73F6DA63">
                  <w:pPr>
                    <w:pStyle w:val="42"/>
                  </w:pPr>
                  <w:r>
                    <w:rPr>
                      <w:rFonts w:hint="eastAsia"/>
                    </w:rPr>
                    <w:t>相符</w:t>
                  </w:r>
                </w:p>
              </w:tc>
            </w:tr>
            <w:tr w14:paraId="38A8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458D22B">
                  <w:pPr>
                    <w:pStyle w:val="42"/>
                  </w:pPr>
                </w:p>
              </w:tc>
              <w:tc>
                <w:tcPr>
                  <w:tcW w:w="5102" w:type="dxa"/>
                  <w:vAlign w:val="center"/>
                </w:tcPr>
                <w:p w14:paraId="5E837E4E">
                  <w:pPr>
                    <w:pStyle w:val="42"/>
                  </w:pPr>
                  <w:r>
                    <w:rPr>
                      <w:rFonts w:hint="eastAsia"/>
                    </w:rPr>
                    <w:t>2. 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w:t>
                  </w:r>
                </w:p>
              </w:tc>
              <w:tc>
                <w:tcPr>
                  <w:tcW w:w="1986" w:type="dxa"/>
                  <w:vAlign w:val="center"/>
                </w:tcPr>
                <w:p w14:paraId="7591697F">
                  <w:pPr>
                    <w:pStyle w:val="42"/>
                  </w:pPr>
                  <w:r>
                    <w:rPr>
                      <w:rFonts w:hint="eastAsia"/>
                    </w:rPr>
                    <w:t>项目循环废水依托天宜污水厂一期处理，生活污水依托国投钦电生活污水处理系统处理</w:t>
                  </w:r>
                </w:p>
              </w:tc>
              <w:tc>
                <w:tcPr>
                  <w:tcW w:w="681" w:type="dxa"/>
                  <w:vAlign w:val="center"/>
                </w:tcPr>
                <w:p w14:paraId="6689344E">
                  <w:pPr>
                    <w:pStyle w:val="42"/>
                  </w:pPr>
                  <w:r>
                    <w:rPr>
                      <w:rFonts w:hint="eastAsia"/>
                    </w:rPr>
                    <w:t>相符</w:t>
                  </w:r>
                </w:p>
              </w:tc>
            </w:tr>
            <w:tr w14:paraId="3CC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47FD904">
                  <w:pPr>
                    <w:pStyle w:val="42"/>
                  </w:pPr>
                </w:p>
              </w:tc>
              <w:tc>
                <w:tcPr>
                  <w:tcW w:w="5102" w:type="dxa"/>
                  <w:vAlign w:val="center"/>
                </w:tcPr>
                <w:p w14:paraId="27B53929">
                  <w:pPr>
                    <w:pStyle w:val="42"/>
                  </w:pPr>
                  <w:r>
                    <w:rPr>
                      <w:rFonts w:hint="eastAsia"/>
                    </w:rPr>
                    <w:t>3. 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986" w:type="dxa"/>
                  <w:vAlign w:val="center"/>
                </w:tcPr>
                <w:p w14:paraId="6E5E910A">
                  <w:pPr>
                    <w:pStyle w:val="42"/>
                  </w:pPr>
                  <w:r>
                    <w:rPr>
                      <w:rFonts w:hint="eastAsia"/>
                    </w:rPr>
                    <w:t>/</w:t>
                  </w:r>
                </w:p>
              </w:tc>
              <w:tc>
                <w:tcPr>
                  <w:tcW w:w="681" w:type="dxa"/>
                  <w:vAlign w:val="center"/>
                </w:tcPr>
                <w:p w14:paraId="3CEF20D9">
                  <w:pPr>
                    <w:pStyle w:val="42"/>
                  </w:pPr>
                  <w:r>
                    <w:rPr>
                      <w:rFonts w:hint="eastAsia"/>
                    </w:rPr>
                    <w:t>/</w:t>
                  </w:r>
                </w:p>
              </w:tc>
            </w:tr>
            <w:tr w14:paraId="107E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77637042">
                  <w:pPr>
                    <w:pStyle w:val="42"/>
                  </w:pPr>
                </w:p>
              </w:tc>
              <w:tc>
                <w:tcPr>
                  <w:tcW w:w="5102" w:type="dxa"/>
                  <w:vAlign w:val="center"/>
                </w:tcPr>
                <w:p w14:paraId="3CD6953A">
                  <w:pPr>
                    <w:pStyle w:val="42"/>
                  </w:pPr>
                  <w:r>
                    <w:rPr>
                      <w:rFonts w:hint="eastAsia"/>
                    </w:rPr>
                    <w:t>4. 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986" w:type="dxa"/>
                  <w:vAlign w:val="center"/>
                </w:tcPr>
                <w:p w14:paraId="0F27B8A7">
                  <w:pPr>
                    <w:pStyle w:val="42"/>
                  </w:pPr>
                  <w:r>
                    <w:rPr>
                      <w:rFonts w:hint="eastAsia"/>
                    </w:rPr>
                    <w:t>/</w:t>
                  </w:r>
                </w:p>
              </w:tc>
              <w:tc>
                <w:tcPr>
                  <w:tcW w:w="681" w:type="dxa"/>
                  <w:vAlign w:val="center"/>
                </w:tcPr>
                <w:p w14:paraId="01E38556">
                  <w:pPr>
                    <w:pStyle w:val="42"/>
                  </w:pPr>
                  <w:r>
                    <w:rPr>
                      <w:rFonts w:hint="eastAsia"/>
                    </w:rPr>
                    <w:t>//</w:t>
                  </w:r>
                </w:p>
              </w:tc>
            </w:tr>
            <w:tr w14:paraId="68AB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6DF9E19F">
                  <w:pPr>
                    <w:pStyle w:val="42"/>
                  </w:pPr>
                </w:p>
              </w:tc>
              <w:tc>
                <w:tcPr>
                  <w:tcW w:w="5102" w:type="dxa"/>
                  <w:vAlign w:val="center"/>
                </w:tcPr>
                <w:p w14:paraId="265182A8">
                  <w:pPr>
                    <w:pStyle w:val="42"/>
                  </w:pPr>
                  <w:r>
                    <w:rPr>
                      <w:rFonts w:hint="eastAsia"/>
                    </w:rPr>
                    <w:t>5. 加强工业企业无组织废气排放控制，加强挥发性有机物（VOCs）排放企业综合防治，加快高效VOCs 收集治理设施建设，大力提升VOCs 排放收集率、去除率和治理设施运行率。推进工业涂装、石化、包装印刷、木材加工、汽修等行业和油品储运销的VOCs 综合治理。</w:t>
                  </w:r>
                </w:p>
              </w:tc>
              <w:tc>
                <w:tcPr>
                  <w:tcW w:w="1986" w:type="dxa"/>
                  <w:vAlign w:val="center"/>
                </w:tcPr>
                <w:p w14:paraId="200E1E1B">
                  <w:pPr>
                    <w:pStyle w:val="42"/>
                  </w:pPr>
                  <w:r>
                    <w:rPr>
                      <w:rFonts w:hint="eastAsia"/>
                    </w:rPr>
                    <w:t>项目运营期无废气排放</w:t>
                  </w:r>
                </w:p>
              </w:tc>
              <w:tc>
                <w:tcPr>
                  <w:tcW w:w="681" w:type="dxa"/>
                  <w:vAlign w:val="center"/>
                </w:tcPr>
                <w:p w14:paraId="58A5B8B1">
                  <w:pPr>
                    <w:pStyle w:val="42"/>
                  </w:pPr>
                  <w:r>
                    <w:rPr>
                      <w:rFonts w:hint="eastAsia"/>
                    </w:rPr>
                    <w:t>相符</w:t>
                  </w:r>
                </w:p>
              </w:tc>
            </w:tr>
            <w:tr w14:paraId="7B3C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A9E59E0">
                  <w:pPr>
                    <w:pStyle w:val="42"/>
                  </w:pPr>
                </w:p>
              </w:tc>
              <w:tc>
                <w:tcPr>
                  <w:tcW w:w="5102" w:type="dxa"/>
                  <w:vAlign w:val="center"/>
                </w:tcPr>
                <w:p w14:paraId="77EAA28A">
                  <w:pPr>
                    <w:pStyle w:val="42"/>
                  </w:pPr>
                  <w:r>
                    <w:rPr>
                      <w:rFonts w:hint="eastAsia"/>
                    </w:rPr>
                    <w:t>6. 完善园区集中供热设施，积极推广集中供热，有条件的工业聚集区建设集中喷涂工程中心，配备高效治污设施，替代企业独立喷涂工序。</w:t>
                  </w:r>
                </w:p>
              </w:tc>
              <w:tc>
                <w:tcPr>
                  <w:tcW w:w="1986" w:type="dxa"/>
                  <w:vAlign w:val="center"/>
                </w:tcPr>
                <w:p w14:paraId="7F6A82DD">
                  <w:pPr>
                    <w:pStyle w:val="42"/>
                  </w:pPr>
                  <w:r>
                    <w:rPr>
                      <w:rFonts w:hint="eastAsia"/>
                    </w:rPr>
                    <w:t>/</w:t>
                  </w:r>
                </w:p>
              </w:tc>
              <w:tc>
                <w:tcPr>
                  <w:tcW w:w="681" w:type="dxa"/>
                  <w:vAlign w:val="center"/>
                </w:tcPr>
                <w:p w14:paraId="342B4681">
                  <w:pPr>
                    <w:pStyle w:val="42"/>
                  </w:pPr>
                  <w:r>
                    <w:rPr>
                      <w:rFonts w:hint="eastAsia"/>
                    </w:rPr>
                    <w:t>/</w:t>
                  </w:r>
                </w:p>
              </w:tc>
            </w:tr>
            <w:tr w14:paraId="7C6F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6073EA21">
                  <w:pPr>
                    <w:pStyle w:val="42"/>
                  </w:pPr>
                </w:p>
              </w:tc>
              <w:tc>
                <w:tcPr>
                  <w:tcW w:w="5102" w:type="dxa"/>
                  <w:vAlign w:val="center"/>
                </w:tcPr>
                <w:p w14:paraId="59E9D76B">
                  <w:pPr>
                    <w:pStyle w:val="42"/>
                  </w:pPr>
                  <w:r>
                    <w:rPr>
                      <w:rFonts w:hint="eastAsia"/>
                    </w:rPr>
                    <w:t>7. 推进城镇生活垃圾处理基础设施扩能建设，强化渗滤液处理设施运营管理，防止渗滤液积存或违规倾倒垃圾渗滤液至市政管网；加强农村生活垃圾收运、处理体系建设，降低农村垃圾焚烧污染。</w:t>
                  </w:r>
                </w:p>
              </w:tc>
              <w:tc>
                <w:tcPr>
                  <w:tcW w:w="1986" w:type="dxa"/>
                  <w:vAlign w:val="center"/>
                </w:tcPr>
                <w:p w14:paraId="7AF9FF21">
                  <w:pPr>
                    <w:pStyle w:val="42"/>
                  </w:pPr>
                  <w:r>
                    <w:rPr>
                      <w:rFonts w:hint="eastAsia"/>
                    </w:rPr>
                    <w:t>/</w:t>
                  </w:r>
                </w:p>
              </w:tc>
              <w:tc>
                <w:tcPr>
                  <w:tcW w:w="681" w:type="dxa"/>
                  <w:vAlign w:val="center"/>
                </w:tcPr>
                <w:p w14:paraId="63BD9E54">
                  <w:pPr>
                    <w:pStyle w:val="42"/>
                  </w:pPr>
                  <w:r>
                    <w:rPr>
                      <w:rFonts w:hint="eastAsia"/>
                    </w:rPr>
                    <w:t>/</w:t>
                  </w:r>
                </w:p>
              </w:tc>
            </w:tr>
            <w:tr w14:paraId="5F93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6EF433E0">
                  <w:pPr>
                    <w:pStyle w:val="42"/>
                  </w:pPr>
                </w:p>
              </w:tc>
              <w:tc>
                <w:tcPr>
                  <w:tcW w:w="5102" w:type="dxa"/>
                  <w:vAlign w:val="center"/>
                </w:tcPr>
                <w:p w14:paraId="29771030">
                  <w:pPr>
                    <w:pStyle w:val="42"/>
                  </w:pPr>
                  <w:r>
                    <w:rPr>
                      <w:rFonts w:hint="eastAsia"/>
                    </w:rPr>
                    <w:t>8. 新建、改建、扩建涉及重点重金属排放建设项目依照相关规定实行总量控制。</w:t>
                  </w:r>
                </w:p>
              </w:tc>
              <w:tc>
                <w:tcPr>
                  <w:tcW w:w="1986" w:type="dxa"/>
                  <w:vAlign w:val="center"/>
                </w:tcPr>
                <w:p w14:paraId="57B4C5FF">
                  <w:pPr>
                    <w:pStyle w:val="42"/>
                  </w:pPr>
                  <w:r>
                    <w:rPr>
                      <w:rFonts w:hint="eastAsia"/>
                    </w:rPr>
                    <w:t>项目不涉及重金属排放</w:t>
                  </w:r>
                </w:p>
              </w:tc>
              <w:tc>
                <w:tcPr>
                  <w:tcW w:w="681" w:type="dxa"/>
                  <w:vAlign w:val="center"/>
                </w:tcPr>
                <w:p w14:paraId="4D1CA931">
                  <w:pPr>
                    <w:pStyle w:val="42"/>
                  </w:pPr>
                  <w:r>
                    <w:rPr>
                      <w:rFonts w:hint="eastAsia"/>
                    </w:rPr>
                    <w:t>相符</w:t>
                  </w:r>
                </w:p>
              </w:tc>
            </w:tr>
            <w:tr w14:paraId="188D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EE10267">
                  <w:pPr>
                    <w:pStyle w:val="42"/>
                  </w:pPr>
                </w:p>
              </w:tc>
              <w:tc>
                <w:tcPr>
                  <w:tcW w:w="5102" w:type="dxa"/>
                  <w:vAlign w:val="center"/>
                </w:tcPr>
                <w:p w14:paraId="5925F7DE">
                  <w:pPr>
                    <w:pStyle w:val="42"/>
                  </w:pPr>
                  <w:r>
                    <w:rPr>
                      <w:rFonts w:hint="eastAsia"/>
                    </w:rPr>
                    <w:t>9. 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986" w:type="dxa"/>
                  <w:vAlign w:val="center"/>
                </w:tcPr>
                <w:p w14:paraId="20A2E04F">
                  <w:pPr>
                    <w:pStyle w:val="42"/>
                  </w:pPr>
                  <w:r>
                    <w:rPr>
                      <w:rFonts w:hint="eastAsia"/>
                    </w:rPr>
                    <w:t>/</w:t>
                  </w:r>
                </w:p>
              </w:tc>
              <w:tc>
                <w:tcPr>
                  <w:tcW w:w="681" w:type="dxa"/>
                  <w:vAlign w:val="center"/>
                </w:tcPr>
                <w:p w14:paraId="2383F651">
                  <w:pPr>
                    <w:pStyle w:val="42"/>
                  </w:pPr>
                  <w:r>
                    <w:rPr>
                      <w:rFonts w:hint="eastAsia"/>
                    </w:rPr>
                    <w:t>/</w:t>
                  </w:r>
                </w:p>
              </w:tc>
            </w:tr>
            <w:tr w14:paraId="1708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7D6CA57D">
                  <w:pPr>
                    <w:pStyle w:val="42"/>
                  </w:pPr>
                </w:p>
              </w:tc>
              <w:tc>
                <w:tcPr>
                  <w:tcW w:w="5102" w:type="dxa"/>
                  <w:vAlign w:val="center"/>
                </w:tcPr>
                <w:p w14:paraId="4C15B754">
                  <w:pPr>
                    <w:pStyle w:val="42"/>
                  </w:pPr>
                  <w:r>
                    <w:rPr>
                      <w:rFonts w:hint="eastAsia"/>
                    </w:rPr>
                    <w:t>10. 加强海陆联动，严格控制陆源污染物排放。规范入海排污口设置，全面清理非法或设置不合理的入海排污口。</w:t>
                  </w:r>
                </w:p>
              </w:tc>
              <w:tc>
                <w:tcPr>
                  <w:tcW w:w="1986" w:type="dxa"/>
                  <w:vAlign w:val="center"/>
                </w:tcPr>
                <w:p w14:paraId="7826E25C">
                  <w:pPr>
                    <w:pStyle w:val="42"/>
                  </w:pPr>
                  <w:r>
                    <w:rPr>
                      <w:rFonts w:hint="eastAsia"/>
                    </w:rPr>
                    <w:t>项目生产废水依托天宜污水厂一期处理，生活污水依托国投钦电生活污水处理系统处理，均不直排，且本项目不单独设置入海排污口</w:t>
                  </w:r>
                </w:p>
              </w:tc>
              <w:tc>
                <w:tcPr>
                  <w:tcW w:w="681" w:type="dxa"/>
                  <w:vAlign w:val="center"/>
                </w:tcPr>
                <w:p w14:paraId="06C6E341">
                  <w:pPr>
                    <w:pStyle w:val="42"/>
                  </w:pPr>
                  <w:r>
                    <w:rPr>
                      <w:rFonts w:hint="eastAsia"/>
                    </w:rPr>
                    <w:t>相符</w:t>
                  </w:r>
                </w:p>
              </w:tc>
            </w:tr>
            <w:tr w14:paraId="59B6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4B1013C9">
                  <w:pPr>
                    <w:pStyle w:val="42"/>
                  </w:pPr>
                </w:p>
              </w:tc>
              <w:tc>
                <w:tcPr>
                  <w:tcW w:w="5102" w:type="dxa"/>
                  <w:vAlign w:val="center"/>
                </w:tcPr>
                <w:p w14:paraId="42D3F07E">
                  <w:pPr>
                    <w:pStyle w:val="42"/>
                  </w:pPr>
                  <w:r>
                    <w:rPr>
                      <w:rFonts w:hint="eastAsia"/>
                    </w:rPr>
                    <w:t>11. 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986" w:type="dxa"/>
                  <w:vAlign w:val="center"/>
                </w:tcPr>
                <w:p w14:paraId="57BDEFE2">
                  <w:pPr>
                    <w:pStyle w:val="42"/>
                  </w:pPr>
                  <w:r>
                    <w:rPr>
                      <w:rFonts w:hint="eastAsia"/>
                    </w:rPr>
                    <w:t>/</w:t>
                  </w:r>
                </w:p>
              </w:tc>
              <w:tc>
                <w:tcPr>
                  <w:tcW w:w="681" w:type="dxa"/>
                  <w:vAlign w:val="center"/>
                </w:tcPr>
                <w:p w14:paraId="2CA89056">
                  <w:pPr>
                    <w:pStyle w:val="42"/>
                  </w:pPr>
                  <w:r>
                    <w:rPr>
                      <w:rFonts w:hint="eastAsia"/>
                    </w:rPr>
                    <w:t>/</w:t>
                  </w:r>
                </w:p>
              </w:tc>
            </w:tr>
            <w:tr w14:paraId="523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75A593A">
                  <w:pPr>
                    <w:pStyle w:val="42"/>
                  </w:pPr>
                </w:p>
              </w:tc>
              <w:tc>
                <w:tcPr>
                  <w:tcW w:w="5102" w:type="dxa"/>
                  <w:vAlign w:val="center"/>
                </w:tcPr>
                <w:p w14:paraId="201DC8E9">
                  <w:pPr>
                    <w:pStyle w:val="42"/>
                  </w:pPr>
                  <w:r>
                    <w:rPr>
                      <w:rFonts w:hint="eastAsia"/>
                    </w:rPr>
                    <w:t>12. 加强港口码头环保基础设施处理和建设。完善堆场防风抑尘设施，降低扬尘污染。钦州港区实行雨污分流和污水分质处理，防止堆场废水通过雨水沟直排入海，完善配套污水处理设施和管网建设，实现污水集中处理、回用或达标排放。</w:t>
                  </w:r>
                </w:p>
              </w:tc>
              <w:tc>
                <w:tcPr>
                  <w:tcW w:w="1986" w:type="dxa"/>
                  <w:vAlign w:val="center"/>
                </w:tcPr>
                <w:p w14:paraId="31B14705">
                  <w:pPr>
                    <w:pStyle w:val="42"/>
                  </w:pPr>
                  <w:r>
                    <w:rPr>
                      <w:rFonts w:hint="eastAsia"/>
                    </w:rPr>
                    <w:t>/</w:t>
                  </w:r>
                </w:p>
              </w:tc>
              <w:tc>
                <w:tcPr>
                  <w:tcW w:w="681" w:type="dxa"/>
                  <w:vAlign w:val="center"/>
                </w:tcPr>
                <w:p w14:paraId="78FE6361">
                  <w:pPr>
                    <w:pStyle w:val="42"/>
                  </w:pPr>
                  <w:r>
                    <w:rPr>
                      <w:rFonts w:hint="eastAsia"/>
                    </w:rPr>
                    <w:t>/</w:t>
                  </w:r>
                </w:p>
              </w:tc>
            </w:tr>
            <w:tr w14:paraId="33FB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48C94B7">
                  <w:pPr>
                    <w:pStyle w:val="42"/>
                  </w:pPr>
                </w:p>
              </w:tc>
              <w:tc>
                <w:tcPr>
                  <w:tcW w:w="5102" w:type="dxa"/>
                  <w:vAlign w:val="center"/>
                </w:tcPr>
                <w:p w14:paraId="1031FF4F">
                  <w:pPr>
                    <w:pStyle w:val="42"/>
                  </w:pPr>
                  <w:r>
                    <w:rPr>
                      <w:rFonts w:hint="eastAsia"/>
                    </w:rPr>
                    <w:t>13. 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986" w:type="dxa"/>
                  <w:vAlign w:val="center"/>
                </w:tcPr>
                <w:p w14:paraId="691C3078">
                  <w:pPr>
                    <w:pStyle w:val="42"/>
                  </w:pPr>
                  <w:r>
                    <w:rPr>
                      <w:rFonts w:hint="eastAsia"/>
                    </w:rPr>
                    <w:t>项目生产废水依托天宜污水厂一期处理，生活污水依托国投钦电生活污水处理系统处理，均不直接排放</w:t>
                  </w:r>
                </w:p>
              </w:tc>
              <w:tc>
                <w:tcPr>
                  <w:tcW w:w="681" w:type="dxa"/>
                  <w:vAlign w:val="center"/>
                </w:tcPr>
                <w:p w14:paraId="797C6353">
                  <w:pPr>
                    <w:pStyle w:val="42"/>
                  </w:pPr>
                  <w:r>
                    <w:rPr>
                      <w:rFonts w:hint="eastAsia"/>
                    </w:rPr>
                    <w:t>相符</w:t>
                  </w:r>
                </w:p>
              </w:tc>
            </w:tr>
            <w:tr w14:paraId="6403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503A0E7A">
                  <w:pPr>
                    <w:pStyle w:val="42"/>
                  </w:pPr>
                </w:p>
              </w:tc>
              <w:tc>
                <w:tcPr>
                  <w:tcW w:w="5102" w:type="dxa"/>
                  <w:vAlign w:val="center"/>
                </w:tcPr>
                <w:p w14:paraId="5E4A2F8B">
                  <w:pPr>
                    <w:pStyle w:val="42"/>
                  </w:pPr>
                  <w:r>
                    <w:rPr>
                      <w:rFonts w:hint="eastAsia"/>
                    </w:rPr>
                    <w:t>14. 按照养殖容量控制养殖规模和养殖密度，发展健康、生态养殖方式，加强对蓝圆鲹和二长棘鲷产卵场的保护。旅游休闲娱乐区的污水和垃圾应科学处置、达标排放，禁止直接排入海域。</w:t>
                  </w:r>
                </w:p>
              </w:tc>
              <w:tc>
                <w:tcPr>
                  <w:tcW w:w="1986" w:type="dxa"/>
                  <w:vAlign w:val="center"/>
                </w:tcPr>
                <w:p w14:paraId="5F0EBD70">
                  <w:pPr>
                    <w:pStyle w:val="42"/>
                  </w:pPr>
                  <w:r>
                    <w:rPr>
                      <w:rFonts w:hint="eastAsia"/>
                    </w:rPr>
                    <w:t>/</w:t>
                  </w:r>
                </w:p>
              </w:tc>
              <w:tc>
                <w:tcPr>
                  <w:tcW w:w="681" w:type="dxa"/>
                  <w:vAlign w:val="center"/>
                </w:tcPr>
                <w:p w14:paraId="538658A3">
                  <w:pPr>
                    <w:pStyle w:val="42"/>
                  </w:pPr>
                  <w:r>
                    <w:rPr>
                      <w:rFonts w:hint="eastAsia"/>
                    </w:rPr>
                    <w:t>/</w:t>
                  </w:r>
                </w:p>
              </w:tc>
            </w:tr>
            <w:tr w14:paraId="5AC6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restart"/>
                  <w:vAlign w:val="center"/>
                </w:tcPr>
                <w:p w14:paraId="6EE3E7BC">
                  <w:pPr>
                    <w:pStyle w:val="42"/>
                  </w:pPr>
                  <w:r>
                    <w:rPr>
                      <w:rFonts w:hint="eastAsia"/>
                    </w:rPr>
                    <w:t>环境风险</w:t>
                  </w:r>
                </w:p>
                <w:p w14:paraId="383E00B9">
                  <w:pPr>
                    <w:pStyle w:val="42"/>
                  </w:pPr>
                  <w:r>
                    <w:rPr>
                      <w:rFonts w:hint="eastAsia"/>
                    </w:rPr>
                    <w:t>防控</w:t>
                  </w:r>
                </w:p>
              </w:tc>
              <w:tc>
                <w:tcPr>
                  <w:tcW w:w="5102" w:type="dxa"/>
                  <w:vAlign w:val="center"/>
                </w:tcPr>
                <w:p w14:paraId="3DAE8290">
                  <w:pPr>
                    <w:pStyle w:val="42"/>
                  </w:pPr>
                  <w:r>
                    <w:rPr>
                      <w:rFonts w:hint="eastAsia"/>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986" w:type="dxa"/>
                  <w:vAlign w:val="center"/>
                </w:tcPr>
                <w:p w14:paraId="6AD3A17B">
                  <w:pPr>
                    <w:pStyle w:val="42"/>
                  </w:pPr>
                  <w:r>
                    <w:rPr>
                      <w:rFonts w:hint="eastAsia"/>
                    </w:rPr>
                    <w:t>项目加强环境风险源管理，编制突发环境应急预案</w:t>
                  </w:r>
                </w:p>
              </w:tc>
              <w:tc>
                <w:tcPr>
                  <w:tcW w:w="681" w:type="dxa"/>
                  <w:vAlign w:val="center"/>
                </w:tcPr>
                <w:p w14:paraId="53E6DD59">
                  <w:pPr>
                    <w:pStyle w:val="42"/>
                  </w:pPr>
                  <w:r>
                    <w:rPr>
                      <w:rFonts w:hint="eastAsia"/>
                    </w:rPr>
                    <w:t>相符</w:t>
                  </w:r>
                </w:p>
              </w:tc>
            </w:tr>
            <w:tr w14:paraId="70A4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E4DFA31">
                  <w:pPr>
                    <w:pStyle w:val="42"/>
                  </w:pPr>
                </w:p>
              </w:tc>
              <w:tc>
                <w:tcPr>
                  <w:tcW w:w="5102" w:type="dxa"/>
                  <w:vAlign w:val="center"/>
                </w:tcPr>
                <w:p w14:paraId="6083D196">
                  <w:pPr>
                    <w:pStyle w:val="42"/>
                  </w:pPr>
                  <w:r>
                    <w:rPr>
                      <w:rFonts w:hint="eastAsia"/>
                    </w:rPr>
                    <w:t>2. 选择涉重涉危企业、化工园区、集中式饮用水水源地等重要区域开展突发环境事件风险、环境健康风险评估，实施分类分级风险管控。</w:t>
                  </w:r>
                </w:p>
              </w:tc>
              <w:tc>
                <w:tcPr>
                  <w:tcW w:w="1986" w:type="dxa"/>
                  <w:vAlign w:val="center"/>
                </w:tcPr>
                <w:p w14:paraId="3C0C52A4">
                  <w:pPr>
                    <w:pStyle w:val="42"/>
                  </w:pPr>
                  <w:r>
                    <w:rPr>
                      <w:rFonts w:hint="eastAsia"/>
                    </w:rPr>
                    <w:t>/</w:t>
                  </w:r>
                </w:p>
              </w:tc>
              <w:tc>
                <w:tcPr>
                  <w:tcW w:w="681" w:type="dxa"/>
                  <w:vAlign w:val="center"/>
                </w:tcPr>
                <w:p w14:paraId="3FCB2DAD">
                  <w:pPr>
                    <w:pStyle w:val="42"/>
                  </w:pPr>
                  <w:r>
                    <w:rPr>
                      <w:rFonts w:hint="eastAsia"/>
                    </w:rPr>
                    <w:t>/</w:t>
                  </w:r>
                </w:p>
              </w:tc>
            </w:tr>
            <w:tr w14:paraId="150C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64604919">
                  <w:pPr>
                    <w:pStyle w:val="42"/>
                  </w:pPr>
                </w:p>
              </w:tc>
              <w:tc>
                <w:tcPr>
                  <w:tcW w:w="5102" w:type="dxa"/>
                  <w:vAlign w:val="center"/>
                </w:tcPr>
                <w:p w14:paraId="5CE12E67">
                  <w:pPr>
                    <w:pStyle w:val="42"/>
                  </w:pPr>
                  <w:r>
                    <w:rPr>
                      <w:rFonts w:hint="eastAsia"/>
                    </w:rPr>
                    <w:t>3. 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1986" w:type="dxa"/>
                  <w:vAlign w:val="center"/>
                </w:tcPr>
                <w:p w14:paraId="45BE1BF4">
                  <w:pPr>
                    <w:pStyle w:val="42"/>
                  </w:pPr>
                  <w:r>
                    <w:rPr>
                      <w:rFonts w:hint="eastAsia"/>
                    </w:rPr>
                    <w:t>/</w:t>
                  </w:r>
                </w:p>
              </w:tc>
              <w:tc>
                <w:tcPr>
                  <w:tcW w:w="681" w:type="dxa"/>
                  <w:vAlign w:val="center"/>
                </w:tcPr>
                <w:p w14:paraId="2943471E">
                  <w:pPr>
                    <w:pStyle w:val="42"/>
                  </w:pPr>
                  <w:r>
                    <w:rPr>
                      <w:rFonts w:hint="eastAsia"/>
                    </w:rPr>
                    <w:t>/</w:t>
                  </w:r>
                </w:p>
              </w:tc>
            </w:tr>
            <w:tr w14:paraId="33BF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CE0C58D">
                  <w:pPr>
                    <w:pStyle w:val="42"/>
                  </w:pPr>
                </w:p>
              </w:tc>
              <w:tc>
                <w:tcPr>
                  <w:tcW w:w="5102" w:type="dxa"/>
                  <w:vAlign w:val="center"/>
                </w:tcPr>
                <w:p w14:paraId="260777E8">
                  <w:pPr>
                    <w:pStyle w:val="42"/>
                  </w:pPr>
                  <w:r>
                    <w:rPr>
                      <w:rFonts w:hint="eastAsia"/>
                    </w:rPr>
                    <w:t>4. 严格建设项目环境准入，永久基本农田集中区域禁止规划新建可能造成土壤污染的建设项目；新（改、扩）建涉有毒有害物质可能造成土壤污染的建设项目，提出并落实污染防治要求。</w:t>
                  </w:r>
                </w:p>
              </w:tc>
              <w:tc>
                <w:tcPr>
                  <w:tcW w:w="1986" w:type="dxa"/>
                  <w:vAlign w:val="center"/>
                </w:tcPr>
                <w:p w14:paraId="078FD647">
                  <w:pPr>
                    <w:pStyle w:val="42"/>
                  </w:pPr>
                  <w:r>
                    <w:rPr>
                      <w:rFonts w:hint="eastAsia"/>
                    </w:rPr>
                    <w:t>项目建设符合环境准入要求</w:t>
                  </w:r>
                </w:p>
              </w:tc>
              <w:tc>
                <w:tcPr>
                  <w:tcW w:w="681" w:type="dxa"/>
                  <w:vAlign w:val="center"/>
                </w:tcPr>
                <w:p w14:paraId="341C10D9">
                  <w:pPr>
                    <w:pStyle w:val="42"/>
                  </w:pPr>
                  <w:r>
                    <w:rPr>
                      <w:rFonts w:hint="eastAsia"/>
                    </w:rPr>
                    <w:t>相符</w:t>
                  </w:r>
                </w:p>
              </w:tc>
            </w:tr>
            <w:tr w14:paraId="3EE9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48D5C980">
                  <w:pPr>
                    <w:pStyle w:val="42"/>
                  </w:pPr>
                </w:p>
              </w:tc>
              <w:tc>
                <w:tcPr>
                  <w:tcW w:w="5102" w:type="dxa"/>
                  <w:vAlign w:val="center"/>
                </w:tcPr>
                <w:p w14:paraId="4CA011FC">
                  <w:pPr>
                    <w:pStyle w:val="42"/>
                  </w:pPr>
                  <w:r>
                    <w:rPr>
                      <w:rFonts w:hint="eastAsia"/>
                    </w:rPr>
                    <w:t>5. 强化全域矿产资源开发监管，建立矿石生态环境动态监测网络，禁止矿山废水、废气、废渣的无序排放。</w:t>
                  </w:r>
                </w:p>
              </w:tc>
              <w:tc>
                <w:tcPr>
                  <w:tcW w:w="1986" w:type="dxa"/>
                  <w:vAlign w:val="center"/>
                </w:tcPr>
                <w:p w14:paraId="33DECC43">
                  <w:pPr>
                    <w:pStyle w:val="42"/>
                  </w:pPr>
                  <w:r>
                    <w:rPr>
                      <w:rFonts w:hint="eastAsia"/>
                    </w:rPr>
                    <w:t>/</w:t>
                  </w:r>
                </w:p>
              </w:tc>
              <w:tc>
                <w:tcPr>
                  <w:tcW w:w="681" w:type="dxa"/>
                  <w:vAlign w:val="center"/>
                </w:tcPr>
                <w:p w14:paraId="054EE668">
                  <w:pPr>
                    <w:pStyle w:val="42"/>
                  </w:pPr>
                  <w:r>
                    <w:rPr>
                      <w:rFonts w:hint="eastAsia"/>
                    </w:rPr>
                    <w:t>//</w:t>
                  </w:r>
                </w:p>
              </w:tc>
            </w:tr>
            <w:tr w14:paraId="3CB3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2DB15C9B">
                  <w:pPr>
                    <w:pStyle w:val="42"/>
                  </w:pPr>
                </w:p>
              </w:tc>
              <w:tc>
                <w:tcPr>
                  <w:tcW w:w="5102" w:type="dxa"/>
                  <w:vAlign w:val="center"/>
                </w:tcPr>
                <w:p w14:paraId="083A66C0">
                  <w:pPr>
                    <w:pStyle w:val="42"/>
                  </w:pPr>
                  <w:r>
                    <w:rPr>
                      <w:rFonts w:hint="eastAsia"/>
                    </w:rPr>
                    <w:t>6. 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986" w:type="dxa"/>
                  <w:vAlign w:val="center"/>
                </w:tcPr>
                <w:p w14:paraId="43848F51">
                  <w:pPr>
                    <w:pStyle w:val="42"/>
                  </w:pPr>
                  <w:r>
                    <w:rPr>
                      <w:rFonts w:hint="eastAsia"/>
                    </w:rPr>
                    <w:t>项目非涉海重大工程</w:t>
                  </w:r>
                </w:p>
              </w:tc>
              <w:tc>
                <w:tcPr>
                  <w:tcW w:w="681" w:type="dxa"/>
                  <w:vAlign w:val="center"/>
                </w:tcPr>
                <w:p w14:paraId="4F7AFFC6">
                  <w:pPr>
                    <w:pStyle w:val="42"/>
                  </w:pPr>
                  <w:r>
                    <w:rPr>
                      <w:rFonts w:hint="eastAsia"/>
                    </w:rPr>
                    <w:t>相符</w:t>
                  </w:r>
                </w:p>
              </w:tc>
            </w:tr>
            <w:tr w14:paraId="5B27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426905A2">
                  <w:pPr>
                    <w:pStyle w:val="42"/>
                  </w:pPr>
                </w:p>
              </w:tc>
              <w:tc>
                <w:tcPr>
                  <w:tcW w:w="5102" w:type="dxa"/>
                  <w:vAlign w:val="center"/>
                </w:tcPr>
                <w:p w14:paraId="5209E6E6">
                  <w:pPr>
                    <w:pStyle w:val="42"/>
                  </w:pPr>
                  <w:r>
                    <w:rPr>
                      <w:rFonts w:hint="eastAsia"/>
                    </w:rPr>
                    <w:t>7. 强化沿海工业园区和沿海石油、石化、化工、冶炼及危化品储运等企业的环境风险防控，加强企业和园区环境应急物资储备。</w:t>
                  </w:r>
                </w:p>
              </w:tc>
              <w:tc>
                <w:tcPr>
                  <w:tcW w:w="1986" w:type="dxa"/>
                  <w:vAlign w:val="center"/>
                </w:tcPr>
                <w:p w14:paraId="60EBF798">
                  <w:pPr>
                    <w:pStyle w:val="42"/>
                  </w:pPr>
                  <w:r>
                    <w:rPr>
                      <w:rFonts w:hint="eastAsia"/>
                    </w:rPr>
                    <w:t>企业加强环境风险防范及环境应急措施</w:t>
                  </w:r>
                </w:p>
              </w:tc>
              <w:tc>
                <w:tcPr>
                  <w:tcW w:w="681" w:type="dxa"/>
                  <w:vAlign w:val="center"/>
                </w:tcPr>
                <w:p w14:paraId="57866D97">
                  <w:pPr>
                    <w:pStyle w:val="42"/>
                  </w:pPr>
                  <w:r>
                    <w:rPr>
                      <w:rFonts w:hint="eastAsia"/>
                    </w:rPr>
                    <w:t>相符</w:t>
                  </w:r>
                </w:p>
              </w:tc>
            </w:tr>
            <w:tr w14:paraId="2B80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6D7B212">
                  <w:pPr>
                    <w:pStyle w:val="42"/>
                  </w:pPr>
                </w:p>
              </w:tc>
              <w:tc>
                <w:tcPr>
                  <w:tcW w:w="5102" w:type="dxa"/>
                  <w:vAlign w:val="center"/>
                </w:tcPr>
                <w:p w14:paraId="1BD70F58">
                  <w:pPr>
                    <w:pStyle w:val="42"/>
                  </w:pPr>
                  <w:r>
                    <w:rPr>
                      <w:rFonts w:hint="eastAsia"/>
                    </w:rPr>
                    <w:t>8. 加强倾倒区使用状况监督管理工作，做好废弃物向海洋倾倒活动的风险管控。</w:t>
                  </w:r>
                </w:p>
              </w:tc>
              <w:tc>
                <w:tcPr>
                  <w:tcW w:w="1986" w:type="dxa"/>
                  <w:vAlign w:val="center"/>
                </w:tcPr>
                <w:p w14:paraId="24745C4A">
                  <w:pPr>
                    <w:pStyle w:val="42"/>
                  </w:pPr>
                  <w:r>
                    <w:rPr>
                      <w:rFonts w:hint="eastAsia"/>
                    </w:rPr>
                    <w:t>项目不直接向海洋倾倒废弃物</w:t>
                  </w:r>
                </w:p>
              </w:tc>
              <w:tc>
                <w:tcPr>
                  <w:tcW w:w="681" w:type="dxa"/>
                  <w:vAlign w:val="center"/>
                </w:tcPr>
                <w:p w14:paraId="1F055B00">
                  <w:pPr>
                    <w:pStyle w:val="42"/>
                  </w:pPr>
                  <w:r>
                    <w:rPr>
                      <w:rFonts w:hint="eastAsia"/>
                    </w:rPr>
                    <w:t>相符</w:t>
                  </w:r>
                </w:p>
              </w:tc>
            </w:tr>
            <w:tr w14:paraId="699E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restart"/>
                  <w:vAlign w:val="center"/>
                </w:tcPr>
                <w:p w14:paraId="09326BA5">
                  <w:pPr>
                    <w:pStyle w:val="42"/>
                  </w:pPr>
                  <w:r>
                    <w:rPr>
                      <w:rFonts w:hint="eastAsia"/>
                    </w:rPr>
                    <w:t>资源开发</w:t>
                  </w:r>
                </w:p>
                <w:p w14:paraId="6E585E8C">
                  <w:pPr>
                    <w:pStyle w:val="42"/>
                  </w:pPr>
                  <w:r>
                    <w:rPr>
                      <w:rFonts w:hint="eastAsia"/>
                    </w:rPr>
                    <w:t>利用效率</w:t>
                  </w:r>
                </w:p>
                <w:p w14:paraId="4F30173F">
                  <w:pPr>
                    <w:pStyle w:val="42"/>
                  </w:pPr>
                  <w:r>
                    <w:rPr>
                      <w:rFonts w:hint="eastAsia"/>
                    </w:rPr>
                    <w:t>要求</w:t>
                  </w:r>
                </w:p>
              </w:tc>
              <w:tc>
                <w:tcPr>
                  <w:tcW w:w="5102" w:type="dxa"/>
                  <w:vAlign w:val="center"/>
                </w:tcPr>
                <w:p w14:paraId="02F8A56E">
                  <w:pPr>
                    <w:pStyle w:val="42"/>
                  </w:pPr>
                  <w:r>
                    <w:rPr>
                      <w:rFonts w:hint="eastAsia"/>
                    </w:rPr>
                    <w:t>1. 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986" w:type="dxa"/>
                  <w:vAlign w:val="center"/>
                </w:tcPr>
                <w:p w14:paraId="17EF22C3">
                  <w:pPr>
                    <w:pStyle w:val="42"/>
                  </w:pPr>
                  <w:r>
                    <w:rPr>
                      <w:rFonts w:hint="eastAsia"/>
                    </w:rPr>
                    <w:t>/</w:t>
                  </w:r>
                </w:p>
              </w:tc>
              <w:tc>
                <w:tcPr>
                  <w:tcW w:w="681" w:type="dxa"/>
                  <w:vAlign w:val="center"/>
                </w:tcPr>
                <w:p w14:paraId="4C15565A">
                  <w:pPr>
                    <w:pStyle w:val="42"/>
                  </w:pPr>
                  <w:r>
                    <w:rPr>
                      <w:rFonts w:hint="eastAsia"/>
                    </w:rPr>
                    <w:t>/</w:t>
                  </w:r>
                </w:p>
              </w:tc>
            </w:tr>
            <w:tr w14:paraId="2D18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05308C60">
                  <w:pPr>
                    <w:pStyle w:val="42"/>
                  </w:pPr>
                </w:p>
              </w:tc>
              <w:tc>
                <w:tcPr>
                  <w:tcW w:w="5102" w:type="dxa"/>
                  <w:vAlign w:val="center"/>
                </w:tcPr>
                <w:p w14:paraId="3285EB02">
                  <w:pPr>
                    <w:pStyle w:val="42"/>
                  </w:pPr>
                  <w:r>
                    <w:rPr>
                      <w:rFonts w:hint="eastAsia"/>
                    </w:rPr>
                    <w:t>2. 土地资源：严格执行自治区下达的土地资源利用总量及效率管控指标要求。突出节约集约用海原则，合理控制规模，优化空间布局，提高海域空间资源的整体使用效能。</w:t>
                  </w:r>
                </w:p>
              </w:tc>
              <w:tc>
                <w:tcPr>
                  <w:tcW w:w="1986" w:type="dxa"/>
                  <w:vAlign w:val="center"/>
                </w:tcPr>
                <w:p w14:paraId="5695850A">
                  <w:pPr>
                    <w:pStyle w:val="42"/>
                  </w:pPr>
                  <w:r>
                    <w:rPr>
                      <w:rFonts w:hint="eastAsia"/>
                    </w:rPr>
                    <w:t>项目在现有厂区内建设，管道依托园区公共管廊架空铺设，无新增用地，合理利用土地资源</w:t>
                  </w:r>
                </w:p>
              </w:tc>
              <w:tc>
                <w:tcPr>
                  <w:tcW w:w="681" w:type="dxa"/>
                  <w:vAlign w:val="center"/>
                </w:tcPr>
                <w:p w14:paraId="411DBE41">
                  <w:pPr>
                    <w:pStyle w:val="42"/>
                  </w:pPr>
                  <w:r>
                    <w:rPr>
                      <w:rFonts w:hint="eastAsia"/>
                    </w:rPr>
                    <w:t>相符</w:t>
                  </w:r>
                </w:p>
              </w:tc>
            </w:tr>
            <w:tr w14:paraId="0C7E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22DEEE04">
                  <w:pPr>
                    <w:pStyle w:val="42"/>
                  </w:pPr>
                </w:p>
              </w:tc>
              <w:tc>
                <w:tcPr>
                  <w:tcW w:w="5102" w:type="dxa"/>
                  <w:vAlign w:val="center"/>
                </w:tcPr>
                <w:p w14:paraId="5D5DCD7E">
                  <w:pPr>
                    <w:pStyle w:val="42"/>
                  </w:pPr>
                  <w:r>
                    <w:rPr>
                      <w:rFonts w:hint="eastAsia"/>
                    </w:rPr>
                    <w:t>3. 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986" w:type="dxa"/>
                  <w:vAlign w:val="center"/>
                </w:tcPr>
                <w:p w14:paraId="72A143E5">
                  <w:pPr>
                    <w:pStyle w:val="42"/>
                  </w:pPr>
                  <w:r>
                    <w:rPr>
                      <w:rFonts w:hint="eastAsia"/>
                    </w:rPr>
                    <w:t>项目用水依托现有供水管网，合理控制用水总量</w:t>
                  </w:r>
                </w:p>
              </w:tc>
              <w:tc>
                <w:tcPr>
                  <w:tcW w:w="681" w:type="dxa"/>
                  <w:vAlign w:val="center"/>
                </w:tcPr>
                <w:p w14:paraId="2FB6A253">
                  <w:pPr>
                    <w:pStyle w:val="42"/>
                  </w:pPr>
                  <w:r>
                    <w:rPr>
                      <w:rFonts w:hint="eastAsia"/>
                    </w:rPr>
                    <w:t>相符</w:t>
                  </w:r>
                </w:p>
              </w:tc>
            </w:tr>
            <w:tr w14:paraId="5530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5EAA93C5">
                  <w:pPr>
                    <w:pStyle w:val="42"/>
                  </w:pPr>
                </w:p>
              </w:tc>
              <w:tc>
                <w:tcPr>
                  <w:tcW w:w="5102" w:type="dxa"/>
                  <w:vAlign w:val="center"/>
                </w:tcPr>
                <w:p w14:paraId="50F3E0EE">
                  <w:pPr>
                    <w:pStyle w:val="42"/>
                  </w:pPr>
                  <w:r>
                    <w:rPr>
                      <w:rFonts w:hint="eastAsia"/>
                    </w:rPr>
                    <w:t>4. 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1986" w:type="dxa"/>
                  <w:vAlign w:val="center"/>
                </w:tcPr>
                <w:p w14:paraId="3708E7AC">
                  <w:pPr>
                    <w:pStyle w:val="42"/>
                  </w:pPr>
                  <w:r>
                    <w:rPr>
                      <w:rFonts w:hint="eastAsia"/>
                    </w:rPr>
                    <w:t>/</w:t>
                  </w:r>
                </w:p>
              </w:tc>
              <w:tc>
                <w:tcPr>
                  <w:tcW w:w="681" w:type="dxa"/>
                  <w:vAlign w:val="center"/>
                </w:tcPr>
                <w:p w14:paraId="6BAC89D3">
                  <w:pPr>
                    <w:pStyle w:val="42"/>
                  </w:pPr>
                  <w:r>
                    <w:rPr>
                      <w:rFonts w:hint="eastAsia"/>
                    </w:rPr>
                    <w:t>/</w:t>
                  </w:r>
                </w:p>
              </w:tc>
            </w:tr>
            <w:tr w14:paraId="56A1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3796F261">
                  <w:pPr>
                    <w:pStyle w:val="42"/>
                  </w:pPr>
                </w:p>
              </w:tc>
              <w:tc>
                <w:tcPr>
                  <w:tcW w:w="5102" w:type="dxa"/>
                  <w:vAlign w:val="center"/>
                </w:tcPr>
                <w:p w14:paraId="34DD47E9">
                  <w:pPr>
                    <w:pStyle w:val="42"/>
                  </w:pPr>
                  <w:r>
                    <w:rPr>
                      <w:rFonts w:hint="eastAsia"/>
                    </w:rPr>
                    <w:t>5. 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986" w:type="dxa"/>
                  <w:vAlign w:val="center"/>
                </w:tcPr>
                <w:p w14:paraId="281C72DD">
                  <w:pPr>
                    <w:pStyle w:val="42"/>
                  </w:pPr>
                  <w:r>
                    <w:rPr>
                      <w:rFonts w:hint="eastAsia"/>
                    </w:rPr>
                    <w:t>项目不占用岸线</w:t>
                  </w:r>
                </w:p>
              </w:tc>
              <w:tc>
                <w:tcPr>
                  <w:tcW w:w="681" w:type="dxa"/>
                  <w:vAlign w:val="center"/>
                </w:tcPr>
                <w:p w14:paraId="666F4B1F">
                  <w:pPr>
                    <w:pStyle w:val="42"/>
                  </w:pPr>
                  <w:r>
                    <w:rPr>
                      <w:rFonts w:hint="eastAsia"/>
                    </w:rPr>
                    <w:t>相符</w:t>
                  </w:r>
                </w:p>
              </w:tc>
            </w:tr>
            <w:tr w14:paraId="0D2B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14:paraId="16293B91">
                  <w:pPr>
                    <w:pStyle w:val="42"/>
                  </w:pPr>
                </w:p>
              </w:tc>
              <w:tc>
                <w:tcPr>
                  <w:tcW w:w="5102" w:type="dxa"/>
                  <w:vAlign w:val="center"/>
                </w:tcPr>
                <w:p w14:paraId="46DEF7FA">
                  <w:pPr>
                    <w:pStyle w:val="42"/>
                  </w:pPr>
                  <w:r>
                    <w:rPr>
                      <w:rFonts w:hint="eastAsia"/>
                    </w:rPr>
                    <w:t>6. 高污染燃料禁燃区：禁止新建、扩建燃用高污染燃料的项目和设施，已经建成的应逐步或依法限期改用天然气、电或其他清洁能源。</w:t>
                  </w:r>
                </w:p>
              </w:tc>
              <w:tc>
                <w:tcPr>
                  <w:tcW w:w="1986" w:type="dxa"/>
                  <w:vAlign w:val="center"/>
                </w:tcPr>
                <w:p w14:paraId="72DC048A">
                  <w:pPr>
                    <w:pStyle w:val="42"/>
                  </w:pPr>
                  <w:r>
                    <w:rPr>
                      <w:rFonts w:hint="eastAsia"/>
                    </w:rPr>
                    <w:t>项目不使用高污染燃料</w:t>
                  </w:r>
                </w:p>
              </w:tc>
              <w:tc>
                <w:tcPr>
                  <w:tcW w:w="681" w:type="dxa"/>
                  <w:vAlign w:val="center"/>
                </w:tcPr>
                <w:p w14:paraId="7DA71059">
                  <w:pPr>
                    <w:pStyle w:val="42"/>
                  </w:pPr>
                  <w:r>
                    <w:rPr>
                      <w:rFonts w:hint="eastAsia"/>
                    </w:rPr>
                    <w:t>相符</w:t>
                  </w:r>
                </w:p>
              </w:tc>
            </w:tr>
          </w:tbl>
          <w:p w14:paraId="4C919A95">
            <w:pPr>
              <w:pStyle w:val="41"/>
              <w:ind w:firstLine="480"/>
            </w:pPr>
          </w:p>
          <w:p w14:paraId="08E43062">
            <w:pPr>
              <w:pStyle w:val="41"/>
              <w:numPr>
                <w:ilvl w:val="0"/>
                <w:numId w:val="4"/>
              </w:numPr>
              <w:spacing w:line="240" w:lineRule="auto"/>
              <w:ind w:left="0" w:firstLine="0" w:firstLineChars="0"/>
              <w:jc w:val="center"/>
              <w:rPr>
                <w:b/>
                <w:sz w:val="21"/>
              </w:rPr>
            </w:pPr>
            <w:bookmarkStart w:id="16" w:name="_Ref176341006"/>
            <w:r>
              <w:rPr>
                <w:rFonts w:hint="eastAsia"/>
                <w:b/>
                <w:sz w:val="21"/>
              </w:rPr>
              <w:t>项目与钦州港经济技术开发区重点管控单元生态环境准入及管控要求清单相符性分析</w:t>
            </w:r>
            <w:bookmarkEnd w:id="1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26"/>
              <w:gridCol w:w="3961"/>
              <w:gridCol w:w="2417"/>
              <w:gridCol w:w="966"/>
            </w:tblGrid>
            <w:tr w14:paraId="4212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1" w:type="dxa"/>
                  <w:gridSpan w:val="2"/>
                  <w:vAlign w:val="center"/>
                </w:tcPr>
                <w:p w14:paraId="3520C272">
                  <w:pPr>
                    <w:pStyle w:val="42"/>
                    <w:rPr>
                      <w:b/>
                      <w:bCs/>
                    </w:rPr>
                  </w:pPr>
                  <w:r>
                    <w:rPr>
                      <w:rFonts w:hint="eastAsia"/>
                      <w:b/>
                      <w:bCs/>
                    </w:rPr>
                    <w:t>管控类别</w:t>
                  </w:r>
                </w:p>
              </w:tc>
              <w:tc>
                <w:tcPr>
                  <w:tcW w:w="3962" w:type="dxa"/>
                  <w:vAlign w:val="center"/>
                </w:tcPr>
                <w:p w14:paraId="44D054A6">
                  <w:pPr>
                    <w:pStyle w:val="42"/>
                    <w:rPr>
                      <w:b/>
                      <w:bCs/>
                    </w:rPr>
                  </w:pPr>
                  <w:r>
                    <w:rPr>
                      <w:rFonts w:hint="eastAsia"/>
                      <w:b/>
                      <w:bCs/>
                    </w:rPr>
                    <w:t>管控要求</w:t>
                  </w:r>
                </w:p>
              </w:tc>
              <w:tc>
                <w:tcPr>
                  <w:tcW w:w="2417" w:type="dxa"/>
                  <w:vAlign w:val="center"/>
                </w:tcPr>
                <w:p w14:paraId="074C37DB">
                  <w:pPr>
                    <w:pStyle w:val="42"/>
                    <w:rPr>
                      <w:b/>
                      <w:bCs/>
                    </w:rPr>
                  </w:pPr>
                  <w:r>
                    <w:rPr>
                      <w:rFonts w:hint="eastAsia"/>
                      <w:b/>
                      <w:bCs/>
                    </w:rPr>
                    <w:t>项目情况</w:t>
                  </w:r>
                </w:p>
              </w:tc>
              <w:tc>
                <w:tcPr>
                  <w:tcW w:w="966" w:type="dxa"/>
                  <w:vAlign w:val="center"/>
                </w:tcPr>
                <w:p w14:paraId="12076DFB">
                  <w:pPr>
                    <w:pStyle w:val="42"/>
                    <w:rPr>
                      <w:b/>
                      <w:bCs/>
                    </w:rPr>
                  </w:pPr>
                  <w:r>
                    <w:rPr>
                      <w:rFonts w:hint="eastAsia"/>
                      <w:b/>
                      <w:bCs/>
                    </w:rPr>
                    <w:t>相符性</w:t>
                  </w:r>
                </w:p>
              </w:tc>
            </w:tr>
            <w:tr w14:paraId="70D1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14:paraId="6AAC094A">
                  <w:pPr>
                    <w:pStyle w:val="42"/>
                  </w:pPr>
                  <w:r>
                    <w:rPr>
                      <w:rFonts w:hint="eastAsia"/>
                    </w:rPr>
                    <w:t>钦州港经济技术开发区重点管控单元</w:t>
                  </w:r>
                </w:p>
              </w:tc>
              <w:tc>
                <w:tcPr>
                  <w:tcW w:w="425" w:type="dxa"/>
                  <w:vMerge w:val="restart"/>
                  <w:vAlign w:val="center"/>
                </w:tcPr>
                <w:p w14:paraId="64ED42E8">
                  <w:pPr>
                    <w:pStyle w:val="42"/>
                  </w:pPr>
                  <w:r>
                    <w:rPr>
                      <w:rFonts w:hint="eastAsia"/>
                    </w:rPr>
                    <w:t>空间布局约束</w:t>
                  </w:r>
                </w:p>
              </w:tc>
              <w:tc>
                <w:tcPr>
                  <w:tcW w:w="3962" w:type="dxa"/>
                  <w:vAlign w:val="center"/>
                </w:tcPr>
                <w:p w14:paraId="7D2CB51D">
                  <w:pPr>
                    <w:pStyle w:val="42"/>
                  </w:pPr>
                  <w:r>
                    <w:rPr>
                      <w:rFonts w:hint="eastAsia"/>
                    </w:rPr>
                    <w:t>1. 引进项目清洁生产水平须达到国内同行业先进水平。不得引进与园区产业定位不符的产业。</w:t>
                  </w:r>
                </w:p>
              </w:tc>
              <w:tc>
                <w:tcPr>
                  <w:tcW w:w="2417" w:type="dxa"/>
                  <w:vAlign w:val="center"/>
                </w:tcPr>
                <w:p w14:paraId="372D1CE3">
                  <w:pPr>
                    <w:pStyle w:val="42"/>
                  </w:pPr>
                  <w:r>
                    <w:rPr>
                      <w:rFonts w:hint="eastAsia"/>
                    </w:rPr>
                    <w:t>项目为配套园区工业企业氮气供应工程，符合园区产业定位</w:t>
                  </w:r>
                </w:p>
              </w:tc>
              <w:tc>
                <w:tcPr>
                  <w:tcW w:w="966" w:type="dxa"/>
                  <w:vAlign w:val="center"/>
                </w:tcPr>
                <w:p w14:paraId="58B9F3F9">
                  <w:pPr>
                    <w:pStyle w:val="42"/>
                  </w:pPr>
                  <w:r>
                    <w:rPr>
                      <w:rFonts w:hint="eastAsia"/>
                    </w:rPr>
                    <w:t>相符</w:t>
                  </w:r>
                </w:p>
              </w:tc>
            </w:tr>
            <w:tr w14:paraId="55C5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31BCF6B3">
                  <w:pPr>
                    <w:pStyle w:val="42"/>
                  </w:pPr>
                </w:p>
              </w:tc>
              <w:tc>
                <w:tcPr>
                  <w:tcW w:w="425" w:type="dxa"/>
                  <w:vMerge w:val="continue"/>
                  <w:vAlign w:val="center"/>
                </w:tcPr>
                <w:p w14:paraId="395102C6">
                  <w:pPr>
                    <w:pStyle w:val="42"/>
                  </w:pPr>
                </w:p>
              </w:tc>
              <w:tc>
                <w:tcPr>
                  <w:tcW w:w="3962" w:type="dxa"/>
                  <w:vAlign w:val="center"/>
                </w:tcPr>
                <w:p w14:paraId="73E44649">
                  <w:pPr>
                    <w:pStyle w:val="42"/>
                  </w:pPr>
                  <w:r>
                    <w:rPr>
                      <w:rFonts w:hint="eastAsia"/>
                    </w:rPr>
                    <w:t>2. 居住用地周边严控布局潜在污染扰民和环境风险突出的建设项目。</w:t>
                  </w:r>
                </w:p>
              </w:tc>
              <w:tc>
                <w:tcPr>
                  <w:tcW w:w="2417" w:type="dxa"/>
                  <w:vAlign w:val="center"/>
                </w:tcPr>
                <w:p w14:paraId="17694EFD">
                  <w:pPr>
                    <w:pStyle w:val="42"/>
                  </w:pPr>
                  <w:r>
                    <w:rPr>
                      <w:rFonts w:hint="eastAsia"/>
                    </w:rPr>
                    <w:t>项目厂区外均为工业企业，管线两侧居民点正在搬迁</w:t>
                  </w:r>
                </w:p>
              </w:tc>
              <w:tc>
                <w:tcPr>
                  <w:tcW w:w="966" w:type="dxa"/>
                  <w:vAlign w:val="center"/>
                </w:tcPr>
                <w:p w14:paraId="3E080C1D">
                  <w:pPr>
                    <w:pStyle w:val="42"/>
                  </w:pPr>
                  <w:r>
                    <w:rPr>
                      <w:rFonts w:hint="eastAsia"/>
                    </w:rPr>
                    <w:t>相符</w:t>
                  </w:r>
                </w:p>
              </w:tc>
            </w:tr>
            <w:tr w14:paraId="3367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5643C87">
                  <w:pPr>
                    <w:pStyle w:val="42"/>
                  </w:pPr>
                </w:p>
              </w:tc>
              <w:tc>
                <w:tcPr>
                  <w:tcW w:w="425" w:type="dxa"/>
                  <w:vMerge w:val="continue"/>
                  <w:vAlign w:val="center"/>
                </w:tcPr>
                <w:p w14:paraId="4172B772">
                  <w:pPr>
                    <w:pStyle w:val="42"/>
                  </w:pPr>
                </w:p>
              </w:tc>
              <w:tc>
                <w:tcPr>
                  <w:tcW w:w="3962" w:type="dxa"/>
                  <w:vAlign w:val="center"/>
                </w:tcPr>
                <w:p w14:paraId="68F4774A">
                  <w:pPr>
                    <w:pStyle w:val="42"/>
                  </w:pPr>
                  <w:r>
                    <w:rPr>
                      <w:rFonts w:hint="eastAsia"/>
                    </w:rPr>
                    <w:t>3. 园区产业准入执行《广西壮族自治区人民政府办公厅关于印发北钦防一体化产业协同发展限制布局清单（工业类2021年版）的通知》（桂政办函〔2021〕4 号）要求，限制新建水泥制造、建筑陶瓷制品制造、制革及毛皮加工等工业项目。</w:t>
                  </w:r>
                </w:p>
              </w:tc>
              <w:tc>
                <w:tcPr>
                  <w:tcW w:w="2417" w:type="dxa"/>
                  <w:vAlign w:val="center"/>
                </w:tcPr>
                <w:p w14:paraId="05913AC9">
                  <w:pPr>
                    <w:pStyle w:val="42"/>
                  </w:pPr>
                  <w:r>
                    <w:rPr>
                      <w:rFonts w:hint="eastAsia"/>
                    </w:rPr>
                    <w:t>项目为氮气供应工程，不属于限制产业</w:t>
                  </w:r>
                </w:p>
              </w:tc>
              <w:tc>
                <w:tcPr>
                  <w:tcW w:w="966" w:type="dxa"/>
                  <w:vAlign w:val="center"/>
                </w:tcPr>
                <w:p w14:paraId="2F88EFE3">
                  <w:pPr>
                    <w:pStyle w:val="42"/>
                  </w:pPr>
                  <w:r>
                    <w:rPr>
                      <w:rFonts w:hint="eastAsia"/>
                    </w:rPr>
                    <w:t>相符</w:t>
                  </w:r>
                </w:p>
              </w:tc>
            </w:tr>
            <w:tr w14:paraId="14C3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289196F9">
                  <w:pPr>
                    <w:pStyle w:val="42"/>
                  </w:pPr>
                </w:p>
              </w:tc>
              <w:tc>
                <w:tcPr>
                  <w:tcW w:w="425" w:type="dxa"/>
                  <w:vMerge w:val="restart"/>
                  <w:vAlign w:val="center"/>
                </w:tcPr>
                <w:p w14:paraId="745988E6">
                  <w:pPr>
                    <w:pStyle w:val="42"/>
                  </w:pPr>
                  <w:r>
                    <w:rPr>
                      <w:rFonts w:hint="eastAsia"/>
                    </w:rPr>
                    <w:t>污染物排放管控</w:t>
                  </w:r>
                </w:p>
              </w:tc>
              <w:tc>
                <w:tcPr>
                  <w:tcW w:w="3962" w:type="dxa"/>
                  <w:vAlign w:val="center"/>
                </w:tcPr>
                <w:p w14:paraId="29E5D378">
                  <w:pPr>
                    <w:pStyle w:val="42"/>
                  </w:pPr>
                  <w:r>
                    <w:rPr>
                      <w:rFonts w:hint="eastAsia"/>
                    </w:rPr>
                    <w:t>1. 推动石化、化工等重点行业挥发性有机物（VOCs）污染防治。推动石化行业VOCs泄漏检测与修复行动、VOCs削减和有毒有害原料替代。</w:t>
                  </w:r>
                </w:p>
              </w:tc>
              <w:tc>
                <w:tcPr>
                  <w:tcW w:w="2417" w:type="dxa"/>
                  <w:vAlign w:val="center"/>
                </w:tcPr>
                <w:p w14:paraId="70EE7C6E">
                  <w:pPr>
                    <w:pStyle w:val="42"/>
                  </w:pPr>
                  <w:r>
                    <w:rPr>
                      <w:rFonts w:hint="eastAsia"/>
                    </w:rPr>
                    <w:t>项目运营期无废气排放</w:t>
                  </w:r>
                </w:p>
              </w:tc>
              <w:tc>
                <w:tcPr>
                  <w:tcW w:w="966" w:type="dxa"/>
                  <w:vAlign w:val="center"/>
                </w:tcPr>
                <w:p w14:paraId="08288000">
                  <w:pPr>
                    <w:pStyle w:val="42"/>
                  </w:pPr>
                  <w:r>
                    <w:rPr>
                      <w:rFonts w:hint="eastAsia"/>
                    </w:rPr>
                    <w:t>相符</w:t>
                  </w:r>
                </w:p>
              </w:tc>
            </w:tr>
            <w:tr w14:paraId="56C5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1F8F2183">
                  <w:pPr>
                    <w:pStyle w:val="42"/>
                  </w:pPr>
                </w:p>
              </w:tc>
              <w:tc>
                <w:tcPr>
                  <w:tcW w:w="425" w:type="dxa"/>
                  <w:vMerge w:val="continue"/>
                  <w:vAlign w:val="center"/>
                </w:tcPr>
                <w:p w14:paraId="51056219">
                  <w:pPr>
                    <w:pStyle w:val="42"/>
                  </w:pPr>
                </w:p>
              </w:tc>
              <w:tc>
                <w:tcPr>
                  <w:tcW w:w="3962" w:type="dxa"/>
                  <w:vAlign w:val="center"/>
                </w:tcPr>
                <w:p w14:paraId="56914C2C">
                  <w:pPr>
                    <w:pStyle w:val="42"/>
                  </w:pPr>
                  <w:r>
                    <w:rPr>
                      <w:rFonts w:hint="eastAsia"/>
                    </w:rPr>
                    <w:t>2. 石化行业全面推进行业达标排放改造，新建、改建、扩建涉及重点重金属排放建设项目依照相关规定实行总量控制。</w:t>
                  </w:r>
                </w:p>
              </w:tc>
              <w:tc>
                <w:tcPr>
                  <w:tcW w:w="2417" w:type="dxa"/>
                  <w:vAlign w:val="center"/>
                </w:tcPr>
                <w:p w14:paraId="1F240DD3">
                  <w:pPr>
                    <w:pStyle w:val="42"/>
                  </w:pPr>
                  <w:r>
                    <w:rPr>
                      <w:rFonts w:hint="eastAsia"/>
                    </w:rPr>
                    <w:t>项目运营期不涉及重金属排放</w:t>
                  </w:r>
                </w:p>
              </w:tc>
              <w:tc>
                <w:tcPr>
                  <w:tcW w:w="966" w:type="dxa"/>
                  <w:vAlign w:val="center"/>
                </w:tcPr>
                <w:p w14:paraId="45332953">
                  <w:pPr>
                    <w:pStyle w:val="42"/>
                  </w:pPr>
                  <w:r>
                    <w:rPr>
                      <w:rFonts w:hint="eastAsia"/>
                    </w:rPr>
                    <w:t>相符</w:t>
                  </w:r>
                </w:p>
              </w:tc>
            </w:tr>
            <w:tr w14:paraId="2749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659758B8">
                  <w:pPr>
                    <w:pStyle w:val="42"/>
                  </w:pPr>
                </w:p>
              </w:tc>
              <w:tc>
                <w:tcPr>
                  <w:tcW w:w="425" w:type="dxa"/>
                  <w:vMerge w:val="continue"/>
                  <w:vAlign w:val="center"/>
                </w:tcPr>
                <w:p w14:paraId="7A337CF5">
                  <w:pPr>
                    <w:pStyle w:val="42"/>
                  </w:pPr>
                </w:p>
              </w:tc>
              <w:tc>
                <w:tcPr>
                  <w:tcW w:w="3962" w:type="dxa"/>
                  <w:vAlign w:val="center"/>
                </w:tcPr>
                <w:p w14:paraId="244DB559">
                  <w:pPr>
                    <w:pStyle w:val="42"/>
                  </w:pPr>
                  <w:r>
                    <w:rPr>
                      <w:rFonts w:hint="eastAsia"/>
                    </w:rPr>
                    <w:t>3. 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2417" w:type="dxa"/>
                  <w:vAlign w:val="center"/>
                </w:tcPr>
                <w:p w14:paraId="5432D200">
                  <w:pPr>
                    <w:pStyle w:val="42"/>
                  </w:pPr>
                  <w:r>
                    <w:rPr>
                      <w:rFonts w:hint="eastAsia"/>
                    </w:rPr>
                    <w:t>项目生产废水依托天宜污水处理厂一期工程处理，排放废水满足其纳管标准</w:t>
                  </w:r>
                </w:p>
              </w:tc>
              <w:tc>
                <w:tcPr>
                  <w:tcW w:w="966" w:type="dxa"/>
                  <w:vAlign w:val="center"/>
                </w:tcPr>
                <w:p w14:paraId="3CAF2C75">
                  <w:pPr>
                    <w:pStyle w:val="42"/>
                  </w:pPr>
                  <w:r>
                    <w:rPr>
                      <w:rFonts w:hint="eastAsia"/>
                    </w:rPr>
                    <w:t>相符</w:t>
                  </w:r>
                </w:p>
              </w:tc>
            </w:tr>
            <w:tr w14:paraId="4F74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2D7FD1C">
                  <w:pPr>
                    <w:pStyle w:val="42"/>
                  </w:pPr>
                </w:p>
              </w:tc>
              <w:tc>
                <w:tcPr>
                  <w:tcW w:w="425" w:type="dxa"/>
                  <w:vMerge w:val="continue"/>
                  <w:vAlign w:val="center"/>
                </w:tcPr>
                <w:p w14:paraId="7315EE1D">
                  <w:pPr>
                    <w:pStyle w:val="42"/>
                  </w:pPr>
                </w:p>
              </w:tc>
              <w:tc>
                <w:tcPr>
                  <w:tcW w:w="3962" w:type="dxa"/>
                  <w:vAlign w:val="center"/>
                </w:tcPr>
                <w:p w14:paraId="2B5CD1A9">
                  <w:pPr>
                    <w:pStyle w:val="42"/>
                  </w:pPr>
                  <w:r>
                    <w:rPr>
                      <w:rFonts w:hint="eastAsia"/>
                    </w:rPr>
                    <w:t>4. 加强园区无组织废气排放管理。</w:t>
                  </w:r>
                </w:p>
              </w:tc>
              <w:tc>
                <w:tcPr>
                  <w:tcW w:w="2417" w:type="dxa"/>
                  <w:vAlign w:val="center"/>
                </w:tcPr>
                <w:p w14:paraId="22E41571">
                  <w:pPr>
                    <w:pStyle w:val="42"/>
                  </w:pPr>
                  <w:r>
                    <w:rPr>
                      <w:rFonts w:hint="eastAsia"/>
                    </w:rPr>
                    <w:t>项目运营期无废气排放</w:t>
                  </w:r>
                </w:p>
              </w:tc>
              <w:tc>
                <w:tcPr>
                  <w:tcW w:w="966" w:type="dxa"/>
                  <w:vAlign w:val="center"/>
                </w:tcPr>
                <w:p w14:paraId="231749BF">
                  <w:pPr>
                    <w:pStyle w:val="42"/>
                  </w:pPr>
                  <w:r>
                    <w:rPr>
                      <w:rFonts w:hint="eastAsia"/>
                    </w:rPr>
                    <w:t>相符</w:t>
                  </w:r>
                </w:p>
              </w:tc>
            </w:tr>
            <w:tr w14:paraId="2144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58091CB">
                  <w:pPr>
                    <w:pStyle w:val="42"/>
                  </w:pPr>
                </w:p>
              </w:tc>
              <w:tc>
                <w:tcPr>
                  <w:tcW w:w="425" w:type="dxa"/>
                  <w:vMerge w:val="continue"/>
                  <w:vAlign w:val="center"/>
                </w:tcPr>
                <w:p w14:paraId="40660611">
                  <w:pPr>
                    <w:pStyle w:val="42"/>
                  </w:pPr>
                </w:p>
              </w:tc>
              <w:tc>
                <w:tcPr>
                  <w:tcW w:w="3962" w:type="dxa"/>
                  <w:vAlign w:val="center"/>
                </w:tcPr>
                <w:p w14:paraId="2503948B">
                  <w:pPr>
                    <w:pStyle w:val="42"/>
                  </w:pPr>
                  <w:r>
                    <w:rPr>
                      <w:rFonts w:hint="eastAsia"/>
                    </w:rPr>
                    <w:t>5. 提升固体废物减量化、资源化和无害化水平，尽量实现废物的综合利用，危险废物应交由有危废处理资质的单位进行安全处置。</w:t>
                  </w:r>
                </w:p>
              </w:tc>
              <w:tc>
                <w:tcPr>
                  <w:tcW w:w="2417" w:type="dxa"/>
                  <w:vAlign w:val="center"/>
                </w:tcPr>
                <w:p w14:paraId="15664E39">
                  <w:pPr>
                    <w:pStyle w:val="42"/>
                  </w:pPr>
                  <w:r>
                    <w:rPr>
                      <w:rFonts w:hint="eastAsia"/>
                    </w:rPr>
                    <w:t>项目运营期新增危险废物暂存于现有危废暂存间，定期委托有资质单位处置，新增生活垃圾收集后由园区环卫部门统一清运</w:t>
                  </w:r>
                </w:p>
              </w:tc>
              <w:tc>
                <w:tcPr>
                  <w:tcW w:w="966" w:type="dxa"/>
                  <w:vAlign w:val="center"/>
                </w:tcPr>
                <w:p w14:paraId="10D39D41">
                  <w:pPr>
                    <w:pStyle w:val="42"/>
                  </w:pPr>
                  <w:r>
                    <w:rPr>
                      <w:rFonts w:hint="eastAsia"/>
                    </w:rPr>
                    <w:t>相符</w:t>
                  </w:r>
                </w:p>
              </w:tc>
            </w:tr>
            <w:tr w14:paraId="1EEE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9B3A58C">
                  <w:pPr>
                    <w:pStyle w:val="42"/>
                  </w:pPr>
                </w:p>
              </w:tc>
              <w:tc>
                <w:tcPr>
                  <w:tcW w:w="425" w:type="dxa"/>
                  <w:vMerge w:val="restart"/>
                  <w:vAlign w:val="center"/>
                </w:tcPr>
                <w:p w14:paraId="5BE2C10D">
                  <w:pPr>
                    <w:pStyle w:val="42"/>
                  </w:pPr>
                  <w:r>
                    <w:rPr>
                      <w:rFonts w:hint="eastAsia"/>
                    </w:rPr>
                    <w:t>环境风险防控</w:t>
                  </w:r>
                </w:p>
              </w:tc>
              <w:tc>
                <w:tcPr>
                  <w:tcW w:w="3962" w:type="dxa"/>
                  <w:vAlign w:val="center"/>
                </w:tcPr>
                <w:p w14:paraId="2514FDB8">
                  <w:pPr>
                    <w:pStyle w:val="42"/>
                  </w:pPr>
                  <w:r>
                    <w:rPr>
                      <w:rFonts w:hint="eastAsia"/>
                    </w:rPr>
                    <w:t>1. 开展环境风险评估，制定突发环境事件应急预案并备案，配备应急能力和物资，建设环境应急队伍，并定期演练。企业、园区与地方人民政府环境应急预案应当有机衔接。</w:t>
                  </w:r>
                </w:p>
              </w:tc>
              <w:tc>
                <w:tcPr>
                  <w:tcW w:w="2417" w:type="dxa"/>
                  <w:vAlign w:val="center"/>
                </w:tcPr>
                <w:p w14:paraId="31564832">
                  <w:pPr>
                    <w:pStyle w:val="42"/>
                  </w:pPr>
                  <w:r>
                    <w:rPr>
                      <w:rFonts w:hint="eastAsia"/>
                    </w:rPr>
                    <w:t>企业依法依规开展制定突发环境事件应急预案并备案</w:t>
                  </w:r>
                </w:p>
              </w:tc>
              <w:tc>
                <w:tcPr>
                  <w:tcW w:w="966" w:type="dxa"/>
                  <w:vAlign w:val="center"/>
                </w:tcPr>
                <w:p w14:paraId="561C8386">
                  <w:pPr>
                    <w:pStyle w:val="42"/>
                  </w:pPr>
                  <w:r>
                    <w:rPr>
                      <w:rFonts w:hint="eastAsia"/>
                    </w:rPr>
                    <w:t>相符</w:t>
                  </w:r>
                </w:p>
              </w:tc>
            </w:tr>
            <w:tr w14:paraId="03B4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1623B85">
                  <w:pPr>
                    <w:pStyle w:val="42"/>
                  </w:pPr>
                </w:p>
              </w:tc>
              <w:tc>
                <w:tcPr>
                  <w:tcW w:w="425" w:type="dxa"/>
                  <w:vMerge w:val="continue"/>
                  <w:vAlign w:val="center"/>
                </w:tcPr>
                <w:p w14:paraId="70923D26">
                  <w:pPr>
                    <w:pStyle w:val="42"/>
                  </w:pPr>
                </w:p>
              </w:tc>
              <w:tc>
                <w:tcPr>
                  <w:tcW w:w="3962" w:type="dxa"/>
                  <w:vAlign w:val="center"/>
                </w:tcPr>
                <w:p w14:paraId="3540C0DC">
                  <w:pPr>
                    <w:pStyle w:val="42"/>
                  </w:pPr>
                  <w:r>
                    <w:rPr>
                      <w:rFonts w:hint="eastAsia"/>
                    </w:rPr>
                    <w:t>2. 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2417" w:type="dxa"/>
                  <w:vAlign w:val="center"/>
                </w:tcPr>
                <w:p w14:paraId="10337AB0">
                  <w:pPr>
                    <w:pStyle w:val="42"/>
                  </w:pPr>
                  <w:r>
                    <w:rPr>
                      <w:rFonts w:hint="eastAsia"/>
                    </w:rPr>
                    <w:t>项目不涉及土壤污染</w:t>
                  </w:r>
                </w:p>
              </w:tc>
              <w:tc>
                <w:tcPr>
                  <w:tcW w:w="966" w:type="dxa"/>
                  <w:vAlign w:val="center"/>
                </w:tcPr>
                <w:p w14:paraId="21F65F59">
                  <w:pPr>
                    <w:pStyle w:val="42"/>
                  </w:pPr>
                  <w:r>
                    <w:rPr>
                      <w:rFonts w:hint="eastAsia"/>
                    </w:rPr>
                    <w:t>相符</w:t>
                  </w:r>
                </w:p>
              </w:tc>
            </w:tr>
            <w:tr w14:paraId="1EEE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40F7EDF5">
                  <w:pPr>
                    <w:pStyle w:val="42"/>
                  </w:pPr>
                </w:p>
              </w:tc>
              <w:tc>
                <w:tcPr>
                  <w:tcW w:w="425" w:type="dxa"/>
                  <w:vMerge w:val="continue"/>
                  <w:vAlign w:val="center"/>
                </w:tcPr>
                <w:p w14:paraId="0270A640">
                  <w:pPr>
                    <w:pStyle w:val="42"/>
                  </w:pPr>
                </w:p>
              </w:tc>
              <w:tc>
                <w:tcPr>
                  <w:tcW w:w="3962" w:type="dxa"/>
                  <w:vAlign w:val="center"/>
                </w:tcPr>
                <w:p w14:paraId="36A69B59">
                  <w:pPr>
                    <w:pStyle w:val="42"/>
                  </w:pPr>
                  <w:r>
                    <w:rPr>
                      <w:rFonts w:hint="eastAsia"/>
                    </w:rPr>
                    <w:t>3. 建设项目应严格落实环境保护措施和环境风险防范措施，减缓对周边生态环境敏感区的不良影响。</w:t>
                  </w:r>
                </w:p>
              </w:tc>
              <w:tc>
                <w:tcPr>
                  <w:tcW w:w="2417" w:type="dxa"/>
                  <w:vAlign w:val="center"/>
                </w:tcPr>
                <w:p w14:paraId="30A284B8">
                  <w:pPr>
                    <w:pStyle w:val="42"/>
                  </w:pPr>
                  <w:r>
                    <w:rPr>
                      <w:rFonts w:hint="eastAsia"/>
                    </w:rPr>
                    <w:t>项目按要求严格落实保护措施及环境风险防范措施</w:t>
                  </w:r>
                </w:p>
              </w:tc>
              <w:tc>
                <w:tcPr>
                  <w:tcW w:w="966" w:type="dxa"/>
                  <w:vAlign w:val="center"/>
                </w:tcPr>
                <w:p w14:paraId="65CA5A16">
                  <w:pPr>
                    <w:pStyle w:val="42"/>
                  </w:pPr>
                  <w:r>
                    <w:rPr>
                      <w:rFonts w:hint="eastAsia"/>
                    </w:rPr>
                    <w:t>相符</w:t>
                  </w:r>
                </w:p>
              </w:tc>
            </w:tr>
            <w:tr w14:paraId="387C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507842E6">
                  <w:pPr>
                    <w:pStyle w:val="42"/>
                  </w:pPr>
                </w:p>
              </w:tc>
              <w:tc>
                <w:tcPr>
                  <w:tcW w:w="425" w:type="dxa"/>
                  <w:vMerge w:val="restart"/>
                  <w:vAlign w:val="center"/>
                </w:tcPr>
                <w:p w14:paraId="30AB452D">
                  <w:pPr>
                    <w:pStyle w:val="42"/>
                  </w:pPr>
                  <w:r>
                    <w:rPr>
                      <w:rFonts w:hint="eastAsia"/>
                    </w:rPr>
                    <w:t>资源开发利用效率要求</w:t>
                  </w:r>
                </w:p>
              </w:tc>
              <w:tc>
                <w:tcPr>
                  <w:tcW w:w="3962" w:type="dxa"/>
                  <w:vAlign w:val="center"/>
                </w:tcPr>
                <w:p w14:paraId="35899E19">
                  <w:pPr>
                    <w:pStyle w:val="42"/>
                  </w:pPr>
                  <w:r>
                    <w:rPr>
                      <w:rFonts w:hint="eastAsia"/>
                    </w:rPr>
                    <w:t>1. 污染物排放以及用水、能耗、物耗、岸线与土地利用等资源环境指标达到行业先进水平。</w:t>
                  </w:r>
                </w:p>
              </w:tc>
              <w:tc>
                <w:tcPr>
                  <w:tcW w:w="2417" w:type="dxa"/>
                  <w:vAlign w:val="center"/>
                </w:tcPr>
                <w:p w14:paraId="7B82FB3F">
                  <w:pPr>
                    <w:pStyle w:val="42"/>
                  </w:pPr>
                  <w:r>
                    <w:rPr>
                      <w:rFonts w:hint="eastAsia"/>
                    </w:rPr>
                    <w:t>项目依托现有厂区建设，管道依托园区公共管廊架空铺设，不新增用地</w:t>
                  </w:r>
                </w:p>
              </w:tc>
              <w:tc>
                <w:tcPr>
                  <w:tcW w:w="966" w:type="dxa"/>
                  <w:vAlign w:val="center"/>
                </w:tcPr>
                <w:p w14:paraId="6AED9BBE">
                  <w:pPr>
                    <w:pStyle w:val="42"/>
                  </w:pPr>
                  <w:r>
                    <w:rPr>
                      <w:rFonts w:hint="eastAsia"/>
                    </w:rPr>
                    <w:t>相符</w:t>
                  </w:r>
                </w:p>
              </w:tc>
            </w:tr>
            <w:tr w14:paraId="5EA7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14:paraId="21D01C39">
                  <w:pPr>
                    <w:pStyle w:val="42"/>
                  </w:pPr>
                </w:p>
              </w:tc>
              <w:tc>
                <w:tcPr>
                  <w:tcW w:w="425" w:type="dxa"/>
                  <w:vMerge w:val="continue"/>
                  <w:vAlign w:val="center"/>
                </w:tcPr>
                <w:p w14:paraId="47D7720D">
                  <w:pPr>
                    <w:pStyle w:val="42"/>
                  </w:pPr>
                </w:p>
              </w:tc>
              <w:tc>
                <w:tcPr>
                  <w:tcW w:w="3962" w:type="dxa"/>
                  <w:vAlign w:val="center"/>
                </w:tcPr>
                <w:p w14:paraId="2F3F312B">
                  <w:pPr>
                    <w:pStyle w:val="42"/>
                  </w:pPr>
                  <w:r>
                    <w:rPr>
                      <w:rFonts w:hint="eastAsia"/>
                    </w:rPr>
                    <w:t>2. 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渣等）。</w:t>
                  </w:r>
                </w:p>
                <w:p w14:paraId="264E0D4C">
                  <w:pPr>
                    <w:pStyle w:val="42"/>
                  </w:pPr>
                  <w:r>
                    <w:rPr>
                      <w:rFonts w:hint="eastAsia"/>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2417" w:type="dxa"/>
                  <w:vAlign w:val="center"/>
                </w:tcPr>
                <w:p w14:paraId="1B60EBD0">
                  <w:pPr>
                    <w:pStyle w:val="42"/>
                  </w:pPr>
                  <w:r>
                    <w:rPr>
                      <w:rFonts w:hint="eastAsia"/>
                    </w:rPr>
                    <w:t>项目不使用高污染燃料</w:t>
                  </w:r>
                </w:p>
              </w:tc>
              <w:tc>
                <w:tcPr>
                  <w:tcW w:w="966" w:type="dxa"/>
                  <w:vAlign w:val="center"/>
                </w:tcPr>
                <w:p w14:paraId="70433DD0">
                  <w:pPr>
                    <w:pStyle w:val="42"/>
                  </w:pPr>
                  <w:r>
                    <w:rPr>
                      <w:rFonts w:hint="eastAsia"/>
                    </w:rPr>
                    <w:t>相符</w:t>
                  </w:r>
                </w:p>
              </w:tc>
            </w:tr>
          </w:tbl>
          <w:p w14:paraId="50106721">
            <w:pPr>
              <w:pStyle w:val="41"/>
              <w:ind w:firstLine="480"/>
            </w:pPr>
          </w:p>
          <w:p w14:paraId="2051310F">
            <w:pPr>
              <w:pStyle w:val="41"/>
              <w:ind w:firstLine="482"/>
              <w:rPr>
                <w:b/>
                <w:bCs/>
              </w:rPr>
            </w:pPr>
            <w:r>
              <w:rPr>
                <w:rFonts w:hint="eastAsia"/>
                <w:b/>
                <w:bCs/>
              </w:rPr>
              <w:t>六</w:t>
            </w:r>
            <w:r>
              <w:rPr>
                <w:rFonts w:hint="eastAsia"/>
              </w:rPr>
              <w:t>、</w:t>
            </w:r>
            <w:r>
              <w:rPr>
                <w:rFonts w:hint="eastAsia"/>
                <w:b/>
                <w:bCs/>
              </w:rPr>
              <w:t>项目与《广西生态保护禁止事项清单（2022）》相符性分析</w:t>
            </w:r>
          </w:p>
          <w:p w14:paraId="65D3DEA5">
            <w:pPr>
              <w:pStyle w:val="41"/>
              <w:numPr>
                <w:ilvl w:val="0"/>
                <w:numId w:val="3"/>
              </w:numPr>
              <w:spacing w:line="240" w:lineRule="auto"/>
              <w:ind w:left="0" w:firstLine="0" w:firstLineChars="0"/>
              <w:jc w:val="center"/>
              <w:rPr>
                <w:b/>
                <w:sz w:val="21"/>
              </w:rPr>
            </w:pPr>
            <w:r>
              <w:rPr>
                <w:rFonts w:hint="eastAsia"/>
                <w:b/>
                <w:sz w:val="21"/>
              </w:rPr>
              <w:t>项目与《广西生态保护禁止事项清单（2022）》相符性</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3260"/>
              <w:gridCol w:w="966"/>
            </w:tblGrid>
            <w:tr w14:paraId="3E25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30" w:type="dxa"/>
                  <w:vAlign w:val="center"/>
                </w:tcPr>
                <w:p w14:paraId="0C1143C0">
                  <w:pPr>
                    <w:pStyle w:val="42"/>
                    <w:rPr>
                      <w:b/>
                      <w:bCs/>
                    </w:rPr>
                  </w:pPr>
                  <w:r>
                    <w:rPr>
                      <w:rFonts w:hint="eastAsia"/>
                      <w:b/>
                      <w:bCs/>
                    </w:rPr>
                    <w:t>禁止事项</w:t>
                  </w:r>
                </w:p>
              </w:tc>
              <w:tc>
                <w:tcPr>
                  <w:tcW w:w="3260" w:type="dxa"/>
                  <w:vAlign w:val="center"/>
                </w:tcPr>
                <w:p w14:paraId="0D60CE22">
                  <w:pPr>
                    <w:pStyle w:val="42"/>
                    <w:rPr>
                      <w:b/>
                      <w:bCs/>
                    </w:rPr>
                  </w:pPr>
                  <w:r>
                    <w:rPr>
                      <w:rFonts w:hint="eastAsia"/>
                      <w:b/>
                      <w:bCs/>
                    </w:rPr>
                    <w:t>项目情况</w:t>
                  </w:r>
                </w:p>
              </w:tc>
              <w:tc>
                <w:tcPr>
                  <w:tcW w:w="966" w:type="dxa"/>
                  <w:vAlign w:val="center"/>
                </w:tcPr>
                <w:p w14:paraId="55D0965D">
                  <w:pPr>
                    <w:pStyle w:val="42"/>
                    <w:rPr>
                      <w:b/>
                      <w:bCs/>
                    </w:rPr>
                  </w:pPr>
                  <w:r>
                    <w:rPr>
                      <w:rFonts w:hint="eastAsia"/>
                      <w:b/>
                      <w:bCs/>
                    </w:rPr>
                    <w:t>相符性</w:t>
                  </w:r>
                </w:p>
              </w:tc>
            </w:tr>
            <w:tr w14:paraId="135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733D70E">
                  <w:pPr>
                    <w:pStyle w:val="42"/>
                  </w:pPr>
                  <w:r>
                    <w:rPr>
                      <w:rFonts w:hint="eastAsia"/>
                    </w:rPr>
                    <w:t>1. 禁止在自然保护区的实验区内建设污染环境、破坏资源或者景观的生产设施。</w:t>
                  </w:r>
                </w:p>
              </w:tc>
              <w:tc>
                <w:tcPr>
                  <w:tcW w:w="3260" w:type="dxa"/>
                  <w:vAlign w:val="center"/>
                </w:tcPr>
                <w:p w14:paraId="5ACE15B7">
                  <w:pPr>
                    <w:pStyle w:val="42"/>
                  </w:pPr>
                  <w:r>
                    <w:rPr>
                      <w:rFonts w:hint="eastAsia"/>
                    </w:rPr>
                    <w:t>项目不涉及占用自然保护区</w:t>
                  </w:r>
                </w:p>
              </w:tc>
              <w:tc>
                <w:tcPr>
                  <w:tcW w:w="966" w:type="dxa"/>
                  <w:vAlign w:val="center"/>
                </w:tcPr>
                <w:p w14:paraId="2F240152">
                  <w:pPr>
                    <w:pStyle w:val="42"/>
                  </w:pPr>
                  <w:r>
                    <w:rPr>
                      <w:rFonts w:hint="eastAsia"/>
                    </w:rPr>
                    <w:t>相符</w:t>
                  </w:r>
                </w:p>
              </w:tc>
            </w:tr>
            <w:tr w14:paraId="0DD2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046C3E52">
                  <w:pPr>
                    <w:pStyle w:val="42"/>
                  </w:pPr>
                  <w:r>
                    <w:rPr>
                      <w:rFonts w:hint="eastAsia"/>
                    </w:rPr>
                    <w:t>2. 禁止破坏或者随意改变风景名胜区内的景观和自然环境。</w:t>
                  </w:r>
                </w:p>
              </w:tc>
              <w:tc>
                <w:tcPr>
                  <w:tcW w:w="3260" w:type="dxa"/>
                  <w:vAlign w:val="center"/>
                </w:tcPr>
                <w:p w14:paraId="479F8690">
                  <w:pPr>
                    <w:pStyle w:val="42"/>
                  </w:pPr>
                  <w:r>
                    <w:rPr>
                      <w:rFonts w:hint="eastAsia"/>
                    </w:rPr>
                    <w:t>项目不涉及占用风景名胜区</w:t>
                  </w:r>
                </w:p>
              </w:tc>
              <w:tc>
                <w:tcPr>
                  <w:tcW w:w="966" w:type="dxa"/>
                  <w:vAlign w:val="center"/>
                </w:tcPr>
                <w:p w14:paraId="4DFA13AF">
                  <w:pPr>
                    <w:pStyle w:val="42"/>
                  </w:pPr>
                  <w:r>
                    <w:rPr>
                      <w:rFonts w:hint="eastAsia"/>
                    </w:rPr>
                    <w:t>相符</w:t>
                  </w:r>
                </w:p>
              </w:tc>
            </w:tr>
            <w:tr w14:paraId="4EF3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D01B4D9">
                  <w:pPr>
                    <w:pStyle w:val="42"/>
                  </w:pPr>
                  <w:r>
                    <w:rPr>
                      <w:rFonts w:hint="eastAsia"/>
                    </w:rPr>
                    <w:t>3. 禁止违反国土空间规划和风景名胜区规划，在风景名胜区内设立各类开发区和在核心景区内建设宾馆、招待所、培训中心、疗养院以及与风景名胜资源保护无关的其他建筑物。</w:t>
                  </w:r>
                </w:p>
              </w:tc>
              <w:tc>
                <w:tcPr>
                  <w:tcW w:w="3260" w:type="dxa"/>
                  <w:vAlign w:val="center"/>
                </w:tcPr>
                <w:p w14:paraId="5583D973">
                  <w:pPr>
                    <w:pStyle w:val="42"/>
                  </w:pPr>
                  <w:r>
                    <w:rPr>
                      <w:rFonts w:hint="eastAsia"/>
                    </w:rPr>
                    <w:t>项目不涉及占用风景名胜区</w:t>
                  </w:r>
                </w:p>
              </w:tc>
              <w:tc>
                <w:tcPr>
                  <w:tcW w:w="966" w:type="dxa"/>
                  <w:vAlign w:val="center"/>
                </w:tcPr>
                <w:p w14:paraId="3E39EAD7">
                  <w:pPr>
                    <w:pStyle w:val="42"/>
                  </w:pPr>
                  <w:r>
                    <w:rPr>
                      <w:rFonts w:hint="eastAsia"/>
                    </w:rPr>
                    <w:t>相符</w:t>
                  </w:r>
                </w:p>
              </w:tc>
            </w:tr>
            <w:tr w14:paraId="6FDC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6039A699">
                  <w:pPr>
                    <w:pStyle w:val="42"/>
                  </w:pPr>
                  <w:r>
                    <w:rPr>
                      <w:rFonts w:hint="eastAsia"/>
                    </w:rPr>
                    <w:t>4. 禁止开（围）垦、排干自然湿地，永久性截断自然湿地水源。</w:t>
                  </w:r>
                </w:p>
              </w:tc>
              <w:tc>
                <w:tcPr>
                  <w:tcW w:w="3260" w:type="dxa"/>
                  <w:vAlign w:val="center"/>
                </w:tcPr>
                <w:p w14:paraId="1EB9314C">
                  <w:pPr>
                    <w:pStyle w:val="42"/>
                  </w:pPr>
                  <w:r>
                    <w:rPr>
                      <w:rFonts w:hint="eastAsia"/>
                    </w:rPr>
                    <w:t>项目不涉及占用自然湿地</w:t>
                  </w:r>
                </w:p>
              </w:tc>
              <w:tc>
                <w:tcPr>
                  <w:tcW w:w="966" w:type="dxa"/>
                  <w:vAlign w:val="center"/>
                </w:tcPr>
                <w:p w14:paraId="41A4F1CC">
                  <w:pPr>
                    <w:pStyle w:val="42"/>
                  </w:pPr>
                  <w:r>
                    <w:rPr>
                      <w:rFonts w:hint="eastAsia"/>
                    </w:rPr>
                    <w:t>相符</w:t>
                  </w:r>
                </w:p>
              </w:tc>
            </w:tr>
            <w:tr w14:paraId="1891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0B6F9224">
                  <w:pPr>
                    <w:pStyle w:val="42"/>
                  </w:pPr>
                  <w:r>
                    <w:rPr>
                      <w:rFonts w:hint="eastAsia"/>
                    </w:rPr>
                    <w:t>5. 禁止占用红树林湿地，除国家及自治区重大项目、防灾减灾等需要外。</w:t>
                  </w:r>
                </w:p>
              </w:tc>
              <w:tc>
                <w:tcPr>
                  <w:tcW w:w="3260" w:type="dxa"/>
                  <w:vAlign w:val="center"/>
                </w:tcPr>
                <w:p w14:paraId="52463523">
                  <w:pPr>
                    <w:pStyle w:val="42"/>
                  </w:pPr>
                  <w:r>
                    <w:rPr>
                      <w:rFonts w:hint="eastAsia"/>
                    </w:rPr>
                    <w:t>项目不涉及占用红树林湿地</w:t>
                  </w:r>
                </w:p>
              </w:tc>
              <w:tc>
                <w:tcPr>
                  <w:tcW w:w="966" w:type="dxa"/>
                  <w:vAlign w:val="center"/>
                </w:tcPr>
                <w:p w14:paraId="6A71532F">
                  <w:pPr>
                    <w:pStyle w:val="42"/>
                  </w:pPr>
                  <w:r>
                    <w:rPr>
                      <w:rFonts w:hint="eastAsia"/>
                    </w:rPr>
                    <w:t>相符</w:t>
                  </w:r>
                </w:p>
              </w:tc>
            </w:tr>
            <w:tr w14:paraId="089F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11828AAA">
                  <w:pPr>
                    <w:pStyle w:val="42"/>
                  </w:pPr>
                  <w:r>
                    <w:rPr>
                      <w:rFonts w:hint="eastAsia"/>
                    </w:rPr>
                    <w:t>6. 禁止在以水鸟为保护对象的自然保护地及其他重要栖息地从事捕鱼、挖捕底栖生物、捡拾鸟蛋、破坏鸟巢等危及水鸟生存、繁衍的活动。</w:t>
                  </w:r>
                </w:p>
              </w:tc>
              <w:tc>
                <w:tcPr>
                  <w:tcW w:w="3260" w:type="dxa"/>
                  <w:vAlign w:val="center"/>
                </w:tcPr>
                <w:p w14:paraId="580E4A23">
                  <w:pPr>
                    <w:pStyle w:val="42"/>
                  </w:pPr>
                  <w:r>
                    <w:rPr>
                      <w:rFonts w:hint="eastAsia"/>
                    </w:rPr>
                    <w:t>项目不涉及占用自然保护区</w:t>
                  </w:r>
                </w:p>
              </w:tc>
              <w:tc>
                <w:tcPr>
                  <w:tcW w:w="966" w:type="dxa"/>
                  <w:vAlign w:val="center"/>
                </w:tcPr>
                <w:p w14:paraId="373F0B44">
                  <w:pPr>
                    <w:pStyle w:val="42"/>
                  </w:pPr>
                  <w:r>
                    <w:rPr>
                      <w:rFonts w:hint="eastAsia"/>
                    </w:rPr>
                    <w:t>相符</w:t>
                  </w:r>
                </w:p>
              </w:tc>
            </w:tr>
            <w:tr w14:paraId="2E45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7A8A59FB">
                  <w:pPr>
                    <w:pStyle w:val="42"/>
                  </w:pPr>
                  <w:r>
                    <w:rPr>
                      <w:rFonts w:hint="eastAsia"/>
                    </w:rPr>
                    <w:t>7. 严禁擅自改变城市绿化规划用地性质或者破坏绿化规划用地的地形、地貌、水体和植被；严禁擅自占用城市绿化用地。</w:t>
                  </w:r>
                </w:p>
              </w:tc>
              <w:tc>
                <w:tcPr>
                  <w:tcW w:w="3260" w:type="dxa"/>
                  <w:vAlign w:val="center"/>
                </w:tcPr>
                <w:p w14:paraId="28AAED98">
                  <w:pPr>
                    <w:pStyle w:val="42"/>
                  </w:pPr>
                  <w:r>
                    <w:rPr>
                      <w:rFonts w:hint="eastAsia"/>
                    </w:rPr>
                    <w:t>项目用地不属于城市绿化用地</w:t>
                  </w:r>
                </w:p>
              </w:tc>
              <w:tc>
                <w:tcPr>
                  <w:tcW w:w="966" w:type="dxa"/>
                  <w:vAlign w:val="center"/>
                </w:tcPr>
                <w:p w14:paraId="406999FD">
                  <w:pPr>
                    <w:pStyle w:val="42"/>
                  </w:pPr>
                  <w:r>
                    <w:rPr>
                      <w:rFonts w:hint="eastAsia"/>
                    </w:rPr>
                    <w:t>相符</w:t>
                  </w:r>
                </w:p>
              </w:tc>
            </w:tr>
            <w:tr w14:paraId="5E1A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5ACAC73">
                  <w:pPr>
                    <w:pStyle w:val="42"/>
                  </w:pPr>
                  <w:r>
                    <w:rPr>
                      <w:rFonts w:hint="eastAsia"/>
                    </w:rPr>
                    <w:t>8. 严禁砍伐或者未经批准移植古树名木。因特殊需要移植古树名木按规定报批。</w:t>
                  </w:r>
                </w:p>
              </w:tc>
              <w:tc>
                <w:tcPr>
                  <w:tcW w:w="3260" w:type="dxa"/>
                  <w:vAlign w:val="center"/>
                </w:tcPr>
                <w:p w14:paraId="3C607F1C">
                  <w:pPr>
                    <w:pStyle w:val="42"/>
                  </w:pPr>
                  <w:r>
                    <w:rPr>
                      <w:rFonts w:hint="eastAsia"/>
                    </w:rPr>
                    <w:t>项目不涉及古树名木移植</w:t>
                  </w:r>
                </w:p>
              </w:tc>
              <w:tc>
                <w:tcPr>
                  <w:tcW w:w="966" w:type="dxa"/>
                  <w:vAlign w:val="center"/>
                </w:tcPr>
                <w:p w14:paraId="5CF92C03">
                  <w:pPr>
                    <w:pStyle w:val="42"/>
                  </w:pPr>
                  <w:r>
                    <w:rPr>
                      <w:rFonts w:hint="eastAsia"/>
                    </w:rPr>
                    <w:t>相符</w:t>
                  </w:r>
                </w:p>
              </w:tc>
            </w:tr>
            <w:tr w14:paraId="55A2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46C219B">
                  <w:pPr>
                    <w:pStyle w:val="42"/>
                  </w:pPr>
                  <w:r>
                    <w:rPr>
                      <w:rFonts w:hint="eastAsia"/>
                    </w:rPr>
                    <w:t>9. 禁止未经批准砍伐、损坏公路用地上的树木、花草等绿化种植物。</w:t>
                  </w:r>
                </w:p>
              </w:tc>
              <w:tc>
                <w:tcPr>
                  <w:tcW w:w="3260" w:type="dxa"/>
                  <w:vAlign w:val="center"/>
                </w:tcPr>
                <w:p w14:paraId="3351F68D">
                  <w:pPr>
                    <w:pStyle w:val="42"/>
                  </w:pPr>
                  <w:r>
                    <w:rPr>
                      <w:rFonts w:hint="eastAsia"/>
                    </w:rPr>
                    <w:t>项目施工不涉及植被清除</w:t>
                  </w:r>
                </w:p>
              </w:tc>
              <w:tc>
                <w:tcPr>
                  <w:tcW w:w="966" w:type="dxa"/>
                  <w:vAlign w:val="center"/>
                </w:tcPr>
                <w:p w14:paraId="6A6C3E63">
                  <w:pPr>
                    <w:pStyle w:val="42"/>
                  </w:pPr>
                  <w:r>
                    <w:rPr>
                      <w:rFonts w:hint="eastAsia"/>
                    </w:rPr>
                    <w:t>相符</w:t>
                  </w:r>
                </w:p>
              </w:tc>
            </w:tr>
            <w:tr w14:paraId="5FBD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BAC095C">
                  <w:pPr>
                    <w:pStyle w:val="42"/>
                  </w:pPr>
                  <w:r>
                    <w:rPr>
                      <w:rFonts w:hint="eastAsia"/>
                    </w:rPr>
                    <w:t>10. 禁止在漓江源头自然保护区内开矿、采石、挖砂、取土、烧山开垦、山体开采。</w:t>
                  </w:r>
                </w:p>
              </w:tc>
              <w:tc>
                <w:tcPr>
                  <w:tcW w:w="3260" w:type="dxa"/>
                  <w:vAlign w:val="center"/>
                </w:tcPr>
                <w:p w14:paraId="21EFF0BB">
                  <w:pPr>
                    <w:pStyle w:val="42"/>
                  </w:pPr>
                  <w:r>
                    <w:rPr>
                      <w:rFonts w:hint="eastAsia"/>
                    </w:rPr>
                    <w:t>项目不涉及</w:t>
                  </w:r>
                </w:p>
              </w:tc>
              <w:tc>
                <w:tcPr>
                  <w:tcW w:w="966" w:type="dxa"/>
                  <w:vAlign w:val="center"/>
                </w:tcPr>
                <w:p w14:paraId="0CF2F567">
                  <w:pPr>
                    <w:pStyle w:val="42"/>
                  </w:pPr>
                  <w:r>
                    <w:rPr>
                      <w:rFonts w:hint="eastAsia"/>
                    </w:rPr>
                    <w:t>/</w:t>
                  </w:r>
                </w:p>
              </w:tc>
            </w:tr>
            <w:tr w14:paraId="4BEE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753983D2">
                  <w:pPr>
                    <w:pStyle w:val="42"/>
                  </w:pPr>
                  <w:r>
                    <w:rPr>
                      <w:rFonts w:hint="eastAsia"/>
                    </w:rPr>
                    <w:t>11. 禁止在地表水饮用水水源二级保护区或者农村饮用水水源保护范围内新种植轮伐期不足十年的用材林、毁林开垦、全垦整地、炼山。</w:t>
                  </w:r>
                </w:p>
              </w:tc>
              <w:tc>
                <w:tcPr>
                  <w:tcW w:w="3260" w:type="dxa"/>
                  <w:vAlign w:val="center"/>
                </w:tcPr>
                <w:p w14:paraId="3A82F318">
                  <w:pPr>
                    <w:pStyle w:val="42"/>
                  </w:pPr>
                  <w:r>
                    <w:rPr>
                      <w:rFonts w:hint="eastAsia"/>
                    </w:rPr>
                    <w:t>项目不涉及占用饮用水水源保护区</w:t>
                  </w:r>
                </w:p>
              </w:tc>
              <w:tc>
                <w:tcPr>
                  <w:tcW w:w="966" w:type="dxa"/>
                  <w:vAlign w:val="center"/>
                </w:tcPr>
                <w:p w14:paraId="4CB4B776">
                  <w:pPr>
                    <w:pStyle w:val="42"/>
                  </w:pPr>
                  <w:r>
                    <w:rPr>
                      <w:rFonts w:hint="eastAsia"/>
                    </w:rPr>
                    <w:t>相符</w:t>
                  </w:r>
                </w:p>
              </w:tc>
            </w:tr>
            <w:tr w14:paraId="1BF3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29B63C37">
                  <w:pPr>
                    <w:pStyle w:val="42"/>
                  </w:pPr>
                  <w:r>
                    <w:rPr>
                      <w:rFonts w:hint="eastAsia"/>
                    </w:rPr>
                    <w:t>12. 禁止在铁路、高速公路、国道、省道、旅游公路等两侧规定距离内新设露天矿山。</w:t>
                  </w:r>
                </w:p>
              </w:tc>
              <w:tc>
                <w:tcPr>
                  <w:tcW w:w="3260" w:type="dxa"/>
                  <w:vAlign w:val="center"/>
                </w:tcPr>
                <w:p w14:paraId="4F30CDB7">
                  <w:pPr>
                    <w:pStyle w:val="42"/>
                  </w:pPr>
                  <w:r>
                    <w:rPr>
                      <w:rFonts w:hint="eastAsia"/>
                    </w:rPr>
                    <w:t>项目不涉及</w:t>
                  </w:r>
                </w:p>
              </w:tc>
              <w:tc>
                <w:tcPr>
                  <w:tcW w:w="966" w:type="dxa"/>
                  <w:vAlign w:val="center"/>
                </w:tcPr>
                <w:p w14:paraId="1E50C71D">
                  <w:pPr>
                    <w:pStyle w:val="42"/>
                  </w:pPr>
                  <w:r>
                    <w:rPr>
                      <w:rFonts w:hint="eastAsia"/>
                    </w:rPr>
                    <w:t>/</w:t>
                  </w:r>
                </w:p>
              </w:tc>
            </w:tr>
            <w:tr w14:paraId="7FE4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654352E2">
                  <w:pPr>
                    <w:pStyle w:val="42"/>
                  </w:pPr>
                  <w:r>
                    <w:rPr>
                      <w:rFonts w:hint="eastAsia"/>
                    </w:rPr>
                    <w:t>13. 禁止向岩溶洼地、溶洞、漏斗、天窗、裂隙和地下河排放污水。</w:t>
                  </w:r>
                </w:p>
              </w:tc>
              <w:tc>
                <w:tcPr>
                  <w:tcW w:w="3260" w:type="dxa"/>
                  <w:vAlign w:val="center"/>
                </w:tcPr>
                <w:p w14:paraId="62CF9D4A">
                  <w:pPr>
                    <w:pStyle w:val="42"/>
                  </w:pPr>
                  <w:r>
                    <w:rPr>
                      <w:rFonts w:hint="eastAsia"/>
                    </w:rPr>
                    <w:t>项目生产废水依托天宜污水厂一期处理达标后近期近岸排放，远期依托园区深海排放管道排放；生活污水依托国投钦电生活污水处理系统处理后用于厂区绿化，不外排。</w:t>
                  </w:r>
                </w:p>
              </w:tc>
              <w:tc>
                <w:tcPr>
                  <w:tcW w:w="966" w:type="dxa"/>
                  <w:vAlign w:val="center"/>
                </w:tcPr>
                <w:p w14:paraId="51D1FD05">
                  <w:pPr>
                    <w:pStyle w:val="42"/>
                  </w:pPr>
                  <w:r>
                    <w:rPr>
                      <w:rFonts w:hint="eastAsia"/>
                    </w:rPr>
                    <w:t>相符</w:t>
                  </w:r>
                </w:p>
              </w:tc>
            </w:tr>
            <w:tr w14:paraId="64BE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7B306750">
                  <w:pPr>
                    <w:pStyle w:val="42"/>
                  </w:pPr>
                  <w:r>
                    <w:rPr>
                      <w:rFonts w:hint="eastAsia"/>
                    </w:rPr>
                    <w:t>14. 禁止向港口水域倾倒泥土、砂石以及违反有关环境保护的法律、法规的规定排放超过规定标准的有毒、有害物质。</w:t>
                  </w:r>
                </w:p>
              </w:tc>
              <w:tc>
                <w:tcPr>
                  <w:tcW w:w="3260" w:type="dxa"/>
                  <w:vAlign w:val="center"/>
                </w:tcPr>
                <w:p w14:paraId="0AF86D37">
                  <w:pPr>
                    <w:pStyle w:val="42"/>
                  </w:pPr>
                  <w:r>
                    <w:rPr>
                      <w:rFonts w:hint="eastAsia"/>
                    </w:rPr>
                    <w:t>项目不涉及港口水域倾污</w:t>
                  </w:r>
                </w:p>
              </w:tc>
              <w:tc>
                <w:tcPr>
                  <w:tcW w:w="966" w:type="dxa"/>
                  <w:vAlign w:val="center"/>
                </w:tcPr>
                <w:p w14:paraId="778281E9">
                  <w:pPr>
                    <w:pStyle w:val="42"/>
                  </w:pPr>
                  <w:r>
                    <w:rPr>
                      <w:rFonts w:hint="eastAsia"/>
                    </w:rPr>
                    <w:t>/</w:t>
                  </w:r>
                </w:p>
              </w:tc>
            </w:tr>
            <w:tr w14:paraId="71E0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067B7C35">
                  <w:pPr>
                    <w:pStyle w:val="42"/>
                  </w:pPr>
                  <w:r>
                    <w:rPr>
                      <w:rFonts w:hint="eastAsia"/>
                    </w:rPr>
                    <w:t>15. 禁止在无居民海岛弃置或者向其周边海域倾倒固体废物。</w:t>
                  </w:r>
                </w:p>
              </w:tc>
              <w:tc>
                <w:tcPr>
                  <w:tcW w:w="3260" w:type="dxa"/>
                  <w:vAlign w:val="center"/>
                </w:tcPr>
                <w:p w14:paraId="4A58A0C5">
                  <w:pPr>
                    <w:pStyle w:val="42"/>
                  </w:pPr>
                  <w:r>
                    <w:rPr>
                      <w:rFonts w:hint="eastAsia"/>
                    </w:rPr>
                    <w:t>项目不涉及</w:t>
                  </w:r>
                </w:p>
              </w:tc>
              <w:tc>
                <w:tcPr>
                  <w:tcW w:w="966" w:type="dxa"/>
                  <w:vAlign w:val="center"/>
                </w:tcPr>
                <w:p w14:paraId="451C8327">
                  <w:pPr>
                    <w:pStyle w:val="42"/>
                  </w:pPr>
                  <w:r>
                    <w:rPr>
                      <w:rFonts w:hint="eastAsia"/>
                    </w:rPr>
                    <w:t>/</w:t>
                  </w:r>
                </w:p>
              </w:tc>
            </w:tr>
            <w:tr w14:paraId="593D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39D0C10">
                  <w:pPr>
                    <w:pStyle w:val="42"/>
                  </w:pPr>
                  <w:r>
                    <w:rPr>
                      <w:rFonts w:hint="eastAsia"/>
                    </w:rPr>
                    <w:t>16. 禁止利用渗井、渗坑、天然裂隙、溶洞或者国家禁止的其他方式排放放射性废液。</w:t>
                  </w:r>
                </w:p>
              </w:tc>
              <w:tc>
                <w:tcPr>
                  <w:tcW w:w="3260" w:type="dxa"/>
                  <w:vAlign w:val="center"/>
                </w:tcPr>
                <w:p w14:paraId="7AE4A2D7">
                  <w:pPr>
                    <w:pStyle w:val="42"/>
                  </w:pPr>
                  <w:r>
                    <w:rPr>
                      <w:rFonts w:hint="eastAsia"/>
                    </w:rPr>
                    <w:t>项目不涉及</w:t>
                  </w:r>
                </w:p>
              </w:tc>
              <w:tc>
                <w:tcPr>
                  <w:tcW w:w="966" w:type="dxa"/>
                  <w:vAlign w:val="center"/>
                </w:tcPr>
                <w:p w14:paraId="30481AED">
                  <w:pPr>
                    <w:pStyle w:val="42"/>
                  </w:pPr>
                  <w:r>
                    <w:rPr>
                      <w:rFonts w:hint="eastAsia"/>
                    </w:rPr>
                    <w:t>/</w:t>
                  </w:r>
                </w:p>
              </w:tc>
            </w:tr>
            <w:tr w14:paraId="116A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1879112">
                  <w:pPr>
                    <w:pStyle w:val="42"/>
                  </w:pPr>
                  <w:r>
                    <w:rPr>
                      <w:rFonts w:hint="eastAsia"/>
                    </w:rPr>
                    <w:t>17. 禁止向海域排放油类、酸液、碱液、剧毒废液和高、中水平放射性废水。</w:t>
                  </w:r>
                </w:p>
              </w:tc>
              <w:tc>
                <w:tcPr>
                  <w:tcW w:w="3260" w:type="dxa"/>
                  <w:vAlign w:val="center"/>
                </w:tcPr>
                <w:p w14:paraId="38D52A3E">
                  <w:pPr>
                    <w:pStyle w:val="42"/>
                  </w:pPr>
                  <w:r>
                    <w:rPr>
                      <w:rFonts w:hint="eastAsia"/>
                    </w:rPr>
                    <w:t>项目不涉及</w:t>
                  </w:r>
                </w:p>
              </w:tc>
              <w:tc>
                <w:tcPr>
                  <w:tcW w:w="966" w:type="dxa"/>
                  <w:vAlign w:val="center"/>
                </w:tcPr>
                <w:p w14:paraId="64C26A08">
                  <w:pPr>
                    <w:pStyle w:val="42"/>
                  </w:pPr>
                  <w:r>
                    <w:rPr>
                      <w:rFonts w:hint="eastAsia"/>
                    </w:rPr>
                    <w:t>/</w:t>
                  </w:r>
                </w:p>
              </w:tc>
            </w:tr>
            <w:tr w14:paraId="7449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3E6D989">
                  <w:pPr>
                    <w:pStyle w:val="42"/>
                  </w:pPr>
                  <w:r>
                    <w:rPr>
                      <w:rFonts w:hint="eastAsia"/>
                    </w:rPr>
                    <w:t>18. 禁止任何单位和个人闲置、荒芜耕地。</w:t>
                  </w:r>
                </w:p>
              </w:tc>
              <w:tc>
                <w:tcPr>
                  <w:tcW w:w="3260" w:type="dxa"/>
                  <w:vAlign w:val="center"/>
                </w:tcPr>
                <w:p w14:paraId="0A343D5B">
                  <w:pPr>
                    <w:pStyle w:val="42"/>
                  </w:pPr>
                  <w:r>
                    <w:rPr>
                      <w:rFonts w:hint="eastAsia"/>
                    </w:rPr>
                    <w:t>项目不涉及</w:t>
                  </w:r>
                </w:p>
              </w:tc>
              <w:tc>
                <w:tcPr>
                  <w:tcW w:w="966" w:type="dxa"/>
                  <w:vAlign w:val="center"/>
                </w:tcPr>
                <w:p w14:paraId="112284B5">
                  <w:pPr>
                    <w:pStyle w:val="42"/>
                  </w:pPr>
                  <w:r>
                    <w:rPr>
                      <w:rFonts w:hint="eastAsia"/>
                    </w:rPr>
                    <w:t>/</w:t>
                  </w:r>
                </w:p>
              </w:tc>
            </w:tr>
            <w:tr w14:paraId="682F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F445EE5">
                  <w:pPr>
                    <w:pStyle w:val="42"/>
                  </w:pPr>
                  <w:r>
                    <w:rPr>
                      <w:rFonts w:hint="eastAsia"/>
                    </w:rPr>
                    <w:t>19. 禁止通过擅自调整县级国土空间规划、乡（镇）国土空间规划等方式规避永久基本农田农用地转用或者土地征收的审批。</w:t>
                  </w:r>
                </w:p>
              </w:tc>
              <w:tc>
                <w:tcPr>
                  <w:tcW w:w="3260" w:type="dxa"/>
                  <w:vAlign w:val="center"/>
                </w:tcPr>
                <w:p w14:paraId="0CF95F6C">
                  <w:pPr>
                    <w:pStyle w:val="42"/>
                  </w:pPr>
                  <w:r>
                    <w:rPr>
                      <w:rFonts w:hint="eastAsia"/>
                    </w:rPr>
                    <w:t>项目不涉及占用永久基本农田</w:t>
                  </w:r>
                </w:p>
              </w:tc>
              <w:tc>
                <w:tcPr>
                  <w:tcW w:w="966" w:type="dxa"/>
                  <w:vAlign w:val="center"/>
                </w:tcPr>
                <w:p w14:paraId="55CE58BF">
                  <w:pPr>
                    <w:pStyle w:val="42"/>
                  </w:pPr>
                  <w:r>
                    <w:rPr>
                      <w:rFonts w:hint="eastAsia"/>
                    </w:rPr>
                    <w:t>相符</w:t>
                  </w:r>
                </w:p>
              </w:tc>
            </w:tr>
            <w:tr w14:paraId="4ABA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012E37B1">
                  <w:pPr>
                    <w:pStyle w:val="42"/>
                  </w:pPr>
                  <w:r>
                    <w:rPr>
                      <w:rFonts w:hint="eastAsia"/>
                    </w:rPr>
                    <w:t>20. 禁止开发生态系统极端脆弱的</w:t>
                  </w:r>
                  <w:r>
                    <w:rPr>
                      <w:rFonts w:hint="eastAsia"/>
                      <w:lang w:eastAsia="zh-CN"/>
                    </w:rPr>
                    <w:t>或</w:t>
                  </w:r>
                  <w:r>
                    <w:rPr>
                      <w:rFonts w:hint="eastAsia"/>
                    </w:rPr>
                    <w:t>具有独特生态系统的</w:t>
                  </w:r>
                  <w:r>
                    <w:rPr>
                      <w:rFonts w:hint="eastAsia"/>
                      <w:lang w:eastAsia="zh-CN"/>
                    </w:rPr>
                    <w:t>或</w:t>
                  </w:r>
                  <w:r>
                    <w:rPr>
                      <w:rFonts w:hint="eastAsia"/>
                    </w:rPr>
                    <w:t>位于迁徙性野生动物迁徙路线且可能阻断野生动物迁徙的</w:t>
                  </w:r>
                  <w:r>
                    <w:rPr>
                      <w:rFonts w:hint="eastAsia"/>
                      <w:lang w:eastAsia="zh-CN"/>
                    </w:rPr>
                    <w:t>或</w:t>
                  </w:r>
                  <w:r>
                    <w:rPr>
                      <w:rFonts w:hint="eastAsia"/>
                    </w:rPr>
                    <w:t>可能影响周边海洋生态安全的无居民海岛。</w:t>
                  </w:r>
                </w:p>
              </w:tc>
              <w:tc>
                <w:tcPr>
                  <w:tcW w:w="3260" w:type="dxa"/>
                  <w:vAlign w:val="center"/>
                </w:tcPr>
                <w:p w14:paraId="651B3513">
                  <w:pPr>
                    <w:pStyle w:val="42"/>
                  </w:pPr>
                  <w:r>
                    <w:rPr>
                      <w:rFonts w:hint="eastAsia"/>
                    </w:rPr>
                    <w:t>项目占地不属于无居民海岛</w:t>
                  </w:r>
                </w:p>
              </w:tc>
              <w:tc>
                <w:tcPr>
                  <w:tcW w:w="966" w:type="dxa"/>
                  <w:vAlign w:val="center"/>
                </w:tcPr>
                <w:p w14:paraId="5FD00772">
                  <w:pPr>
                    <w:pStyle w:val="42"/>
                  </w:pPr>
                  <w:r>
                    <w:rPr>
                      <w:rFonts w:hint="eastAsia"/>
                    </w:rPr>
                    <w:t>/</w:t>
                  </w:r>
                </w:p>
              </w:tc>
            </w:tr>
            <w:tr w14:paraId="0833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73DEC882">
                  <w:pPr>
                    <w:pStyle w:val="42"/>
                  </w:pPr>
                  <w:r>
                    <w:rPr>
                      <w:rFonts w:hint="eastAsia"/>
                    </w:rPr>
                    <w:t>21. 禁止在饮用水水源保护区、风景名胜区、自然保护区的核心区和缓冲区、城镇居民区、文化教育科学研究区等人口集中区域及法律法规规定的其他禁止养殖区域建设畜禽养殖场、养殖小区。</w:t>
                  </w:r>
                </w:p>
              </w:tc>
              <w:tc>
                <w:tcPr>
                  <w:tcW w:w="3260" w:type="dxa"/>
                  <w:vAlign w:val="center"/>
                </w:tcPr>
                <w:p w14:paraId="44BF1CE9">
                  <w:pPr>
                    <w:pStyle w:val="42"/>
                  </w:pPr>
                  <w:r>
                    <w:rPr>
                      <w:rFonts w:hint="eastAsia"/>
                    </w:rPr>
                    <w:t>项目不涉及占用饮用水水源保护区、风景名胜区、自然保护区且不属于养殖业</w:t>
                  </w:r>
                </w:p>
              </w:tc>
              <w:tc>
                <w:tcPr>
                  <w:tcW w:w="966" w:type="dxa"/>
                  <w:vAlign w:val="center"/>
                </w:tcPr>
                <w:p w14:paraId="72C4EFE2">
                  <w:pPr>
                    <w:pStyle w:val="42"/>
                  </w:pPr>
                  <w:r>
                    <w:rPr>
                      <w:rFonts w:hint="eastAsia"/>
                    </w:rPr>
                    <w:t>相符</w:t>
                  </w:r>
                </w:p>
              </w:tc>
            </w:tr>
            <w:tr w14:paraId="71F8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E519B42">
                  <w:pPr>
                    <w:pStyle w:val="42"/>
                  </w:pPr>
                  <w:r>
                    <w:rPr>
                      <w:rFonts w:hint="eastAsia"/>
                    </w:rPr>
                    <w:t>22. 禁止向农用地排放重金属或者其他有毒有害物质含量超标的污水、污泥，以及可能造成土壤污染的清淤底泥、尾矿、矿渣等。</w:t>
                  </w:r>
                </w:p>
              </w:tc>
              <w:tc>
                <w:tcPr>
                  <w:tcW w:w="3260" w:type="dxa"/>
                  <w:vAlign w:val="center"/>
                </w:tcPr>
                <w:p w14:paraId="5BBE0C24">
                  <w:pPr>
                    <w:pStyle w:val="42"/>
                  </w:pPr>
                  <w:r>
                    <w:rPr>
                      <w:rFonts w:hint="eastAsia"/>
                    </w:rPr>
                    <w:t>项目生产废水依托天宜污水厂一期处理达标后近期近岸排放，远期依托园区深海排放管道排放；生活污水依托国投钦电生活污水处理系统处理后用于厂区绿化，不外排。</w:t>
                  </w:r>
                </w:p>
              </w:tc>
              <w:tc>
                <w:tcPr>
                  <w:tcW w:w="966" w:type="dxa"/>
                  <w:vAlign w:val="center"/>
                </w:tcPr>
                <w:p w14:paraId="24E4A0C3">
                  <w:pPr>
                    <w:pStyle w:val="42"/>
                  </w:pPr>
                  <w:r>
                    <w:rPr>
                      <w:rFonts w:hint="eastAsia"/>
                    </w:rPr>
                    <w:t>相符</w:t>
                  </w:r>
                </w:p>
              </w:tc>
            </w:tr>
            <w:tr w14:paraId="5AEC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597AF1DB">
                  <w:pPr>
                    <w:pStyle w:val="42"/>
                  </w:pPr>
                  <w:r>
                    <w:rPr>
                      <w:rFonts w:hint="eastAsia"/>
                    </w:rPr>
                    <w:t>23. 禁止在永久基本农田集中区域新建可能造成土壤污染的建设项目。</w:t>
                  </w:r>
                </w:p>
              </w:tc>
              <w:tc>
                <w:tcPr>
                  <w:tcW w:w="3260" w:type="dxa"/>
                  <w:vAlign w:val="center"/>
                </w:tcPr>
                <w:p w14:paraId="5C9D4A14">
                  <w:pPr>
                    <w:pStyle w:val="42"/>
                  </w:pPr>
                  <w:r>
                    <w:rPr>
                      <w:rFonts w:hint="eastAsia"/>
                    </w:rPr>
                    <w:t>项目不涉及占用永久基本农田</w:t>
                  </w:r>
                </w:p>
              </w:tc>
              <w:tc>
                <w:tcPr>
                  <w:tcW w:w="966" w:type="dxa"/>
                  <w:vAlign w:val="center"/>
                </w:tcPr>
                <w:p w14:paraId="192FD435">
                  <w:pPr>
                    <w:pStyle w:val="42"/>
                  </w:pPr>
                  <w:r>
                    <w:rPr>
                      <w:rFonts w:hint="eastAsia"/>
                    </w:rPr>
                    <w:t>相符</w:t>
                  </w:r>
                </w:p>
              </w:tc>
            </w:tr>
            <w:tr w14:paraId="011F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47BAF572">
                  <w:pPr>
                    <w:pStyle w:val="42"/>
                  </w:pPr>
                  <w:r>
                    <w:rPr>
                      <w:rFonts w:hint="eastAsia"/>
                    </w:rPr>
                    <w:t>24. 禁止向水体排放、倾倒工业废渣、城镇垃圾和其他废弃物。</w:t>
                  </w:r>
                </w:p>
              </w:tc>
              <w:tc>
                <w:tcPr>
                  <w:tcW w:w="3260" w:type="dxa"/>
                  <w:vAlign w:val="center"/>
                </w:tcPr>
                <w:p w14:paraId="6A66EF0D">
                  <w:pPr>
                    <w:pStyle w:val="42"/>
                  </w:pPr>
                  <w:r>
                    <w:rPr>
                      <w:rFonts w:hint="eastAsia"/>
                    </w:rPr>
                    <w:t>项目运营期新增危废委托有资质单位处置，新增生活垃圾收集后由当地环卫部门统一清运，不向水体倾倒。</w:t>
                  </w:r>
                </w:p>
              </w:tc>
              <w:tc>
                <w:tcPr>
                  <w:tcW w:w="966" w:type="dxa"/>
                  <w:vAlign w:val="center"/>
                </w:tcPr>
                <w:p w14:paraId="09EDC15C">
                  <w:pPr>
                    <w:pStyle w:val="42"/>
                  </w:pPr>
                  <w:r>
                    <w:rPr>
                      <w:rFonts w:hint="eastAsia"/>
                    </w:rPr>
                    <w:t>相符</w:t>
                  </w:r>
                </w:p>
              </w:tc>
            </w:tr>
            <w:tr w14:paraId="2147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2B0B1A0">
                  <w:pPr>
                    <w:pStyle w:val="42"/>
                  </w:pPr>
                  <w:r>
                    <w:rPr>
                      <w:rFonts w:hint="eastAsia"/>
                    </w:rPr>
                    <w:t>25. 禁止在江河、湖泊、运河、渠道、水库最高水位线以下的滩地和岸坡堆放、存贮固体废弃物和其他污染物。</w:t>
                  </w:r>
                </w:p>
              </w:tc>
              <w:tc>
                <w:tcPr>
                  <w:tcW w:w="3260" w:type="dxa"/>
                  <w:vAlign w:val="center"/>
                </w:tcPr>
                <w:p w14:paraId="3F9B24DD">
                  <w:pPr>
                    <w:pStyle w:val="42"/>
                  </w:pPr>
                  <w:r>
                    <w:rPr>
                      <w:rFonts w:hint="eastAsia"/>
                    </w:rPr>
                    <w:t>项目运营期新增危废委托有资质单位处置，新增生活垃圾收集后由当地环卫部门统一清运，均不在上述区域随意堆放贮存。</w:t>
                  </w:r>
                </w:p>
              </w:tc>
              <w:tc>
                <w:tcPr>
                  <w:tcW w:w="966" w:type="dxa"/>
                  <w:vAlign w:val="center"/>
                </w:tcPr>
                <w:p w14:paraId="3DE1FA2E">
                  <w:pPr>
                    <w:pStyle w:val="42"/>
                  </w:pPr>
                  <w:r>
                    <w:rPr>
                      <w:rFonts w:hint="eastAsia"/>
                    </w:rPr>
                    <w:t>相符</w:t>
                  </w:r>
                </w:p>
              </w:tc>
            </w:tr>
            <w:tr w14:paraId="474C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50423140">
                  <w:pPr>
                    <w:pStyle w:val="42"/>
                  </w:pPr>
                  <w:r>
                    <w:rPr>
                      <w:rFonts w:hint="eastAsia"/>
                    </w:rPr>
                    <w:t>26. 禁止使用列入淘汰名录的高污染工艺设备。</w:t>
                  </w:r>
                </w:p>
              </w:tc>
              <w:tc>
                <w:tcPr>
                  <w:tcW w:w="3260" w:type="dxa"/>
                  <w:vAlign w:val="center"/>
                </w:tcPr>
                <w:p w14:paraId="16683AB8">
                  <w:pPr>
                    <w:pStyle w:val="42"/>
                  </w:pPr>
                  <w:r>
                    <w:rPr>
                      <w:rFonts w:hint="eastAsia"/>
                    </w:rPr>
                    <w:t>项目不涉及</w:t>
                  </w:r>
                </w:p>
              </w:tc>
              <w:tc>
                <w:tcPr>
                  <w:tcW w:w="966" w:type="dxa"/>
                  <w:vAlign w:val="center"/>
                </w:tcPr>
                <w:p w14:paraId="37A16FD9">
                  <w:pPr>
                    <w:pStyle w:val="42"/>
                  </w:pPr>
                  <w:r>
                    <w:rPr>
                      <w:rFonts w:hint="eastAsia"/>
                    </w:rPr>
                    <w:t>/</w:t>
                  </w:r>
                </w:p>
              </w:tc>
            </w:tr>
            <w:tr w14:paraId="01C1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634350EC">
                  <w:pPr>
                    <w:pStyle w:val="42"/>
                  </w:pPr>
                  <w:r>
                    <w:rPr>
                      <w:rFonts w:hint="eastAsia"/>
                    </w:rPr>
                    <w:t>27. 禁止将有毒、有害废物用作肥料或者用于造田。</w:t>
                  </w:r>
                </w:p>
              </w:tc>
              <w:tc>
                <w:tcPr>
                  <w:tcW w:w="3260" w:type="dxa"/>
                  <w:vAlign w:val="center"/>
                </w:tcPr>
                <w:p w14:paraId="288464DF">
                  <w:pPr>
                    <w:pStyle w:val="42"/>
                  </w:pPr>
                  <w:r>
                    <w:rPr>
                      <w:rFonts w:hint="eastAsia"/>
                    </w:rPr>
                    <w:t>项目不涉及</w:t>
                  </w:r>
                </w:p>
              </w:tc>
              <w:tc>
                <w:tcPr>
                  <w:tcW w:w="966" w:type="dxa"/>
                  <w:vAlign w:val="center"/>
                </w:tcPr>
                <w:p w14:paraId="7A1E9181">
                  <w:pPr>
                    <w:pStyle w:val="42"/>
                  </w:pPr>
                  <w:r>
                    <w:rPr>
                      <w:rFonts w:hint="eastAsia"/>
                    </w:rPr>
                    <w:t>/</w:t>
                  </w:r>
                </w:p>
              </w:tc>
            </w:tr>
            <w:tr w14:paraId="6E68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6464F8C0">
                  <w:pPr>
                    <w:pStyle w:val="42"/>
                  </w:pPr>
                  <w:r>
                    <w:rPr>
                      <w:rFonts w:hint="eastAsia"/>
                    </w:rPr>
                    <w:t>28. 禁止从事危及公众健康、损害生物资源、破坏生态系统和生物多样性等危害生物安全的生物技术研究、开发与应用活动。</w:t>
                  </w:r>
                </w:p>
              </w:tc>
              <w:tc>
                <w:tcPr>
                  <w:tcW w:w="3260" w:type="dxa"/>
                  <w:vAlign w:val="center"/>
                </w:tcPr>
                <w:p w14:paraId="10A7D3FE">
                  <w:pPr>
                    <w:pStyle w:val="42"/>
                  </w:pPr>
                  <w:r>
                    <w:rPr>
                      <w:rFonts w:hint="eastAsia"/>
                    </w:rPr>
                    <w:t>项目不涉及</w:t>
                  </w:r>
                </w:p>
              </w:tc>
              <w:tc>
                <w:tcPr>
                  <w:tcW w:w="966" w:type="dxa"/>
                  <w:vAlign w:val="center"/>
                </w:tcPr>
                <w:p w14:paraId="117C7385">
                  <w:pPr>
                    <w:pStyle w:val="42"/>
                  </w:pPr>
                  <w:r>
                    <w:rPr>
                      <w:rFonts w:hint="eastAsia"/>
                    </w:rPr>
                    <w:t>/</w:t>
                  </w:r>
                </w:p>
              </w:tc>
            </w:tr>
            <w:tr w14:paraId="2DB9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vAlign w:val="center"/>
                </w:tcPr>
                <w:p w14:paraId="36C282D5">
                  <w:pPr>
                    <w:pStyle w:val="42"/>
                  </w:pPr>
                  <w:r>
                    <w:rPr>
                      <w:rFonts w:hint="eastAsia"/>
                    </w:rPr>
                    <w:t>29. 任何单位和个人未经批准，不得擅自引进、释放或者丢弃外来物种。</w:t>
                  </w:r>
                </w:p>
              </w:tc>
              <w:tc>
                <w:tcPr>
                  <w:tcW w:w="3260" w:type="dxa"/>
                  <w:vAlign w:val="center"/>
                </w:tcPr>
                <w:p w14:paraId="5F21F939">
                  <w:pPr>
                    <w:pStyle w:val="42"/>
                  </w:pPr>
                  <w:r>
                    <w:rPr>
                      <w:rFonts w:hint="eastAsia"/>
                    </w:rPr>
                    <w:t>项目不涉及</w:t>
                  </w:r>
                </w:p>
              </w:tc>
              <w:tc>
                <w:tcPr>
                  <w:tcW w:w="966" w:type="dxa"/>
                  <w:vAlign w:val="center"/>
                </w:tcPr>
                <w:p w14:paraId="3562E35D">
                  <w:pPr>
                    <w:pStyle w:val="42"/>
                  </w:pPr>
                  <w:r>
                    <w:rPr>
                      <w:rFonts w:hint="eastAsia"/>
                    </w:rPr>
                    <w:t>/</w:t>
                  </w:r>
                </w:p>
              </w:tc>
            </w:tr>
          </w:tbl>
          <w:p w14:paraId="3489E779">
            <w:pPr>
              <w:pStyle w:val="41"/>
              <w:ind w:firstLine="480"/>
            </w:pPr>
          </w:p>
          <w:p w14:paraId="2981E5E6">
            <w:pPr>
              <w:pStyle w:val="41"/>
              <w:ind w:firstLine="480"/>
            </w:pPr>
          </w:p>
        </w:tc>
      </w:tr>
    </w:tbl>
    <w:p w14:paraId="07DC2406">
      <w:pPr>
        <w:spacing w:line="360" w:lineRule="auto"/>
        <w:outlineLvl w:val="0"/>
        <w:rPr>
          <w:rFonts w:eastAsia="黑体"/>
          <w:sz w:val="30"/>
        </w:rPr>
        <w:sectPr>
          <w:headerReference r:id="rId14" w:type="default"/>
          <w:footerReference r:id="rId16" w:type="default"/>
          <w:headerReference r:id="rId15" w:type="even"/>
          <w:footerReference r:id="rId17" w:type="even"/>
          <w:pgSz w:w="11906" w:h="16838"/>
          <w:pgMar w:top="1418" w:right="1418" w:bottom="1418" w:left="1418" w:header="851" w:footer="1077" w:gutter="0"/>
          <w:pgNumType w:start="1"/>
          <w:cols w:space="720" w:num="1"/>
          <w:docGrid w:linePitch="312" w:charSpace="0"/>
        </w:sectPr>
      </w:pPr>
    </w:p>
    <w:p w14:paraId="039CEFF7">
      <w:pPr>
        <w:pStyle w:val="15"/>
        <w:numPr>
          <w:ilvl w:val="0"/>
          <w:numId w:val="2"/>
        </w:numPr>
        <w:jc w:val="center"/>
        <w:outlineLvl w:val="0"/>
        <w:rPr>
          <w:rFonts w:hint="eastAsia" w:ascii="黑体" w:hAnsi="黑体" w:eastAsia="黑体"/>
          <w:snapToGrid w:val="0"/>
          <w:sz w:val="30"/>
          <w:szCs w:val="30"/>
        </w:rPr>
      </w:pPr>
      <w:bookmarkStart w:id="17" w:name="_Toc132899318"/>
      <w:bookmarkStart w:id="18" w:name="_Ref141873187"/>
      <w:bookmarkStart w:id="19" w:name="_Toc182815852"/>
      <w:bookmarkStart w:id="20" w:name="_Toc132899296"/>
      <w:bookmarkStart w:id="21" w:name="_Toc182380106"/>
      <w:r>
        <w:rPr>
          <w:rFonts w:hint="eastAsia" w:ascii="黑体" w:hAnsi="黑体" w:eastAsia="黑体"/>
          <w:snapToGrid w:val="0"/>
          <w:sz w:val="30"/>
          <w:szCs w:val="30"/>
        </w:rPr>
        <w:t>建设内容</w:t>
      </w:r>
      <w:bookmarkEnd w:id="17"/>
      <w:bookmarkEnd w:id="18"/>
      <w:bookmarkEnd w:id="19"/>
      <w:bookmarkEnd w:id="20"/>
      <w:bookmarkEnd w:id="21"/>
    </w:p>
    <w:tbl>
      <w:tblPr>
        <w:tblStyle w:val="17"/>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14:paraId="0866A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vAlign w:val="center"/>
          </w:tcPr>
          <w:p w14:paraId="36AE8B8E">
            <w:pPr>
              <w:adjustRightInd w:val="0"/>
              <w:snapToGrid w:val="0"/>
              <w:jc w:val="center"/>
              <w:rPr>
                <w:rFonts w:hint="eastAsia" w:ascii="宋体" w:hAnsi="宋体" w:cs="宋体"/>
                <w:kern w:val="0"/>
                <w:sz w:val="24"/>
              </w:rPr>
            </w:pPr>
            <w:r>
              <w:rPr>
                <w:rFonts w:hint="eastAsia" w:ascii="宋体" w:hAnsi="宋体" w:cs="宋体"/>
                <w:kern w:val="0"/>
                <w:sz w:val="24"/>
              </w:rPr>
              <w:t>地理位置</w:t>
            </w:r>
          </w:p>
        </w:tc>
        <w:tc>
          <w:tcPr>
            <w:tcW w:w="8380" w:type="dxa"/>
            <w:vAlign w:val="center"/>
          </w:tcPr>
          <w:p w14:paraId="612CA299">
            <w:pPr>
              <w:pStyle w:val="41"/>
              <w:ind w:firstLine="480"/>
            </w:pPr>
            <w:r>
              <w:rPr>
                <w:rFonts w:hint="eastAsia"/>
              </w:rPr>
              <w:t>林德气体（广西）有限公司钦州园区三期氮气供应项目位于广西壮族自治区钦州市钦州港，</w:t>
            </w:r>
            <w:bookmarkStart w:id="22" w:name="_Hlk141542740"/>
            <w:r>
              <w:rPr>
                <w:rFonts w:hint="eastAsia"/>
              </w:rPr>
              <w:t>项目厂区中心坐标为（108°37′16.345″E，21°42′10.844″N），项目新建管道起点坐标为（108°36′44.583″E，21°43′39.621″N），管道终点坐标为（108°36′54.308″E，21°46′21.724″N）。</w:t>
            </w:r>
            <w:bookmarkEnd w:id="22"/>
            <w:r>
              <w:rPr>
                <w:rFonts w:hint="eastAsia"/>
              </w:rPr>
              <w:t>项目位置详见项目地理位置图（附图1）。</w:t>
            </w:r>
          </w:p>
        </w:tc>
      </w:tr>
      <w:tr w14:paraId="19078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vAlign w:val="center"/>
          </w:tcPr>
          <w:p w14:paraId="649BFA48">
            <w:pPr>
              <w:adjustRightInd w:val="0"/>
              <w:snapToGrid w:val="0"/>
              <w:jc w:val="center"/>
              <w:rPr>
                <w:rFonts w:hint="eastAsia" w:ascii="宋体" w:hAnsi="宋体" w:cs="宋体"/>
                <w:kern w:val="0"/>
                <w:sz w:val="24"/>
              </w:rPr>
            </w:pPr>
            <w:r>
              <w:rPr>
                <w:rFonts w:hint="eastAsia" w:ascii="宋体" w:hAnsi="宋体" w:cs="宋体"/>
                <w:kern w:val="0"/>
                <w:sz w:val="24"/>
              </w:rPr>
              <w:t>项目组成及规模</w:t>
            </w:r>
          </w:p>
        </w:tc>
        <w:tc>
          <w:tcPr>
            <w:tcW w:w="8380" w:type="dxa"/>
          </w:tcPr>
          <w:p w14:paraId="4EDD9B9C">
            <w:pPr>
              <w:pStyle w:val="41"/>
              <w:ind w:firstLine="482"/>
              <w:jc w:val="both"/>
              <w:rPr>
                <w:b/>
                <w:bCs/>
              </w:rPr>
            </w:pPr>
            <w:r>
              <w:rPr>
                <w:rFonts w:hint="eastAsia"/>
                <w:b/>
                <w:bCs/>
              </w:rPr>
              <w:t>项目由来</w:t>
            </w:r>
          </w:p>
          <w:p w14:paraId="04281A35">
            <w:pPr>
              <w:pStyle w:val="41"/>
              <w:ind w:firstLine="480"/>
            </w:pPr>
            <w:r>
              <w:rPr>
                <w:rFonts w:hint="eastAsia"/>
              </w:rPr>
              <w:t>林德气体（广西）有限公司成立于2018年10月16日，位于广西壮族自治区钦州市钦州港经济技术开发区果鹰大道1号，由“上海华谊集团投资有限公司”与“普莱克斯（中国）投资有限公司”按40%：60%共同投资成立的合资经营公司。</w:t>
            </w:r>
          </w:p>
          <w:p w14:paraId="1182075F">
            <w:pPr>
              <w:pStyle w:val="41"/>
              <w:ind w:firstLine="480"/>
            </w:pPr>
            <w:r>
              <w:rPr>
                <w:rFonts w:hint="eastAsia"/>
              </w:rPr>
              <w:t>公司经营范围包括危险化学品生产：食品添加剂生产；药品生产；道路危险货物运输；移动式压力容器/气瓶充装。一般项目：基础化学原料制造；货物进出口；技术进出口；特种设备出租；特种设备销售；机械设备租赁；机械设备销售；技术服务、技术开发、技术咨询、技术交流、技术转让、技术推广。</w:t>
            </w:r>
          </w:p>
          <w:p w14:paraId="4461901E">
            <w:pPr>
              <w:pStyle w:val="41"/>
              <w:ind w:firstLine="480"/>
            </w:pPr>
            <w:r>
              <w:rPr>
                <w:rFonts w:hint="eastAsia"/>
              </w:rPr>
              <w:t>林德气体（广西）有限公司曾用企业名为普莱克斯（广西）气体有限公司（附件7）。普莱克斯（广西）气体有限公司在钦州石化产业园内先后建设了广西华谊能源化工配套空分项目，普莱克斯（广西）气体有限公司钦州基地二期氮气供应项目，普莱克斯（广西）气体有限公司年产6426吨贫氪氙液氧项目。普莱克斯（广西）气体有限公司将企业名称变更为林德气体（广西）有限公司后，在钦州石化产业园内建设了氮气管道工程—林德气体（广西）有限公司至广西新天德能源有限公司。</w:t>
            </w:r>
          </w:p>
          <w:p w14:paraId="6DE2A91C">
            <w:pPr>
              <w:pStyle w:val="41"/>
              <w:ind w:firstLine="480"/>
            </w:pPr>
            <w:r>
              <w:rPr>
                <w:rFonts w:hint="eastAsia"/>
              </w:rPr>
              <w:t>广西华谊能源化工配套空分项目（简称空分项目）占地面积71675.77m</w:t>
            </w:r>
            <w:r>
              <w:rPr>
                <w:rFonts w:hint="eastAsia"/>
                <w:vertAlign w:val="superscript"/>
              </w:rPr>
              <w:t>2</w:t>
            </w:r>
            <w:r>
              <w:rPr>
                <w:rFonts w:hint="eastAsia"/>
              </w:rPr>
              <w:t>，设有三套78000Nm</w:t>
            </w:r>
            <w:r>
              <w:rPr>
                <w:rFonts w:hint="eastAsia"/>
                <w:vertAlign w:val="superscript"/>
              </w:rPr>
              <w:t>3</w:t>
            </w:r>
            <w:r>
              <w:rPr>
                <w:rFonts w:hint="eastAsia"/>
              </w:rPr>
              <w:t>/h空分装置及相应的后备系统、辅助装置及公用工程。该项目于2018年</w:t>
            </w:r>
            <w:r>
              <w:rPr>
                <w:rFonts w:hint="eastAsia"/>
                <w:lang w:eastAsia="zh-CN"/>
              </w:rPr>
              <w:t>11月5日</w:t>
            </w:r>
            <w:r>
              <w:rPr>
                <w:rFonts w:hint="eastAsia"/>
              </w:rPr>
              <w:t>号获得钦州港经济技术开发区行政审批局的备案（项目代码为：2018-450700-26-03-036347），2019年4月17日获得钦州市生态环境局《关于广西华谊能源化工配套空分项目环境影响报告表的批复》（钦港环管字〔2019〕6号）。该项目生产的高压氧气、高压氮气和仪表空气等产品通过原有管道供应给广西华谊能源化工有限公司。</w:t>
            </w:r>
          </w:p>
          <w:p w14:paraId="2B7E8BB0">
            <w:pPr>
              <w:pStyle w:val="41"/>
              <w:ind w:firstLine="480"/>
            </w:pPr>
            <w:r>
              <w:rPr>
                <w:rFonts w:hint="eastAsia"/>
              </w:rPr>
              <w:t>普莱克斯（广西）气体有限公司钦州基地二期氮气供应项目于2021年7月12日获得广西自贸区钦州港片区行政审批局的备案（项目代码为：2107-450704-04-05-679995），该项目拟建设2台10000Nm</w:t>
            </w:r>
            <w:r>
              <w:rPr>
                <w:rFonts w:hint="eastAsia"/>
                <w:vertAlign w:val="superscript"/>
              </w:rPr>
              <w:t>3</w:t>
            </w:r>
            <w:r>
              <w:rPr>
                <w:rFonts w:hint="eastAsia"/>
              </w:rPr>
              <w:t>/h的中压氮气压缩机（一用一备），及后备装置、配套设施、公用工程，以及厂区外约5公里的DN500的氮气管线，向广西华谊新材料有限公司、广西华谊氯碱化工有限公司供应氮气。该项目于2021年12月14日获得《钦州市生态环境局关于普莱克斯（广西）气体有限公司钦州基地二期氮气供应项目环境影响报告表的批复》（自贸钦港审批环〔2021〕16号）。</w:t>
            </w:r>
          </w:p>
          <w:p w14:paraId="30C1A3CC">
            <w:pPr>
              <w:pStyle w:val="41"/>
              <w:ind w:firstLine="480"/>
            </w:pPr>
            <w:r>
              <w:rPr>
                <w:rFonts w:hint="eastAsia"/>
              </w:rPr>
              <w:t>普莱克斯（广西）气体有限公司年产6426吨贫氪氙液氧项目于2022年3月在钦州港经济技术开发区行政审批局备案，项目编号为2203-450704-04-01-379849。该项目拟建三套贫氪氙液氧提取装置，生产贫氪氙液氧产品，并新建 3个贫氪氙液氧储罐储存。该项目于2022年9月5日获得《钦州市生态环境局关于普莱克斯（广西）气体有限公司年产6426吨贫氧氩液氧项目环境影响报告表的批复》（自贸钦审批环〔2022〕34号）。</w:t>
            </w:r>
          </w:p>
          <w:p w14:paraId="0FB5A02E">
            <w:pPr>
              <w:pStyle w:val="41"/>
              <w:ind w:firstLine="480"/>
            </w:pPr>
            <w:r>
              <w:rPr>
                <w:rFonts w:hint="eastAsia"/>
              </w:rPr>
              <w:t>氮气管道工程—林德气体（广西）有限公司至广西新天德能源有限公司，该项目于2023年6月在广西自贸区钦州港片区行政审批局备案，项目代码为</w:t>
            </w:r>
            <w:r>
              <w:t>2306-450704-04-01-986188</w:t>
            </w:r>
            <w:r>
              <w:rPr>
                <w:rFonts w:hint="eastAsia"/>
              </w:rPr>
              <w:t>，新建一条从林德气体（广西）有限公司到广西新天德能源有限公司的氮气管道，总长</w:t>
            </w:r>
            <w:r>
              <w:rPr>
                <w:rFonts w:hint="eastAsia"/>
                <w:lang w:eastAsia="zh-CN"/>
              </w:rPr>
              <w:t>约</w:t>
            </w:r>
            <w:r>
              <w:rPr>
                <w:rFonts w:hint="eastAsia"/>
              </w:rPr>
              <w:t>1.6km，氮气管道管径DN500/DN250，以满足新天德用气需求。该项目于2023年9月19日获得《钦州市生态环境局关于氮气管道工程-林德气体（广西）有限公司至广西新天德能源有限公司环境影响报告表的批复》（自贸钦审批环〔2023〕43号）。</w:t>
            </w:r>
          </w:p>
          <w:p w14:paraId="266966C6">
            <w:pPr>
              <w:pStyle w:val="41"/>
              <w:ind w:firstLine="480"/>
              <w:rPr>
                <w:u w:val="single"/>
              </w:rPr>
            </w:pPr>
            <w:r>
              <w:rPr>
                <w:rFonts w:hint="eastAsia"/>
                <w:u w:val="single"/>
              </w:rPr>
              <w:t>项目建设单位现有工程建设情况及环保手续履行情况如下表所示。</w:t>
            </w:r>
          </w:p>
          <w:p w14:paraId="7BEF7B04">
            <w:pPr>
              <w:pStyle w:val="41"/>
              <w:numPr>
                <w:ilvl w:val="0"/>
                <w:numId w:val="5"/>
              </w:numPr>
              <w:spacing w:line="240" w:lineRule="auto"/>
              <w:ind w:left="0" w:firstLine="0" w:firstLineChars="0"/>
              <w:jc w:val="center"/>
              <w:rPr>
                <w:b/>
                <w:bCs/>
                <w:sz w:val="21"/>
                <w:szCs w:val="21"/>
                <w:u w:val="single"/>
              </w:rPr>
            </w:pPr>
            <w:r>
              <w:rPr>
                <w:rFonts w:hint="eastAsia"/>
                <w:b/>
                <w:bCs/>
                <w:sz w:val="21"/>
                <w:szCs w:val="21"/>
                <w:u w:val="single"/>
              </w:rPr>
              <w:t>林德气体（广西）有限公司现有工程环评及环保验收手续基本情况表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559"/>
              <w:gridCol w:w="2061"/>
              <w:gridCol w:w="1766"/>
              <w:gridCol w:w="1134"/>
              <w:gridCol w:w="1114"/>
            </w:tblGrid>
            <w:tr w14:paraId="45D3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4C269709">
                  <w:pPr>
                    <w:pStyle w:val="42"/>
                    <w:rPr>
                      <w:b/>
                      <w:bCs/>
                      <w:u w:val="single"/>
                    </w:rPr>
                  </w:pPr>
                  <w:r>
                    <w:rPr>
                      <w:rFonts w:hint="eastAsia"/>
                      <w:b/>
                      <w:bCs/>
                      <w:u w:val="single"/>
                    </w:rPr>
                    <w:t>序号</w:t>
                  </w:r>
                </w:p>
              </w:tc>
              <w:tc>
                <w:tcPr>
                  <w:tcW w:w="1559" w:type="dxa"/>
                  <w:vAlign w:val="center"/>
                </w:tcPr>
                <w:p w14:paraId="7F7D19DE">
                  <w:pPr>
                    <w:pStyle w:val="42"/>
                    <w:rPr>
                      <w:b/>
                      <w:bCs/>
                      <w:u w:val="single"/>
                    </w:rPr>
                  </w:pPr>
                  <w:r>
                    <w:rPr>
                      <w:rFonts w:hint="eastAsia"/>
                      <w:b/>
                      <w:bCs/>
                      <w:u w:val="single"/>
                    </w:rPr>
                    <w:t>名称</w:t>
                  </w:r>
                </w:p>
              </w:tc>
              <w:tc>
                <w:tcPr>
                  <w:tcW w:w="2061" w:type="dxa"/>
                  <w:vAlign w:val="center"/>
                </w:tcPr>
                <w:p w14:paraId="7D566589">
                  <w:pPr>
                    <w:pStyle w:val="42"/>
                    <w:rPr>
                      <w:b/>
                      <w:bCs/>
                      <w:u w:val="single"/>
                    </w:rPr>
                  </w:pPr>
                  <w:r>
                    <w:rPr>
                      <w:rFonts w:hint="eastAsia"/>
                      <w:b/>
                      <w:bCs/>
                      <w:u w:val="single"/>
                    </w:rPr>
                    <w:t>主要建设内容</w:t>
                  </w:r>
                </w:p>
              </w:tc>
              <w:tc>
                <w:tcPr>
                  <w:tcW w:w="1766" w:type="dxa"/>
                  <w:vAlign w:val="center"/>
                </w:tcPr>
                <w:p w14:paraId="76823DC4">
                  <w:pPr>
                    <w:pStyle w:val="42"/>
                    <w:rPr>
                      <w:b/>
                      <w:bCs/>
                      <w:u w:val="single"/>
                    </w:rPr>
                  </w:pPr>
                  <w:r>
                    <w:rPr>
                      <w:rFonts w:hint="eastAsia"/>
                      <w:b/>
                      <w:bCs/>
                      <w:u w:val="single"/>
                    </w:rPr>
                    <w:t>环评手续</w:t>
                  </w:r>
                </w:p>
              </w:tc>
              <w:tc>
                <w:tcPr>
                  <w:tcW w:w="1134" w:type="dxa"/>
                  <w:vAlign w:val="center"/>
                </w:tcPr>
                <w:p w14:paraId="7D8871EC">
                  <w:pPr>
                    <w:pStyle w:val="42"/>
                    <w:rPr>
                      <w:b/>
                      <w:bCs/>
                      <w:u w:val="single"/>
                    </w:rPr>
                  </w:pPr>
                  <w:r>
                    <w:rPr>
                      <w:rFonts w:hint="eastAsia"/>
                      <w:b/>
                      <w:bCs/>
                      <w:u w:val="single"/>
                    </w:rPr>
                    <w:t>建设情况</w:t>
                  </w:r>
                </w:p>
              </w:tc>
              <w:tc>
                <w:tcPr>
                  <w:tcW w:w="1114" w:type="dxa"/>
                  <w:vAlign w:val="center"/>
                </w:tcPr>
                <w:p w14:paraId="76877653">
                  <w:pPr>
                    <w:pStyle w:val="42"/>
                    <w:rPr>
                      <w:b/>
                      <w:bCs/>
                      <w:u w:val="single"/>
                    </w:rPr>
                  </w:pPr>
                  <w:r>
                    <w:rPr>
                      <w:rFonts w:hint="eastAsia"/>
                      <w:b/>
                      <w:bCs/>
                      <w:u w:val="single"/>
                    </w:rPr>
                    <w:t>验收情况</w:t>
                  </w:r>
                </w:p>
              </w:tc>
            </w:tr>
            <w:tr w14:paraId="362C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52FC72A3">
                  <w:pPr>
                    <w:pStyle w:val="42"/>
                    <w:rPr>
                      <w:u w:val="single"/>
                    </w:rPr>
                  </w:pPr>
                  <w:r>
                    <w:rPr>
                      <w:rFonts w:hint="eastAsia"/>
                      <w:u w:val="single"/>
                    </w:rPr>
                    <w:t>1</w:t>
                  </w:r>
                </w:p>
              </w:tc>
              <w:tc>
                <w:tcPr>
                  <w:tcW w:w="1559" w:type="dxa"/>
                  <w:vAlign w:val="center"/>
                </w:tcPr>
                <w:p w14:paraId="39C6BADF">
                  <w:pPr>
                    <w:pStyle w:val="42"/>
                    <w:rPr>
                      <w:u w:val="single"/>
                    </w:rPr>
                  </w:pPr>
                  <w:r>
                    <w:rPr>
                      <w:rFonts w:hint="eastAsia"/>
                      <w:u w:val="single"/>
                    </w:rPr>
                    <w:t>广西华谊能源化工配套空分项目</w:t>
                  </w:r>
                </w:p>
              </w:tc>
              <w:tc>
                <w:tcPr>
                  <w:tcW w:w="2061" w:type="dxa"/>
                  <w:vAlign w:val="center"/>
                </w:tcPr>
                <w:p w14:paraId="17FBC6D2">
                  <w:pPr>
                    <w:pStyle w:val="42"/>
                    <w:rPr>
                      <w:u w:val="single"/>
                    </w:rPr>
                  </w:pPr>
                  <w:r>
                    <w:rPr>
                      <w:rFonts w:hint="eastAsia"/>
                      <w:u w:val="single"/>
                    </w:rPr>
                    <w:t>新建三套78000Nm</w:t>
                  </w:r>
                  <w:r>
                    <w:rPr>
                      <w:rFonts w:hint="eastAsia"/>
                      <w:u w:val="single"/>
                      <w:vertAlign w:val="superscript"/>
                    </w:rPr>
                    <w:t>3</w:t>
                  </w:r>
                  <w:r>
                    <w:rPr>
                      <w:rFonts w:hint="eastAsia"/>
                      <w:u w:val="single"/>
                    </w:rPr>
                    <w:t>/h 空分装置及相应的后备系统、辅助装置及公用工程</w:t>
                  </w:r>
                </w:p>
              </w:tc>
              <w:tc>
                <w:tcPr>
                  <w:tcW w:w="1766" w:type="dxa"/>
                  <w:vAlign w:val="center"/>
                </w:tcPr>
                <w:p w14:paraId="3107168B">
                  <w:pPr>
                    <w:pStyle w:val="42"/>
                    <w:rPr>
                      <w:u w:val="single"/>
                    </w:rPr>
                  </w:pPr>
                  <w:r>
                    <w:rPr>
                      <w:rFonts w:hint="eastAsia"/>
                      <w:u w:val="single"/>
                    </w:rPr>
                    <w:t>2019.4.17 取得环评批复，批文号：钦港环管字〔2019〕6 号</w:t>
                  </w:r>
                </w:p>
              </w:tc>
              <w:tc>
                <w:tcPr>
                  <w:tcW w:w="1134" w:type="dxa"/>
                  <w:vAlign w:val="center"/>
                </w:tcPr>
                <w:p w14:paraId="77F8AB6F">
                  <w:pPr>
                    <w:pStyle w:val="42"/>
                    <w:rPr>
                      <w:u w:val="single"/>
                    </w:rPr>
                  </w:pPr>
                  <w:r>
                    <w:rPr>
                      <w:rFonts w:hint="eastAsia"/>
                      <w:u w:val="single"/>
                    </w:rPr>
                    <w:t>已建成</w:t>
                  </w:r>
                </w:p>
              </w:tc>
              <w:tc>
                <w:tcPr>
                  <w:tcW w:w="1114" w:type="dxa"/>
                  <w:vAlign w:val="center"/>
                </w:tcPr>
                <w:p w14:paraId="19D5B278">
                  <w:pPr>
                    <w:pStyle w:val="42"/>
                    <w:rPr>
                      <w:u w:val="single"/>
                    </w:rPr>
                  </w:pPr>
                  <w:r>
                    <w:rPr>
                      <w:rFonts w:hint="eastAsia"/>
                      <w:u w:val="single"/>
                    </w:rPr>
                    <w:t>已验收</w:t>
                  </w:r>
                </w:p>
              </w:tc>
            </w:tr>
            <w:tr w14:paraId="1EE1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5FFFC696">
                  <w:pPr>
                    <w:pStyle w:val="42"/>
                    <w:rPr>
                      <w:u w:val="single"/>
                    </w:rPr>
                  </w:pPr>
                  <w:r>
                    <w:rPr>
                      <w:rFonts w:hint="eastAsia"/>
                      <w:u w:val="single"/>
                    </w:rPr>
                    <w:t>2</w:t>
                  </w:r>
                </w:p>
              </w:tc>
              <w:tc>
                <w:tcPr>
                  <w:tcW w:w="1559" w:type="dxa"/>
                  <w:vAlign w:val="center"/>
                </w:tcPr>
                <w:p w14:paraId="72725642">
                  <w:pPr>
                    <w:pStyle w:val="42"/>
                    <w:rPr>
                      <w:u w:val="single"/>
                    </w:rPr>
                  </w:pPr>
                  <w:r>
                    <w:rPr>
                      <w:rFonts w:hint="eastAsia"/>
                      <w:u w:val="single"/>
                    </w:rPr>
                    <w:t>普莱克斯（广西）气体有限公司钦州基地二期氮气供应项目</w:t>
                  </w:r>
                </w:p>
              </w:tc>
              <w:tc>
                <w:tcPr>
                  <w:tcW w:w="2061" w:type="dxa"/>
                  <w:vAlign w:val="center"/>
                </w:tcPr>
                <w:p w14:paraId="27642627">
                  <w:pPr>
                    <w:pStyle w:val="42"/>
                    <w:rPr>
                      <w:u w:val="single"/>
                    </w:rPr>
                  </w:pPr>
                  <w:r>
                    <w:rPr>
                      <w:rFonts w:hint="eastAsia"/>
                      <w:u w:val="single"/>
                    </w:rPr>
                    <w:t>新建两台10000Nm</w:t>
                  </w:r>
                  <w:r>
                    <w:rPr>
                      <w:rFonts w:hint="eastAsia"/>
                      <w:u w:val="single"/>
                      <w:vertAlign w:val="superscript"/>
                    </w:rPr>
                    <w:t>3</w:t>
                  </w:r>
                  <w:r>
                    <w:rPr>
                      <w:rFonts w:hint="eastAsia"/>
                      <w:u w:val="single"/>
                    </w:rPr>
                    <w:t>/h氮气压缩机（一用一备）、液体后备系统、冷却水塔和公用工程，以及厂区外5公里的DN500的氮气管线</w:t>
                  </w:r>
                </w:p>
              </w:tc>
              <w:tc>
                <w:tcPr>
                  <w:tcW w:w="1766" w:type="dxa"/>
                  <w:vAlign w:val="center"/>
                </w:tcPr>
                <w:p w14:paraId="48186987">
                  <w:pPr>
                    <w:pStyle w:val="42"/>
                    <w:rPr>
                      <w:u w:val="single"/>
                    </w:rPr>
                  </w:pPr>
                  <w:r>
                    <w:rPr>
                      <w:rFonts w:hint="eastAsia"/>
                      <w:u w:val="single"/>
                    </w:rPr>
                    <w:t>2021.12.14 取得环评批复，批文号：自贸钦港审批环〔2021〕16 号</w:t>
                  </w:r>
                </w:p>
              </w:tc>
              <w:tc>
                <w:tcPr>
                  <w:tcW w:w="1134" w:type="dxa"/>
                  <w:vAlign w:val="center"/>
                </w:tcPr>
                <w:p w14:paraId="6B954532">
                  <w:pPr>
                    <w:pStyle w:val="42"/>
                    <w:rPr>
                      <w:u w:val="single"/>
                    </w:rPr>
                  </w:pPr>
                  <w:r>
                    <w:rPr>
                      <w:rFonts w:hint="eastAsia"/>
                      <w:u w:val="single"/>
                    </w:rPr>
                    <w:t>已建成</w:t>
                  </w:r>
                </w:p>
              </w:tc>
              <w:tc>
                <w:tcPr>
                  <w:tcW w:w="1114" w:type="dxa"/>
                  <w:vAlign w:val="center"/>
                </w:tcPr>
                <w:p w14:paraId="588C713E">
                  <w:pPr>
                    <w:pStyle w:val="42"/>
                    <w:rPr>
                      <w:u w:val="single"/>
                    </w:rPr>
                  </w:pPr>
                  <w:r>
                    <w:rPr>
                      <w:rFonts w:hint="eastAsia"/>
                      <w:u w:val="single"/>
                    </w:rPr>
                    <w:t>已验收</w:t>
                  </w:r>
                </w:p>
              </w:tc>
            </w:tr>
            <w:tr w14:paraId="688B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449C1B81">
                  <w:pPr>
                    <w:pStyle w:val="42"/>
                    <w:rPr>
                      <w:u w:val="single"/>
                    </w:rPr>
                  </w:pPr>
                  <w:r>
                    <w:rPr>
                      <w:rFonts w:hint="eastAsia"/>
                      <w:u w:val="single"/>
                    </w:rPr>
                    <w:t>3</w:t>
                  </w:r>
                </w:p>
              </w:tc>
              <w:tc>
                <w:tcPr>
                  <w:tcW w:w="1559" w:type="dxa"/>
                  <w:vAlign w:val="center"/>
                </w:tcPr>
                <w:p w14:paraId="33D7F0D1">
                  <w:pPr>
                    <w:pStyle w:val="42"/>
                    <w:rPr>
                      <w:u w:val="single"/>
                    </w:rPr>
                  </w:pPr>
                  <w:r>
                    <w:rPr>
                      <w:rFonts w:hint="eastAsia"/>
                      <w:u w:val="single"/>
                    </w:rPr>
                    <w:t>普莱克斯（广西）气体有限公司年产6426吨贫氪氙液氧项目</w:t>
                  </w:r>
                </w:p>
              </w:tc>
              <w:tc>
                <w:tcPr>
                  <w:tcW w:w="2061" w:type="dxa"/>
                  <w:vAlign w:val="center"/>
                </w:tcPr>
                <w:p w14:paraId="7E3E4A4E">
                  <w:pPr>
                    <w:pStyle w:val="42"/>
                    <w:rPr>
                      <w:u w:val="single"/>
                    </w:rPr>
                  </w:pPr>
                  <w:r>
                    <w:rPr>
                      <w:rFonts w:hint="eastAsia"/>
                      <w:u w:val="single"/>
                    </w:rPr>
                    <w:t>新建三套贫氪氙液氧提取装置</w:t>
                  </w:r>
                </w:p>
              </w:tc>
              <w:tc>
                <w:tcPr>
                  <w:tcW w:w="1766" w:type="dxa"/>
                  <w:vAlign w:val="center"/>
                </w:tcPr>
                <w:p w14:paraId="36B57E02">
                  <w:pPr>
                    <w:pStyle w:val="42"/>
                    <w:rPr>
                      <w:u w:val="single"/>
                    </w:rPr>
                  </w:pPr>
                  <w:r>
                    <w:rPr>
                      <w:rFonts w:hint="eastAsia"/>
                      <w:u w:val="single"/>
                    </w:rPr>
                    <w:t>2022.9.5 取得环评批复，批文号：自贸钦审批环〔2022〕34 号</w:t>
                  </w:r>
                </w:p>
              </w:tc>
              <w:tc>
                <w:tcPr>
                  <w:tcW w:w="1134" w:type="dxa"/>
                  <w:vAlign w:val="center"/>
                </w:tcPr>
                <w:p w14:paraId="6BAFED50">
                  <w:pPr>
                    <w:pStyle w:val="42"/>
                    <w:rPr>
                      <w:u w:val="single"/>
                    </w:rPr>
                  </w:pPr>
                  <w:r>
                    <w:rPr>
                      <w:rFonts w:hint="eastAsia"/>
                      <w:u w:val="single"/>
                    </w:rPr>
                    <w:t>已建成</w:t>
                  </w:r>
                </w:p>
              </w:tc>
              <w:tc>
                <w:tcPr>
                  <w:tcW w:w="1114" w:type="dxa"/>
                  <w:vAlign w:val="center"/>
                </w:tcPr>
                <w:p w14:paraId="5730070E">
                  <w:pPr>
                    <w:pStyle w:val="42"/>
                    <w:rPr>
                      <w:u w:val="single"/>
                    </w:rPr>
                  </w:pPr>
                  <w:r>
                    <w:rPr>
                      <w:rFonts w:hint="eastAsia"/>
                      <w:u w:val="single"/>
                    </w:rPr>
                    <w:t>已验收</w:t>
                  </w:r>
                </w:p>
              </w:tc>
            </w:tr>
            <w:tr w14:paraId="7E0B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49EC4476">
                  <w:pPr>
                    <w:pStyle w:val="42"/>
                    <w:rPr>
                      <w:u w:val="single"/>
                    </w:rPr>
                  </w:pPr>
                  <w:r>
                    <w:rPr>
                      <w:rFonts w:hint="eastAsia"/>
                      <w:u w:val="single"/>
                    </w:rPr>
                    <w:t>4</w:t>
                  </w:r>
                </w:p>
              </w:tc>
              <w:tc>
                <w:tcPr>
                  <w:tcW w:w="1559" w:type="dxa"/>
                  <w:vAlign w:val="center"/>
                </w:tcPr>
                <w:p w14:paraId="080B31C5">
                  <w:pPr>
                    <w:pStyle w:val="42"/>
                    <w:rPr>
                      <w:u w:val="single"/>
                    </w:rPr>
                  </w:pPr>
                  <w:r>
                    <w:rPr>
                      <w:rFonts w:hint="eastAsia"/>
                      <w:u w:val="single"/>
                    </w:rPr>
                    <w:t>氮气管道工程-林德气体（广西）有限公司至广西新天德能源有限公司</w:t>
                  </w:r>
                </w:p>
              </w:tc>
              <w:tc>
                <w:tcPr>
                  <w:tcW w:w="2061" w:type="dxa"/>
                  <w:vAlign w:val="center"/>
                </w:tcPr>
                <w:p w14:paraId="3081104F">
                  <w:pPr>
                    <w:pStyle w:val="42"/>
                    <w:rPr>
                      <w:u w:val="single"/>
                    </w:rPr>
                  </w:pPr>
                  <w:r>
                    <w:rPr>
                      <w:rFonts w:hint="eastAsia"/>
                      <w:u w:val="single"/>
                    </w:rPr>
                    <w:t>新建一条林德气体（广西）有限公司到广西新天德能源有限公司的氮气管道，总长</w:t>
                  </w:r>
                  <w:r>
                    <w:rPr>
                      <w:rFonts w:hint="eastAsia"/>
                      <w:u w:val="single"/>
                      <w:lang w:eastAsia="zh-CN"/>
                    </w:rPr>
                    <w:t>约</w:t>
                  </w:r>
                  <w:r>
                    <w:rPr>
                      <w:rFonts w:hint="eastAsia"/>
                      <w:u w:val="single"/>
                    </w:rPr>
                    <w:t>1.6km，管径DN500/DN250</w:t>
                  </w:r>
                </w:p>
              </w:tc>
              <w:tc>
                <w:tcPr>
                  <w:tcW w:w="1766" w:type="dxa"/>
                  <w:vAlign w:val="center"/>
                </w:tcPr>
                <w:p w14:paraId="625B73F3">
                  <w:pPr>
                    <w:pStyle w:val="42"/>
                    <w:rPr>
                      <w:u w:val="single"/>
                    </w:rPr>
                  </w:pPr>
                  <w:r>
                    <w:rPr>
                      <w:rFonts w:hint="eastAsia"/>
                      <w:u w:val="single"/>
                    </w:rPr>
                    <w:t>2023.9.19 取得环评批复，批文号：自贸钦审批环〔2023〕43 号</w:t>
                  </w:r>
                </w:p>
              </w:tc>
              <w:tc>
                <w:tcPr>
                  <w:tcW w:w="1134" w:type="dxa"/>
                  <w:vAlign w:val="center"/>
                </w:tcPr>
                <w:p w14:paraId="697C1587">
                  <w:pPr>
                    <w:pStyle w:val="42"/>
                    <w:rPr>
                      <w:u w:val="single"/>
                    </w:rPr>
                  </w:pPr>
                  <w:r>
                    <w:rPr>
                      <w:rFonts w:hint="eastAsia"/>
                      <w:u w:val="single"/>
                    </w:rPr>
                    <w:t>已建成</w:t>
                  </w:r>
                </w:p>
              </w:tc>
              <w:tc>
                <w:tcPr>
                  <w:tcW w:w="1114" w:type="dxa"/>
                  <w:vAlign w:val="center"/>
                </w:tcPr>
                <w:p w14:paraId="5852DD98">
                  <w:pPr>
                    <w:pStyle w:val="42"/>
                    <w:rPr>
                      <w:u w:val="single"/>
                    </w:rPr>
                  </w:pPr>
                  <w:r>
                    <w:rPr>
                      <w:rFonts w:hint="eastAsia"/>
                      <w:u w:val="single"/>
                    </w:rPr>
                    <w:t>已验收</w:t>
                  </w:r>
                </w:p>
              </w:tc>
            </w:tr>
          </w:tbl>
          <w:p w14:paraId="56835CB1">
            <w:pPr>
              <w:pStyle w:val="41"/>
              <w:ind w:firstLine="480"/>
            </w:pPr>
          </w:p>
          <w:p w14:paraId="45CEBABC">
            <w:pPr>
              <w:pStyle w:val="41"/>
              <w:ind w:firstLine="480"/>
            </w:pPr>
            <w:r>
              <w:rPr>
                <w:rFonts w:hint="eastAsia" w:ascii="宋体" w:hAnsi="宋体" w:cs="宋体"/>
                <w:szCs w:val="21"/>
              </w:rPr>
              <w:t>为更好地服务园区发展，为园区内中国石油天然气股份有限公司广西石化分公司等相关企业提供生产活动所需氮气，林德气体（广西）有限公司拟筹建林德气体（广西）有限公司钦州园区三期氮气供应项目（即本项目），本项目于</w:t>
            </w:r>
            <w:r>
              <w:rPr>
                <w:szCs w:val="21"/>
              </w:rPr>
              <w:t>2024</w:t>
            </w:r>
            <w:r>
              <w:rPr>
                <w:rFonts w:hint="eastAsia"/>
                <w:szCs w:val="21"/>
              </w:rPr>
              <w:t>年</w:t>
            </w:r>
            <w:r>
              <w:rPr>
                <w:szCs w:val="21"/>
              </w:rPr>
              <w:t>5</w:t>
            </w:r>
            <w:r>
              <w:rPr>
                <w:rFonts w:hint="eastAsia"/>
                <w:szCs w:val="21"/>
              </w:rPr>
              <w:t>月</w:t>
            </w:r>
            <w:r>
              <w:rPr>
                <w:szCs w:val="21"/>
              </w:rPr>
              <w:t>31</w:t>
            </w:r>
            <w:r>
              <w:rPr>
                <w:rFonts w:hint="eastAsia"/>
                <w:szCs w:val="21"/>
              </w:rPr>
              <w:t>日在广西自贸区钦州港片区行政审批局备案（项目代码为：</w:t>
            </w:r>
            <w:r>
              <w:rPr>
                <w:szCs w:val="21"/>
              </w:rPr>
              <w:t>2405-450704-04-01-880737</w:t>
            </w:r>
            <w:r>
              <w:rPr>
                <w:rFonts w:hint="eastAsia"/>
                <w:szCs w:val="21"/>
              </w:rPr>
              <w:t>），拟在空分项目现有厂区内安装</w:t>
            </w:r>
            <w:r>
              <w:rPr>
                <w:szCs w:val="21"/>
              </w:rPr>
              <w:t>2</w:t>
            </w:r>
            <w:r>
              <w:rPr>
                <w:rFonts w:hint="eastAsia"/>
                <w:szCs w:val="21"/>
              </w:rPr>
              <w:t>台</w:t>
            </w:r>
            <w:r>
              <w:rPr>
                <w:szCs w:val="21"/>
              </w:rPr>
              <w:t>20000Nm</w:t>
            </w:r>
            <w:r>
              <w:rPr>
                <w:szCs w:val="21"/>
                <w:vertAlign w:val="superscript"/>
              </w:rPr>
              <w:t>3</w:t>
            </w:r>
            <w:r>
              <w:rPr>
                <w:szCs w:val="21"/>
              </w:rPr>
              <w:t>/hr</w:t>
            </w:r>
            <w:r>
              <w:rPr>
                <w:rFonts w:hint="eastAsia"/>
                <w:szCs w:val="21"/>
              </w:rPr>
              <w:t>的中压氮气压缩机，及后备装置、建设配套设施和公用工程，以及厂区外</w:t>
            </w:r>
            <w:r>
              <w:rPr>
                <w:szCs w:val="21"/>
              </w:rPr>
              <w:t>7</w:t>
            </w:r>
            <w:r>
              <w:rPr>
                <w:rFonts w:hint="eastAsia"/>
                <w:szCs w:val="21"/>
              </w:rPr>
              <w:t>公里的</w:t>
            </w:r>
            <w:r>
              <w:rPr>
                <w:szCs w:val="21"/>
              </w:rPr>
              <w:t>DN500</w:t>
            </w:r>
            <w:r>
              <w:rPr>
                <w:rFonts w:hint="eastAsia"/>
                <w:szCs w:val="21"/>
              </w:rPr>
              <w:t>氮气管道，向钦州园区企业供应氮气。</w:t>
            </w:r>
          </w:p>
          <w:p w14:paraId="26DE96B7">
            <w:pPr>
              <w:pStyle w:val="41"/>
              <w:ind w:firstLine="480"/>
            </w:pPr>
            <w:r>
              <w:rPr>
                <w:rFonts w:hint="eastAsia"/>
              </w:rPr>
              <w:t>根据《建设项目环境影响评价分类管理名录》（2</w:t>
            </w:r>
            <w:r>
              <w:t>021</w:t>
            </w:r>
            <w:r>
              <w:rPr>
                <w:rFonts w:hint="eastAsia"/>
              </w:rPr>
              <w:t>年版），本项目属于</w:t>
            </w:r>
            <w:r>
              <w:rPr>
                <w:rFonts w:hint="eastAsia"/>
                <w:u w:val="single"/>
              </w:rPr>
              <w:t>“二十三、化学原料和化学制品制造业，44 基础化学原料制造 261”中的“单纯物理分离、物理提纯、混合、分装的（不产生废水或挥发性有机物的除外）”、</w:t>
            </w:r>
            <w:r>
              <w:rPr>
                <w:rFonts w:hint="eastAsia"/>
              </w:rPr>
              <w:t>“五十二、交通运输业、管道运输业，148 危险化学品输送管线（不含企业厂区内管线）”中的“其他”、“五十三、装卸搬运和仓储业，149 危险品仓储594”中的“其他”，应编制环境影响报告表。</w:t>
            </w:r>
          </w:p>
          <w:p w14:paraId="32CEFB6F">
            <w:pPr>
              <w:pStyle w:val="41"/>
              <w:ind w:firstLine="482"/>
              <w:jc w:val="both"/>
              <w:rPr>
                <w:b/>
                <w:bCs/>
              </w:rPr>
            </w:pPr>
            <w:r>
              <w:rPr>
                <w:b/>
                <w:bCs/>
              </w:rPr>
              <w:t>1</w:t>
            </w:r>
            <w:r>
              <w:rPr>
                <w:rFonts w:hint="eastAsia"/>
                <w:b/>
                <w:bCs/>
              </w:rPr>
              <w:t>项目概况</w:t>
            </w:r>
          </w:p>
          <w:p w14:paraId="4990986E">
            <w:pPr>
              <w:pStyle w:val="41"/>
              <w:ind w:firstLine="480"/>
            </w:pPr>
            <w:bookmarkStart w:id="23" w:name="_Hlk141544328"/>
            <w:r>
              <w:rPr>
                <w:rFonts w:hint="eastAsia"/>
              </w:rPr>
              <w:t>（1）项目名称：林德气体（广西）有限公司钦州园区三期氮气供应项目</w:t>
            </w:r>
          </w:p>
          <w:p w14:paraId="4B349C43">
            <w:pPr>
              <w:pStyle w:val="41"/>
              <w:ind w:firstLine="480"/>
            </w:pPr>
            <w:r>
              <w:rPr>
                <w:rFonts w:hint="eastAsia"/>
              </w:rPr>
              <w:t>（2）建设单位：林德气体（广西）有限公司</w:t>
            </w:r>
          </w:p>
          <w:p w14:paraId="3C5B8A2F">
            <w:pPr>
              <w:pStyle w:val="41"/>
              <w:ind w:firstLine="480"/>
            </w:pPr>
            <w:r>
              <w:rPr>
                <w:rFonts w:hint="eastAsia"/>
              </w:rPr>
              <w:t>（3）项目性质：扩建</w:t>
            </w:r>
          </w:p>
          <w:p w14:paraId="1ED110BB">
            <w:pPr>
              <w:pStyle w:val="41"/>
              <w:ind w:firstLine="480"/>
            </w:pPr>
            <w:r>
              <w:rPr>
                <w:rFonts w:hint="eastAsia"/>
              </w:rPr>
              <w:t>（4）建设规模：本项目主要安装2台20000Nm</w:t>
            </w:r>
            <w:r>
              <w:rPr>
                <w:rFonts w:hint="eastAsia"/>
                <w:vertAlign w:val="superscript"/>
              </w:rPr>
              <w:t>3</w:t>
            </w:r>
            <w:r>
              <w:rPr>
                <w:rFonts w:hint="eastAsia"/>
              </w:rPr>
              <w:t>/hr的中压氮气压缩机，及后备装置、建设配套设施和公用工程，以及厂区外7公里的DN500氮气管道，向钦州园区客户供应氮气。</w:t>
            </w:r>
          </w:p>
          <w:p w14:paraId="557B9FBD">
            <w:pPr>
              <w:pStyle w:val="41"/>
              <w:ind w:firstLine="480"/>
            </w:pPr>
            <w:r>
              <w:rPr>
                <w:rFonts w:hint="eastAsia"/>
              </w:rPr>
              <w:t>（5）项目总投资：万元</w:t>
            </w:r>
          </w:p>
          <w:p w14:paraId="02ABEC48">
            <w:pPr>
              <w:pStyle w:val="41"/>
              <w:ind w:firstLine="480"/>
              <w:jc w:val="both"/>
            </w:pPr>
            <w:r>
              <w:rPr>
                <w:rFonts w:hint="eastAsia"/>
              </w:rPr>
              <w:t>（6）生产制度：四班两运转，全年生产8400h</w:t>
            </w:r>
          </w:p>
          <w:p w14:paraId="26B448CD">
            <w:pPr>
              <w:pStyle w:val="41"/>
              <w:ind w:firstLine="480"/>
              <w:jc w:val="both"/>
            </w:pPr>
            <w:r>
              <w:rPr>
                <w:rFonts w:hint="eastAsia"/>
              </w:rPr>
              <w:t>（7）劳动定员：项目达产后新增定员5人</w:t>
            </w:r>
            <w:bookmarkEnd w:id="23"/>
          </w:p>
          <w:p w14:paraId="09514F15">
            <w:pPr>
              <w:pStyle w:val="41"/>
              <w:ind w:firstLine="480"/>
              <w:jc w:val="both"/>
            </w:pPr>
            <w:r>
              <w:rPr>
                <w:rFonts w:hint="eastAsia"/>
              </w:rPr>
              <w:t>项目新增氮气压缩机及后备装置于空分项目现有厂区内建设，氮气压缩机布置于现有压缩机厂房</w:t>
            </w:r>
            <w:r>
              <w:t>1</w:t>
            </w:r>
            <w:r>
              <w:rPr>
                <w:rFonts w:hint="eastAsia"/>
              </w:rPr>
              <w:t>内，</w:t>
            </w:r>
            <w:r>
              <w:rPr>
                <w:rFonts w:hint="eastAsia"/>
                <w:u w:val="single"/>
              </w:rPr>
              <w:t>后备装置均布置在室外，新建储罐布置于空分厂区中部东侧预留空地上，罐体架空布置，储罐地面采用水泥硬化。</w:t>
            </w:r>
            <w:r>
              <w:rPr>
                <w:rFonts w:hint="eastAsia"/>
              </w:rPr>
              <w:t>厂区外新建氮气输送管道自南港大道与勒沟东大街交界处起，沿南港大道往北铺设至中国石油广西石化公司厂区东面，新建管道起点坐标为（108°36′44.583″E，21°43′39.621″N），终点坐标为（108°36′54.308″E，21°46′21.724″N），管道设计使用年限15年。</w:t>
            </w:r>
          </w:p>
          <w:p w14:paraId="0F538763">
            <w:pPr>
              <w:pStyle w:val="41"/>
              <w:ind w:firstLine="480"/>
              <w:jc w:val="both"/>
            </w:pPr>
            <w:r>
              <w:rPr>
                <w:rFonts w:hint="eastAsia"/>
              </w:rPr>
              <w:t>拟建项目组成和规模如下表。</w:t>
            </w:r>
          </w:p>
          <w:p w14:paraId="127DA1A2">
            <w:pPr>
              <w:pStyle w:val="41"/>
              <w:numPr>
                <w:ilvl w:val="0"/>
                <w:numId w:val="5"/>
              </w:numPr>
              <w:spacing w:line="240" w:lineRule="auto"/>
              <w:ind w:left="0" w:firstLine="0" w:firstLineChars="0"/>
              <w:jc w:val="center"/>
              <w:rPr>
                <w:b/>
                <w:bCs/>
                <w:sz w:val="21"/>
                <w:szCs w:val="21"/>
              </w:rPr>
            </w:pPr>
            <w:r>
              <w:rPr>
                <w:rFonts w:hint="eastAsia"/>
                <w:b/>
                <w:bCs/>
                <w:sz w:val="21"/>
                <w:szCs w:val="21"/>
              </w:rPr>
              <w:t>项目工程组成表</w:t>
            </w:r>
          </w:p>
          <w:tbl>
            <w:tblPr>
              <w:tblStyle w:val="17"/>
              <w:tblW w:w="8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793"/>
              <w:gridCol w:w="1176"/>
              <w:gridCol w:w="4819"/>
              <w:gridCol w:w="868"/>
            </w:tblGrid>
            <w:tr w14:paraId="11F3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trPr>
              <w:tc>
                <w:tcPr>
                  <w:tcW w:w="477" w:type="dxa"/>
                  <w:shd w:val="clear" w:color="auto" w:fill="auto"/>
                  <w:vAlign w:val="center"/>
                </w:tcPr>
                <w:p w14:paraId="56BD535A">
                  <w:pPr>
                    <w:pStyle w:val="42"/>
                    <w:rPr>
                      <w:b/>
                      <w:bCs/>
                    </w:rPr>
                  </w:pPr>
                  <w:r>
                    <w:rPr>
                      <w:rFonts w:hint="eastAsia"/>
                      <w:b/>
                      <w:bCs/>
                    </w:rPr>
                    <w:t>序号</w:t>
                  </w:r>
                </w:p>
              </w:tc>
              <w:tc>
                <w:tcPr>
                  <w:tcW w:w="793" w:type="dxa"/>
                  <w:shd w:val="clear" w:color="auto" w:fill="auto"/>
                  <w:vAlign w:val="center"/>
                </w:tcPr>
                <w:p w14:paraId="38338D92">
                  <w:pPr>
                    <w:pStyle w:val="42"/>
                    <w:rPr>
                      <w:b/>
                      <w:bCs/>
                    </w:rPr>
                  </w:pPr>
                  <w:r>
                    <w:rPr>
                      <w:rFonts w:hint="eastAsia"/>
                      <w:b/>
                      <w:bCs/>
                    </w:rPr>
                    <w:t>工程类别</w:t>
                  </w:r>
                </w:p>
              </w:tc>
              <w:tc>
                <w:tcPr>
                  <w:tcW w:w="1176" w:type="dxa"/>
                  <w:shd w:val="clear" w:color="auto" w:fill="auto"/>
                  <w:vAlign w:val="center"/>
                </w:tcPr>
                <w:p w14:paraId="2CCAE6C4">
                  <w:pPr>
                    <w:pStyle w:val="42"/>
                    <w:rPr>
                      <w:b/>
                      <w:bCs/>
                    </w:rPr>
                  </w:pPr>
                  <w:r>
                    <w:rPr>
                      <w:rFonts w:hint="eastAsia"/>
                      <w:b/>
                      <w:bCs/>
                    </w:rPr>
                    <w:t>单项工程</w:t>
                  </w:r>
                </w:p>
              </w:tc>
              <w:tc>
                <w:tcPr>
                  <w:tcW w:w="4819" w:type="dxa"/>
                  <w:shd w:val="clear" w:color="auto" w:fill="auto"/>
                  <w:vAlign w:val="center"/>
                </w:tcPr>
                <w:p w14:paraId="7F03C70A">
                  <w:pPr>
                    <w:pStyle w:val="42"/>
                    <w:rPr>
                      <w:b/>
                      <w:bCs/>
                    </w:rPr>
                  </w:pPr>
                  <w:r>
                    <w:rPr>
                      <w:rFonts w:hint="eastAsia"/>
                      <w:b/>
                      <w:bCs/>
                    </w:rPr>
                    <w:t>主要建设内容</w:t>
                  </w:r>
                </w:p>
              </w:tc>
              <w:tc>
                <w:tcPr>
                  <w:tcW w:w="868" w:type="dxa"/>
                  <w:vAlign w:val="center"/>
                </w:tcPr>
                <w:p w14:paraId="4EF7C2AB">
                  <w:pPr>
                    <w:pStyle w:val="42"/>
                    <w:rPr>
                      <w:b/>
                      <w:bCs/>
                    </w:rPr>
                  </w:pPr>
                  <w:r>
                    <w:rPr>
                      <w:rFonts w:hint="eastAsia"/>
                      <w:b/>
                      <w:bCs/>
                    </w:rPr>
                    <w:t>备注</w:t>
                  </w:r>
                </w:p>
              </w:tc>
            </w:tr>
            <w:tr w14:paraId="7D58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477" w:type="dxa"/>
                  <w:vMerge w:val="restart"/>
                  <w:shd w:val="clear" w:color="auto" w:fill="auto"/>
                  <w:vAlign w:val="center"/>
                </w:tcPr>
                <w:p w14:paraId="56D7768E">
                  <w:pPr>
                    <w:pStyle w:val="42"/>
                  </w:pPr>
                  <w:r>
                    <w:rPr>
                      <w:rFonts w:hint="eastAsia"/>
                    </w:rPr>
                    <w:t>1</w:t>
                  </w:r>
                </w:p>
              </w:tc>
              <w:tc>
                <w:tcPr>
                  <w:tcW w:w="793" w:type="dxa"/>
                  <w:vMerge w:val="restart"/>
                  <w:shd w:val="clear" w:color="auto" w:fill="auto"/>
                  <w:vAlign w:val="center"/>
                </w:tcPr>
                <w:p w14:paraId="22EC0F76">
                  <w:pPr>
                    <w:pStyle w:val="42"/>
                  </w:pPr>
                  <w:r>
                    <w:rPr>
                      <w:rFonts w:hint="eastAsia"/>
                    </w:rPr>
                    <w:t>主体工程</w:t>
                  </w:r>
                </w:p>
              </w:tc>
              <w:tc>
                <w:tcPr>
                  <w:tcW w:w="1176" w:type="dxa"/>
                  <w:shd w:val="clear" w:color="auto" w:fill="auto"/>
                  <w:vAlign w:val="center"/>
                </w:tcPr>
                <w:p w14:paraId="5519EE98">
                  <w:pPr>
                    <w:pStyle w:val="42"/>
                  </w:pPr>
                  <w:r>
                    <w:rPr>
                      <w:rFonts w:hint="eastAsia"/>
                    </w:rPr>
                    <w:t>氮气压缩系统</w:t>
                  </w:r>
                </w:p>
              </w:tc>
              <w:tc>
                <w:tcPr>
                  <w:tcW w:w="4819" w:type="dxa"/>
                  <w:shd w:val="clear" w:color="auto" w:fill="auto"/>
                  <w:vAlign w:val="center"/>
                </w:tcPr>
                <w:p w14:paraId="5EE3170E">
                  <w:pPr>
                    <w:pStyle w:val="42"/>
                  </w:pPr>
                  <w:r>
                    <w:rPr>
                      <w:rFonts w:hint="eastAsia"/>
                    </w:rPr>
                    <w:t>2套，单套规格为20000Nm</w:t>
                  </w:r>
                  <w:r>
                    <w:rPr>
                      <w:rFonts w:hint="eastAsia"/>
                      <w:vertAlign w:val="superscript"/>
                    </w:rPr>
                    <w:t>3</w:t>
                  </w:r>
                  <w:r>
                    <w:rPr>
                      <w:rFonts w:hint="eastAsia"/>
                    </w:rPr>
                    <w:t>/h</w:t>
                  </w:r>
                </w:p>
              </w:tc>
              <w:tc>
                <w:tcPr>
                  <w:tcW w:w="868" w:type="dxa"/>
                  <w:vAlign w:val="center"/>
                </w:tcPr>
                <w:p w14:paraId="48F86C1F">
                  <w:pPr>
                    <w:pStyle w:val="42"/>
                  </w:pPr>
                  <w:r>
                    <w:rPr>
                      <w:rFonts w:hint="eastAsia"/>
                    </w:rPr>
                    <w:t>新建</w:t>
                  </w:r>
                </w:p>
              </w:tc>
            </w:tr>
            <w:tr w14:paraId="0B8A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4FFD66E4">
                  <w:pPr>
                    <w:pStyle w:val="42"/>
                    <w:rPr>
                      <w:highlight w:val="yellow"/>
                    </w:rPr>
                  </w:pPr>
                </w:p>
              </w:tc>
              <w:tc>
                <w:tcPr>
                  <w:tcW w:w="793" w:type="dxa"/>
                  <w:vMerge w:val="continue"/>
                  <w:shd w:val="clear" w:color="auto" w:fill="auto"/>
                  <w:vAlign w:val="center"/>
                </w:tcPr>
                <w:p w14:paraId="47612AF2">
                  <w:pPr>
                    <w:pStyle w:val="42"/>
                    <w:rPr>
                      <w:highlight w:val="yellow"/>
                    </w:rPr>
                  </w:pPr>
                </w:p>
              </w:tc>
              <w:tc>
                <w:tcPr>
                  <w:tcW w:w="1176" w:type="dxa"/>
                  <w:shd w:val="clear" w:color="auto" w:fill="auto"/>
                  <w:vAlign w:val="center"/>
                </w:tcPr>
                <w:p w14:paraId="75B951E3">
                  <w:pPr>
                    <w:pStyle w:val="42"/>
                  </w:pPr>
                  <w:r>
                    <w:rPr>
                      <w:rFonts w:hint="eastAsia"/>
                    </w:rPr>
                    <w:t>线路工程</w:t>
                  </w:r>
                </w:p>
              </w:tc>
              <w:tc>
                <w:tcPr>
                  <w:tcW w:w="4819" w:type="dxa"/>
                  <w:shd w:val="clear" w:color="auto" w:fill="auto"/>
                  <w:vAlign w:val="center"/>
                </w:tcPr>
                <w:p w14:paraId="618778B5">
                  <w:pPr>
                    <w:pStyle w:val="42"/>
                  </w:pPr>
                  <w:r>
                    <w:rPr>
                      <w:rFonts w:hint="eastAsia"/>
                    </w:rPr>
                    <w:t>厂区外新架设管径</w:t>
                  </w:r>
                  <w:r>
                    <w:t>DN500</w:t>
                  </w:r>
                  <w:r>
                    <w:rPr>
                      <w:rFonts w:hint="eastAsia"/>
                    </w:rPr>
                    <w:t>的氮气输送管线，长度</w:t>
                  </w:r>
                  <w:r>
                    <w:t>7km</w:t>
                  </w:r>
                  <w:r>
                    <w:rPr>
                      <w:rFonts w:hint="eastAsia"/>
                    </w:rPr>
                    <w:t>，最大输气流量约</w:t>
                  </w:r>
                  <w:r>
                    <w:t>40000Nm</w:t>
                  </w:r>
                  <w:r>
                    <w:rPr>
                      <w:vertAlign w:val="superscript"/>
                    </w:rPr>
                    <w:t>3</w:t>
                  </w:r>
                  <w:r>
                    <w:t>/h</w:t>
                  </w:r>
                </w:p>
              </w:tc>
              <w:tc>
                <w:tcPr>
                  <w:tcW w:w="868" w:type="dxa"/>
                  <w:vAlign w:val="center"/>
                </w:tcPr>
                <w:p w14:paraId="252EB2B7">
                  <w:pPr>
                    <w:pStyle w:val="42"/>
                  </w:pPr>
                  <w:r>
                    <w:rPr>
                      <w:rFonts w:hint="eastAsia"/>
                    </w:rPr>
                    <w:t>新建</w:t>
                  </w:r>
                </w:p>
              </w:tc>
            </w:tr>
            <w:tr w14:paraId="02C0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7" w:type="dxa"/>
                  <w:vMerge w:val="restart"/>
                  <w:shd w:val="clear" w:color="auto" w:fill="auto"/>
                  <w:vAlign w:val="center"/>
                </w:tcPr>
                <w:p w14:paraId="66DCE8E3">
                  <w:pPr>
                    <w:pStyle w:val="42"/>
                  </w:pPr>
                  <w:r>
                    <w:rPr>
                      <w:rFonts w:hint="eastAsia"/>
                    </w:rPr>
                    <w:t>2</w:t>
                  </w:r>
                </w:p>
              </w:tc>
              <w:tc>
                <w:tcPr>
                  <w:tcW w:w="793" w:type="dxa"/>
                  <w:vMerge w:val="restart"/>
                  <w:shd w:val="clear" w:color="auto" w:fill="auto"/>
                  <w:vAlign w:val="center"/>
                </w:tcPr>
                <w:p w14:paraId="43DF4D31">
                  <w:pPr>
                    <w:pStyle w:val="42"/>
                  </w:pPr>
                  <w:r>
                    <w:rPr>
                      <w:rFonts w:hint="eastAsia"/>
                    </w:rPr>
                    <w:t>辅助工程</w:t>
                  </w:r>
                </w:p>
              </w:tc>
              <w:tc>
                <w:tcPr>
                  <w:tcW w:w="1176" w:type="dxa"/>
                  <w:shd w:val="clear" w:color="auto" w:fill="auto"/>
                  <w:vAlign w:val="center"/>
                </w:tcPr>
                <w:p w14:paraId="68A12CE3">
                  <w:pPr>
                    <w:pStyle w:val="42"/>
                  </w:pPr>
                  <w:r>
                    <w:rPr>
                      <w:rFonts w:hint="eastAsia"/>
                    </w:rPr>
                    <w:t>液体后备系统</w:t>
                  </w:r>
                </w:p>
              </w:tc>
              <w:tc>
                <w:tcPr>
                  <w:tcW w:w="4819" w:type="dxa"/>
                  <w:shd w:val="clear" w:color="auto" w:fill="auto"/>
                  <w:vAlign w:val="center"/>
                </w:tcPr>
                <w:p w14:paraId="0A43E360">
                  <w:pPr>
                    <w:pStyle w:val="42"/>
                  </w:pPr>
                  <w:r>
                    <w:rPr>
                      <w:rFonts w:hint="eastAsia"/>
                    </w:rPr>
                    <w:t>80m</w:t>
                  </w:r>
                  <w:r>
                    <w:rPr>
                      <w:rFonts w:hint="eastAsia"/>
                      <w:vertAlign w:val="superscript"/>
                    </w:rPr>
                    <w:t>3</w:t>
                  </w:r>
                  <w:r>
                    <w:rPr>
                      <w:rFonts w:hint="eastAsia"/>
                    </w:rPr>
                    <w:t>中压液氮储罐1台，1000m</w:t>
                  </w:r>
                  <w:r>
                    <w:rPr>
                      <w:rFonts w:hint="eastAsia"/>
                      <w:vertAlign w:val="superscript"/>
                    </w:rPr>
                    <w:t>3</w:t>
                  </w:r>
                  <w:r>
                    <w:rPr>
                      <w:rFonts w:hint="eastAsia"/>
                    </w:rPr>
                    <w:t>液氮储罐1台，液氮气化器1台（蒸汽加热式，30000Nm</w:t>
                  </w:r>
                  <w:r>
                    <w:rPr>
                      <w:rFonts w:hint="eastAsia"/>
                      <w:vertAlign w:val="superscript"/>
                    </w:rPr>
                    <w:t>3</w:t>
                  </w:r>
                  <w:r>
                    <w:rPr>
                      <w:rFonts w:hint="eastAsia"/>
                    </w:rPr>
                    <w:t>/h），液氮泵2台（流量：50m</w:t>
                  </w:r>
                  <w:r>
                    <w:rPr>
                      <w:rFonts w:hint="eastAsia"/>
                      <w:vertAlign w:val="superscript"/>
                    </w:rPr>
                    <w:t>3</w:t>
                  </w:r>
                  <w:r>
                    <w:rPr>
                      <w:rFonts w:hint="eastAsia"/>
                    </w:rPr>
                    <w:t>/h，扬程：30m）</w:t>
                  </w:r>
                </w:p>
              </w:tc>
              <w:tc>
                <w:tcPr>
                  <w:tcW w:w="868" w:type="dxa"/>
                  <w:vAlign w:val="center"/>
                </w:tcPr>
                <w:p w14:paraId="6976845B">
                  <w:pPr>
                    <w:pStyle w:val="42"/>
                  </w:pPr>
                  <w:r>
                    <w:rPr>
                      <w:rFonts w:hint="eastAsia"/>
                    </w:rPr>
                    <w:t>新建</w:t>
                  </w:r>
                </w:p>
              </w:tc>
            </w:tr>
            <w:tr w14:paraId="7273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316957A9">
                  <w:pPr>
                    <w:pStyle w:val="42"/>
                  </w:pPr>
                </w:p>
              </w:tc>
              <w:tc>
                <w:tcPr>
                  <w:tcW w:w="793" w:type="dxa"/>
                  <w:vMerge w:val="continue"/>
                  <w:shd w:val="clear" w:color="auto" w:fill="auto"/>
                  <w:vAlign w:val="center"/>
                </w:tcPr>
                <w:p w14:paraId="3154B608">
                  <w:pPr>
                    <w:pStyle w:val="42"/>
                  </w:pPr>
                </w:p>
              </w:tc>
              <w:tc>
                <w:tcPr>
                  <w:tcW w:w="1176" w:type="dxa"/>
                  <w:shd w:val="clear" w:color="auto" w:fill="auto"/>
                  <w:vAlign w:val="center"/>
                </w:tcPr>
                <w:p w14:paraId="19D80DE7">
                  <w:pPr>
                    <w:pStyle w:val="42"/>
                  </w:pPr>
                  <w:r>
                    <w:rPr>
                      <w:rFonts w:hint="eastAsia"/>
                    </w:rPr>
                    <w:t>循环水系统</w:t>
                  </w:r>
                </w:p>
              </w:tc>
              <w:tc>
                <w:tcPr>
                  <w:tcW w:w="4819" w:type="dxa"/>
                  <w:shd w:val="clear" w:color="auto" w:fill="auto"/>
                  <w:vAlign w:val="center"/>
                </w:tcPr>
                <w:p w14:paraId="109A04DA">
                  <w:pPr>
                    <w:pStyle w:val="42"/>
                  </w:pPr>
                  <w:r>
                    <w:rPr>
                      <w:rFonts w:hint="eastAsia"/>
                    </w:rPr>
                    <w:t>1套，设计流量700m</w:t>
                  </w:r>
                  <w:r>
                    <w:rPr>
                      <w:rFonts w:hint="eastAsia"/>
                      <w:vertAlign w:val="superscript"/>
                    </w:rPr>
                    <w:t>3</w:t>
                  </w:r>
                  <w:r>
                    <w:rPr>
                      <w:rFonts w:hint="eastAsia"/>
                    </w:rPr>
                    <w:t>/h</w:t>
                  </w:r>
                </w:p>
              </w:tc>
              <w:tc>
                <w:tcPr>
                  <w:tcW w:w="868" w:type="dxa"/>
                  <w:vAlign w:val="center"/>
                </w:tcPr>
                <w:p w14:paraId="7FB8DFEE">
                  <w:pPr>
                    <w:pStyle w:val="42"/>
                  </w:pPr>
                  <w:r>
                    <w:rPr>
                      <w:rFonts w:hint="eastAsia"/>
                    </w:rPr>
                    <w:t>新建</w:t>
                  </w:r>
                </w:p>
              </w:tc>
            </w:tr>
            <w:tr w14:paraId="73FA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5A7E28A4">
                  <w:pPr>
                    <w:pStyle w:val="42"/>
                    <w:rPr>
                      <w:highlight w:val="yellow"/>
                    </w:rPr>
                  </w:pPr>
                </w:p>
              </w:tc>
              <w:tc>
                <w:tcPr>
                  <w:tcW w:w="793" w:type="dxa"/>
                  <w:vMerge w:val="continue"/>
                  <w:shd w:val="clear" w:color="auto" w:fill="auto"/>
                  <w:vAlign w:val="center"/>
                </w:tcPr>
                <w:p w14:paraId="34EA0CCC">
                  <w:pPr>
                    <w:pStyle w:val="42"/>
                    <w:rPr>
                      <w:highlight w:val="yellow"/>
                    </w:rPr>
                  </w:pPr>
                </w:p>
              </w:tc>
              <w:tc>
                <w:tcPr>
                  <w:tcW w:w="1176" w:type="dxa"/>
                  <w:shd w:val="clear" w:color="auto" w:fill="auto"/>
                  <w:vAlign w:val="center"/>
                </w:tcPr>
                <w:p w14:paraId="11F9B332">
                  <w:pPr>
                    <w:pStyle w:val="42"/>
                  </w:pPr>
                  <w:r>
                    <w:rPr>
                      <w:rFonts w:hint="eastAsia"/>
                    </w:rPr>
                    <w:t>电力变压器系统</w:t>
                  </w:r>
                </w:p>
              </w:tc>
              <w:tc>
                <w:tcPr>
                  <w:tcW w:w="4819" w:type="dxa"/>
                  <w:shd w:val="clear" w:color="auto" w:fill="auto"/>
                  <w:vAlign w:val="center"/>
                </w:tcPr>
                <w:p w14:paraId="335C4AC6">
                  <w:pPr>
                    <w:pStyle w:val="42"/>
                  </w:pPr>
                  <w:r>
                    <w:t>2</w:t>
                  </w:r>
                  <w:r>
                    <w:rPr>
                      <w:rFonts w:hint="eastAsia"/>
                    </w:rPr>
                    <w:t>套，每套</w:t>
                  </w:r>
                  <w:r>
                    <w:t>25000KVA</w:t>
                  </w:r>
                  <w:r>
                    <w:rPr>
                      <w:rFonts w:hint="eastAsia"/>
                    </w:rPr>
                    <w:t>，电压等级</w:t>
                  </w:r>
                  <w:r>
                    <w:t>35kV/10kV</w:t>
                  </w:r>
                </w:p>
              </w:tc>
              <w:tc>
                <w:tcPr>
                  <w:tcW w:w="868" w:type="dxa"/>
                  <w:vAlign w:val="center"/>
                </w:tcPr>
                <w:p w14:paraId="76AD5DF3">
                  <w:pPr>
                    <w:pStyle w:val="42"/>
                  </w:pPr>
                  <w:r>
                    <w:rPr>
                      <w:rFonts w:hint="eastAsia"/>
                    </w:rPr>
                    <w:t>新建</w:t>
                  </w:r>
                </w:p>
              </w:tc>
            </w:tr>
            <w:tr w14:paraId="757B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restart"/>
                  <w:shd w:val="clear" w:color="auto" w:fill="auto"/>
                  <w:vAlign w:val="center"/>
                </w:tcPr>
                <w:p w14:paraId="78BA3A04">
                  <w:pPr>
                    <w:pStyle w:val="42"/>
                    <w:rPr>
                      <w:u w:val="single"/>
                    </w:rPr>
                  </w:pPr>
                  <w:r>
                    <w:rPr>
                      <w:rFonts w:hint="eastAsia"/>
                      <w:u w:val="single"/>
                    </w:rPr>
                    <w:t>3</w:t>
                  </w:r>
                </w:p>
              </w:tc>
              <w:tc>
                <w:tcPr>
                  <w:tcW w:w="793" w:type="dxa"/>
                  <w:vMerge w:val="restart"/>
                  <w:shd w:val="clear" w:color="auto" w:fill="auto"/>
                  <w:vAlign w:val="center"/>
                </w:tcPr>
                <w:p w14:paraId="1B5098ED">
                  <w:pPr>
                    <w:pStyle w:val="42"/>
                    <w:rPr>
                      <w:u w:val="single"/>
                    </w:rPr>
                  </w:pPr>
                  <w:r>
                    <w:rPr>
                      <w:rFonts w:hint="eastAsia"/>
                      <w:u w:val="single"/>
                    </w:rPr>
                    <w:t>依托工程</w:t>
                  </w:r>
                </w:p>
              </w:tc>
              <w:tc>
                <w:tcPr>
                  <w:tcW w:w="1176" w:type="dxa"/>
                  <w:shd w:val="clear" w:color="auto" w:fill="auto"/>
                  <w:vAlign w:val="center"/>
                </w:tcPr>
                <w:p w14:paraId="7E077E1B">
                  <w:pPr>
                    <w:pStyle w:val="42"/>
                    <w:rPr>
                      <w:u w:val="single"/>
                    </w:rPr>
                  </w:pPr>
                  <w:r>
                    <w:rPr>
                      <w:rFonts w:hint="eastAsia"/>
                      <w:u w:val="single"/>
                    </w:rPr>
                    <w:t>园区公共管廊</w:t>
                  </w:r>
                </w:p>
              </w:tc>
              <w:tc>
                <w:tcPr>
                  <w:tcW w:w="4819" w:type="dxa"/>
                  <w:shd w:val="clear" w:color="auto" w:fill="auto"/>
                  <w:vAlign w:val="center"/>
                </w:tcPr>
                <w:p w14:paraId="007DD2FD">
                  <w:pPr>
                    <w:pStyle w:val="42"/>
                    <w:rPr>
                      <w:u w:val="single"/>
                    </w:rPr>
                  </w:pPr>
                  <w:r>
                    <w:rPr>
                      <w:rFonts w:hint="eastAsia"/>
                      <w:u w:val="single"/>
                    </w:rPr>
                    <w:t>项目新建氮气输送管线依托园区公共管廊架空铺设，主要依托段为①南港大道(金鼓大街至勒沟东大道段)公共管廊，长度1700m；②南港大道东侧（滨海公路至环珠东大街段），长度3820m；③广西石化至南港大道，长度1340m</w:t>
                  </w:r>
                </w:p>
              </w:tc>
              <w:tc>
                <w:tcPr>
                  <w:tcW w:w="868" w:type="dxa"/>
                  <w:vAlign w:val="center"/>
                </w:tcPr>
                <w:p w14:paraId="7613ED14">
                  <w:pPr>
                    <w:pStyle w:val="42"/>
                    <w:rPr>
                      <w:u w:val="single"/>
                    </w:rPr>
                  </w:pPr>
                  <w:r>
                    <w:rPr>
                      <w:rFonts w:hint="eastAsia"/>
                      <w:u w:val="single"/>
                    </w:rPr>
                    <w:t>依托</w:t>
                  </w:r>
                </w:p>
              </w:tc>
            </w:tr>
            <w:tr w14:paraId="228E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56639E2F">
                  <w:pPr>
                    <w:pStyle w:val="42"/>
                    <w:rPr>
                      <w:u w:val="single"/>
                    </w:rPr>
                  </w:pPr>
                </w:p>
              </w:tc>
              <w:tc>
                <w:tcPr>
                  <w:tcW w:w="793" w:type="dxa"/>
                  <w:vMerge w:val="continue"/>
                  <w:shd w:val="clear" w:color="auto" w:fill="auto"/>
                  <w:vAlign w:val="center"/>
                </w:tcPr>
                <w:p w14:paraId="46B86776">
                  <w:pPr>
                    <w:pStyle w:val="42"/>
                    <w:rPr>
                      <w:u w:val="single"/>
                    </w:rPr>
                  </w:pPr>
                </w:p>
              </w:tc>
              <w:tc>
                <w:tcPr>
                  <w:tcW w:w="1176" w:type="dxa"/>
                  <w:shd w:val="clear" w:color="auto" w:fill="auto"/>
                  <w:vAlign w:val="center"/>
                </w:tcPr>
                <w:p w14:paraId="2B65F368">
                  <w:pPr>
                    <w:pStyle w:val="42"/>
                    <w:rPr>
                      <w:u w:val="single"/>
                    </w:rPr>
                  </w:pPr>
                  <w:r>
                    <w:rPr>
                      <w:rFonts w:hint="eastAsia"/>
                      <w:u w:val="single"/>
                    </w:rPr>
                    <w:t>广西天宜环境科技有限公司污水处理厂项目（一期工程）</w:t>
                  </w:r>
                </w:p>
              </w:tc>
              <w:tc>
                <w:tcPr>
                  <w:tcW w:w="4819" w:type="dxa"/>
                  <w:shd w:val="clear" w:color="auto" w:fill="auto"/>
                  <w:vAlign w:val="center"/>
                </w:tcPr>
                <w:p w14:paraId="0137B8F2">
                  <w:pPr>
                    <w:pStyle w:val="42"/>
                    <w:rPr>
                      <w:u w:val="single"/>
                    </w:rPr>
                  </w:pPr>
                  <w:r>
                    <w:rPr>
                      <w:rFonts w:hint="eastAsia"/>
                      <w:u w:val="single"/>
                    </w:rPr>
                    <w:t>采用“预处理+生化处理+深度处理”的主要工艺路线，其中预处理是根据各企业水质特征，分类进行；生化处理阶段采用“曝气池+MBR反应器”工艺；深度处理阶段采用“臭氧催化氧化+BAF+活性炭滤池”工艺，处理能力为</w:t>
                  </w:r>
                  <w:r>
                    <w:rPr>
                      <w:u w:val="single"/>
                    </w:rPr>
                    <w:t>4.5</w:t>
                  </w:r>
                  <w:r>
                    <w:rPr>
                      <w:rFonts w:hint="eastAsia"/>
                      <w:u w:val="single"/>
                    </w:rPr>
                    <w:t>万</w:t>
                  </w:r>
                  <w:r>
                    <w:rPr>
                      <w:u w:val="single"/>
                    </w:rPr>
                    <w:t>m</w:t>
                  </w:r>
                  <w:r>
                    <w:rPr>
                      <w:u w:val="single"/>
                      <w:vertAlign w:val="superscript"/>
                    </w:rPr>
                    <w:t>3</w:t>
                  </w:r>
                  <w:r>
                    <w:rPr>
                      <w:u w:val="single"/>
                    </w:rPr>
                    <w:t>/d</w:t>
                  </w:r>
                </w:p>
              </w:tc>
              <w:tc>
                <w:tcPr>
                  <w:tcW w:w="868" w:type="dxa"/>
                  <w:vAlign w:val="center"/>
                </w:tcPr>
                <w:p w14:paraId="51BEDF6C">
                  <w:pPr>
                    <w:pStyle w:val="42"/>
                    <w:rPr>
                      <w:u w:val="single"/>
                    </w:rPr>
                  </w:pPr>
                  <w:r>
                    <w:rPr>
                      <w:rFonts w:hint="eastAsia"/>
                      <w:u w:val="single"/>
                    </w:rPr>
                    <w:t>依托</w:t>
                  </w:r>
                </w:p>
              </w:tc>
            </w:tr>
            <w:tr w14:paraId="2FE9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2ACF96D7">
                  <w:pPr>
                    <w:pStyle w:val="42"/>
                    <w:rPr>
                      <w:u w:val="single"/>
                    </w:rPr>
                  </w:pPr>
                </w:p>
              </w:tc>
              <w:tc>
                <w:tcPr>
                  <w:tcW w:w="793" w:type="dxa"/>
                  <w:vMerge w:val="continue"/>
                  <w:shd w:val="clear" w:color="auto" w:fill="auto"/>
                  <w:vAlign w:val="center"/>
                </w:tcPr>
                <w:p w14:paraId="78DA82C1">
                  <w:pPr>
                    <w:pStyle w:val="42"/>
                    <w:rPr>
                      <w:u w:val="single"/>
                    </w:rPr>
                  </w:pPr>
                </w:p>
              </w:tc>
              <w:tc>
                <w:tcPr>
                  <w:tcW w:w="1176" w:type="dxa"/>
                  <w:shd w:val="clear" w:color="auto" w:fill="auto"/>
                  <w:vAlign w:val="center"/>
                </w:tcPr>
                <w:p w14:paraId="71D71F58">
                  <w:pPr>
                    <w:pStyle w:val="42"/>
                    <w:rPr>
                      <w:u w:val="single"/>
                    </w:rPr>
                  </w:pPr>
                  <w:r>
                    <w:rPr>
                      <w:rFonts w:hint="eastAsia"/>
                      <w:u w:val="single"/>
                    </w:rPr>
                    <w:t>危废暂存间</w:t>
                  </w:r>
                </w:p>
              </w:tc>
              <w:tc>
                <w:tcPr>
                  <w:tcW w:w="4819" w:type="dxa"/>
                  <w:shd w:val="clear" w:color="auto" w:fill="auto"/>
                  <w:vAlign w:val="center"/>
                </w:tcPr>
                <w:p w14:paraId="64DA6F46">
                  <w:pPr>
                    <w:pStyle w:val="42"/>
                    <w:rPr>
                      <w:u w:val="single"/>
                    </w:rPr>
                  </w:pPr>
                  <w:r>
                    <w:rPr>
                      <w:rFonts w:hint="eastAsia"/>
                      <w:u w:val="single"/>
                    </w:rPr>
                    <w:t>依托广西华谊能源化工配套空分项目现有厂区内危废暂存间，1层，占地46m</w:t>
                  </w:r>
                  <w:r>
                    <w:rPr>
                      <w:rFonts w:hint="eastAsia"/>
                      <w:u w:val="single"/>
                      <w:vertAlign w:val="superscript"/>
                    </w:rPr>
                    <w:t>2</w:t>
                  </w:r>
                </w:p>
              </w:tc>
              <w:tc>
                <w:tcPr>
                  <w:tcW w:w="868" w:type="dxa"/>
                  <w:vAlign w:val="center"/>
                </w:tcPr>
                <w:p w14:paraId="2AEBB775">
                  <w:pPr>
                    <w:pStyle w:val="42"/>
                    <w:rPr>
                      <w:u w:val="single"/>
                    </w:rPr>
                  </w:pPr>
                  <w:r>
                    <w:rPr>
                      <w:rFonts w:hint="eastAsia"/>
                      <w:u w:val="single"/>
                    </w:rPr>
                    <w:t>依托</w:t>
                  </w:r>
                </w:p>
              </w:tc>
            </w:tr>
            <w:tr w14:paraId="6EB1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7" w:type="dxa"/>
                  <w:vMerge w:val="restart"/>
                  <w:shd w:val="clear" w:color="auto" w:fill="auto"/>
                  <w:vAlign w:val="center"/>
                </w:tcPr>
                <w:p w14:paraId="608A47F2">
                  <w:pPr>
                    <w:pStyle w:val="42"/>
                  </w:pPr>
                  <w:r>
                    <w:rPr>
                      <w:rFonts w:hint="eastAsia"/>
                    </w:rPr>
                    <w:t>4</w:t>
                  </w:r>
                </w:p>
              </w:tc>
              <w:tc>
                <w:tcPr>
                  <w:tcW w:w="793" w:type="dxa"/>
                  <w:vMerge w:val="restart"/>
                  <w:shd w:val="clear" w:color="auto" w:fill="auto"/>
                  <w:vAlign w:val="center"/>
                </w:tcPr>
                <w:p w14:paraId="33F6FFD5">
                  <w:pPr>
                    <w:pStyle w:val="42"/>
                  </w:pPr>
                  <w:r>
                    <w:rPr>
                      <w:rFonts w:hint="eastAsia"/>
                    </w:rPr>
                    <w:t>公用工程</w:t>
                  </w:r>
                </w:p>
              </w:tc>
              <w:tc>
                <w:tcPr>
                  <w:tcW w:w="1176" w:type="dxa"/>
                  <w:shd w:val="clear" w:color="auto" w:fill="auto"/>
                  <w:vAlign w:val="center"/>
                </w:tcPr>
                <w:p w14:paraId="25C15DF4">
                  <w:pPr>
                    <w:pStyle w:val="42"/>
                  </w:pPr>
                  <w:r>
                    <w:rPr>
                      <w:rFonts w:hint="eastAsia"/>
                    </w:rPr>
                    <w:t>供水</w:t>
                  </w:r>
                </w:p>
              </w:tc>
              <w:tc>
                <w:tcPr>
                  <w:tcW w:w="4819" w:type="dxa"/>
                  <w:shd w:val="clear" w:color="auto" w:fill="auto"/>
                  <w:vAlign w:val="center"/>
                </w:tcPr>
                <w:p w14:paraId="063E2FBD">
                  <w:pPr>
                    <w:pStyle w:val="42"/>
                  </w:pPr>
                  <w:r>
                    <w:rPr>
                      <w:rFonts w:hint="eastAsia"/>
                    </w:rPr>
                    <w:t>项目生产用水依托广西华谊能源化工有限公司供给；生活用水依托国投钦州发电有限公司供给</w:t>
                  </w:r>
                </w:p>
              </w:tc>
              <w:tc>
                <w:tcPr>
                  <w:tcW w:w="868" w:type="dxa"/>
                  <w:vAlign w:val="center"/>
                </w:tcPr>
                <w:p w14:paraId="1ABA0DD3">
                  <w:pPr>
                    <w:pStyle w:val="42"/>
                  </w:pPr>
                  <w:r>
                    <w:rPr>
                      <w:rFonts w:hint="eastAsia"/>
                    </w:rPr>
                    <w:t>依托</w:t>
                  </w:r>
                </w:p>
              </w:tc>
            </w:tr>
            <w:tr w14:paraId="6C78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1B15AADE">
                  <w:pPr>
                    <w:pStyle w:val="42"/>
                    <w:rPr>
                      <w:highlight w:val="yellow"/>
                    </w:rPr>
                  </w:pPr>
                </w:p>
              </w:tc>
              <w:tc>
                <w:tcPr>
                  <w:tcW w:w="793" w:type="dxa"/>
                  <w:vMerge w:val="continue"/>
                  <w:shd w:val="clear" w:color="auto" w:fill="auto"/>
                  <w:vAlign w:val="center"/>
                </w:tcPr>
                <w:p w14:paraId="2948C2D1">
                  <w:pPr>
                    <w:pStyle w:val="42"/>
                    <w:rPr>
                      <w:highlight w:val="yellow"/>
                    </w:rPr>
                  </w:pPr>
                </w:p>
              </w:tc>
              <w:tc>
                <w:tcPr>
                  <w:tcW w:w="1176" w:type="dxa"/>
                  <w:shd w:val="clear" w:color="auto" w:fill="auto"/>
                  <w:vAlign w:val="center"/>
                </w:tcPr>
                <w:p w14:paraId="6766A04B">
                  <w:pPr>
                    <w:pStyle w:val="42"/>
                  </w:pPr>
                  <w:r>
                    <w:rPr>
                      <w:rFonts w:hint="eastAsia"/>
                    </w:rPr>
                    <w:t>供电</w:t>
                  </w:r>
                </w:p>
              </w:tc>
              <w:tc>
                <w:tcPr>
                  <w:tcW w:w="4819" w:type="dxa"/>
                  <w:shd w:val="clear" w:color="auto" w:fill="auto"/>
                  <w:vAlign w:val="center"/>
                </w:tcPr>
                <w:p w14:paraId="67204B50">
                  <w:pPr>
                    <w:pStyle w:val="42"/>
                  </w:pPr>
                  <w:r>
                    <w:rPr>
                      <w:rFonts w:hint="eastAsia"/>
                    </w:rPr>
                    <w:t>项目用电依托广西华谊能源化工有限公司供给</w:t>
                  </w:r>
                </w:p>
              </w:tc>
              <w:tc>
                <w:tcPr>
                  <w:tcW w:w="868" w:type="dxa"/>
                  <w:vAlign w:val="center"/>
                </w:tcPr>
                <w:p w14:paraId="5CF635BF">
                  <w:pPr>
                    <w:pStyle w:val="42"/>
                  </w:pPr>
                  <w:r>
                    <w:rPr>
                      <w:rFonts w:hint="eastAsia"/>
                    </w:rPr>
                    <w:t>依托</w:t>
                  </w:r>
                </w:p>
              </w:tc>
            </w:tr>
            <w:tr w14:paraId="0AF6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6E7615C6">
                  <w:pPr>
                    <w:pStyle w:val="42"/>
                    <w:rPr>
                      <w:highlight w:val="yellow"/>
                    </w:rPr>
                  </w:pPr>
                </w:p>
              </w:tc>
              <w:tc>
                <w:tcPr>
                  <w:tcW w:w="793" w:type="dxa"/>
                  <w:vMerge w:val="continue"/>
                  <w:shd w:val="clear" w:color="auto" w:fill="auto"/>
                  <w:vAlign w:val="center"/>
                </w:tcPr>
                <w:p w14:paraId="432E4770">
                  <w:pPr>
                    <w:pStyle w:val="42"/>
                    <w:rPr>
                      <w:highlight w:val="yellow"/>
                    </w:rPr>
                  </w:pPr>
                </w:p>
              </w:tc>
              <w:tc>
                <w:tcPr>
                  <w:tcW w:w="1176" w:type="dxa"/>
                  <w:shd w:val="clear" w:color="auto" w:fill="auto"/>
                  <w:vAlign w:val="center"/>
                </w:tcPr>
                <w:p w14:paraId="61776CED">
                  <w:pPr>
                    <w:pStyle w:val="42"/>
                  </w:pPr>
                  <w:r>
                    <w:rPr>
                      <w:rFonts w:hint="eastAsia"/>
                    </w:rPr>
                    <w:t>供气</w:t>
                  </w:r>
                </w:p>
              </w:tc>
              <w:tc>
                <w:tcPr>
                  <w:tcW w:w="4819" w:type="dxa"/>
                  <w:shd w:val="clear" w:color="auto" w:fill="auto"/>
                  <w:vAlign w:val="center"/>
                </w:tcPr>
                <w:p w14:paraId="3D9AA6C0">
                  <w:pPr>
                    <w:pStyle w:val="42"/>
                  </w:pPr>
                  <w:r>
                    <w:rPr>
                      <w:rFonts w:hint="eastAsia"/>
                    </w:rPr>
                    <w:t>项目使用的蒸汽依托广西华谊能源化工有限公司供给，蒸汽来自国投钦州发电有限公司</w:t>
                  </w:r>
                </w:p>
              </w:tc>
              <w:tc>
                <w:tcPr>
                  <w:tcW w:w="868" w:type="dxa"/>
                  <w:vAlign w:val="center"/>
                </w:tcPr>
                <w:p w14:paraId="70FBE7BE">
                  <w:pPr>
                    <w:pStyle w:val="42"/>
                  </w:pPr>
                  <w:r>
                    <w:rPr>
                      <w:rFonts w:hint="eastAsia"/>
                    </w:rPr>
                    <w:t>依托</w:t>
                  </w:r>
                </w:p>
              </w:tc>
            </w:tr>
            <w:tr w14:paraId="78A5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273F4FF6">
                  <w:pPr>
                    <w:pStyle w:val="42"/>
                    <w:rPr>
                      <w:highlight w:val="yellow"/>
                    </w:rPr>
                  </w:pPr>
                </w:p>
              </w:tc>
              <w:tc>
                <w:tcPr>
                  <w:tcW w:w="793" w:type="dxa"/>
                  <w:vMerge w:val="continue"/>
                  <w:shd w:val="clear" w:color="auto" w:fill="auto"/>
                  <w:vAlign w:val="center"/>
                </w:tcPr>
                <w:p w14:paraId="42EB67BC">
                  <w:pPr>
                    <w:pStyle w:val="42"/>
                    <w:rPr>
                      <w:highlight w:val="yellow"/>
                    </w:rPr>
                  </w:pPr>
                </w:p>
              </w:tc>
              <w:tc>
                <w:tcPr>
                  <w:tcW w:w="1176" w:type="dxa"/>
                  <w:shd w:val="clear" w:color="auto" w:fill="auto"/>
                  <w:vAlign w:val="center"/>
                </w:tcPr>
                <w:p w14:paraId="5BF76931">
                  <w:pPr>
                    <w:pStyle w:val="42"/>
                  </w:pPr>
                  <w:r>
                    <w:rPr>
                      <w:rFonts w:hint="eastAsia"/>
                    </w:rPr>
                    <w:t>排水</w:t>
                  </w:r>
                </w:p>
              </w:tc>
              <w:tc>
                <w:tcPr>
                  <w:tcW w:w="4819" w:type="dxa"/>
                  <w:shd w:val="clear" w:color="auto" w:fill="auto"/>
                  <w:vAlign w:val="center"/>
                </w:tcPr>
                <w:p w14:paraId="3D8B6B18">
                  <w:pPr>
                    <w:pStyle w:val="42"/>
                    <w:rPr>
                      <w:highlight w:val="yellow"/>
                    </w:rPr>
                  </w:pPr>
                  <w:r>
                    <w:rPr>
                      <w:rFonts w:hint="eastAsia"/>
                    </w:rPr>
                    <w:t>项目外排的循环冷却水依托广西天宜环境科技有限公司污水处理厂项目（一期工程）处理；生活污水依托国投钦州发电有限公司生活污水处理系统处理</w:t>
                  </w:r>
                </w:p>
              </w:tc>
              <w:tc>
                <w:tcPr>
                  <w:tcW w:w="868" w:type="dxa"/>
                  <w:vAlign w:val="center"/>
                </w:tcPr>
                <w:p w14:paraId="28985FF2">
                  <w:pPr>
                    <w:pStyle w:val="42"/>
                  </w:pPr>
                  <w:r>
                    <w:rPr>
                      <w:rFonts w:hint="eastAsia"/>
                    </w:rPr>
                    <w:t>依托</w:t>
                  </w:r>
                </w:p>
              </w:tc>
            </w:tr>
            <w:tr w14:paraId="6123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77" w:type="dxa"/>
                  <w:vMerge w:val="restart"/>
                  <w:shd w:val="clear" w:color="auto" w:fill="auto"/>
                  <w:vAlign w:val="center"/>
                </w:tcPr>
                <w:p w14:paraId="0323942A">
                  <w:pPr>
                    <w:pStyle w:val="42"/>
                  </w:pPr>
                  <w:r>
                    <w:rPr>
                      <w:rFonts w:hint="eastAsia"/>
                    </w:rPr>
                    <w:t>5</w:t>
                  </w:r>
                </w:p>
              </w:tc>
              <w:tc>
                <w:tcPr>
                  <w:tcW w:w="793" w:type="dxa"/>
                  <w:vMerge w:val="restart"/>
                  <w:shd w:val="clear" w:color="auto" w:fill="auto"/>
                  <w:vAlign w:val="center"/>
                </w:tcPr>
                <w:p w14:paraId="06F7B267">
                  <w:pPr>
                    <w:pStyle w:val="42"/>
                  </w:pPr>
                  <w:r>
                    <w:rPr>
                      <w:rFonts w:hint="eastAsia"/>
                    </w:rPr>
                    <w:t>环保工程</w:t>
                  </w:r>
                </w:p>
              </w:tc>
              <w:tc>
                <w:tcPr>
                  <w:tcW w:w="1176" w:type="dxa"/>
                  <w:shd w:val="clear" w:color="auto" w:fill="auto"/>
                  <w:vAlign w:val="center"/>
                </w:tcPr>
                <w:p w14:paraId="6783D429">
                  <w:pPr>
                    <w:pStyle w:val="42"/>
                  </w:pPr>
                  <w:r>
                    <w:rPr>
                      <w:rFonts w:hint="eastAsia"/>
                    </w:rPr>
                    <w:t>废气</w:t>
                  </w:r>
                </w:p>
              </w:tc>
              <w:tc>
                <w:tcPr>
                  <w:tcW w:w="4819" w:type="dxa"/>
                  <w:shd w:val="clear" w:color="auto" w:fill="auto"/>
                  <w:vAlign w:val="center"/>
                </w:tcPr>
                <w:p w14:paraId="476F2950">
                  <w:pPr>
                    <w:pStyle w:val="42"/>
                  </w:pPr>
                  <w:r>
                    <w:rPr>
                      <w:rFonts w:hint="eastAsia"/>
                    </w:rPr>
                    <w:t>项目运营期无废气产生</w:t>
                  </w:r>
                </w:p>
              </w:tc>
              <w:tc>
                <w:tcPr>
                  <w:tcW w:w="868" w:type="dxa"/>
                  <w:vAlign w:val="center"/>
                </w:tcPr>
                <w:p w14:paraId="0E90B95B">
                  <w:pPr>
                    <w:pStyle w:val="42"/>
                  </w:pPr>
                  <w:r>
                    <w:rPr>
                      <w:rFonts w:hint="eastAsia"/>
                    </w:rPr>
                    <w:t>—</w:t>
                  </w:r>
                </w:p>
              </w:tc>
            </w:tr>
            <w:tr w14:paraId="3727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2F308FF7">
                  <w:pPr>
                    <w:pStyle w:val="42"/>
                    <w:rPr>
                      <w:highlight w:val="yellow"/>
                    </w:rPr>
                  </w:pPr>
                </w:p>
              </w:tc>
              <w:tc>
                <w:tcPr>
                  <w:tcW w:w="793" w:type="dxa"/>
                  <w:vMerge w:val="continue"/>
                  <w:shd w:val="clear" w:color="auto" w:fill="auto"/>
                  <w:vAlign w:val="center"/>
                </w:tcPr>
                <w:p w14:paraId="750FB837">
                  <w:pPr>
                    <w:pStyle w:val="42"/>
                    <w:rPr>
                      <w:highlight w:val="yellow"/>
                    </w:rPr>
                  </w:pPr>
                </w:p>
              </w:tc>
              <w:tc>
                <w:tcPr>
                  <w:tcW w:w="1176" w:type="dxa"/>
                  <w:shd w:val="clear" w:color="auto" w:fill="auto"/>
                  <w:vAlign w:val="center"/>
                </w:tcPr>
                <w:p w14:paraId="771B0CBD">
                  <w:pPr>
                    <w:pStyle w:val="42"/>
                  </w:pPr>
                  <w:r>
                    <w:rPr>
                      <w:rFonts w:hint="eastAsia"/>
                    </w:rPr>
                    <w:t>废水</w:t>
                  </w:r>
                </w:p>
              </w:tc>
              <w:tc>
                <w:tcPr>
                  <w:tcW w:w="4819" w:type="dxa"/>
                  <w:shd w:val="clear" w:color="auto" w:fill="auto"/>
                  <w:vAlign w:val="center"/>
                </w:tcPr>
                <w:p w14:paraId="63C4AB1D">
                  <w:pPr>
                    <w:pStyle w:val="42"/>
                    <w:jc w:val="both"/>
                  </w:pPr>
                  <w:r>
                    <w:rPr>
                      <w:rFonts w:hint="eastAsia"/>
                    </w:rPr>
                    <w:t>生产废水：项目运营期循环水系统排放少量废水，外排废水依托广西天宜环境科技有限公司污水处理厂项目（一期工程）处理；</w:t>
                  </w:r>
                </w:p>
                <w:p w14:paraId="0AE56C80">
                  <w:pPr>
                    <w:pStyle w:val="42"/>
                    <w:jc w:val="both"/>
                    <w:rPr>
                      <w:highlight w:val="yellow"/>
                    </w:rPr>
                  </w:pPr>
                  <w:r>
                    <w:rPr>
                      <w:rFonts w:hint="eastAsia"/>
                    </w:rPr>
                    <w:t>生活污水：项目新增劳动定员5人，新增生活污水依托国投钦州发电有限公司生活污水处理系统处理。</w:t>
                  </w:r>
                </w:p>
              </w:tc>
              <w:tc>
                <w:tcPr>
                  <w:tcW w:w="868" w:type="dxa"/>
                  <w:vAlign w:val="center"/>
                </w:tcPr>
                <w:p w14:paraId="1E8032BC">
                  <w:pPr>
                    <w:pStyle w:val="42"/>
                  </w:pPr>
                  <w:r>
                    <w:rPr>
                      <w:rFonts w:hint="eastAsia"/>
                    </w:rPr>
                    <w:t>依托</w:t>
                  </w:r>
                </w:p>
              </w:tc>
            </w:tr>
            <w:tr w14:paraId="25F5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70443BE0">
                  <w:pPr>
                    <w:pStyle w:val="42"/>
                    <w:rPr>
                      <w:highlight w:val="yellow"/>
                    </w:rPr>
                  </w:pPr>
                </w:p>
              </w:tc>
              <w:tc>
                <w:tcPr>
                  <w:tcW w:w="793" w:type="dxa"/>
                  <w:vMerge w:val="continue"/>
                  <w:shd w:val="clear" w:color="auto" w:fill="auto"/>
                  <w:vAlign w:val="center"/>
                </w:tcPr>
                <w:p w14:paraId="04B9E9A7">
                  <w:pPr>
                    <w:pStyle w:val="42"/>
                    <w:rPr>
                      <w:highlight w:val="yellow"/>
                    </w:rPr>
                  </w:pPr>
                </w:p>
              </w:tc>
              <w:tc>
                <w:tcPr>
                  <w:tcW w:w="1176" w:type="dxa"/>
                  <w:shd w:val="clear" w:color="auto" w:fill="auto"/>
                  <w:vAlign w:val="center"/>
                </w:tcPr>
                <w:p w14:paraId="6B456715">
                  <w:pPr>
                    <w:pStyle w:val="42"/>
                  </w:pPr>
                  <w:r>
                    <w:rPr>
                      <w:rFonts w:hint="eastAsia"/>
                    </w:rPr>
                    <w:t>噪声</w:t>
                  </w:r>
                </w:p>
              </w:tc>
              <w:tc>
                <w:tcPr>
                  <w:tcW w:w="4819" w:type="dxa"/>
                  <w:shd w:val="clear" w:color="auto" w:fill="auto"/>
                  <w:vAlign w:val="center"/>
                </w:tcPr>
                <w:p w14:paraId="60909267">
                  <w:pPr>
                    <w:pStyle w:val="42"/>
                  </w:pPr>
                  <w:r>
                    <w:rPr>
                      <w:rFonts w:hint="eastAsia"/>
                    </w:rPr>
                    <w:t>采取优先选用低噪声设备、基础减振、建筑隔声、距离衰减、四周绿化等措施</w:t>
                  </w:r>
                </w:p>
              </w:tc>
              <w:tc>
                <w:tcPr>
                  <w:tcW w:w="868" w:type="dxa"/>
                  <w:vAlign w:val="center"/>
                </w:tcPr>
                <w:p w14:paraId="254D6A56">
                  <w:pPr>
                    <w:pStyle w:val="42"/>
                  </w:pPr>
                  <w:r>
                    <w:rPr>
                      <w:rFonts w:hint="eastAsia"/>
                    </w:rPr>
                    <w:t>新建</w:t>
                  </w:r>
                </w:p>
              </w:tc>
            </w:tr>
            <w:tr w14:paraId="47D5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7" w:type="dxa"/>
                  <w:vMerge w:val="continue"/>
                  <w:shd w:val="clear" w:color="auto" w:fill="auto"/>
                  <w:vAlign w:val="center"/>
                </w:tcPr>
                <w:p w14:paraId="4AF80C05">
                  <w:pPr>
                    <w:pStyle w:val="42"/>
                    <w:rPr>
                      <w:highlight w:val="yellow"/>
                    </w:rPr>
                  </w:pPr>
                </w:p>
              </w:tc>
              <w:tc>
                <w:tcPr>
                  <w:tcW w:w="793" w:type="dxa"/>
                  <w:vMerge w:val="continue"/>
                  <w:shd w:val="clear" w:color="auto" w:fill="auto"/>
                  <w:vAlign w:val="center"/>
                </w:tcPr>
                <w:p w14:paraId="28F1EA58">
                  <w:pPr>
                    <w:pStyle w:val="42"/>
                    <w:rPr>
                      <w:highlight w:val="yellow"/>
                    </w:rPr>
                  </w:pPr>
                </w:p>
              </w:tc>
              <w:tc>
                <w:tcPr>
                  <w:tcW w:w="1176" w:type="dxa"/>
                  <w:shd w:val="clear" w:color="auto" w:fill="auto"/>
                  <w:vAlign w:val="center"/>
                </w:tcPr>
                <w:p w14:paraId="63B7F33B">
                  <w:pPr>
                    <w:pStyle w:val="42"/>
                  </w:pPr>
                  <w:r>
                    <w:rPr>
                      <w:rFonts w:hint="eastAsia"/>
                    </w:rPr>
                    <w:t>固废</w:t>
                  </w:r>
                </w:p>
              </w:tc>
              <w:tc>
                <w:tcPr>
                  <w:tcW w:w="4819" w:type="dxa"/>
                  <w:shd w:val="clear" w:color="auto" w:fill="auto"/>
                  <w:vAlign w:val="center"/>
                </w:tcPr>
                <w:p w14:paraId="22FB004B">
                  <w:pPr>
                    <w:pStyle w:val="42"/>
                  </w:pPr>
                  <w:r>
                    <w:rPr>
                      <w:rFonts w:hint="eastAsia"/>
                    </w:rPr>
                    <w:t>废机油及含油抹布、手套等暂存于现有危废暂存间，定期委托有资质单位进行处置；新增劳动定员5人，新增生活垃圾统一收集后由当地环卫部门定期清运</w:t>
                  </w:r>
                </w:p>
              </w:tc>
              <w:tc>
                <w:tcPr>
                  <w:tcW w:w="868" w:type="dxa"/>
                  <w:vAlign w:val="center"/>
                </w:tcPr>
                <w:p w14:paraId="1246F944">
                  <w:pPr>
                    <w:pStyle w:val="42"/>
                  </w:pPr>
                  <w:r>
                    <w:rPr>
                      <w:rFonts w:hint="eastAsia"/>
                    </w:rPr>
                    <w:t>依托</w:t>
                  </w:r>
                </w:p>
              </w:tc>
            </w:tr>
          </w:tbl>
          <w:p w14:paraId="61A24AA9">
            <w:pPr>
              <w:pStyle w:val="41"/>
              <w:ind w:firstLine="482"/>
              <w:jc w:val="both"/>
              <w:rPr>
                <w:b/>
                <w:bCs/>
              </w:rPr>
            </w:pPr>
            <w:r>
              <w:rPr>
                <w:rFonts w:hint="eastAsia"/>
                <w:b/>
                <w:bCs/>
              </w:rPr>
              <w:t>2主要设备及原辅材料使用情况</w:t>
            </w:r>
          </w:p>
          <w:p w14:paraId="2A172E55">
            <w:pPr>
              <w:pStyle w:val="41"/>
              <w:ind w:firstLine="480"/>
              <w:jc w:val="both"/>
            </w:pPr>
            <w:r>
              <w:rPr>
                <w:rFonts w:hint="eastAsia"/>
              </w:rPr>
              <w:t>项目主要设备及原辅材料使用情况见</w:t>
            </w:r>
            <w:r>
              <w:fldChar w:fldCharType="begin"/>
            </w:r>
            <w:r>
              <w:instrText xml:space="preserve"> </w:instrText>
            </w:r>
            <w:r>
              <w:rPr>
                <w:rFonts w:hint="eastAsia"/>
              </w:rPr>
              <w:instrText xml:space="preserve">REF _Ref171693333 \r \h</w:instrText>
            </w:r>
            <w:r>
              <w:instrText xml:space="preserve"> </w:instrText>
            </w:r>
            <w:r>
              <w:fldChar w:fldCharType="separate"/>
            </w:r>
            <w:r>
              <w:rPr>
                <w:rFonts w:hint="eastAsia"/>
              </w:rPr>
              <w:t>表2-2</w:t>
            </w:r>
            <w:r>
              <w:fldChar w:fldCharType="end"/>
            </w:r>
            <w:r>
              <w:rPr>
                <w:rFonts w:hint="eastAsia"/>
              </w:rPr>
              <w:t>及</w:t>
            </w:r>
            <w:r>
              <w:fldChar w:fldCharType="begin"/>
            </w:r>
            <w:r>
              <w:instrText xml:space="preserve"> REF _Ref171693336 \r \h </w:instrText>
            </w:r>
            <w:r>
              <w:fldChar w:fldCharType="separate"/>
            </w:r>
            <w:r>
              <w:rPr>
                <w:rFonts w:hint="eastAsia"/>
              </w:rPr>
              <w:t>表2-3</w:t>
            </w:r>
            <w:r>
              <w:fldChar w:fldCharType="end"/>
            </w:r>
            <w:r>
              <w:rPr>
                <w:rFonts w:hint="eastAsia"/>
              </w:rPr>
              <w:t>。</w:t>
            </w:r>
          </w:p>
          <w:p w14:paraId="56592CCC">
            <w:pPr>
              <w:pStyle w:val="41"/>
              <w:numPr>
                <w:ilvl w:val="0"/>
                <w:numId w:val="5"/>
              </w:numPr>
              <w:spacing w:line="240" w:lineRule="auto"/>
              <w:ind w:left="0" w:firstLine="0" w:firstLineChars="0"/>
              <w:jc w:val="center"/>
              <w:rPr>
                <w:b/>
                <w:bCs/>
                <w:sz w:val="21"/>
                <w:szCs w:val="21"/>
              </w:rPr>
            </w:pPr>
            <w:bookmarkStart w:id="24" w:name="_Ref171693333"/>
            <w:r>
              <w:rPr>
                <w:rFonts w:hint="eastAsia"/>
                <w:b/>
                <w:bCs/>
                <w:sz w:val="21"/>
                <w:szCs w:val="21"/>
              </w:rPr>
              <w:t>主要设备一览表</w:t>
            </w:r>
            <w:bookmarkEnd w:id="2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84"/>
              <w:gridCol w:w="3686"/>
              <w:gridCol w:w="992"/>
              <w:gridCol w:w="762"/>
            </w:tblGrid>
            <w:tr w14:paraId="53F1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0" w:type="dxa"/>
                  <w:vAlign w:val="center"/>
                </w:tcPr>
                <w:p w14:paraId="3618779C">
                  <w:pPr>
                    <w:pStyle w:val="42"/>
                    <w:rPr>
                      <w:b/>
                      <w:bCs/>
                    </w:rPr>
                  </w:pPr>
                  <w:r>
                    <w:rPr>
                      <w:rFonts w:hint="eastAsia"/>
                      <w:b/>
                      <w:bCs/>
                    </w:rPr>
                    <w:t>序号</w:t>
                  </w:r>
                </w:p>
              </w:tc>
              <w:tc>
                <w:tcPr>
                  <w:tcW w:w="1984" w:type="dxa"/>
                  <w:vAlign w:val="center"/>
                </w:tcPr>
                <w:p w14:paraId="63B16BEB">
                  <w:pPr>
                    <w:pStyle w:val="42"/>
                    <w:rPr>
                      <w:b/>
                      <w:bCs/>
                    </w:rPr>
                  </w:pPr>
                  <w:r>
                    <w:rPr>
                      <w:rFonts w:hint="eastAsia"/>
                      <w:b/>
                      <w:bCs/>
                    </w:rPr>
                    <w:t>设备名称</w:t>
                  </w:r>
                </w:p>
              </w:tc>
              <w:tc>
                <w:tcPr>
                  <w:tcW w:w="3686" w:type="dxa"/>
                  <w:vAlign w:val="center"/>
                </w:tcPr>
                <w:p w14:paraId="288604D1">
                  <w:pPr>
                    <w:pStyle w:val="42"/>
                    <w:rPr>
                      <w:b/>
                      <w:bCs/>
                    </w:rPr>
                  </w:pPr>
                  <w:r>
                    <w:rPr>
                      <w:rFonts w:hint="eastAsia"/>
                      <w:b/>
                      <w:bCs/>
                    </w:rPr>
                    <w:t>规格型号参数</w:t>
                  </w:r>
                </w:p>
              </w:tc>
              <w:tc>
                <w:tcPr>
                  <w:tcW w:w="992" w:type="dxa"/>
                  <w:vAlign w:val="center"/>
                </w:tcPr>
                <w:p w14:paraId="387395BA">
                  <w:pPr>
                    <w:pStyle w:val="42"/>
                    <w:rPr>
                      <w:b/>
                      <w:bCs/>
                    </w:rPr>
                  </w:pPr>
                  <w:r>
                    <w:rPr>
                      <w:rFonts w:hint="eastAsia"/>
                      <w:b/>
                      <w:bCs/>
                    </w:rPr>
                    <w:t>材质</w:t>
                  </w:r>
                </w:p>
              </w:tc>
              <w:tc>
                <w:tcPr>
                  <w:tcW w:w="762" w:type="dxa"/>
                  <w:vAlign w:val="center"/>
                </w:tcPr>
                <w:p w14:paraId="4543C534">
                  <w:pPr>
                    <w:pStyle w:val="42"/>
                    <w:rPr>
                      <w:b/>
                      <w:bCs/>
                    </w:rPr>
                  </w:pPr>
                  <w:r>
                    <w:rPr>
                      <w:rFonts w:hint="eastAsia"/>
                      <w:b/>
                      <w:bCs/>
                    </w:rPr>
                    <w:t>数量</w:t>
                  </w:r>
                </w:p>
              </w:tc>
            </w:tr>
            <w:tr w14:paraId="3B82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9DA7F41">
                  <w:pPr>
                    <w:pStyle w:val="42"/>
                  </w:pPr>
                </w:p>
              </w:tc>
              <w:tc>
                <w:tcPr>
                  <w:tcW w:w="1984" w:type="dxa"/>
                  <w:vAlign w:val="center"/>
                </w:tcPr>
                <w:p w14:paraId="7E50DE44">
                  <w:pPr>
                    <w:pStyle w:val="42"/>
                  </w:pPr>
                </w:p>
              </w:tc>
              <w:tc>
                <w:tcPr>
                  <w:tcW w:w="3686" w:type="dxa"/>
                  <w:vAlign w:val="center"/>
                </w:tcPr>
                <w:p w14:paraId="64E44DB0">
                  <w:pPr>
                    <w:pStyle w:val="42"/>
                  </w:pPr>
                </w:p>
              </w:tc>
              <w:tc>
                <w:tcPr>
                  <w:tcW w:w="992" w:type="dxa"/>
                  <w:vAlign w:val="center"/>
                </w:tcPr>
                <w:p w14:paraId="041635A8">
                  <w:pPr>
                    <w:pStyle w:val="42"/>
                  </w:pPr>
                </w:p>
              </w:tc>
              <w:tc>
                <w:tcPr>
                  <w:tcW w:w="762" w:type="dxa"/>
                  <w:vAlign w:val="center"/>
                </w:tcPr>
                <w:p w14:paraId="63151990">
                  <w:pPr>
                    <w:pStyle w:val="42"/>
                  </w:pPr>
                </w:p>
              </w:tc>
            </w:tr>
            <w:tr w14:paraId="6055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BFEFD89">
                  <w:pPr>
                    <w:pStyle w:val="42"/>
                  </w:pPr>
                </w:p>
              </w:tc>
              <w:tc>
                <w:tcPr>
                  <w:tcW w:w="1984" w:type="dxa"/>
                  <w:vAlign w:val="center"/>
                </w:tcPr>
                <w:p w14:paraId="20513DA6">
                  <w:pPr>
                    <w:pStyle w:val="42"/>
                  </w:pPr>
                </w:p>
              </w:tc>
              <w:tc>
                <w:tcPr>
                  <w:tcW w:w="3686" w:type="dxa"/>
                  <w:vAlign w:val="center"/>
                </w:tcPr>
                <w:p w14:paraId="6A8BBE45">
                  <w:pPr>
                    <w:pStyle w:val="42"/>
                  </w:pPr>
                </w:p>
              </w:tc>
              <w:tc>
                <w:tcPr>
                  <w:tcW w:w="992" w:type="dxa"/>
                  <w:vAlign w:val="center"/>
                </w:tcPr>
                <w:p w14:paraId="0E0F5D92">
                  <w:pPr>
                    <w:pStyle w:val="42"/>
                  </w:pPr>
                </w:p>
              </w:tc>
              <w:tc>
                <w:tcPr>
                  <w:tcW w:w="762" w:type="dxa"/>
                  <w:vAlign w:val="center"/>
                </w:tcPr>
                <w:p w14:paraId="7E857138">
                  <w:pPr>
                    <w:pStyle w:val="42"/>
                  </w:pPr>
                </w:p>
              </w:tc>
            </w:tr>
            <w:tr w14:paraId="2E3D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466836D5">
                  <w:pPr>
                    <w:pStyle w:val="42"/>
                  </w:pPr>
                </w:p>
              </w:tc>
              <w:tc>
                <w:tcPr>
                  <w:tcW w:w="1984" w:type="dxa"/>
                  <w:vAlign w:val="center"/>
                </w:tcPr>
                <w:p w14:paraId="270C7461">
                  <w:pPr>
                    <w:pStyle w:val="42"/>
                  </w:pPr>
                </w:p>
              </w:tc>
              <w:tc>
                <w:tcPr>
                  <w:tcW w:w="3686" w:type="dxa"/>
                  <w:vAlign w:val="center"/>
                </w:tcPr>
                <w:p w14:paraId="23D96F67">
                  <w:pPr>
                    <w:pStyle w:val="42"/>
                  </w:pPr>
                </w:p>
              </w:tc>
              <w:tc>
                <w:tcPr>
                  <w:tcW w:w="992" w:type="dxa"/>
                  <w:vAlign w:val="center"/>
                </w:tcPr>
                <w:p w14:paraId="679384CD">
                  <w:pPr>
                    <w:pStyle w:val="42"/>
                  </w:pPr>
                </w:p>
              </w:tc>
              <w:tc>
                <w:tcPr>
                  <w:tcW w:w="762" w:type="dxa"/>
                  <w:vAlign w:val="center"/>
                </w:tcPr>
                <w:p w14:paraId="215AAA21">
                  <w:pPr>
                    <w:pStyle w:val="42"/>
                  </w:pPr>
                </w:p>
              </w:tc>
            </w:tr>
            <w:tr w14:paraId="2514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083AC96D">
                  <w:pPr>
                    <w:pStyle w:val="42"/>
                  </w:pPr>
                </w:p>
              </w:tc>
              <w:tc>
                <w:tcPr>
                  <w:tcW w:w="1984" w:type="dxa"/>
                  <w:vAlign w:val="center"/>
                </w:tcPr>
                <w:p w14:paraId="524E1C16">
                  <w:pPr>
                    <w:pStyle w:val="42"/>
                  </w:pPr>
                </w:p>
              </w:tc>
              <w:tc>
                <w:tcPr>
                  <w:tcW w:w="3686" w:type="dxa"/>
                  <w:vAlign w:val="center"/>
                </w:tcPr>
                <w:p w14:paraId="19984865">
                  <w:pPr>
                    <w:pStyle w:val="42"/>
                  </w:pPr>
                </w:p>
              </w:tc>
              <w:tc>
                <w:tcPr>
                  <w:tcW w:w="992" w:type="dxa"/>
                  <w:vAlign w:val="center"/>
                </w:tcPr>
                <w:p w14:paraId="021DFA5A">
                  <w:pPr>
                    <w:pStyle w:val="42"/>
                  </w:pPr>
                </w:p>
              </w:tc>
              <w:tc>
                <w:tcPr>
                  <w:tcW w:w="762" w:type="dxa"/>
                  <w:vAlign w:val="center"/>
                </w:tcPr>
                <w:p w14:paraId="5319EFE3">
                  <w:pPr>
                    <w:pStyle w:val="42"/>
                  </w:pPr>
                </w:p>
              </w:tc>
            </w:tr>
            <w:tr w14:paraId="1D97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2891E71B">
                  <w:pPr>
                    <w:pStyle w:val="42"/>
                  </w:pPr>
                </w:p>
              </w:tc>
              <w:tc>
                <w:tcPr>
                  <w:tcW w:w="1984" w:type="dxa"/>
                  <w:vAlign w:val="center"/>
                </w:tcPr>
                <w:p w14:paraId="005BAD49">
                  <w:pPr>
                    <w:pStyle w:val="42"/>
                  </w:pPr>
                </w:p>
              </w:tc>
              <w:tc>
                <w:tcPr>
                  <w:tcW w:w="3686" w:type="dxa"/>
                  <w:vAlign w:val="center"/>
                </w:tcPr>
                <w:p w14:paraId="58137F04">
                  <w:pPr>
                    <w:pStyle w:val="42"/>
                  </w:pPr>
                </w:p>
              </w:tc>
              <w:tc>
                <w:tcPr>
                  <w:tcW w:w="992" w:type="dxa"/>
                  <w:vAlign w:val="center"/>
                </w:tcPr>
                <w:p w14:paraId="7EFCB0D1">
                  <w:pPr>
                    <w:pStyle w:val="42"/>
                  </w:pPr>
                </w:p>
              </w:tc>
              <w:tc>
                <w:tcPr>
                  <w:tcW w:w="762" w:type="dxa"/>
                  <w:vAlign w:val="center"/>
                </w:tcPr>
                <w:p w14:paraId="3F182D86">
                  <w:pPr>
                    <w:pStyle w:val="42"/>
                  </w:pPr>
                </w:p>
              </w:tc>
            </w:tr>
            <w:tr w14:paraId="3AFF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4EAE15DA">
                  <w:pPr>
                    <w:pStyle w:val="42"/>
                  </w:pPr>
                </w:p>
              </w:tc>
              <w:tc>
                <w:tcPr>
                  <w:tcW w:w="1984" w:type="dxa"/>
                  <w:vAlign w:val="center"/>
                </w:tcPr>
                <w:p w14:paraId="0789267D">
                  <w:pPr>
                    <w:pStyle w:val="42"/>
                  </w:pPr>
                </w:p>
              </w:tc>
              <w:tc>
                <w:tcPr>
                  <w:tcW w:w="3686" w:type="dxa"/>
                  <w:vAlign w:val="center"/>
                </w:tcPr>
                <w:p w14:paraId="3396382B">
                  <w:pPr>
                    <w:pStyle w:val="42"/>
                  </w:pPr>
                </w:p>
              </w:tc>
              <w:tc>
                <w:tcPr>
                  <w:tcW w:w="992" w:type="dxa"/>
                  <w:vAlign w:val="center"/>
                </w:tcPr>
                <w:p w14:paraId="24F58A49">
                  <w:pPr>
                    <w:pStyle w:val="42"/>
                  </w:pPr>
                </w:p>
              </w:tc>
              <w:tc>
                <w:tcPr>
                  <w:tcW w:w="762" w:type="dxa"/>
                  <w:vAlign w:val="center"/>
                </w:tcPr>
                <w:p w14:paraId="7AC6E2FD">
                  <w:pPr>
                    <w:pStyle w:val="42"/>
                  </w:pPr>
                </w:p>
              </w:tc>
            </w:tr>
            <w:tr w14:paraId="5AF6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4C658D9">
                  <w:pPr>
                    <w:pStyle w:val="42"/>
                  </w:pPr>
                </w:p>
              </w:tc>
              <w:tc>
                <w:tcPr>
                  <w:tcW w:w="1984" w:type="dxa"/>
                  <w:vAlign w:val="center"/>
                </w:tcPr>
                <w:p w14:paraId="284B6FEC">
                  <w:pPr>
                    <w:pStyle w:val="42"/>
                  </w:pPr>
                </w:p>
              </w:tc>
              <w:tc>
                <w:tcPr>
                  <w:tcW w:w="3686" w:type="dxa"/>
                  <w:vAlign w:val="center"/>
                </w:tcPr>
                <w:p w14:paraId="71118A92">
                  <w:pPr>
                    <w:pStyle w:val="42"/>
                  </w:pPr>
                </w:p>
              </w:tc>
              <w:tc>
                <w:tcPr>
                  <w:tcW w:w="992" w:type="dxa"/>
                  <w:vAlign w:val="center"/>
                </w:tcPr>
                <w:p w14:paraId="48FDFB13">
                  <w:pPr>
                    <w:pStyle w:val="42"/>
                  </w:pPr>
                </w:p>
              </w:tc>
              <w:tc>
                <w:tcPr>
                  <w:tcW w:w="762" w:type="dxa"/>
                  <w:vAlign w:val="center"/>
                </w:tcPr>
                <w:p w14:paraId="5295E171">
                  <w:pPr>
                    <w:pStyle w:val="42"/>
                  </w:pPr>
                </w:p>
              </w:tc>
            </w:tr>
            <w:tr w14:paraId="6FED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3ED4697E">
                  <w:pPr>
                    <w:pStyle w:val="42"/>
                  </w:pPr>
                </w:p>
              </w:tc>
              <w:tc>
                <w:tcPr>
                  <w:tcW w:w="1984" w:type="dxa"/>
                  <w:vAlign w:val="center"/>
                </w:tcPr>
                <w:p w14:paraId="75DFD37F">
                  <w:pPr>
                    <w:pStyle w:val="42"/>
                  </w:pPr>
                </w:p>
              </w:tc>
              <w:tc>
                <w:tcPr>
                  <w:tcW w:w="3686" w:type="dxa"/>
                  <w:vAlign w:val="center"/>
                </w:tcPr>
                <w:p w14:paraId="26C1AF57">
                  <w:pPr>
                    <w:pStyle w:val="42"/>
                  </w:pPr>
                </w:p>
              </w:tc>
              <w:tc>
                <w:tcPr>
                  <w:tcW w:w="992" w:type="dxa"/>
                  <w:vAlign w:val="center"/>
                </w:tcPr>
                <w:p w14:paraId="6F706E5A">
                  <w:pPr>
                    <w:pStyle w:val="42"/>
                  </w:pPr>
                </w:p>
              </w:tc>
              <w:tc>
                <w:tcPr>
                  <w:tcW w:w="762" w:type="dxa"/>
                  <w:vAlign w:val="center"/>
                </w:tcPr>
                <w:p w14:paraId="4746530E">
                  <w:pPr>
                    <w:pStyle w:val="42"/>
                  </w:pPr>
                </w:p>
              </w:tc>
            </w:tr>
            <w:tr w14:paraId="22DD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73B285AB">
                  <w:pPr>
                    <w:pStyle w:val="42"/>
                  </w:pPr>
                </w:p>
              </w:tc>
              <w:tc>
                <w:tcPr>
                  <w:tcW w:w="1984" w:type="dxa"/>
                  <w:vAlign w:val="center"/>
                </w:tcPr>
                <w:p w14:paraId="22BED7DA">
                  <w:pPr>
                    <w:pStyle w:val="42"/>
                  </w:pPr>
                </w:p>
              </w:tc>
              <w:tc>
                <w:tcPr>
                  <w:tcW w:w="3686" w:type="dxa"/>
                  <w:vAlign w:val="center"/>
                </w:tcPr>
                <w:p w14:paraId="0E6B7AE0">
                  <w:pPr>
                    <w:pStyle w:val="42"/>
                  </w:pPr>
                </w:p>
              </w:tc>
              <w:tc>
                <w:tcPr>
                  <w:tcW w:w="992" w:type="dxa"/>
                  <w:vAlign w:val="center"/>
                </w:tcPr>
                <w:p w14:paraId="4C558B16">
                  <w:pPr>
                    <w:pStyle w:val="42"/>
                  </w:pPr>
                </w:p>
              </w:tc>
              <w:tc>
                <w:tcPr>
                  <w:tcW w:w="762" w:type="dxa"/>
                  <w:vAlign w:val="center"/>
                </w:tcPr>
                <w:p w14:paraId="08C5AF2D">
                  <w:pPr>
                    <w:pStyle w:val="42"/>
                  </w:pPr>
                </w:p>
              </w:tc>
            </w:tr>
            <w:tr w14:paraId="0DF7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39944E06">
                  <w:pPr>
                    <w:pStyle w:val="42"/>
                  </w:pPr>
                </w:p>
              </w:tc>
              <w:tc>
                <w:tcPr>
                  <w:tcW w:w="1984" w:type="dxa"/>
                  <w:vAlign w:val="center"/>
                </w:tcPr>
                <w:p w14:paraId="098217BF">
                  <w:pPr>
                    <w:pStyle w:val="42"/>
                  </w:pPr>
                </w:p>
              </w:tc>
              <w:tc>
                <w:tcPr>
                  <w:tcW w:w="3686" w:type="dxa"/>
                  <w:vAlign w:val="center"/>
                </w:tcPr>
                <w:p w14:paraId="5ED5AC83">
                  <w:pPr>
                    <w:pStyle w:val="42"/>
                  </w:pPr>
                </w:p>
              </w:tc>
              <w:tc>
                <w:tcPr>
                  <w:tcW w:w="992" w:type="dxa"/>
                  <w:vAlign w:val="center"/>
                </w:tcPr>
                <w:p w14:paraId="46480B49">
                  <w:pPr>
                    <w:pStyle w:val="42"/>
                  </w:pPr>
                </w:p>
              </w:tc>
              <w:tc>
                <w:tcPr>
                  <w:tcW w:w="762" w:type="dxa"/>
                  <w:vAlign w:val="center"/>
                </w:tcPr>
                <w:p w14:paraId="54E5C65C">
                  <w:pPr>
                    <w:pStyle w:val="42"/>
                  </w:pPr>
                </w:p>
              </w:tc>
            </w:tr>
            <w:tr w14:paraId="697A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708C067B">
                  <w:pPr>
                    <w:pStyle w:val="42"/>
                  </w:pPr>
                </w:p>
              </w:tc>
              <w:tc>
                <w:tcPr>
                  <w:tcW w:w="1984" w:type="dxa"/>
                  <w:vAlign w:val="center"/>
                </w:tcPr>
                <w:p w14:paraId="46E18249">
                  <w:pPr>
                    <w:pStyle w:val="42"/>
                  </w:pPr>
                </w:p>
              </w:tc>
              <w:tc>
                <w:tcPr>
                  <w:tcW w:w="3686" w:type="dxa"/>
                  <w:vAlign w:val="center"/>
                </w:tcPr>
                <w:p w14:paraId="5450100C">
                  <w:pPr>
                    <w:pStyle w:val="42"/>
                  </w:pPr>
                </w:p>
              </w:tc>
              <w:tc>
                <w:tcPr>
                  <w:tcW w:w="992" w:type="dxa"/>
                  <w:vAlign w:val="center"/>
                </w:tcPr>
                <w:p w14:paraId="1E847AEC">
                  <w:pPr>
                    <w:pStyle w:val="42"/>
                  </w:pPr>
                </w:p>
              </w:tc>
              <w:tc>
                <w:tcPr>
                  <w:tcW w:w="762" w:type="dxa"/>
                  <w:vAlign w:val="center"/>
                </w:tcPr>
                <w:p w14:paraId="5B6C6C0D">
                  <w:pPr>
                    <w:pStyle w:val="42"/>
                  </w:pPr>
                </w:p>
              </w:tc>
            </w:tr>
          </w:tbl>
          <w:p w14:paraId="0AEC1F60">
            <w:pPr>
              <w:pStyle w:val="41"/>
              <w:numPr>
                <w:ilvl w:val="0"/>
                <w:numId w:val="5"/>
              </w:numPr>
              <w:spacing w:line="240" w:lineRule="auto"/>
              <w:ind w:left="0" w:firstLine="0" w:firstLineChars="0"/>
              <w:jc w:val="center"/>
              <w:rPr>
                <w:b/>
                <w:bCs/>
                <w:sz w:val="21"/>
                <w:szCs w:val="21"/>
              </w:rPr>
            </w:pPr>
            <w:bookmarkStart w:id="25" w:name="_Ref171693336"/>
            <w:r>
              <w:rPr>
                <w:rFonts w:hint="eastAsia"/>
                <w:b/>
                <w:bCs/>
                <w:sz w:val="21"/>
                <w:szCs w:val="21"/>
              </w:rPr>
              <w:t>项目主要原辅材料及动力消耗一览表</w:t>
            </w:r>
            <w:bookmarkEnd w:id="2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560"/>
              <w:gridCol w:w="850"/>
              <w:gridCol w:w="1134"/>
              <w:gridCol w:w="992"/>
              <w:gridCol w:w="2747"/>
            </w:tblGrid>
            <w:tr w14:paraId="661A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71" w:type="dxa"/>
                  <w:vAlign w:val="center"/>
                </w:tcPr>
                <w:p w14:paraId="1F7C5395">
                  <w:pPr>
                    <w:pStyle w:val="42"/>
                    <w:rPr>
                      <w:b/>
                      <w:bCs/>
                    </w:rPr>
                  </w:pPr>
                  <w:r>
                    <w:rPr>
                      <w:rFonts w:hint="eastAsia"/>
                      <w:b/>
                      <w:bCs/>
                    </w:rPr>
                    <w:t>序号</w:t>
                  </w:r>
                </w:p>
              </w:tc>
              <w:tc>
                <w:tcPr>
                  <w:tcW w:w="1560" w:type="dxa"/>
                  <w:vAlign w:val="center"/>
                </w:tcPr>
                <w:p w14:paraId="7F9F4D52">
                  <w:pPr>
                    <w:pStyle w:val="42"/>
                    <w:rPr>
                      <w:b/>
                      <w:bCs/>
                    </w:rPr>
                  </w:pPr>
                  <w:r>
                    <w:rPr>
                      <w:rFonts w:hint="eastAsia"/>
                      <w:b/>
                      <w:bCs/>
                    </w:rPr>
                    <w:t>产品名称</w:t>
                  </w:r>
                </w:p>
              </w:tc>
              <w:tc>
                <w:tcPr>
                  <w:tcW w:w="850" w:type="dxa"/>
                  <w:vAlign w:val="center"/>
                </w:tcPr>
                <w:p w14:paraId="1D664CF6">
                  <w:pPr>
                    <w:pStyle w:val="42"/>
                    <w:rPr>
                      <w:b/>
                      <w:bCs/>
                    </w:rPr>
                  </w:pPr>
                  <w:r>
                    <w:rPr>
                      <w:rFonts w:hint="eastAsia"/>
                      <w:b/>
                      <w:bCs/>
                    </w:rPr>
                    <w:t>规格</w:t>
                  </w:r>
                </w:p>
              </w:tc>
              <w:tc>
                <w:tcPr>
                  <w:tcW w:w="1134" w:type="dxa"/>
                  <w:vAlign w:val="center"/>
                </w:tcPr>
                <w:p w14:paraId="78A32ABE">
                  <w:pPr>
                    <w:pStyle w:val="42"/>
                    <w:rPr>
                      <w:b/>
                      <w:bCs/>
                    </w:rPr>
                  </w:pPr>
                  <w:r>
                    <w:rPr>
                      <w:rFonts w:hint="eastAsia"/>
                      <w:b/>
                      <w:bCs/>
                    </w:rPr>
                    <w:t>单位</w:t>
                  </w:r>
                </w:p>
              </w:tc>
              <w:tc>
                <w:tcPr>
                  <w:tcW w:w="992" w:type="dxa"/>
                  <w:vAlign w:val="center"/>
                </w:tcPr>
                <w:p w14:paraId="26ABAFC3">
                  <w:pPr>
                    <w:pStyle w:val="42"/>
                    <w:rPr>
                      <w:b/>
                      <w:bCs/>
                    </w:rPr>
                  </w:pPr>
                  <w:r>
                    <w:rPr>
                      <w:rFonts w:hint="eastAsia"/>
                      <w:b/>
                      <w:bCs/>
                    </w:rPr>
                    <w:t>消耗量</w:t>
                  </w:r>
                </w:p>
              </w:tc>
              <w:tc>
                <w:tcPr>
                  <w:tcW w:w="2747" w:type="dxa"/>
                  <w:vAlign w:val="center"/>
                </w:tcPr>
                <w:p w14:paraId="2382A5AE">
                  <w:pPr>
                    <w:pStyle w:val="42"/>
                    <w:rPr>
                      <w:b/>
                      <w:bCs/>
                    </w:rPr>
                  </w:pPr>
                  <w:r>
                    <w:rPr>
                      <w:rFonts w:hint="eastAsia"/>
                      <w:b/>
                      <w:bCs/>
                    </w:rPr>
                    <w:t>备注</w:t>
                  </w:r>
                </w:p>
              </w:tc>
            </w:tr>
            <w:tr w14:paraId="2A80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2E8C187E">
                  <w:pPr>
                    <w:pStyle w:val="42"/>
                    <w:rPr>
                      <w:b/>
                      <w:bCs/>
                    </w:rPr>
                  </w:pPr>
                </w:p>
              </w:tc>
              <w:tc>
                <w:tcPr>
                  <w:tcW w:w="1560" w:type="dxa"/>
                  <w:vAlign w:val="center"/>
                </w:tcPr>
                <w:p w14:paraId="4F9467FF">
                  <w:pPr>
                    <w:pStyle w:val="42"/>
                    <w:rPr>
                      <w:b/>
                      <w:bCs/>
                    </w:rPr>
                  </w:pPr>
                </w:p>
              </w:tc>
              <w:tc>
                <w:tcPr>
                  <w:tcW w:w="850" w:type="dxa"/>
                  <w:vAlign w:val="center"/>
                </w:tcPr>
                <w:p w14:paraId="0B6693C2">
                  <w:pPr>
                    <w:pStyle w:val="42"/>
                  </w:pPr>
                </w:p>
              </w:tc>
              <w:tc>
                <w:tcPr>
                  <w:tcW w:w="1134" w:type="dxa"/>
                  <w:vAlign w:val="center"/>
                </w:tcPr>
                <w:p w14:paraId="793F1F16">
                  <w:pPr>
                    <w:pStyle w:val="42"/>
                  </w:pPr>
                </w:p>
              </w:tc>
              <w:tc>
                <w:tcPr>
                  <w:tcW w:w="992" w:type="dxa"/>
                  <w:vAlign w:val="center"/>
                </w:tcPr>
                <w:p w14:paraId="0598963E">
                  <w:pPr>
                    <w:pStyle w:val="42"/>
                  </w:pPr>
                </w:p>
              </w:tc>
              <w:tc>
                <w:tcPr>
                  <w:tcW w:w="2747" w:type="dxa"/>
                  <w:vAlign w:val="center"/>
                </w:tcPr>
                <w:p w14:paraId="49C876C1">
                  <w:pPr>
                    <w:pStyle w:val="42"/>
                  </w:pPr>
                </w:p>
              </w:tc>
            </w:tr>
            <w:tr w14:paraId="7059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2488F488">
                  <w:pPr>
                    <w:pStyle w:val="42"/>
                  </w:pPr>
                </w:p>
              </w:tc>
              <w:tc>
                <w:tcPr>
                  <w:tcW w:w="1560" w:type="dxa"/>
                  <w:vAlign w:val="center"/>
                </w:tcPr>
                <w:p w14:paraId="3519B968">
                  <w:pPr>
                    <w:pStyle w:val="42"/>
                  </w:pPr>
                </w:p>
              </w:tc>
              <w:tc>
                <w:tcPr>
                  <w:tcW w:w="850" w:type="dxa"/>
                  <w:vAlign w:val="center"/>
                </w:tcPr>
                <w:p w14:paraId="36EAA6DE">
                  <w:pPr>
                    <w:pStyle w:val="42"/>
                  </w:pPr>
                </w:p>
              </w:tc>
              <w:tc>
                <w:tcPr>
                  <w:tcW w:w="1134" w:type="dxa"/>
                  <w:vAlign w:val="center"/>
                </w:tcPr>
                <w:p w14:paraId="6310758D">
                  <w:pPr>
                    <w:pStyle w:val="42"/>
                  </w:pPr>
                </w:p>
              </w:tc>
              <w:tc>
                <w:tcPr>
                  <w:tcW w:w="992" w:type="dxa"/>
                  <w:vAlign w:val="center"/>
                </w:tcPr>
                <w:p w14:paraId="097A9970">
                  <w:pPr>
                    <w:pStyle w:val="42"/>
                  </w:pPr>
                </w:p>
              </w:tc>
              <w:tc>
                <w:tcPr>
                  <w:tcW w:w="2747" w:type="dxa"/>
                </w:tcPr>
                <w:p w14:paraId="3F5D10CA">
                  <w:pPr>
                    <w:pStyle w:val="42"/>
                  </w:pPr>
                </w:p>
              </w:tc>
            </w:tr>
            <w:tr w14:paraId="61D7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4488F766">
                  <w:pPr>
                    <w:pStyle w:val="42"/>
                    <w:rPr>
                      <w:b/>
                      <w:bCs/>
                    </w:rPr>
                  </w:pPr>
                </w:p>
              </w:tc>
              <w:tc>
                <w:tcPr>
                  <w:tcW w:w="1560" w:type="dxa"/>
                  <w:vAlign w:val="center"/>
                </w:tcPr>
                <w:p w14:paraId="5587D068">
                  <w:pPr>
                    <w:pStyle w:val="42"/>
                    <w:rPr>
                      <w:b/>
                      <w:bCs/>
                    </w:rPr>
                  </w:pPr>
                </w:p>
              </w:tc>
              <w:tc>
                <w:tcPr>
                  <w:tcW w:w="850" w:type="dxa"/>
                  <w:vAlign w:val="center"/>
                </w:tcPr>
                <w:p w14:paraId="56530324">
                  <w:pPr>
                    <w:pStyle w:val="42"/>
                  </w:pPr>
                </w:p>
              </w:tc>
              <w:tc>
                <w:tcPr>
                  <w:tcW w:w="1134" w:type="dxa"/>
                  <w:vAlign w:val="center"/>
                </w:tcPr>
                <w:p w14:paraId="49AC625B">
                  <w:pPr>
                    <w:pStyle w:val="42"/>
                  </w:pPr>
                </w:p>
              </w:tc>
              <w:tc>
                <w:tcPr>
                  <w:tcW w:w="992" w:type="dxa"/>
                  <w:vAlign w:val="center"/>
                </w:tcPr>
                <w:p w14:paraId="75461492">
                  <w:pPr>
                    <w:pStyle w:val="42"/>
                  </w:pPr>
                </w:p>
              </w:tc>
              <w:tc>
                <w:tcPr>
                  <w:tcW w:w="2747" w:type="dxa"/>
                  <w:vAlign w:val="center"/>
                </w:tcPr>
                <w:p w14:paraId="1C902B3D">
                  <w:pPr>
                    <w:pStyle w:val="42"/>
                  </w:pPr>
                </w:p>
              </w:tc>
            </w:tr>
            <w:tr w14:paraId="60C3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23C687AE">
                  <w:pPr>
                    <w:pStyle w:val="42"/>
                    <w:rPr>
                      <w:b/>
                      <w:bCs/>
                    </w:rPr>
                  </w:pPr>
                </w:p>
              </w:tc>
              <w:tc>
                <w:tcPr>
                  <w:tcW w:w="1560" w:type="dxa"/>
                  <w:vAlign w:val="center"/>
                </w:tcPr>
                <w:p w14:paraId="124FDFED">
                  <w:pPr>
                    <w:pStyle w:val="42"/>
                    <w:rPr>
                      <w:b/>
                      <w:bCs/>
                    </w:rPr>
                  </w:pPr>
                </w:p>
              </w:tc>
              <w:tc>
                <w:tcPr>
                  <w:tcW w:w="850" w:type="dxa"/>
                  <w:vAlign w:val="center"/>
                </w:tcPr>
                <w:p w14:paraId="1D4E460A">
                  <w:pPr>
                    <w:pStyle w:val="42"/>
                  </w:pPr>
                </w:p>
              </w:tc>
              <w:tc>
                <w:tcPr>
                  <w:tcW w:w="1134" w:type="dxa"/>
                  <w:vAlign w:val="center"/>
                </w:tcPr>
                <w:p w14:paraId="5EE1B749">
                  <w:pPr>
                    <w:pStyle w:val="42"/>
                  </w:pPr>
                </w:p>
              </w:tc>
              <w:tc>
                <w:tcPr>
                  <w:tcW w:w="992" w:type="dxa"/>
                  <w:vAlign w:val="center"/>
                </w:tcPr>
                <w:p w14:paraId="14415A91">
                  <w:pPr>
                    <w:pStyle w:val="42"/>
                  </w:pPr>
                </w:p>
              </w:tc>
              <w:tc>
                <w:tcPr>
                  <w:tcW w:w="2747" w:type="dxa"/>
                  <w:vAlign w:val="center"/>
                </w:tcPr>
                <w:p w14:paraId="2A3C277F">
                  <w:pPr>
                    <w:pStyle w:val="42"/>
                  </w:pPr>
                </w:p>
              </w:tc>
            </w:tr>
            <w:tr w14:paraId="731A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59D41FC7">
                  <w:pPr>
                    <w:pStyle w:val="42"/>
                  </w:pPr>
                </w:p>
              </w:tc>
              <w:tc>
                <w:tcPr>
                  <w:tcW w:w="1560" w:type="dxa"/>
                  <w:vAlign w:val="center"/>
                </w:tcPr>
                <w:p w14:paraId="39D4083C">
                  <w:pPr>
                    <w:pStyle w:val="42"/>
                  </w:pPr>
                </w:p>
              </w:tc>
              <w:tc>
                <w:tcPr>
                  <w:tcW w:w="850" w:type="dxa"/>
                  <w:vAlign w:val="center"/>
                </w:tcPr>
                <w:p w14:paraId="164CB1B4">
                  <w:pPr>
                    <w:pStyle w:val="42"/>
                  </w:pPr>
                </w:p>
              </w:tc>
              <w:tc>
                <w:tcPr>
                  <w:tcW w:w="1134" w:type="dxa"/>
                  <w:vAlign w:val="center"/>
                </w:tcPr>
                <w:p w14:paraId="1749F9F2">
                  <w:pPr>
                    <w:pStyle w:val="42"/>
                  </w:pPr>
                </w:p>
              </w:tc>
              <w:tc>
                <w:tcPr>
                  <w:tcW w:w="992" w:type="dxa"/>
                  <w:vAlign w:val="center"/>
                </w:tcPr>
                <w:p w14:paraId="0C066B32">
                  <w:pPr>
                    <w:pStyle w:val="42"/>
                  </w:pPr>
                </w:p>
              </w:tc>
              <w:tc>
                <w:tcPr>
                  <w:tcW w:w="2747" w:type="dxa"/>
                  <w:vAlign w:val="center"/>
                </w:tcPr>
                <w:p w14:paraId="6D4B0C11">
                  <w:pPr>
                    <w:pStyle w:val="42"/>
                  </w:pPr>
                </w:p>
              </w:tc>
            </w:tr>
            <w:tr w14:paraId="1AA6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68A27662">
                  <w:pPr>
                    <w:pStyle w:val="42"/>
                  </w:pPr>
                </w:p>
              </w:tc>
              <w:tc>
                <w:tcPr>
                  <w:tcW w:w="1560" w:type="dxa"/>
                  <w:vAlign w:val="center"/>
                </w:tcPr>
                <w:p w14:paraId="3BA47261">
                  <w:pPr>
                    <w:pStyle w:val="42"/>
                  </w:pPr>
                </w:p>
              </w:tc>
              <w:tc>
                <w:tcPr>
                  <w:tcW w:w="850" w:type="dxa"/>
                  <w:vAlign w:val="center"/>
                </w:tcPr>
                <w:p w14:paraId="2EC4D8D8">
                  <w:pPr>
                    <w:pStyle w:val="42"/>
                  </w:pPr>
                </w:p>
              </w:tc>
              <w:tc>
                <w:tcPr>
                  <w:tcW w:w="1134" w:type="dxa"/>
                  <w:vAlign w:val="center"/>
                </w:tcPr>
                <w:p w14:paraId="50BF95A2">
                  <w:pPr>
                    <w:pStyle w:val="42"/>
                  </w:pPr>
                </w:p>
              </w:tc>
              <w:tc>
                <w:tcPr>
                  <w:tcW w:w="992" w:type="dxa"/>
                  <w:vAlign w:val="center"/>
                </w:tcPr>
                <w:p w14:paraId="60DC4669">
                  <w:pPr>
                    <w:pStyle w:val="42"/>
                  </w:pPr>
                </w:p>
              </w:tc>
              <w:tc>
                <w:tcPr>
                  <w:tcW w:w="2747" w:type="dxa"/>
                  <w:vAlign w:val="center"/>
                </w:tcPr>
                <w:p w14:paraId="7D860CD2">
                  <w:pPr>
                    <w:pStyle w:val="42"/>
                  </w:pPr>
                </w:p>
              </w:tc>
            </w:tr>
            <w:tr w14:paraId="141D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0E7788D6">
                  <w:pPr>
                    <w:pStyle w:val="42"/>
                    <w:rPr>
                      <w:b/>
                      <w:bCs/>
                    </w:rPr>
                  </w:pPr>
                </w:p>
              </w:tc>
              <w:tc>
                <w:tcPr>
                  <w:tcW w:w="1560" w:type="dxa"/>
                  <w:vAlign w:val="center"/>
                </w:tcPr>
                <w:p w14:paraId="1AC92773">
                  <w:pPr>
                    <w:pStyle w:val="42"/>
                    <w:rPr>
                      <w:b/>
                      <w:bCs/>
                    </w:rPr>
                  </w:pPr>
                </w:p>
              </w:tc>
              <w:tc>
                <w:tcPr>
                  <w:tcW w:w="850" w:type="dxa"/>
                  <w:vAlign w:val="center"/>
                </w:tcPr>
                <w:p w14:paraId="31FB38FA">
                  <w:pPr>
                    <w:pStyle w:val="42"/>
                  </w:pPr>
                </w:p>
              </w:tc>
              <w:tc>
                <w:tcPr>
                  <w:tcW w:w="1134" w:type="dxa"/>
                  <w:vAlign w:val="center"/>
                </w:tcPr>
                <w:p w14:paraId="0DC58C44">
                  <w:pPr>
                    <w:pStyle w:val="42"/>
                  </w:pPr>
                </w:p>
              </w:tc>
              <w:tc>
                <w:tcPr>
                  <w:tcW w:w="992" w:type="dxa"/>
                  <w:vAlign w:val="center"/>
                </w:tcPr>
                <w:p w14:paraId="6EA2BE14">
                  <w:pPr>
                    <w:pStyle w:val="42"/>
                  </w:pPr>
                </w:p>
              </w:tc>
              <w:tc>
                <w:tcPr>
                  <w:tcW w:w="2747" w:type="dxa"/>
                  <w:vAlign w:val="center"/>
                </w:tcPr>
                <w:p w14:paraId="7462FA00">
                  <w:pPr>
                    <w:pStyle w:val="42"/>
                  </w:pPr>
                </w:p>
              </w:tc>
            </w:tr>
            <w:tr w14:paraId="20A1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5715E6A3">
                  <w:pPr>
                    <w:pStyle w:val="42"/>
                  </w:pPr>
                </w:p>
              </w:tc>
              <w:tc>
                <w:tcPr>
                  <w:tcW w:w="1560" w:type="dxa"/>
                  <w:vAlign w:val="center"/>
                </w:tcPr>
                <w:p w14:paraId="7E3DDB92">
                  <w:pPr>
                    <w:pStyle w:val="42"/>
                  </w:pPr>
                </w:p>
              </w:tc>
              <w:tc>
                <w:tcPr>
                  <w:tcW w:w="850" w:type="dxa"/>
                  <w:vAlign w:val="center"/>
                </w:tcPr>
                <w:p w14:paraId="261D6082">
                  <w:pPr>
                    <w:pStyle w:val="42"/>
                  </w:pPr>
                </w:p>
              </w:tc>
              <w:tc>
                <w:tcPr>
                  <w:tcW w:w="1134" w:type="dxa"/>
                  <w:vAlign w:val="center"/>
                </w:tcPr>
                <w:p w14:paraId="500C276E">
                  <w:pPr>
                    <w:pStyle w:val="42"/>
                  </w:pPr>
                </w:p>
              </w:tc>
              <w:tc>
                <w:tcPr>
                  <w:tcW w:w="992" w:type="dxa"/>
                  <w:vAlign w:val="center"/>
                </w:tcPr>
                <w:p w14:paraId="7D517662">
                  <w:pPr>
                    <w:pStyle w:val="42"/>
                  </w:pPr>
                </w:p>
              </w:tc>
              <w:tc>
                <w:tcPr>
                  <w:tcW w:w="2747" w:type="dxa"/>
                  <w:vAlign w:val="center"/>
                </w:tcPr>
                <w:p w14:paraId="39377C1F">
                  <w:pPr>
                    <w:pStyle w:val="42"/>
                  </w:pPr>
                </w:p>
              </w:tc>
            </w:tr>
            <w:tr w14:paraId="644B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6FEF3B4A">
                  <w:pPr>
                    <w:pStyle w:val="42"/>
                  </w:pPr>
                </w:p>
              </w:tc>
              <w:tc>
                <w:tcPr>
                  <w:tcW w:w="1560" w:type="dxa"/>
                  <w:vAlign w:val="center"/>
                </w:tcPr>
                <w:p w14:paraId="47C26AA9">
                  <w:pPr>
                    <w:pStyle w:val="42"/>
                  </w:pPr>
                </w:p>
              </w:tc>
              <w:tc>
                <w:tcPr>
                  <w:tcW w:w="850" w:type="dxa"/>
                  <w:vAlign w:val="center"/>
                </w:tcPr>
                <w:p w14:paraId="0882BB13">
                  <w:pPr>
                    <w:pStyle w:val="42"/>
                  </w:pPr>
                </w:p>
              </w:tc>
              <w:tc>
                <w:tcPr>
                  <w:tcW w:w="1134" w:type="dxa"/>
                  <w:vAlign w:val="center"/>
                </w:tcPr>
                <w:p w14:paraId="1A4F8E0A">
                  <w:pPr>
                    <w:pStyle w:val="42"/>
                  </w:pPr>
                </w:p>
              </w:tc>
              <w:tc>
                <w:tcPr>
                  <w:tcW w:w="992" w:type="dxa"/>
                  <w:vAlign w:val="center"/>
                </w:tcPr>
                <w:p w14:paraId="7908C9B4">
                  <w:pPr>
                    <w:pStyle w:val="42"/>
                  </w:pPr>
                </w:p>
              </w:tc>
              <w:tc>
                <w:tcPr>
                  <w:tcW w:w="2747" w:type="dxa"/>
                  <w:vAlign w:val="center"/>
                </w:tcPr>
                <w:p w14:paraId="612F07CF">
                  <w:pPr>
                    <w:pStyle w:val="42"/>
                  </w:pPr>
                </w:p>
              </w:tc>
            </w:tr>
            <w:tr w14:paraId="5749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3CF34A83">
                  <w:pPr>
                    <w:pStyle w:val="42"/>
                    <w:rPr>
                      <w:b/>
                      <w:bCs/>
                    </w:rPr>
                  </w:pPr>
                </w:p>
              </w:tc>
              <w:tc>
                <w:tcPr>
                  <w:tcW w:w="1560" w:type="dxa"/>
                  <w:vAlign w:val="center"/>
                </w:tcPr>
                <w:p w14:paraId="5C7E514A">
                  <w:pPr>
                    <w:pStyle w:val="42"/>
                    <w:rPr>
                      <w:b/>
                      <w:bCs/>
                    </w:rPr>
                  </w:pPr>
                </w:p>
              </w:tc>
              <w:tc>
                <w:tcPr>
                  <w:tcW w:w="850" w:type="dxa"/>
                  <w:vAlign w:val="center"/>
                </w:tcPr>
                <w:p w14:paraId="75016B95">
                  <w:pPr>
                    <w:pStyle w:val="42"/>
                  </w:pPr>
                </w:p>
              </w:tc>
              <w:tc>
                <w:tcPr>
                  <w:tcW w:w="1134" w:type="dxa"/>
                  <w:vAlign w:val="center"/>
                </w:tcPr>
                <w:p w14:paraId="52891BF4">
                  <w:pPr>
                    <w:pStyle w:val="42"/>
                  </w:pPr>
                </w:p>
              </w:tc>
              <w:tc>
                <w:tcPr>
                  <w:tcW w:w="992" w:type="dxa"/>
                  <w:vAlign w:val="center"/>
                </w:tcPr>
                <w:p w14:paraId="71023DF9">
                  <w:pPr>
                    <w:pStyle w:val="42"/>
                  </w:pPr>
                </w:p>
              </w:tc>
              <w:tc>
                <w:tcPr>
                  <w:tcW w:w="2747" w:type="dxa"/>
                  <w:vAlign w:val="center"/>
                </w:tcPr>
                <w:p w14:paraId="7E106D98">
                  <w:pPr>
                    <w:pStyle w:val="42"/>
                  </w:pPr>
                </w:p>
              </w:tc>
            </w:tr>
            <w:tr w14:paraId="1E96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1" w:type="dxa"/>
                  <w:vAlign w:val="center"/>
                </w:tcPr>
                <w:p w14:paraId="3269FEFC">
                  <w:pPr>
                    <w:pStyle w:val="42"/>
                  </w:pPr>
                </w:p>
              </w:tc>
              <w:tc>
                <w:tcPr>
                  <w:tcW w:w="1560" w:type="dxa"/>
                  <w:vAlign w:val="center"/>
                </w:tcPr>
                <w:p w14:paraId="2767E6E9">
                  <w:pPr>
                    <w:pStyle w:val="42"/>
                  </w:pPr>
                </w:p>
              </w:tc>
              <w:tc>
                <w:tcPr>
                  <w:tcW w:w="850" w:type="dxa"/>
                  <w:vAlign w:val="center"/>
                </w:tcPr>
                <w:p w14:paraId="5812388F">
                  <w:pPr>
                    <w:pStyle w:val="42"/>
                  </w:pPr>
                </w:p>
              </w:tc>
              <w:tc>
                <w:tcPr>
                  <w:tcW w:w="1134" w:type="dxa"/>
                  <w:vAlign w:val="center"/>
                </w:tcPr>
                <w:p w14:paraId="4E109D77">
                  <w:pPr>
                    <w:pStyle w:val="42"/>
                  </w:pPr>
                </w:p>
              </w:tc>
              <w:tc>
                <w:tcPr>
                  <w:tcW w:w="992" w:type="dxa"/>
                  <w:vAlign w:val="center"/>
                </w:tcPr>
                <w:p w14:paraId="6E75BE10">
                  <w:pPr>
                    <w:pStyle w:val="42"/>
                  </w:pPr>
                </w:p>
              </w:tc>
              <w:tc>
                <w:tcPr>
                  <w:tcW w:w="2747" w:type="dxa"/>
                  <w:vAlign w:val="center"/>
                </w:tcPr>
                <w:p w14:paraId="360951DE">
                  <w:pPr>
                    <w:pStyle w:val="42"/>
                  </w:pPr>
                </w:p>
              </w:tc>
            </w:tr>
          </w:tbl>
          <w:p w14:paraId="0CFCB3EB">
            <w:pPr>
              <w:pStyle w:val="41"/>
              <w:ind w:firstLine="482"/>
              <w:jc w:val="both"/>
              <w:rPr>
                <w:b/>
                <w:bCs/>
              </w:rPr>
            </w:pPr>
            <w:r>
              <w:rPr>
                <w:rFonts w:hint="eastAsia"/>
                <w:b/>
                <w:bCs/>
              </w:rPr>
              <w:t>3项目产品规模</w:t>
            </w:r>
          </w:p>
          <w:p w14:paraId="558EF4B1">
            <w:pPr>
              <w:pStyle w:val="41"/>
              <w:ind w:firstLine="480"/>
            </w:pPr>
            <w:r>
              <w:rPr>
                <w:rFonts w:hint="eastAsia"/>
              </w:rPr>
              <w:t>广西华谊能源化工配套空分项目生产的氮气经过本项目中压氮气压缩机加压后，得到最终的产品，氮气产品参数如下表所示。</w:t>
            </w:r>
          </w:p>
          <w:p w14:paraId="684E1E96">
            <w:pPr>
              <w:pStyle w:val="41"/>
              <w:numPr>
                <w:ilvl w:val="0"/>
                <w:numId w:val="5"/>
              </w:numPr>
              <w:spacing w:line="240" w:lineRule="auto"/>
              <w:ind w:left="0" w:firstLine="0" w:firstLineChars="0"/>
              <w:jc w:val="center"/>
              <w:rPr>
                <w:b/>
                <w:bCs/>
                <w:sz w:val="21"/>
                <w:szCs w:val="21"/>
              </w:rPr>
            </w:pPr>
            <w:r>
              <w:rPr>
                <w:rFonts w:hint="eastAsia"/>
                <w:b/>
                <w:bCs/>
                <w:sz w:val="21"/>
                <w:szCs w:val="21"/>
              </w:rPr>
              <w:t>氮气产品参数表</w:t>
            </w:r>
          </w:p>
          <w:tbl>
            <w:tblPr>
              <w:tblStyle w:val="18"/>
              <w:tblW w:w="8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684"/>
              <w:gridCol w:w="1210"/>
              <w:gridCol w:w="1210"/>
              <w:gridCol w:w="1210"/>
              <w:gridCol w:w="988"/>
              <w:gridCol w:w="2426"/>
            </w:tblGrid>
            <w:tr w14:paraId="3F36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tblHeader/>
              </w:trPr>
              <w:tc>
                <w:tcPr>
                  <w:tcW w:w="461" w:type="dxa"/>
                  <w:vAlign w:val="center"/>
                </w:tcPr>
                <w:p w14:paraId="17F85D1A">
                  <w:pPr>
                    <w:pStyle w:val="42"/>
                    <w:rPr>
                      <w:b/>
                      <w:bCs/>
                    </w:rPr>
                  </w:pPr>
                  <w:r>
                    <w:rPr>
                      <w:rFonts w:hint="eastAsia"/>
                      <w:b/>
                      <w:bCs/>
                    </w:rPr>
                    <w:t>序号</w:t>
                  </w:r>
                </w:p>
              </w:tc>
              <w:tc>
                <w:tcPr>
                  <w:tcW w:w="709" w:type="dxa"/>
                  <w:vAlign w:val="center"/>
                </w:tcPr>
                <w:p w14:paraId="2E18648C">
                  <w:pPr>
                    <w:pStyle w:val="42"/>
                    <w:rPr>
                      <w:b/>
                      <w:bCs/>
                    </w:rPr>
                  </w:pPr>
                  <w:r>
                    <w:rPr>
                      <w:rFonts w:hint="eastAsia"/>
                      <w:b/>
                      <w:bCs/>
                    </w:rPr>
                    <w:t>产品名称</w:t>
                  </w:r>
                </w:p>
              </w:tc>
              <w:tc>
                <w:tcPr>
                  <w:tcW w:w="1134" w:type="dxa"/>
                  <w:vAlign w:val="center"/>
                </w:tcPr>
                <w:p w14:paraId="78D607E0">
                  <w:pPr>
                    <w:pStyle w:val="42"/>
                    <w:rPr>
                      <w:b/>
                      <w:bCs/>
                    </w:rPr>
                  </w:pPr>
                  <w:r>
                    <w:rPr>
                      <w:rFonts w:hint="eastAsia"/>
                      <w:b/>
                      <w:bCs/>
                    </w:rPr>
                    <w:t>正常流量（</w:t>
                  </w:r>
                  <w:r>
                    <w:rPr>
                      <w:b/>
                      <w:bCs/>
                    </w:rPr>
                    <w:t>Nm</w:t>
                  </w:r>
                  <w:r>
                    <w:rPr>
                      <w:b/>
                      <w:bCs/>
                      <w:vertAlign w:val="superscript"/>
                    </w:rPr>
                    <w:t>3</w:t>
                  </w:r>
                  <w:r>
                    <w:rPr>
                      <w:b/>
                      <w:bCs/>
                    </w:rPr>
                    <w:t>/h</w:t>
                  </w:r>
                  <w:r>
                    <w:rPr>
                      <w:rFonts w:hint="eastAsia"/>
                      <w:b/>
                      <w:bCs/>
                    </w:rPr>
                    <w:t>）</w:t>
                  </w:r>
                </w:p>
              </w:tc>
              <w:tc>
                <w:tcPr>
                  <w:tcW w:w="1134" w:type="dxa"/>
                  <w:vAlign w:val="center"/>
                </w:tcPr>
                <w:p w14:paraId="45F92558">
                  <w:pPr>
                    <w:pStyle w:val="42"/>
                    <w:rPr>
                      <w:b/>
                      <w:bCs/>
                    </w:rPr>
                  </w:pPr>
                  <w:r>
                    <w:rPr>
                      <w:rFonts w:hint="eastAsia"/>
                      <w:b/>
                      <w:bCs/>
                    </w:rPr>
                    <w:t>最低流量（</w:t>
                  </w:r>
                  <w:r>
                    <w:rPr>
                      <w:b/>
                      <w:bCs/>
                    </w:rPr>
                    <w:t>Nm</w:t>
                  </w:r>
                  <w:r>
                    <w:rPr>
                      <w:b/>
                      <w:bCs/>
                      <w:vertAlign w:val="superscript"/>
                    </w:rPr>
                    <w:t>3</w:t>
                  </w:r>
                  <w:r>
                    <w:rPr>
                      <w:b/>
                      <w:bCs/>
                    </w:rPr>
                    <w:t>/h</w:t>
                  </w:r>
                  <w:r>
                    <w:rPr>
                      <w:rFonts w:hint="eastAsia"/>
                      <w:b/>
                      <w:bCs/>
                    </w:rPr>
                    <w:t>）</w:t>
                  </w:r>
                </w:p>
              </w:tc>
              <w:tc>
                <w:tcPr>
                  <w:tcW w:w="1134" w:type="dxa"/>
                  <w:vAlign w:val="center"/>
                </w:tcPr>
                <w:p w14:paraId="021A7C4F">
                  <w:pPr>
                    <w:pStyle w:val="42"/>
                    <w:rPr>
                      <w:b/>
                      <w:bCs/>
                    </w:rPr>
                  </w:pPr>
                  <w:r>
                    <w:rPr>
                      <w:rFonts w:hint="eastAsia"/>
                      <w:b/>
                      <w:bCs/>
                    </w:rPr>
                    <w:t>峰值流量（</w:t>
                  </w:r>
                  <w:r>
                    <w:rPr>
                      <w:b/>
                      <w:bCs/>
                    </w:rPr>
                    <w:t>Nm</w:t>
                  </w:r>
                  <w:r>
                    <w:rPr>
                      <w:b/>
                      <w:bCs/>
                      <w:vertAlign w:val="superscript"/>
                    </w:rPr>
                    <w:t>3</w:t>
                  </w:r>
                  <w:r>
                    <w:rPr>
                      <w:b/>
                      <w:bCs/>
                    </w:rPr>
                    <w:t>/h</w:t>
                  </w:r>
                  <w:r>
                    <w:rPr>
                      <w:rFonts w:hint="eastAsia"/>
                      <w:b/>
                      <w:bCs/>
                    </w:rPr>
                    <w:t>）</w:t>
                  </w:r>
                </w:p>
              </w:tc>
              <w:tc>
                <w:tcPr>
                  <w:tcW w:w="992" w:type="dxa"/>
                  <w:vAlign w:val="center"/>
                </w:tcPr>
                <w:p w14:paraId="4D1FA649">
                  <w:pPr>
                    <w:pStyle w:val="42"/>
                    <w:rPr>
                      <w:b/>
                      <w:bCs/>
                    </w:rPr>
                  </w:pPr>
                  <w:r>
                    <w:rPr>
                      <w:rFonts w:hint="eastAsia"/>
                      <w:b/>
                      <w:bCs/>
                    </w:rPr>
                    <w:t>压力</w:t>
                  </w:r>
                  <w:r>
                    <w:rPr>
                      <w:b/>
                      <w:bCs/>
                    </w:rPr>
                    <w:t>(MPaG)</w:t>
                  </w:r>
                </w:p>
              </w:tc>
              <w:tc>
                <w:tcPr>
                  <w:tcW w:w="2622" w:type="dxa"/>
                  <w:vAlign w:val="center"/>
                </w:tcPr>
                <w:p w14:paraId="523B1237">
                  <w:pPr>
                    <w:pStyle w:val="42"/>
                    <w:rPr>
                      <w:b/>
                      <w:bCs/>
                    </w:rPr>
                  </w:pPr>
                  <w:r>
                    <w:rPr>
                      <w:rFonts w:hint="eastAsia"/>
                      <w:b/>
                      <w:bCs/>
                    </w:rPr>
                    <w:t>备注</w:t>
                  </w:r>
                </w:p>
              </w:tc>
            </w:tr>
            <w:tr w14:paraId="7363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61" w:type="dxa"/>
                  <w:vAlign w:val="center"/>
                </w:tcPr>
                <w:p w14:paraId="30BF265F">
                  <w:pPr>
                    <w:pStyle w:val="42"/>
                  </w:pPr>
                  <w:r>
                    <w:t>1</w:t>
                  </w:r>
                </w:p>
              </w:tc>
              <w:tc>
                <w:tcPr>
                  <w:tcW w:w="709" w:type="dxa"/>
                  <w:vAlign w:val="center"/>
                </w:tcPr>
                <w:p w14:paraId="302FE134">
                  <w:pPr>
                    <w:pStyle w:val="42"/>
                  </w:pPr>
                  <w:r>
                    <w:rPr>
                      <w:rFonts w:hint="eastAsia"/>
                    </w:rPr>
                    <w:t>中压氮气</w:t>
                  </w:r>
                </w:p>
              </w:tc>
              <w:tc>
                <w:tcPr>
                  <w:tcW w:w="1134" w:type="dxa"/>
                  <w:vAlign w:val="center"/>
                </w:tcPr>
                <w:p w14:paraId="37DF67CD">
                  <w:pPr>
                    <w:pStyle w:val="42"/>
                  </w:pPr>
                  <w:r>
                    <w:t>18500</w:t>
                  </w:r>
                </w:p>
              </w:tc>
              <w:tc>
                <w:tcPr>
                  <w:tcW w:w="1134" w:type="dxa"/>
                  <w:vAlign w:val="center"/>
                </w:tcPr>
                <w:p w14:paraId="109DEA22">
                  <w:pPr>
                    <w:pStyle w:val="42"/>
                  </w:pPr>
                  <w:r>
                    <w:t>14000</w:t>
                  </w:r>
                </w:p>
              </w:tc>
              <w:tc>
                <w:tcPr>
                  <w:tcW w:w="1134" w:type="dxa"/>
                  <w:vAlign w:val="center"/>
                </w:tcPr>
                <w:p w14:paraId="152BD8D8">
                  <w:pPr>
                    <w:pStyle w:val="42"/>
                  </w:pPr>
                  <w:r>
                    <w:t>23000</w:t>
                  </w:r>
                </w:p>
              </w:tc>
              <w:tc>
                <w:tcPr>
                  <w:tcW w:w="992" w:type="dxa"/>
                  <w:vAlign w:val="center"/>
                </w:tcPr>
                <w:p w14:paraId="4E2A9CAD">
                  <w:pPr>
                    <w:pStyle w:val="42"/>
                  </w:pPr>
                  <w:r>
                    <w:t>0.7</w:t>
                  </w:r>
                </w:p>
              </w:tc>
              <w:tc>
                <w:tcPr>
                  <w:tcW w:w="2622" w:type="dxa"/>
                  <w:vAlign w:val="center"/>
                </w:tcPr>
                <w:p w14:paraId="53C97A41">
                  <w:pPr>
                    <w:pStyle w:val="42"/>
                    <w:jc w:val="both"/>
                  </w:pPr>
                </w:p>
              </w:tc>
            </w:tr>
            <w:tr w14:paraId="5AD6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1" w:type="dxa"/>
                  <w:vAlign w:val="center"/>
                </w:tcPr>
                <w:p w14:paraId="5BC35004">
                  <w:pPr>
                    <w:pStyle w:val="42"/>
                  </w:pPr>
                  <w:r>
                    <w:t>2</w:t>
                  </w:r>
                </w:p>
              </w:tc>
              <w:tc>
                <w:tcPr>
                  <w:tcW w:w="709" w:type="dxa"/>
                  <w:vAlign w:val="center"/>
                </w:tcPr>
                <w:p w14:paraId="6EE19DAA">
                  <w:pPr>
                    <w:pStyle w:val="42"/>
                  </w:pPr>
                  <w:r>
                    <w:rPr>
                      <w:rFonts w:hint="eastAsia"/>
                    </w:rPr>
                    <w:t>中压氮气</w:t>
                  </w:r>
                </w:p>
              </w:tc>
              <w:tc>
                <w:tcPr>
                  <w:tcW w:w="1134" w:type="dxa"/>
                  <w:vAlign w:val="center"/>
                </w:tcPr>
                <w:p w14:paraId="606A7865">
                  <w:pPr>
                    <w:pStyle w:val="42"/>
                  </w:pPr>
                  <w:r>
                    <w:t>3000</w:t>
                  </w:r>
                </w:p>
              </w:tc>
              <w:tc>
                <w:tcPr>
                  <w:tcW w:w="1134" w:type="dxa"/>
                  <w:vAlign w:val="center"/>
                </w:tcPr>
                <w:p w14:paraId="6F999B6C">
                  <w:pPr>
                    <w:pStyle w:val="42"/>
                  </w:pPr>
                  <w:r>
                    <w:t>2000</w:t>
                  </w:r>
                </w:p>
              </w:tc>
              <w:tc>
                <w:tcPr>
                  <w:tcW w:w="1134" w:type="dxa"/>
                  <w:vAlign w:val="center"/>
                </w:tcPr>
                <w:p w14:paraId="72EC6B2D">
                  <w:pPr>
                    <w:pStyle w:val="42"/>
                  </w:pPr>
                  <w:r>
                    <w:t>4000</w:t>
                  </w:r>
                </w:p>
              </w:tc>
              <w:tc>
                <w:tcPr>
                  <w:tcW w:w="992" w:type="dxa"/>
                  <w:vAlign w:val="center"/>
                </w:tcPr>
                <w:p w14:paraId="72D8A1BE">
                  <w:pPr>
                    <w:pStyle w:val="42"/>
                  </w:pPr>
                  <w:r>
                    <w:t>0.6</w:t>
                  </w:r>
                </w:p>
              </w:tc>
              <w:tc>
                <w:tcPr>
                  <w:tcW w:w="2622" w:type="dxa"/>
                  <w:vAlign w:val="center"/>
                </w:tcPr>
                <w:p w14:paraId="7BC1F4B9">
                  <w:pPr>
                    <w:pStyle w:val="42"/>
                    <w:jc w:val="both"/>
                  </w:pPr>
                </w:p>
              </w:tc>
            </w:tr>
            <w:tr w14:paraId="13FB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461" w:type="dxa"/>
                  <w:vAlign w:val="center"/>
                </w:tcPr>
                <w:p w14:paraId="6DB04C8B">
                  <w:pPr>
                    <w:pStyle w:val="42"/>
                  </w:pPr>
                  <w:r>
                    <w:t>3</w:t>
                  </w:r>
                </w:p>
              </w:tc>
              <w:tc>
                <w:tcPr>
                  <w:tcW w:w="709" w:type="dxa"/>
                  <w:vAlign w:val="center"/>
                </w:tcPr>
                <w:p w14:paraId="1F756071">
                  <w:pPr>
                    <w:pStyle w:val="42"/>
                  </w:pPr>
                  <w:r>
                    <w:rPr>
                      <w:rFonts w:hint="eastAsia"/>
                    </w:rPr>
                    <w:t>中压氮气</w:t>
                  </w:r>
                </w:p>
              </w:tc>
              <w:tc>
                <w:tcPr>
                  <w:tcW w:w="1134" w:type="dxa"/>
                  <w:vAlign w:val="center"/>
                </w:tcPr>
                <w:p w14:paraId="750190E9">
                  <w:pPr>
                    <w:pStyle w:val="42"/>
                  </w:pPr>
                  <w:r>
                    <w:t>11000</w:t>
                  </w:r>
                </w:p>
              </w:tc>
              <w:tc>
                <w:tcPr>
                  <w:tcW w:w="1134" w:type="dxa"/>
                  <w:vAlign w:val="center"/>
                </w:tcPr>
                <w:p w14:paraId="58212DE2">
                  <w:pPr>
                    <w:pStyle w:val="42"/>
                  </w:pPr>
                  <w:r>
                    <w:t>__</w:t>
                  </w:r>
                </w:p>
              </w:tc>
              <w:tc>
                <w:tcPr>
                  <w:tcW w:w="1134" w:type="dxa"/>
                  <w:vAlign w:val="center"/>
                </w:tcPr>
                <w:p w14:paraId="0BEA1F08">
                  <w:pPr>
                    <w:pStyle w:val="42"/>
                  </w:pPr>
                  <w:r>
                    <w:rPr>
                      <w:rFonts w:hint="eastAsia"/>
                    </w:rPr>
                    <w:t>—</w:t>
                  </w:r>
                </w:p>
              </w:tc>
              <w:tc>
                <w:tcPr>
                  <w:tcW w:w="992" w:type="dxa"/>
                  <w:vAlign w:val="center"/>
                </w:tcPr>
                <w:p w14:paraId="2FB526E9">
                  <w:pPr>
                    <w:pStyle w:val="42"/>
                  </w:pPr>
                  <w:r>
                    <w:t>0.83</w:t>
                  </w:r>
                </w:p>
              </w:tc>
              <w:tc>
                <w:tcPr>
                  <w:tcW w:w="2622" w:type="dxa"/>
                  <w:vAlign w:val="center"/>
                </w:tcPr>
                <w:p w14:paraId="1DA9BE6E">
                  <w:pPr>
                    <w:pStyle w:val="42"/>
                    <w:jc w:val="both"/>
                  </w:pPr>
                </w:p>
              </w:tc>
            </w:tr>
            <w:tr w14:paraId="30BD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61" w:type="dxa"/>
                  <w:vAlign w:val="center"/>
                </w:tcPr>
                <w:p w14:paraId="2965C288">
                  <w:pPr>
                    <w:pStyle w:val="42"/>
                  </w:pPr>
                  <w:r>
                    <w:t>4</w:t>
                  </w:r>
                </w:p>
              </w:tc>
              <w:tc>
                <w:tcPr>
                  <w:tcW w:w="709" w:type="dxa"/>
                  <w:vAlign w:val="center"/>
                </w:tcPr>
                <w:p w14:paraId="3FE49CD2">
                  <w:pPr>
                    <w:pStyle w:val="42"/>
                  </w:pPr>
                  <w:r>
                    <w:rPr>
                      <w:rFonts w:hint="eastAsia"/>
                    </w:rPr>
                    <w:t>中压氮气</w:t>
                  </w:r>
                </w:p>
              </w:tc>
              <w:tc>
                <w:tcPr>
                  <w:tcW w:w="1134" w:type="dxa"/>
                  <w:vAlign w:val="center"/>
                </w:tcPr>
                <w:p w14:paraId="4060EDB8">
                  <w:pPr>
                    <w:pStyle w:val="42"/>
                  </w:pPr>
                  <w:r>
                    <w:t>2041</w:t>
                  </w:r>
                </w:p>
              </w:tc>
              <w:tc>
                <w:tcPr>
                  <w:tcW w:w="1134" w:type="dxa"/>
                  <w:vAlign w:val="center"/>
                </w:tcPr>
                <w:p w14:paraId="618C85FB">
                  <w:pPr>
                    <w:pStyle w:val="42"/>
                  </w:pPr>
                  <w:r>
                    <w:t>__</w:t>
                  </w:r>
                </w:p>
              </w:tc>
              <w:tc>
                <w:tcPr>
                  <w:tcW w:w="1134" w:type="dxa"/>
                  <w:vAlign w:val="center"/>
                </w:tcPr>
                <w:p w14:paraId="66FCDBBA">
                  <w:pPr>
                    <w:pStyle w:val="42"/>
                  </w:pPr>
                  <w:r>
                    <w:rPr>
                      <w:rFonts w:hint="eastAsia"/>
                    </w:rPr>
                    <w:t>—</w:t>
                  </w:r>
                </w:p>
              </w:tc>
              <w:tc>
                <w:tcPr>
                  <w:tcW w:w="992" w:type="dxa"/>
                  <w:vAlign w:val="center"/>
                </w:tcPr>
                <w:p w14:paraId="0D865DD8">
                  <w:pPr>
                    <w:pStyle w:val="42"/>
                  </w:pPr>
                  <w:r>
                    <w:t>0.8</w:t>
                  </w:r>
                </w:p>
              </w:tc>
              <w:tc>
                <w:tcPr>
                  <w:tcW w:w="2622" w:type="dxa"/>
                  <w:vAlign w:val="center"/>
                </w:tcPr>
                <w:p w14:paraId="336B26D3">
                  <w:pPr>
                    <w:pStyle w:val="42"/>
                    <w:jc w:val="both"/>
                  </w:pPr>
                </w:p>
              </w:tc>
            </w:tr>
          </w:tbl>
          <w:p w14:paraId="67CD66E0">
            <w:pPr>
              <w:pStyle w:val="41"/>
              <w:numPr>
                <w:ilvl w:val="0"/>
                <w:numId w:val="5"/>
              </w:numPr>
              <w:spacing w:line="240" w:lineRule="auto"/>
              <w:ind w:left="0" w:firstLine="0" w:firstLineChars="0"/>
              <w:jc w:val="center"/>
              <w:rPr>
                <w:b/>
                <w:bCs/>
                <w:sz w:val="21"/>
                <w:szCs w:val="21"/>
              </w:rPr>
            </w:pPr>
            <w:r>
              <w:rPr>
                <w:rFonts w:hint="eastAsia"/>
                <w:b/>
                <w:bCs/>
                <w:sz w:val="21"/>
                <w:szCs w:val="21"/>
              </w:rPr>
              <w:t>氮气产品纯度</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2693"/>
              <w:gridCol w:w="3172"/>
            </w:tblGrid>
            <w:tr w14:paraId="0DA3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4DF08C65">
                  <w:pPr>
                    <w:pStyle w:val="42"/>
                  </w:pPr>
                  <w:r>
                    <w:t>N</w:t>
                  </w:r>
                  <w:r>
                    <w:rPr>
                      <w:vertAlign w:val="subscript"/>
                    </w:rPr>
                    <w:t>2</w:t>
                  </w:r>
                </w:p>
              </w:tc>
              <w:tc>
                <w:tcPr>
                  <w:tcW w:w="2693" w:type="dxa"/>
                  <w:vAlign w:val="center"/>
                </w:tcPr>
                <w:p w14:paraId="2046E38C">
                  <w:pPr>
                    <w:pStyle w:val="42"/>
                  </w:pPr>
                  <w:r>
                    <w:t>Vol %</w:t>
                  </w:r>
                </w:p>
              </w:tc>
              <w:tc>
                <w:tcPr>
                  <w:tcW w:w="3172" w:type="dxa"/>
                  <w:vAlign w:val="center"/>
                </w:tcPr>
                <w:p w14:paraId="5A943811">
                  <w:pPr>
                    <w:pStyle w:val="42"/>
                  </w:pPr>
                  <w:r>
                    <w:t>99.999 min</w:t>
                  </w:r>
                </w:p>
                <w:p w14:paraId="0337C596">
                  <w:pPr>
                    <w:pStyle w:val="42"/>
                  </w:pPr>
                  <w:r>
                    <w:rPr>
                      <w:rFonts w:hint="eastAsia"/>
                    </w:rPr>
                    <w:t>（含氩气及其</w:t>
                  </w:r>
                  <w:r>
                    <w:rPr>
                      <w:rFonts w:hint="eastAsia"/>
                      <w:lang w:eastAsia="zh-CN"/>
                    </w:rPr>
                    <w:t>他</w:t>
                  </w:r>
                  <w:r>
                    <w:rPr>
                      <w:rFonts w:hint="eastAsia"/>
                    </w:rPr>
                    <w:t>稀有气体）</w:t>
                  </w:r>
                </w:p>
              </w:tc>
            </w:tr>
            <w:tr w14:paraId="4103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5EA578F9">
                  <w:pPr>
                    <w:pStyle w:val="42"/>
                  </w:pPr>
                  <w:r>
                    <w:t>O</w:t>
                  </w:r>
                  <w:r>
                    <w:rPr>
                      <w:vertAlign w:val="subscript"/>
                    </w:rPr>
                    <w:t>2</w:t>
                  </w:r>
                </w:p>
              </w:tc>
              <w:tc>
                <w:tcPr>
                  <w:tcW w:w="2693" w:type="dxa"/>
                  <w:vAlign w:val="center"/>
                </w:tcPr>
                <w:p w14:paraId="0D1ECD2A">
                  <w:pPr>
                    <w:pStyle w:val="42"/>
                  </w:pPr>
                  <w:r>
                    <w:t>vol ppm</w:t>
                  </w:r>
                </w:p>
              </w:tc>
              <w:tc>
                <w:tcPr>
                  <w:tcW w:w="3172" w:type="dxa"/>
                  <w:vAlign w:val="center"/>
                </w:tcPr>
                <w:p w14:paraId="71B17C87">
                  <w:pPr>
                    <w:pStyle w:val="42"/>
                  </w:pPr>
                  <w:r>
                    <w:t>10 max</w:t>
                  </w:r>
                </w:p>
              </w:tc>
            </w:tr>
            <w:tr w14:paraId="3087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326FD4A3">
                  <w:pPr>
                    <w:pStyle w:val="42"/>
                  </w:pPr>
                  <w:r>
                    <w:rPr>
                      <w:rFonts w:hint="eastAsia"/>
                      <w:lang w:eastAsia="zh-CN"/>
                    </w:rPr>
                    <w:t>其他</w:t>
                  </w:r>
                  <w:r>
                    <w:rPr>
                      <w:rFonts w:hint="eastAsia"/>
                    </w:rPr>
                    <w:t>碳氢化合物</w:t>
                  </w:r>
                </w:p>
              </w:tc>
              <w:tc>
                <w:tcPr>
                  <w:tcW w:w="2693" w:type="dxa"/>
                  <w:vAlign w:val="center"/>
                </w:tcPr>
                <w:p w14:paraId="073D3EFF">
                  <w:pPr>
                    <w:pStyle w:val="42"/>
                  </w:pPr>
                  <w:r>
                    <w:rPr>
                      <w:rFonts w:hint="eastAsia"/>
                    </w:rPr>
                    <w:t>vol ppm</w:t>
                  </w:r>
                </w:p>
              </w:tc>
              <w:tc>
                <w:tcPr>
                  <w:tcW w:w="3172" w:type="dxa"/>
                  <w:vAlign w:val="center"/>
                </w:tcPr>
                <w:p w14:paraId="53A65E94">
                  <w:pPr>
                    <w:pStyle w:val="42"/>
                  </w:pPr>
                  <w:r>
                    <w:rPr>
                      <w:rFonts w:hint="eastAsia"/>
                    </w:rPr>
                    <w:t>5 max</w:t>
                  </w:r>
                </w:p>
              </w:tc>
            </w:tr>
            <w:tr w14:paraId="6C03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4E8E323A">
                  <w:pPr>
                    <w:pStyle w:val="42"/>
                  </w:pPr>
                  <w:r>
                    <w:t>Cl</w:t>
                  </w:r>
                </w:p>
              </w:tc>
              <w:tc>
                <w:tcPr>
                  <w:tcW w:w="2693" w:type="dxa"/>
                  <w:vAlign w:val="center"/>
                </w:tcPr>
                <w:p w14:paraId="4029C4B8">
                  <w:pPr>
                    <w:pStyle w:val="42"/>
                  </w:pPr>
                  <w:r>
                    <w:t>vol ppm</w:t>
                  </w:r>
                </w:p>
              </w:tc>
              <w:tc>
                <w:tcPr>
                  <w:tcW w:w="3172" w:type="dxa"/>
                  <w:vAlign w:val="center"/>
                </w:tcPr>
                <w:p w14:paraId="1D6CA508">
                  <w:pPr>
                    <w:pStyle w:val="42"/>
                  </w:pPr>
                  <w:r>
                    <w:t>1 max</w:t>
                  </w:r>
                </w:p>
              </w:tc>
            </w:tr>
            <w:tr w14:paraId="5C53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6C44E6EF">
                  <w:pPr>
                    <w:pStyle w:val="42"/>
                  </w:pPr>
                  <w:r>
                    <w:t>CO</w:t>
                  </w:r>
                  <w:r>
                    <w:rPr>
                      <w:vertAlign w:val="subscript"/>
                    </w:rPr>
                    <w:t>2</w:t>
                  </w:r>
                </w:p>
              </w:tc>
              <w:tc>
                <w:tcPr>
                  <w:tcW w:w="2693" w:type="dxa"/>
                  <w:vAlign w:val="center"/>
                </w:tcPr>
                <w:p w14:paraId="2A5C42DB">
                  <w:pPr>
                    <w:pStyle w:val="42"/>
                  </w:pPr>
                  <w:r>
                    <w:t>vol ppm</w:t>
                  </w:r>
                </w:p>
              </w:tc>
              <w:tc>
                <w:tcPr>
                  <w:tcW w:w="3172" w:type="dxa"/>
                  <w:vAlign w:val="center"/>
                </w:tcPr>
                <w:p w14:paraId="307D91EB">
                  <w:pPr>
                    <w:pStyle w:val="42"/>
                  </w:pPr>
                  <w:r>
                    <w:t>10 max</w:t>
                  </w:r>
                </w:p>
              </w:tc>
            </w:tr>
            <w:tr w14:paraId="509D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vAlign w:val="center"/>
                </w:tcPr>
                <w:p w14:paraId="112E2C64">
                  <w:pPr>
                    <w:pStyle w:val="42"/>
                  </w:pPr>
                  <w:r>
                    <w:t>H</w:t>
                  </w:r>
                  <w:r>
                    <w:rPr>
                      <w:vertAlign w:val="subscript"/>
                    </w:rPr>
                    <w:t>2</w:t>
                  </w:r>
                  <w:r>
                    <w:t>O</w:t>
                  </w:r>
                </w:p>
              </w:tc>
              <w:tc>
                <w:tcPr>
                  <w:tcW w:w="2693" w:type="dxa"/>
                  <w:vAlign w:val="center"/>
                </w:tcPr>
                <w:p w14:paraId="3369B1E0">
                  <w:pPr>
                    <w:pStyle w:val="42"/>
                  </w:pPr>
                  <w:r>
                    <w:t>vol ppm</w:t>
                  </w:r>
                </w:p>
              </w:tc>
              <w:tc>
                <w:tcPr>
                  <w:tcW w:w="3172" w:type="dxa"/>
                  <w:vAlign w:val="center"/>
                </w:tcPr>
                <w:p w14:paraId="78D9A507">
                  <w:pPr>
                    <w:pStyle w:val="42"/>
                  </w:pPr>
                  <w:r>
                    <w:t>5 max</w:t>
                  </w:r>
                </w:p>
              </w:tc>
            </w:tr>
          </w:tbl>
          <w:p w14:paraId="3365E733">
            <w:pPr>
              <w:pStyle w:val="41"/>
              <w:ind w:firstLine="480"/>
            </w:pPr>
          </w:p>
          <w:p w14:paraId="67635881">
            <w:pPr>
              <w:pStyle w:val="41"/>
              <w:ind w:firstLine="482"/>
              <w:jc w:val="both"/>
              <w:rPr>
                <w:b/>
                <w:bCs/>
              </w:rPr>
            </w:pPr>
            <w:r>
              <w:rPr>
                <w:rFonts w:hint="eastAsia"/>
                <w:b/>
                <w:bCs/>
              </w:rPr>
              <w:t>4公用工程</w:t>
            </w:r>
          </w:p>
          <w:p w14:paraId="694749EB">
            <w:pPr>
              <w:pStyle w:val="41"/>
              <w:ind w:firstLine="482"/>
              <w:jc w:val="both"/>
              <w:rPr>
                <w:b/>
                <w:bCs/>
              </w:rPr>
            </w:pPr>
            <w:r>
              <w:rPr>
                <w:rFonts w:hint="eastAsia"/>
                <w:b/>
                <w:bCs/>
              </w:rPr>
              <w:t>4</w:t>
            </w:r>
            <w:r>
              <w:rPr>
                <w:b/>
                <w:bCs/>
              </w:rPr>
              <w:t>.</w:t>
            </w:r>
            <w:r>
              <w:rPr>
                <w:rFonts w:hint="eastAsia"/>
                <w:b/>
                <w:bCs/>
              </w:rPr>
              <w:t>1供水</w:t>
            </w:r>
          </w:p>
          <w:p w14:paraId="6EEB9C47">
            <w:pPr>
              <w:pStyle w:val="41"/>
              <w:ind w:firstLine="480"/>
              <w:jc w:val="both"/>
            </w:pPr>
            <w:r>
              <w:rPr>
                <w:rFonts w:hint="eastAsia"/>
              </w:rPr>
              <w:t>项目生产用水主要为循环冷却水的补水，补充新鲜水量为20m</w:t>
            </w:r>
            <w:r>
              <w:rPr>
                <w:rFonts w:hint="eastAsia"/>
                <w:vertAlign w:val="superscript"/>
              </w:rPr>
              <w:t>3</w:t>
            </w:r>
            <w:r>
              <w:rPr>
                <w:rFonts w:hint="eastAsia"/>
              </w:rPr>
              <w:t>/h。项目新增定员5人，新增生活用水量约</w:t>
            </w:r>
            <w:r>
              <w:t>120t/a</w:t>
            </w:r>
            <w:r>
              <w:rPr>
                <w:rFonts w:hint="eastAsia"/>
              </w:rPr>
              <w:t>。本项目在广西华谊能源化工配套空分项目（简称空分项目）现有厂区内建设，供水依托空分项目现有供水系统，空分项目生产给水依托广西华谊能源化工有限公司供给，生活用水由国投钦州发电有限公司供给。</w:t>
            </w:r>
          </w:p>
          <w:p w14:paraId="5FD73CD0">
            <w:pPr>
              <w:pStyle w:val="41"/>
              <w:ind w:firstLine="482"/>
              <w:jc w:val="both"/>
              <w:rPr>
                <w:b/>
                <w:bCs/>
              </w:rPr>
            </w:pPr>
            <w:r>
              <w:rPr>
                <w:rFonts w:hint="eastAsia"/>
                <w:b/>
                <w:bCs/>
              </w:rPr>
              <w:t>4.2排水</w:t>
            </w:r>
          </w:p>
          <w:p w14:paraId="5F44DC7D">
            <w:pPr>
              <w:pStyle w:val="41"/>
              <w:ind w:firstLine="480"/>
            </w:pPr>
            <w:r>
              <w:rPr>
                <w:rFonts w:hint="eastAsia"/>
              </w:rPr>
              <w:t>项目生产废水产生量约为2.68m</w:t>
            </w:r>
            <w:r>
              <w:rPr>
                <w:rFonts w:hint="eastAsia"/>
                <w:vertAlign w:val="superscript"/>
              </w:rPr>
              <w:t>3</w:t>
            </w:r>
            <w:r>
              <w:rPr>
                <w:rFonts w:hint="eastAsia"/>
              </w:rPr>
              <w:t>/h，依托广西天宜环境科技有限公司污水处理厂项目（一期工程）处理。废水经处理达标后，近期近岸排放，远期依托园区深海排放管道于金鼓江污水深海排放区排放。</w:t>
            </w:r>
          </w:p>
          <w:p w14:paraId="62DFBBC7">
            <w:pPr>
              <w:pStyle w:val="41"/>
              <w:ind w:firstLine="480"/>
              <w:rPr>
                <w:u w:val="single"/>
              </w:rPr>
            </w:pPr>
            <w:r>
              <w:rPr>
                <w:rFonts w:hint="eastAsia"/>
                <w:u w:val="single"/>
              </w:rPr>
              <w:t>广西天宜环境科技有限公司污水处理厂项目（一期工程）废水综合处理采用“预处理+生化处理+深度处理”的主要工艺路线，其中预处理是根据各企业水质特征，分类进行；生化处理阶段采用“曝气池+MBR反应器”工艺；深度处理阶段采用“臭氧催化氧化+BAF+活性炭滤池”工艺，处理能力为</w:t>
            </w:r>
            <w:r>
              <w:rPr>
                <w:u w:val="single"/>
              </w:rPr>
              <w:t>4.5</w:t>
            </w:r>
            <w:r>
              <w:rPr>
                <w:rFonts w:hint="eastAsia"/>
                <w:u w:val="single"/>
              </w:rPr>
              <w:t>万</w:t>
            </w:r>
            <w:r>
              <w:rPr>
                <w:u w:val="single"/>
              </w:rPr>
              <w:t>m</w:t>
            </w:r>
            <w:r>
              <w:rPr>
                <w:u w:val="single"/>
                <w:vertAlign w:val="superscript"/>
              </w:rPr>
              <w:t>3</w:t>
            </w:r>
            <w:r>
              <w:rPr>
                <w:u w:val="single"/>
              </w:rPr>
              <w:t>/d</w:t>
            </w:r>
            <w:r>
              <w:rPr>
                <w:rFonts w:hint="eastAsia"/>
                <w:u w:val="single"/>
              </w:rPr>
              <w:t>。</w:t>
            </w:r>
          </w:p>
          <w:p w14:paraId="6FCB9AF2">
            <w:pPr>
              <w:pStyle w:val="41"/>
              <w:ind w:firstLine="482"/>
              <w:rPr>
                <w:b/>
                <w:bCs/>
              </w:rPr>
            </w:pPr>
            <w:r>
              <w:rPr>
                <w:rFonts w:hint="eastAsia"/>
                <w:b/>
                <w:bCs/>
              </w:rPr>
              <w:t>4.3供电</w:t>
            </w:r>
          </w:p>
          <w:p w14:paraId="7104398F">
            <w:pPr>
              <w:pStyle w:val="41"/>
              <w:ind w:firstLine="480"/>
            </w:pPr>
            <w:r>
              <w:rPr>
                <w:rFonts w:hint="eastAsia"/>
              </w:rPr>
              <w:t>本项目在广西华谊能源化工配套空分项目（简称空分项目）现有厂区内建设，供电依托空分项目现有供电系统，空分项目用电依托广西华谊能源化工有限公司供给。</w:t>
            </w:r>
          </w:p>
          <w:p w14:paraId="4A2128B2">
            <w:pPr>
              <w:pStyle w:val="41"/>
              <w:ind w:firstLine="482"/>
              <w:jc w:val="both"/>
              <w:rPr>
                <w:b/>
                <w:bCs/>
              </w:rPr>
            </w:pPr>
            <w:r>
              <w:rPr>
                <w:rFonts w:hint="eastAsia"/>
                <w:b/>
                <w:bCs/>
              </w:rPr>
              <w:t>5管网敷设</w:t>
            </w:r>
          </w:p>
          <w:p w14:paraId="75231757">
            <w:pPr>
              <w:pStyle w:val="41"/>
              <w:ind w:firstLine="480"/>
            </w:pPr>
            <w:r>
              <w:rPr>
                <w:rFonts w:hint="eastAsia"/>
              </w:rPr>
              <w:t>项目新建管道设计起点为南港大街与勒沟东大街交界处，设计长度7km，管径主要为DN500。管道依托钦州石化产业园园区公共管廊二期部分管廊及四期管廊架空铺设。</w:t>
            </w:r>
          </w:p>
          <w:p w14:paraId="5E436D46">
            <w:pPr>
              <w:pStyle w:val="41"/>
              <w:ind w:firstLine="480"/>
            </w:pPr>
            <w:r>
              <w:rPr>
                <w:rFonts w:hint="eastAsia"/>
              </w:rPr>
              <w:t>钦州石化产业园公共管廊（二期）工程于2018年11月由青岛洁瑞环保技术服务有限公司编制完成了《钦州石化产业园公共管廊（二期）工程环境影响报告表》，2019年1月31日获得了钦州市环境保护局《关于钦州石化产业园公共管廊（二期）工程环境影响报告表的批复》（钦港环管字〔2019〕2号）。目前已建设完成部分管廊。本项目主要依托段为南港大道</w:t>
            </w:r>
            <w:r>
              <w:t>(</w:t>
            </w:r>
            <w:r>
              <w:rPr>
                <w:rFonts w:hint="eastAsia"/>
              </w:rPr>
              <w:t>金鼓大街至勒沟东大道段</w:t>
            </w:r>
            <w:r>
              <w:t>)</w:t>
            </w:r>
            <w:r>
              <w:rPr>
                <w:rFonts w:hint="eastAsia"/>
              </w:rPr>
              <w:t>公共管廊。</w:t>
            </w:r>
          </w:p>
          <w:p w14:paraId="5BC3FC42">
            <w:pPr>
              <w:pStyle w:val="41"/>
              <w:numPr>
                <w:ilvl w:val="0"/>
                <w:numId w:val="5"/>
              </w:numPr>
              <w:spacing w:line="240" w:lineRule="auto"/>
              <w:ind w:left="0" w:firstLine="0" w:firstLineChars="0"/>
              <w:jc w:val="center"/>
              <w:rPr>
                <w:b/>
                <w:bCs/>
                <w:sz w:val="21"/>
                <w:szCs w:val="21"/>
              </w:rPr>
            </w:pPr>
            <w:r>
              <w:rPr>
                <w:rFonts w:hint="eastAsia"/>
                <w:b/>
                <w:bCs/>
                <w:sz w:val="21"/>
                <w:szCs w:val="21"/>
              </w:rPr>
              <w:t>钦州石化产业园公共管廊（二期）工程一览表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46"/>
              <w:gridCol w:w="694"/>
              <w:gridCol w:w="1004"/>
              <w:gridCol w:w="3044"/>
              <w:gridCol w:w="748"/>
            </w:tblGrid>
            <w:tr w14:paraId="7174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30" w:type="dxa"/>
                  <w:vAlign w:val="center"/>
                </w:tcPr>
                <w:p w14:paraId="08B1440D">
                  <w:pPr>
                    <w:pStyle w:val="42"/>
                    <w:rPr>
                      <w:b/>
                      <w:bCs/>
                    </w:rPr>
                  </w:pPr>
                  <w:r>
                    <w:rPr>
                      <w:rFonts w:hint="eastAsia"/>
                      <w:b/>
                      <w:bCs/>
                    </w:rPr>
                    <w:t>序号</w:t>
                  </w:r>
                </w:p>
              </w:tc>
              <w:tc>
                <w:tcPr>
                  <w:tcW w:w="1988" w:type="dxa"/>
                  <w:vAlign w:val="center"/>
                </w:tcPr>
                <w:p w14:paraId="138C528F">
                  <w:pPr>
                    <w:pStyle w:val="42"/>
                    <w:rPr>
                      <w:b/>
                      <w:bCs/>
                    </w:rPr>
                  </w:pPr>
                  <w:r>
                    <w:rPr>
                      <w:rFonts w:hint="eastAsia"/>
                      <w:b/>
                      <w:bCs/>
                    </w:rPr>
                    <w:t>项目名称</w:t>
                  </w:r>
                </w:p>
              </w:tc>
              <w:tc>
                <w:tcPr>
                  <w:tcW w:w="705" w:type="dxa"/>
                  <w:vAlign w:val="center"/>
                </w:tcPr>
                <w:p w14:paraId="0947F565">
                  <w:pPr>
                    <w:pStyle w:val="42"/>
                    <w:rPr>
                      <w:b/>
                      <w:bCs/>
                    </w:rPr>
                  </w:pPr>
                  <w:r>
                    <w:rPr>
                      <w:rFonts w:hint="eastAsia"/>
                      <w:b/>
                      <w:bCs/>
                    </w:rPr>
                    <w:t>单位</w:t>
                  </w:r>
                </w:p>
              </w:tc>
              <w:tc>
                <w:tcPr>
                  <w:tcW w:w="850" w:type="dxa"/>
                  <w:vAlign w:val="center"/>
                </w:tcPr>
                <w:p w14:paraId="289DD512">
                  <w:pPr>
                    <w:pStyle w:val="42"/>
                    <w:rPr>
                      <w:b/>
                      <w:bCs/>
                    </w:rPr>
                  </w:pPr>
                  <w:r>
                    <w:rPr>
                      <w:rFonts w:hint="eastAsia"/>
                      <w:b/>
                      <w:bCs/>
                    </w:rPr>
                    <w:t>指标</w:t>
                  </w:r>
                </w:p>
              </w:tc>
              <w:tc>
                <w:tcPr>
                  <w:tcW w:w="3119" w:type="dxa"/>
                  <w:vAlign w:val="center"/>
                </w:tcPr>
                <w:p w14:paraId="4A03E1EA">
                  <w:pPr>
                    <w:pStyle w:val="42"/>
                    <w:rPr>
                      <w:b/>
                      <w:bCs/>
                    </w:rPr>
                  </w:pPr>
                  <w:r>
                    <w:rPr>
                      <w:rFonts w:hint="eastAsia"/>
                      <w:b/>
                      <w:bCs/>
                    </w:rPr>
                    <w:t>备注</w:t>
                  </w:r>
                </w:p>
              </w:tc>
              <w:tc>
                <w:tcPr>
                  <w:tcW w:w="762" w:type="dxa"/>
                  <w:vAlign w:val="center"/>
                </w:tcPr>
                <w:p w14:paraId="11FEA7B3">
                  <w:pPr>
                    <w:pStyle w:val="42"/>
                    <w:rPr>
                      <w:b/>
                      <w:bCs/>
                    </w:rPr>
                  </w:pPr>
                  <w:r>
                    <w:rPr>
                      <w:rFonts w:hint="eastAsia"/>
                      <w:b/>
                      <w:bCs/>
                    </w:rPr>
                    <w:t>备注</w:t>
                  </w:r>
                </w:p>
              </w:tc>
            </w:tr>
            <w:tr w14:paraId="1558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40BB779">
                  <w:pPr>
                    <w:pStyle w:val="42"/>
                  </w:pPr>
                  <w:r>
                    <w:rPr>
                      <w:rFonts w:hint="eastAsia"/>
                    </w:rPr>
                    <w:t>一</w:t>
                  </w:r>
                </w:p>
              </w:tc>
              <w:tc>
                <w:tcPr>
                  <w:tcW w:w="6662" w:type="dxa"/>
                  <w:gridSpan w:val="4"/>
                  <w:vAlign w:val="center"/>
                </w:tcPr>
                <w:p w14:paraId="208A6A83">
                  <w:pPr>
                    <w:pStyle w:val="42"/>
                    <w:jc w:val="both"/>
                  </w:pPr>
                  <w:r>
                    <w:rPr>
                      <w:rFonts w:hint="eastAsia"/>
                    </w:rPr>
                    <w:t>管廊规模</w:t>
                  </w:r>
                </w:p>
              </w:tc>
              <w:tc>
                <w:tcPr>
                  <w:tcW w:w="762" w:type="dxa"/>
                  <w:vAlign w:val="center"/>
                </w:tcPr>
                <w:p w14:paraId="7924D6FD">
                  <w:pPr>
                    <w:pStyle w:val="42"/>
                  </w:pPr>
                </w:p>
              </w:tc>
            </w:tr>
            <w:tr w14:paraId="4BDB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02F18C69">
                  <w:pPr>
                    <w:pStyle w:val="42"/>
                  </w:pPr>
                  <w:r>
                    <w:rPr>
                      <w:rFonts w:hint="eastAsia"/>
                    </w:rPr>
                    <w:t>1</w:t>
                  </w:r>
                </w:p>
              </w:tc>
              <w:tc>
                <w:tcPr>
                  <w:tcW w:w="6662" w:type="dxa"/>
                  <w:gridSpan w:val="4"/>
                  <w:vAlign w:val="center"/>
                </w:tcPr>
                <w:p w14:paraId="07A4469B">
                  <w:pPr>
                    <w:pStyle w:val="42"/>
                    <w:jc w:val="both"/>
                  </w:pPr>
                  <w:r>
                    <w:rPr>
                      <w:rFonts w:hint="eastAsia"/>
                    </w:rPr>
                    <w:t>中亚科技配套路公共管廊分为三段，如下所示</w:t>
                  </w:r>
                </w:p>
              </w:tc>
              <w:tc>
                <w:tcPr>
                  <w:tcW w:w="762" w:type="dxa"/>
                  <w:vAlign w:val="center"/>
                </w:tcPr>
                <w:p w14:paraId="44354D1A">
                  <w:pPr>
                    <w:pStyle w:val="42"/>
                  </w:pPr>
                </w:p>
              </w:tc>
            </w:tr>
            <w:tr w14:paraId="0E0E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Merge w:val="restart"/>
                  <w:vAlign w:val="center"/>
                </w:tcPr>
                <w:p w14:paraId="45FD0C68">
                  <w:pPr>
                    <w:pStyle w:val="42"/>
                  </w:pPr>
                </w:p>
              </w:tc>
              <w:tc>
                <w:tcPr>
                  <w:tcW w:w="1988" w:type="dxa"/>
                  <w:vAlign w:val="center"/>
                </w:tcPr>
                <w:p w14:paraId="17D1C208">
                  <w:pPr>
                    <w:pStyle w:val="42"/>
                  </w:pPr>
                  <w:r>
                    <w:rPr>
                      <w:rFonts w:hint="eastAsia"/>
                    </w:rPr>
                    <w:t>1.1海豚路华谊项目至营盘街段</w:t>
                  </w:r>
                </w:p>
              </w:tc>
              <w:tc>
                <w:tcPr>
                  <w:tcW w:w="705" w:type="dxa"/>
                  <w:vAlign w:val="center"/>
                </w:tcPr>
                <w:p w14:paraId="650D74FC">
                  <w:pPr>
                    <w:pStyle w:val="42"/>
                  </w:pPr>
                  <w:r>
                    <w:rPr>
                      <w:rFonts w:hint="eastAsia"/>
                    </w:rPr>
                    <w:t>m</w:t>
                  </w:r>
                </w:p>
              </w:tc>
              <w:tc>
                <w:tcPr>
                  <w:tcW w:w="850" w:type="dxa"/>
                  <w:vAlign w:val="center"/>
                </w:tcPr>
                <w:p w14:paraId="504DDDB5">
                  <w:pPr>
                    <w:pStyle w:val="42"/>
                  </w:pPr>
                  <w:r>
                    <w:rPr>
                      <w:rFonts w:hint="eastAsia"/>
                    </w:rPr>
                    <w:t>275</w:t>
                  </w:r>
                </w:p>
              </w:tc>
              <w:tc>
                <w:tcPr>
                  <w:tcW w:w="3119" w:type="dxa"/>
                  <w:vAlign w:val="center"/>
                </w:tcPr>
                <w:p w14:paraId="563F53C0">
                  <w:pPr>
                    <w:pStyle w:val="42"/>
                  </w:pPr>
                  <w:r>
                    <w:rPr>
                      <w:rFonts w:hint="eastAsia"/>
                    </w:rPr>
                    <w:t>层数4层。第一层沿地面设置，用于敷设污水等输送管道，宽度7m；第二至第四层宽度7m，两侧各设置1m 悬臂梁。</w:t>
                  </w:r>
                </w:p>
              </w:tc>
              <w:tc>
                <w:tcPr>
                  <w:tcW w:w="762" w:type="dxa"/>
                  <w:vAlign w:val="center"/>
                </w:tcPr>
                <w:p w14:paraId="567CD546">
                  <w:pPr>
                    <w:pStyle w:val="42"/>
                  </w:pPr>
                </w:p>
              </w:tc>
            </w:tr>
            <w:tr w14:paraId="14B2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67FC0700">
                  <w:pPr>
                    <w:pStyle w:val="42"/>
                  </w:pPr>
                </w:p>
              </w:tc>
              <w:tc>
                <w:tcPr>
                  <w:tcW w:w="1988" w:type="dxa"/>
                  <w:vAlign w:val="center"/>
                </w:tcPr>
                <w:p w14:paraId="4AA57C4B">
                  <w:pPr>
                    <w:pStyle w:val="42"/>
                  </w:pPr>
                  <w:r>
                    <w:rPr>
                      <w:rFonts w:hint="eastAsia"/>
                    </w:rPr>
                    <w:t>1.2 营盘街段</w:t>
                  </w:r>
                </w:p>
              </w:tc>
              <w:tc>
                <w:tcPr>
                  <w:tcW w:w="705" w:type="dxa"/>
                  <w:vAlign w:val="center"/>
                </w:tcPr>
                <w:p w14:paraId="499E154C">
                  <w:pPr>
                    <w:pStyle w:val="42"/>
                  </w:pPr>
                  <w:r>
                    <w:rPr>
                      <w:rFonts w:hint="eastAsia"/>
                    </w:rPr>
                    <w:t>m</w:t>
                  </w:r>
                </w:p>
              </w:tc>
              <w:tc>
                <w:tcPr>
                  <w:tcW w:w="850" w:type="dxa"/>
                  <w:vAlign w:val="center"/>
                </w:tcPr>
                <w:p w14:paraId="50A3EC76">
                  <w:pPr>
                    <w:pStyle w:val="42"/>
                  </w:pPr>
                  <w:r>
                    <w:rPr>
                      <w:rFonts w:hint="eastAsia"/>
                    </w:rPr>
                    <w:t>1090</w:t>
                  </w:r>
                </w:p>
              </w:tc>
              <w:tc>
                <w:tcPr>
                  <w:tcW w:w="3119" w:type="dxa"/>
                  <w:vAlign w:val="center"/>
                </w:tcPr>
                <w:p w14:paraId="3BB33B44">
                  <w:pPr>
                    <w:pStyle w:val="42"/>
                  </w:pPr>
                  <w:r>
                    <w:rPr>
                      <w:rFonts w:hint="eastAsia"/>
                    </w:rPr>
                    <w:t>层数4层。第一层沿地面设置，用于敷设污水等输送管道，宽度7m；第二至第四层宽度7m，两侧各设置1m悬臂梁。</w:t>
                  </w:r>
                </w:p>
              </w:tc>
              <w:tc>
                <w:tcPr>
                  <w:tcW w:w="762" w:type="dxa"/>
                  <w:vAlign w:val="center"/>
                </w:tcPr>
                <w:p w14:paraId="65F575B8">
                  <w:pPr>
                    <w:pStyle w:val="42"/>
                  </w:pPr>
                </w:p>
              </w:tc>
            </w:tr>
            <w:tr w14:paraId="67CA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0BFA8197">
                  <w:pPr>
                    <w:pStyle w:val="42"/>
                  </w:pPr>
                </w:p>
              </w:tc>
              <w:tc>
                <w:tcPr>
                  <w:tcW w:w="1988" w:type="dxa"/>
                  <w:vAlign w:val="center"/>
                </w:tcPr>
                <w:p w14:paraId="244A38FA">
                  <w:pPr>
                    <w:pStyle w:val="42"/>
                  </w:pPr>
                  <w:r>
                    <w:rPr>
                      <w:rFonts w:hint="eastAsia"/>
                    </w:rPr>
                    <w:t>1.3 金鼓江石化码头段</w:t>
                  </w:r>
                </w:p>
              </w:tc>
              <w:tc>
                <w:tcPr>
                  <w:tcW w:w="705" w:type="dxa"/>
                  <w:vAlign w:val="center"/>
                </w:tcPr>
                <w:p w14:paraId="4E788E5C">
                  <w:pPr>
                    <w:pStyle w:val="42"/>
                  </w:pPr>
                  <w:r>
                    <w:rPr>
                      <w:rFonts w:hint="eastAsia"/>
                    </w:rPr>
                    <w:t>m</w:t>
                  </w:r>
                </w:p>
              </w:tc>
              <w:tc>
                <w:tcPr>
                  <w:tcW w:w="850" w:type="dxa"/>
                  <w:vAlign w:val="center"/>
                </w:tcPr>
                <w:p w14:paraId="01FA3A77">
                  <w:pPr>
                    <w:pStyle w:val="42"/>
                  </w:pPr>
                  <w:r>
                    <w:rPr>
                      <w:rFonts w:hint="eastAsia"/>
                    </w:rPr>
                    <w:t>450</w:t>
                  </w:r>
                </w:p>
              </w:tc>
              <w:tc>
                <w:tcPr>
                  <w:tcW w:w="3119" w:type="dxa"/>
                  <w:vAlign w:val="center"/>
                </w:tcPr>
                <w:p w14:paraId="77A18EF0">
                  <w:pPr>
                    <w:pStyle w:val="42"/>
                  </w:pPr>
                  <w:r>
                    <w:rPr>
                      <w:rFonts w:hint="eastAsia"/>
                    </w:rPr>
                    <w:t>层数4层，宽度6m，北侧设置1m悬臂梁。</w:t>
                  </w:r>
                </w:p>
              </w:tc>
              <w:tc>
                <w:tcPr>
                  <w:tcW w:w="762" w:type="dxa"/>
                  <w:vAlign w:val="center"/>
                </w:tcPr>
                <w:p w14:paraId="0BF597BC">
                  <w:pPr>
                    <w:pStyle w:val="42"/>
                  </w:pPr>
                </w:p>
              </w:tc>
            </w:tr>
            <w:tr w14:paraId="7AAF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6A06F198">
                  <w:pPr>
                    <w:pStyle w:val="42"/>
                  </w:pPr>
                  <w:r>
                    <w:t>2</w:t>
                  </w:r>
                </w:p>
              </w:tc>
              <w:tc>
                <w:tcPr>
                  <w:tcW w:w="1988" w:type="dxa"/>
                  <w:vAlign w:val="center"/>
                </w:tcPr>
                <w:p w14:paraId="276F56F8">
                  <w:pPr>
                    <w:pStyle w:val="42"/>
                  </w:pPr>
                  <w:r>
                    <w:rPr>
                      <w:rFonts w:hint="eastAsia"/>
                    </w:rPr>
                    <w:t>海豚路(勒沟东大道以南段)公共管廊</w:t>
                  </w:r>
                </w:p>
              </w:tc>
              <w:tc>
                <w:tcPr>
                  <w:tcW w:w="705" w:type="dxa"/>
                  <w:vAlign w:val="center"/>
                </w:tcPr>
                <w:p w14:paraId="75684082">
                  <w:pPr>
                    <w:pStyle w:val="42"/>
                  </w:pPr>
                  <w:r>
                    <w:rPr>
                      <w:rFonts w:hint="eastAsia"/>
                    </w:rPr>
                    <w:t>m</w:t>
                  </w:r>
                </w:p>
              </w:tc>
              <w:tc>
                <w:tcPr>
                  <w:tcW w:w="850" w:type="dxa"/>
                  <w:vAlign w:val="center"/>
                </w:tcPr>
                <w:p w14:paraId="3B7FA1F4">
                  <w:pPr>
                    <w:pStyle w:val="42"/>
                  </w:pPr>
                  <w:r>
                    <w:rPr>
                      <w:rFonts w:hint="eastAsia"/>
                    </w:rPr>
                    <w:t>1610</w:t>
                  </w:r>
                </w:p>
              </w:tc>
              <w:tc>
                <w:tcPr>
                  <w:tcW w:w="3119" w:type="dxa"/>
                  <w:vAlign w:val="center"/>
                </w:tcPr>
                <w:p w14:paraId="2A74E8AE">
                  <w:pPr>
                    <w:pStyle w:val="42"/>
                  </w:pPr>
                  <w:r>
                    <w:rPr>
                      <w:rFonts w:hint="eastAsia"/>
                    </w:rPr>
                    <w:t>占地面积15295m</w:t>
                  </w:r>
                  <w:r>
                    <w:rPr>
                      <w:rFonts w:hint="eastAsia"/>
                      <w:vertAlign w:val="superscript"/>
                    </w:rPr>
                    <w:t>2</w:t>
                  </w:r>
                  <w:r>
                    <w:rPr>
                      <w:rFonts w:hint="eastAsia"/>
                    </w:rPr>
                    <w:t>，宽度7m，三层，双柱梁式</w:t>
                  </w:r>
                </w:p>
              </w:tc>
              <w:tc>
                <w:tcPr>
                  <w:tcW w:w="762" w:type="dxa"/>
                  <w:vAlign w:val="center"/>
                </w:tcPr>
                <w:p w14:paraId="620F2949">
                  <w:pPr>
                    <w:pStyle w:val="42"/>
                  </w:pPr>
                </w:p>
              </w:tc>
            </w:tr>
            <w:tr w14:paraId="0882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4273DC3F">
                  <w:pPr>
                    <w:pStyle w:val="42"/>
                  </w:pPr>
                  <w:r>
                    <w:t>3</w:t>
                  </w:r>
                </w:p>
              </w:tc>
              <w:tc>
                <w:tcPr>
                  <w:tcW w:w="1988" w:type="dxa"/>
                  <w:vAlign w:val="center"/>
                </w:tcPr>
                <w:p w14:paraId="71D53D04">
                  <w:pPr>
                    <w:pStyle w:val="42"/>
                  </w:pPr>
                  <w:r>
                    <w:rPr>
                      <w:rFonts w:hint="eastAsia"/>
                    </w:rPr>
                    <w:t>海豚路(金鼓大街至勒沟东大道段)公共管廊</w:t>
                  </w:r>
                </w:p>
              </w:tc>
              <w:tc>
                <w:tcPr>
                  <w:tcW w:w="705" w:type="dxa"/>
                  <w:vAlign w:val="center"/>
                </w:tcPr>
                <w:p w14:paraId="1C92C462">
                  <w:pPr>
                    <w:pStyle w:val="42"/>
                  </w:pPr>
                  <w:r>
                    <w:t>m</w:t>
                  </w:r>
                </w:p>
              </w:tc>
              <w:tc>
                <w:tcPr>
                  <w:tcW w:w="850" w:type="dxa"/>
                  <w:vAlign w:val="center"/>
                </w:tcPr>
                <w:p w14:paraId="458495E1">
                  <w:pPr>
                    <w:pStyle w:val="42"/>
                  </w:pPr>
                  <w:r>
                    <w:t>1700</w:t>
                  </w:r>
                </w:p>
              </w:tc>
              <w:tc>
                <w:tcPr>
                  <w:tcW w:w="3119" w:type="dxa"/>
                  <w:vAlign w:val="center"/>
                </w:tcPr>
                <w:p w14:paraId="0A76AE03">
                  <w:pPr>
                    <w:pStyle w:val="42"/>
                  </w:pPr>
                  <w:r>
                    <w:rPr>
                      <w:rFonts w:hint="eastAsia"/>
                    </w:rPr>
                    <w:t>占地面积11900m</w:t>
                  </w:r>
                  <w:r>
                    <w:rPr>
                      <w:rFonts w:hint="eastAsia"/>
                      <w:vertAlign w:val="superscript"/>
                    </w:rPr>
                    <w:t>2</w:t>
                  </w:r>
                  <w:r>
                    <w:rPr>
                      <w:rFonts w:hint="eastAsia"/>
                    </w:rPr>
                    <w:t>，宽度9m，三层，三柱梁式。该段管廊本次仅建设4.5m宽度双柱梁式管廊，另外4.5m宽度管廊，由业主根据企业对管廊的需求情况建设。</w:t>
                  </w:r>
                </w:p>
              </w:tc>
              <w:tc>
                <w:tcPr>
                  <w:tcW w:w="762" w:type="dxa"/>
                  <w:vAlign w:val="center"/>
                </w:tcPr>
                <w:p w14:paraId="05FE5155">
                  <w:pPr>
                    <w:pStyle w:val="42"/>
                  </w:pPr>
                </w:p>
              </w:tc>
            </w:tr>
            <w:tr w14:paraId="0574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1CCF3C20">
                  <w:pPr>
                    <w:pStyle w:val="42"/>
                  </w:pPr>
                  <w:r>
                    <w:rPr>
                      <w:rFonts w:hint="eastAsia"/>
                    </w:rPr>
                    <w:t>4</w:t>
                  </w:r>
                </w:p>
              </w:tc>
              <w:tc>
                <w:tcPr>
                  <w:tcW w:w="6662" w:type="dxa"/>
                  <w:gridSpan w:val="4"/>
                  <w:vAlign w:val="center"/>
                </w:tcPr>
                <w:p w14:paraId="55425404">
                  <w:pPr>
                    <w:pStyle w:val="42"/>
                    <w:jc w:val="both"/>
                  </w:pPr>
                  <w:r>
                    <w:rPr>
                      <w:rFonts w:hint="eastAsia"/>
                    </w:rPr>
                    <w:t>金鼓大街公共管廊（E1.N1 段），该段管廊分为两段</w:t>
                  </w:r>
                </w:p>
              </w:tc>
              <w:tc>
                <w:tcPr>
                  <w:tcW w:w="762" w:type="dxa"/>
                  <w:vAlign w:val="center"/>
                </w:tcPr>
                <w:p w14:paraId="6C9E06BA">
                  <w:pPr>
                    <w:pStyle w:val="42"/>
                  </w:pPr>
                </w:p>
              </w:tc>
            </w:tr>
            <w:tr w14:paraId="3C20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restart"/>
                  <w:vAlign w:val="center"/>
                </w:tcPr>
                <w:p w14:paraId="720C4B3C">
                  <w:pPr>
                    <w:pStyle w:val="42"/>
                  </w:pPr>
                </w:p>
              </w:tc>
              <w:tc>
                <w:tcPr>
                  <w:tcW w:w="1988" w:type="dxa"/>
                  <w:vAlign w:val="center"/>
                </w:tcPr>
                <w:p w14:paraId="5CAF31D5">
                  <w:pPr>
                    <w:pStyle w:val="42"/>
                  </w:pPr>
                  <w:r>
                    <w:rPr>
                      <w:rFonts w:hint="eastAsia"/>
                    </w:rPr>
                    <w:t>4.1 金鼓大街公共管廊（D1.F1段）</w:t>
                  </w:r>
                </w:p>
              </w:tc>
              <w:tc>
                <w:tcPr>
                  <w:tcW w:w="705" w:type="dxa"/>
                  <w:vAlign w:val="center"/>
                </w:tcPr>
                <w:p w14:paraId="4817AE17">
                  <w:pPr>
                    <w:pStyle w:val="42"/>
                  </w:pPr>
                  <w:r>
                    <w:t>m</w:t>
                  </w:r>
                </w:p>
              </w:tc>
              <w:tc>
                <w:tcPr>
                  <w:tcW w:w="850" w:type="dxa"/>
                  <w:vAlign w:val="center"/>
                </w:tcPr>
                <w:p w14:paraId="4F7E8FE8">
                  <w:pPr>
                    <w:pStyle w:val="42"/>
                  </w:pPr>
                  <w:r>
                    <w:t>440</w:t>
                  </w:r>
                </w:p>
              </w:tc>
              <w:tc>
                <w:tcPr>
                  <w:tcW w:w="3119" w:type="dxa"/>
                  <w:vAlign w:val="center"/>
                </w:tcPr>
                <w:p w14:paraId="4563922B">
                  <w:pPr>
                    <w:pStyle w:val="42"/>
                  </w:pPr>
                  <w:r>
                    <w:rPr>
                      <w:rFonts w:hint="eastAsia"/>
                    </w:rPr>
                    <w:t>占地面积3080m</w:t>
                  </w:r>
                  <w:r>
                    <w:rPr>
                      <w:rFonts w:hint="eastAsia"/>
                      <w:vertAlign w:val="superscript"/>
                    </w:rPr>
                    <w:t>2</w:t>
                  </w:r>
                  <w:r>
                    <w:rPr>
                      <w:rFonts w:hint="eastAsia"/>
                    </w:rPr>
                    <w:t>，宽度9m，三层。该段管廊本次仅建设4.5m宽度双柱梁式管廊，另外4.5m宽度管廊，由业主根据企业对管廊的需求情况建设。</w:t>
                  </w:r>
                </w:p>
              </w:tc>
              <w:tc>
                <w:tcPr>
                  <w:tcW w:w="762" w:type="dxa"/>
                  <w:vAlign w:val="center"/>
                </w:tcPr>
                <w:p w14:paraId="17EB6220">
                  <w:pPr>
                    <w:pStyle w:val="42"/>
                  </w:pPr>
                </w:p>
              </w:tc>
            </w:tr>
            <w:tr w14:paraId="1E80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3938AC0C">
                  <w:pPr>
                    <w:pStyle w:val="42"/>
                  </w:pPr>
                </w:p>
              </w:tc>
              <w:tc>
                <w:tcPr>
                  <w:tcW w:w="1988" w:type="dxa"/>
                  <w:vAlign w:val="center"/>
                </w:tcPr>
                <w:p w14:paraId="4E2D092C">
                  <w:pPr>
                    <w:pStyle w:val="42"/>
                  </w:pPr>
                  <w:r>
                    <w:rPr>
                      <w:rFonts w:hint="eastAsia"/>
                    </w:rPr>
                    <w:t>4.2 金鼓大街公共管廊（E1.F1段）</w:t>
                  </w:r>
                </w:p>
              </w:tc>
              <w:tc>
                <w:tcPr>
                  <w:tcW w:w="705" w:type="dxa"/>
                  <w:vAlign w:val="center"/>
                </w:tcPr>
                <w:p w14:paraId="30C5BB65">
                  <w:pPr>
                    <w:pStyle w:val="42"/>
                  </w:pPr>
                  <w:r>
                    <w:rPr>
                      <w:rFonts w:hint="eastAsia"/>
                    </w:rPr>
                    <w:t>m</w:t>
                  </w:r>
                </w:p>
              </w:tc>
              <w:tc>
                <w:tcPr>
                  <w:tcW w:w="850" w:type="dxa"/>
                  <w:vAlign w:val="center"/>
                </w:tcPr>
                <w:p w14:paraId="2CB2E670">
                  <w:pPr>
                    <w:pStyle w:val="42"/>
                  </w:pPr>
                  <w:r>
                    <w:rPr>
                      <w:rFonts w:hint="eastAsia"/>
                    </w:rPr>
                    <w:t>588</w:t>
                  </w:r>
                </w:p>
              </w:tc>
              <w:tc>
                <w:tcPr>
                  <w:tcW w:w="3119" w:type="dxa"/>
                  <w:vAlign w:val="center"/>
                </w:tcPr>
                <w:p w14:paraId="663F1ADF">
                  <w:pPr>
                    <w:pStyle w:val="42"/>
                  </w:pPr>
                  <w:r>
                    <w:rPr>
                      <w:rFonts w:hint="eastAsia"/>
                    </w:rPr>
                    <w:t>占地面积3234m</w:t>
                  </w:r>
                  <w:r>
                    <w:rPr>
                      <w:rFonts w:hint="eastAsia"/>
                      <w:vertAlign w:val="superscript"/>
                    </w:rPr>
                    <w:t>2</w:t>
                  </w:r>
                  <w:r>
                    <w:rPr>
                      <w:rFonts w:hint="eastAsia"/>
                    </w:rPr>
                    <w:t>，宽度3m，一层，双柱梁式</w:t>
                  </w:r>
                </w:p>
              </w:tc>
              <w:tc>
                <w:tcPr>
                  <w:tcW w:w="762" w:type="dxa"/>
                  <w:vAlign w:val="center"/>
                </w:tcPr>
                <w:p w14:paraId="1DF6C218">
                  <w:pPr>
                    <w:pStyle w:val="42"/>
                  </w:pPr>
                </w:p>
              </w:tc>
            </w:tr>
            <w:tr w14:paraId="2EB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4D711BA3">
                  <w:pPr>
                    <w:pStyle w:val="42"/>
                  </w:pPr>
                  <w:r>
                    <w:t>5</w:t>
                  </w:r>
                </w:p>
              </w:tc>
              <w:tc>
                <w:tcPr>
                  <w:tcW w:w="1988" w:type="dxa"/>
                  <w:vAlign w:val="center"/>
                </w:tcPr>
                <w:p w14:paraId="073E1C47">
                  <w:pPr>
                    <w:pStyle w:val="42"/>
                  </w:pPr>
                  <w:r>
                    <w:rPr>
                      <w:rFonts w:hint="eastAsia"/>
                    </w:rPr>
                    <w:t>南港大道(金鼓大街至勒沟东大道段)公共管廊</w:t>
                  </w:r>
                </w:p>
              </w:tc>
              <w:tc>
                <w:tcPr>
                  <w:tcW w:w="705" w:type="dxa"/>
                  <w:vAlign w:val="center"/>
                </w:tcPr>
                <w:p w14:paraId="74CF7E05">
                  <w:pPr>
                    <w:pStyle w:val="42"/>
                  </w:pPr>
                  <w:r>
                    <w:t>m</w:t>
                  </w:r>
                </w:p>
              </w:tc>
              <w:tc>
                <w:tcPr>
                  <w:tcW w:w="850" w:type="dxa"/>
                  <w:vAlign w:val="center"/>
                </w:tcPr>
                <w:p w14:paraId="572288CA">
                  <w:pPr>
                    <w:pStyle w:val="42"/>
                  </w:pPr>
                  <w:r>
                    <w:t>1700</w:t>
                  </w:r>
                </w:p>
              </w:tc>
              <w:tc>
                <w:tcPr>
                  <w:tcW w:w="3119" w:type="dxa"/>
                  <w:vAlign w:val="center"/>
                </w:tcPr>
                <w:p w14:paraId="62E69AB4">
                  <w:pPr>
                    <w:pStyle w:val="42"/>
                  </w:pPr>
                  <w:r>
                    <w:rPr>
                      <w:rFonts w:hint="eastAsia"/>
                    </w:rPr>
                    <w:t>（一期已征地）占地面积7650m</w:t>
                  </w:r>
                  <w:r>
                    <w:rPr>
                      <w:rFonts w:hint="eastAsia"/>
                      <w:vertAlign w:val="superscript"/>
                    </w:rPr>
                    <w:t>2</w:t>
                  </w:r>
                  <w:r>
                    <w:rPr>
                      <w:rFonts w:hint="eastAsia"/>
                    </w:rPr>
                    <w:t>，宽度2m，第一层前期已建成，本项目加建两层，双柱梁式</w:t>
                  </w:r>
                </w:p>
              </w:tc>
              <w:tc>
                <w:tcPr>
                  <w:tcW w:w="762" w:type="dxa"/>
                  <w:vAlign w:val="center"/>
                </w:tcPr>
                <w:p w14:paraId="43C9C5C1">
                  <w:pPr>
                    <w:pStyle w:val="42"/>
                    <w:rPr>
                      <w:b/>
                      <w:bCs/>
                    </w:rPr>
                  </w:pPr>
                  <w:r>
                    <w:rPr>
                      <w:rFonts w:hint="eastAsia"/>
                      <w:b/>
                      <w:bCs/>
                    </w:rPr>
                    <w:t>项目依托</w:t>
                  </w:r>
                </w:p>
              </w:tc>
            </w:tr>
            <w:tr w14:paraId="2F66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57CEDC6E">
                  <w:pPr>
                    <w:pStyle w:val="42"/>
                  </w:pPr>
                  <w:r>
                    <w:t>6</w:t>
                  </w:r>
                </w:p>
              </w:tc>
              <w:tc>
                <w:tcPr>
                  <w:tcW w:w="1988" w:type="dxa"/>
                  <w:vAlign w:val="center"/>
                </w:tcPr>
                <w:p w14:paraId="35EB5F2C">
                  <w:pPr>
                    <w:pStyle w:val="42"/>
                  </w:pPr>
                  <w:r>
                    <w:rPr>
                      <w:rFonts w:hint="eastAsia"/>
                    </w:rPr>
                    <w:t>勒沟东大道（南港大道至临海大道段）公共管廊</w:t>
                  </w:r>
                </w:p>
              </w:tc>
              <w:tc>
                <w:tcPr>
                  <w:tcW w:w="705" w:type="dxa"/>
                  <w:vAlign w:val="center"/>
                </w:tcPr>
                <w:p w14:paraId="21AEF473">
                  <w:pPr>
                    <w:pStyle w:val="42"/>
                  </w:pPr>
                  <w:r>
                    <w:t>m</w:t>
                  </w:r>
                </w:p>
              </w:tc>
              <w:tc>
                <w:tcPr>
                  <w:tcW w:w="850" w:type="dxa"/>
                  <w:vAlign w:val="center"/>
                </w:tcPr>
                <w:p w14:paraId="4FE4B4F8">
                  <w:pPr>
                    <w:pStyle w:val="42"/>
                  </w:pPr>
                  <w:r>
                    <w:t>1737</w:t>
                  </w:r>
                </w:p>
              </w:tc>
              <w:tc>
                <w:tcPr>
                  <w:tcW w:w="3119" w:type="dxa"/>
                  <w:vAlign w:val="center"/>
                </w:tcPr>
                <w:p w14:paraId="13FF7C17">
                  <w:pPr>
                    <w:pStyle w:val="42"/>
                  </w:pPr>
                  <w:r>
                    <w:rPr>
                      <w:rFonts w:hint="eastAsia"/>
                    </w:rPr>
                    <w:t>（一期已征地）占地面积18238.5m</w:t>
                  </w:r>
                  <w:r>
                    <w:rPr>
                      <w:rFonts w:hint="eastAsia"/>
                      <w:vertAlign w:val="superscript"/>
                    </w:rPr>
                    <w:t>2</w:t>
                  </w:r>
                  <w:r>
                    <w:rPr>
                      <w:rFonts w:hint="eastAsia"/>
                    </w:rPr>
                    <w:t>，宽度9m，一层，三柱梁式（已实施两层，本次加筑一层）</w:t>
                  </w:r>
                </w:p>
              </w:tc>
              <w:tc>
                <w:tcPr>
                  <w:tcW w:w="762" w:type="dxa"/>
                  <w:vAlign w:val="center"/>
                </w:tcPr>
                <w:p w14:paraId="4B484AB5">
                  <w:pPr>
                    <w:pStyle w:val="42"/>
                  </w:pPr>
                </w:p>
              </w:tc>
            </w:tr>
            <w:tr w14:paraId="6C2F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88A41D1">
                  <w:pPr>
                    <w:pStyle w:val="42"/>
                  </w:pPr>
                  <w:r>
                    <w:rPr>
                      <w:rFonts w:hint="eastAsia"/>
                    </w:rPr>
                    <w:t>7</w:t>
                  </w:r>
                </w:p>
              </w:tc>
              <w:tc>
                <w:tcPr>
                  <w:tcW w:w="6662" w:type="dxa"/>
                  <w:gridSpan w:val="4"/>
                  <w:vAlign w:val="center"/>
                </w:tcPr>
                <w:p w14:paraId="0B0BA015">
                  <w:pPr>
                    <w:pStyle w:val="42"/>
                    <w:jc w:val="both"/>
                  </w:pPr>
                  <w:r>
                    <w:rPr>
                      <w:rFonts w:hint="eastAsia"/>
                    </w:rPr>
                    <w:t>石化园区至勒沟作业区公共管廊，该段管廊又分为以下四段：</w:t>
                  </w:r>
                </w:p>
              </w:tc>
              <w:tc>
                <w:tcPr>
                  <w:tcW w:w="762" w:type="dxa"/>
                  <w:vAlign w:val="center"/>
                </w:tcPr>
                <w:p w14:paraId="5808FF19">
                  <w:pPr>
                    <w:pStyle w:val="42"/>
                  </w:pPr>
                </w:p>
              </w:tc>
            </w:tr>
            <w:tr w14:paraId="2950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Merge w:val="restart"/>
                  <w:vAlign w:val="center"/>
                </w:tcPr>
                <w:p w14:paraId="6CEF2953">
                  <w:pPr>
                    <w:pStyle w:val="42"/>
                  </w:pPr>
                </w:p>
              </w:tc>
              <w:tc>
                <w:tcPr>
                  <w:tcW w:w="1988" w:type="dxa"/>
                  <w:vAlign w:val="center"/>
                </w:tcPr>
                <w:p w14:paraId="2E11416D">
                  <w:pPr>
                    <w:pStyle w:val="42"/>
                  </w:pPr>
                  <w:r>
                    <w:rPr>
                      <w:rFonts w:hint="eastAsia"/>
                    </w:rPr>
                    <w:t>7.1 石化园区至勒沟作业区公共管廊（H1.K1 段）</w:t>
                  </w:r>
                </w:p>
              </w:tc>
              <w:tc>
                <w:tcPr>
                  <w:tcW w:w="705" w:type="dxa"/>
                  <w:vAlign w:val="center"/>
                </w:tcPr>
                <w:p w14:paraId="6707B834">
                  <w:pPr>
                    <w:pStyle w:val="42"/>
                  </w:pPr>
                  <w:r>
                    <w:t>m</w:t>
                  </w:r>
                </w:p>
              </w:tc>
              <w:tc>
                <w:tcPr>
                  <w:tcW w:w="850" w:type="dxa"/>
                  <w:vAlign w:val="center"/>
                </w:tcPr>
                <w:p w14:paraId="2E329947">
                  <w:pPr>
                    <w:pStyle w:val="42"/>
                  </w:pPr>
                  <w:r>
                    <w:t>610</w:t>
                  </w:r>
                </w:p>
              </w:tc>
              <w:tc>
                <w:tcPr>
                  <w:tcW w:w="3119" w:type="dxa"/>
                  <w:vAlign w:val="center"/>
                </w:tcPr>
                <w:p w14:paraId="662F1255">
                  <w:pPr>
                    <w:pStyle w:val="42"/>
                  </w:pPr>
                  <w:r>
                    <w:rPr>
                      <w:rFonts w:hint="eastAsia"/>
                    </w:rPr>
                    <w:t>占地面积2867m</w:t>
                  </w:r>
                  <w:r>
                    <w:rPr>
                      <w:rFonts w:hint="eastAsia"/>
                      <w:vertAlign w:val="superscript"/>
                    </w:rPr>
                    <w:t>2</w:t>
                  </w:r>
                  <w:r>
                    <w:rPr>
                      <w:rFonts w:hint="eastAsia"/>
                    </w:rPr>
                    <w:t>，宽度8.2m，三层，三柱梁式。该段管廊本次仅建设2.2m宽度双柱梁式管廊，另外6.0m宽度管廊，由业主根据企业对管廊的需求情况建设。</w:t>
                  </w:r>
                </w:p>
              </w:tc>
              <w:tc>
                <w:tcPr>
                  <w:tcW w:w="762" w:type="dxa"/>
                  <w:vAlign w:val="center"/>
                </w:tcPr>
                <w:p w14:paraId="36DF230B">
                  <w:pPr>
                    <w:pStyle w:val="42"/>
                  </w:pPr>
                </w:p>
              </w:tc>
            </w:tr>
            <w:tr w14:paraId="43B5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01FBE7F5">
                  <w:pPr>
                    <w:pStyle w:val="42"/>
                  </w:pPr>
                </w:p>
              </w:tc>
              <w:tc>
                <w:tcPr>
                  <w:tcW w:w="1988" w:type="dxa"/>
                  <w:vAlign w:val="center"/>
                </w:tcPr>
                <w:p w14:paraId="37FE557B">
                  <w:pPr>
                    <w:pStyle w:val="42"/>
                  </w:pPr>
                  <w:r>
                    <w:rPr>
                      <w:rFonts w:hint="eastAsia"/>
                    </w:rPr>
                    <w:t>7.2 石化园区至勒沟作业区公共管廊（K1.I1 段）</w:t>
                  </w:r>
                </w:p>
              </w:tc>
              <w:tc>
                <w:tcPr>
                  <w:tcW w:w="705" w:type="dxa"/>
                  <w:vAlign w:val="center"/>
                </w:tcPr>
                <w:p w14:paraId="3322215C">
                  <w:pPr>
                    <w:pStyle w:val="42"/>
                  </w:pPr>
                  <w:r>
                    <w:rPr>
                      <w:rFonts w:hint="eastAsia"/>
                    </w:rPr>
                    <w:t>m</w:t>
                  </w:r>
                </w:p>
              </w:tc>
              <w:tc>
                <w:tcPr>
                  <w:tcW w:w="850" w:type="dxa"/>
                  <w:vAlign w:val="center"/>
                </w:tcPr>
                <w:p w14:paraId="3F669074">
                  <w:pPr>
                    <w:pStyle w:val="42"/>
                  </w:pPr>
                  <w:r>
                    <w:rPr>
                      <w:rFonts w:hint="eastAsia"/>
                    </w:rPr>
                    <w:t>1725</w:t>
                  </w:r>
                </w:p>
              </w:tc>
              <w:tc>
                <w:tcPr>
                  <w:tcW w:w="3119" w:type="dxa"/>
                  <w:vAlign w:val="center"/>
                </w:tcPr>
                <w:p w14:paraId="5CC0774C">
                  <w:pPr>
                    <w:pStyle w:val="42"/>
                  </w:pPr>
                  <w:r>
                    <w:rPr>
                      <w:rFonts w:hint="eastAsia"/>
                    </w:rPr>
                    <w:t>占地面积8107.5m</w:t>
                  </w:r>
                  <w:r>
                    <w:rPr>
                      <w:rFonts w:hint="eastAsia"/>
                      <w:vertAlign w:val="superscript"/>
                    </w:rPr>
                    <w:t>2</w:t>
                  </w:r>
                  <w:r>
                    <w:rPr>
                      <w:rFonts w:hint="eastAsia"/>
                    </w:rPr>
                    <w:t>，宽度2.2m，两层，双柱梁式</w:t>
                  </w:r>
                </w:p>
              </w:tc>
              <w:tc>
                <w:tcPr>
                  <w:tcW w:w="762" w:type="dxa"/>
                  <w:vAlign w:val="center"/>
                </w:tcPr>
                <w:p w14:paraId="5EAD918C">
                  <w:pPr>
                    <w:pStyle w:val="42"/>
                  </w:pPr>
                </w:p>
              </w:tc>
            </w:tr>
            <w:tr w14:paraId="7396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28E6978A">
                  <w:pPr>
                    <w:pStyle w:val="42"/>
                  </w:pPr>
                </w:p>
              </w:tc>
              <w:tc>
                <w:tcPr>
                  <w:tcW w:w="1988" w:type="dxa"/>
                  <w:vAlign w:val="center"/>
                </w:tcPr>
                <w:p w14:paraId="315061C6">
                  <w:pPr>
                    <w:pStyle w:val="42"/>
                  </w:pPr>
                  <w:r>
                    <w:rPr>
                      <w:rFonts w:hint="eastAsia"/>
                    </w:rPr>
                    <w:t>7.3 石化园区至勒沟作业区公共管廊（I1.J1 段）</w:t>
                  </w:r>
                </w:p>
              </w:tc>
              <w:tc>
                <w:tcPr>
                  <w:tcW w:w="705" w:type="dxa"/>
                  <w:vAlign w:val="center"/>
                </w:tcPr>
                <w:p w14:paraId="73C3BE32">
                  <w:pPr>
                    <w:pStyle w:val="42"/>
                  </w:pPr>
                  <w:r>
                    <w:rPr>
                      <w:rFonts w:hint="eastAsia"/>
                    </w:rPr>
                    <w:t>m</w:t>
                  </w:r>
                </w:p>
              </w:tc>
              <w:tc>
                <w:tcPr>
                  <w:tcW w:w="850" w:type="dxa"/>
                  <w:vAlign w:val="center"/>
                </w:tcPr>
                <w:p w14:paraId="37647921">
                  <w:pPr>
                    <w:pStyle w:val="42"/>
                  </w:pPr>
                  <w:r>
                    <w:rPr>
                      <w:rFonts w:hint="eastAsia"/>
                    </w:rPr>
                    <w:t>1738</w:t>
                  </w:r>
                </w:p>
              </w:tc>
              <w:tc>
                <w:tcPr>
                  <w:tcW w:w="3119" w:type="dxa"/>
                  <w:vAlign w:val="center"/>
                </w:tcPr>
                <w:p w14:paraId="2487AF4C">
                  <w:pPr>
                    <w:pStyle w:val="42"/>
                  </w:pPr>
                  <w:r>
                    <w:rPr>
                      <w:rFonts w:hint="eastAsia"/>
                    </w:rPr>
                    <w:t>占地面积8167.7m</w:t>
                  </w:r>
                  <w:r>
                    <w:rPr>
                      <w:rFonts w:hint="eastAsia"/>
                      <w:vertAlign w:val="superscript"/>
                    </w:rPr>
                    <w:t>2</w:t>
                  </w:r>
                  <w:r>
                    <w:rPr>
                      <w:rFonts w:hint="eastAsia"/>
                    </w:rPr>
                    <w:t>，宽度2.2m，一层，双柱梁式</w:t>
                  </w:r>
                </w:p>
              </w:tc>
              <w:tc>
                <w:tcPr>
                  <w:tcW w:w="762" w:type="dxa"/>
                  <w:vAlign w:val="center"/>
                </w:tcPr>
                <w:p w14:paraId="045CB4F4">
                  <w:pPr>
                    <w:pStyle w:val="42"/>
                  </w:pPr>
                </w:p>
              </w:tc>
            </w:tr>
            <w:tr w14:paraId="0B85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Merge w:val="continue"/>
                  <w:vAlign w:val="center"/>
                </w:tcPr>
                <w:p w14:paraId="7674504A">
                  <w:pPr>
                    <w:pStyle w:val="42"/>
                  </w:pPr>
                </w:p>
              </w:tc>
              <w:tc>
                <w:tcPr>
                  <w:tcW w:w="1988" w:type="dxa"/>
                  <w:vAlign w:val="center"/>
                </w:tcPr>
                <w:p w14:paraId="67392B94">
                  <w:pPr>
                    <w:pStyle w:val="42"/>
                  </w:pPr>
                  <w:r>
                    <w:rPr>
                      <w:rFonts w:hint="eastAsia"/>
                    </w:rPr>
                    <w:t>7.4 石化园区至勒沟作业区公共管廊（K1.L1段）</w:t>
                  </w:r>
                </w:p>
              </w:tc>
              <w:tc>
                <w:tcPr>
                  <w:tcW w:w="705" w:type="dxa"/>
                  <w:vAlign w:val="center"/>
                </w:tcPr>
                <w:p w14:paraId="1749C0FB">
                  <w:pPr>
                    <w:pStyle w:val="42"/>
                  </w:pPr>
                  <w:r>
                    <w:rPr>
                      <w:rFonts w:hint="eastAsia"/>
                    </w:rPr>
                    <w:t>m</w:t>
                  </w:r>
                </w:p>
              </w:tc>
              <w:tc>
                <w:tcPr>
                  <w:tcW w:w="850" w:type="dxa"/>
                  <w:vAlign w:val="center"/>
                </w:tcPr>
                <w:p w14:paraId="037D2C76">
                  <w:pPr>
                    <w:pStyle w:val="42"/>
                  </w:pPr>
                  <w:r>
                    <w:rPr>
                      <w:rFonts w:hint="eastAsia"/>
                    </w:rPr>
                    <w:t>121</w:t>
                  </w:r>
                </w:p>
              </w:tc>
              <w:tc>
                <w:tcPr>
                  <w:tcW w:w="3119" w:type="dxa"/>
                  <w:vAlign w:val="center"/>
                </w:tcPr>
                <w:p w14:paraId="741F6515">
                  <w:pPr>
                    <w:pStyle w:val="42"/>
                  </w:pPr>
                  <w:r>
                    <w:rPr>
                      <w:rFonts w:hint="eastAsia"/>
                    </w:rPr>
                    <w:t>占地面积907.5m</w:t>
                  </w:r>
                  <w:r>
                    <w:rPr>
                      <w:rFonts w:hint="eastAsia"/>
                      <w:vertAlign w:val="superscript"/>
                    </w:rPr>
                    <w:t>2</w:t>
                  </w:r>
                  <w:r>
                    <w:rPr>
                      <w:rFonts w:hint="eastAsia"/>
                    </w:rPr>
                    <w:t>，宽度6m，三层，双柱梁式</w:t>
                  </w:r>
                </w:p>
              </w:tc>
              <w:tc>
                <w:tcPr>
                  <w:tcW w:w="762" w:type="dxa"/>
                  <w:vAlign w:val="center"/>
                </w:tcPr>
                <w:p w14:paraId="7375DC00">
                  <w:pPr>
                    <w:pStyle w:val="42"/>
                  </w:pPr>
                </w:p>
              </w:tc>
            </w:tr>
            <w:tr w14:paraId="7F99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27DB05A5">
                  <w:pPr>
                    <w:pStyle w:val="42"/>
                  </w:pPr>
                  <w:r>
                    <w:t>8</w:t>
                  </w:r>
                </w:p>
              </w:tc>
              <w:tc>
                <w:tcPr>
                  <w:tcW w:w="1988" w:type="dxa"/>
                  <w:vAlign w:val="center"/>
                </w:tcPr>
                <w:p w14:paraId="187453A0">
                  <w:pPr>
                    <w:pStyle w:val="42"/>
                  </w:pPr>
                  <w:r>
                    <w:rPr>
                      <w:rFonts w:hint="eastAsia"/>
                    </w:rPr>
                    <w:t>石化园区至大榄坪综合物流加工区公共管廊</w:t>
                  </w:r>
                </w:p>
              </w:tc>
              <w:tc>
                <w:tcPr>
                  <w:tcW w:w="705" w:type="dxa"/>
                  <w:vAlign w:val="center"/>
                </w:tcPr>
                <w:p w14:paraId="41B8DBF2">
                  <w:pPr>
                    <w:pStyle w:val="42"/>
                  </w:pPr>
                  <w:r>
                    <w:rPr>
                      <w:rFonts w:hint="eastAsia"/>
                    </w:rPr>
                    <w:t>m</w:t>
                  </w:r>
                </w:p>
              </w:tc>
              <w:tc>
                <w:tcPr>
                  <w:tcW w:w="850" w:type="dxa"/>
                  <w:vAlign w:val="center"/>
                </w:tcPr>
                <w:p w14:paraId="6BDA9CF1">
                  <w:pPr>
                    <w:pStyle w:val="42"/>
                  </w:pPr>
                  <w:r>
                    <w:rPr>
                      <w:rFonts w:hint="eastAsia"/>
                    </w:rPr>
                    <w:t>7900</w:t>
                  </w:r>
                </w:p>
              </w:tc>
              <w:tc>
                <w:tcPr>
                  <w:tcW w:w="3119" w:type="dxa"/>
                  <w:vAlign w:val="center"/>
                </w:tcPr>
                <w:p w14:paraId="3CC3B513">
                  <w:pPr>
                    <w:pStyle w:val="42"/>
                  </w:pPr>
                  <w:r>
                    <w:rPr>
                      <w:rFonts w:hint="eastAsia"/>
                    </w:rPr>
                    <w:t>占地面积43450m</w:t>
                  </w:r>
                  <w:r>
                    <w:rPr>
                      <w:rFonts w:hint="eastAsia"/>
                      <w:vertAlign w:val="superscript"/>
                    </w:rPr>
                    <w:t>2</w:t>
                  </w:r>
                  <w:r>
                    <w:rPr>
                      <w:rFonts w:hint="eastAsia"/>
                    </w:rPr>
                    <w:t>，宽度3m，两层，双柱梁式</w:t>
                  </w:r>
                </w:p>
              </w:tc>
              <w:tc>
                <w:tcPr>
                  <w:tcW w:w="762" w:type="dxa"/>
                  <w:vAlign w:val="center"/>
                </w:tcPr>
                <w:p w14:paraId="3B06668E">
                  <w:pPr>
                    <w:pStyle w:val="42"/>
                  </w:pPr>
                </w:p>
              </w:tc>
            </w:tr>
            <w:tr w14:paraId="480F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31B1E64C">
                  <w:pPr>
                    <w:pStyle w:val="42"/>
                  </w:pPr>
                  <w:r>
                    <w:rPr>
                      <w:rFonts w:hint="eastAsia"/>
                    </w:rPr>
                    <w:t>9</w:t>
                  </w:r>
                </w:p>
              </w:tc>
              <w:tc>
                <w:tcPr>
                  <w:tcW w:w="1988" w:type="dxa"/>
                  <w:vAlign w:val="center"/>
                </w:tcPr>
                <w:p w14:paraId="10DCCAB4">
                  <w:pPr>
                    <w:pStyle w:val="42"/>
                  </w:pPr>
                  <w:r>
                    <w:rPr>
                      <w:rFonts w:hint="eastAsia"/>
                    </w:rPr>
                    <w:t>临海大道公共管廊</w:t>
                  </w:r>
                </w:p>
              </w:tc>
              <w:tc>
                <w:tcPr>
                  <w:tcW w:w="705" w:type="dxa"/>
                  <w:vAlign w:val="center"/>
                </w:tcPr>
                <w:p w14:paraId="01590DBF">
                  <w:pPr>
                    <w:pStyle w:val="42"/>
                  </w:pPr>
                  <w:r>
                    <w:rPr>
                      <w:rFonts w:hint="eastAsia"/>
                    </w:rPr>
                    <w:t>m</w:t>
                  </w:r>
                </w:p>
              </w:tc>
              <w:tc>
                <w:tcPr>
                  <w:tcW w:w="850" w:type="dxa"/>
                  <w:vAlign w:val="center"/>
                </w:tcPr>
                <w:p w14:paraId="50710E42">
                  <w:pPr>
                    <w:pStyle w:val="42"/>
                  </w:pPr>
                  <w:r>
                    <w:rPr>
                      <w:rFonts w:hint="eastAsia"/>
                    </w:rPr>
                    <w:t>1484</w:t>
                  </w:r>
                </w:p>
              </w:tc>
              <w:tc>
                <w:tcPr>
                  <w:tcW w:w="3119" w:type="dxa"/>
                  <w:vAlign w:val="center"/>
                </w:tcPr>
                <w:p w14:paraId="1C3CEAD2">
                  <w:pPr>
                    <w:pStyle w:val="42"/>
                  </w:pPr>
                  <w:r>
                    <w:rPr>
                      <w:rFonts w:hint="eastAsia"/>
                    </w:rPr>
                    <w:t>宽度2.2m，两层，双柱梁式</w:t>
                  </w:r>
                </w:p>
              </w:tc>
              <w:tc>
                <w:tcPr>
                  <w:tcW w:w="762" w:type="dxa"/>
                  <w:vAlign w:val="center"/>
                </w:tcPr>
                <w:p w14:paraId="68094E5B">
                  <w:pPr>
                    <w:pStyle w:val="42"/>
                  </w:pPr>
                </w:p>
              </w:tc>
            </w:tr>
            <w:tr w14:paraId="13B2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26B51E34">
                  <w:pPr>
                    <w:pStyle w:val="42"/>
                  </w:pPr>
                  <w:r>
                    <w:rPr>
                      <w:rFonts w:hint="eastAsia"/>
                    </w:rPr>
                    <w:t>二</w:t>
                  </w:r>
                </w:p>
              </w:tc>
              <w:tc>
                <w:tcPr>
                  <w:tcW w:w="1988" w:type="dxa"/>
                  <w:vAlign w:val="center"/>
                </w:tcPr>
                <w:p w14:paraId="0D5488A3">
                  <w:pPr>
                    <w:pStyle w:val="42"/>
                  </w:pPr>
                  <w:r>
                    <w:rPr>
                      <w:rFonts w:hint="eastAsia"/>
                    </w:rPr>
                    <w:t>定员</w:t>
                  </w:r>
                </w:p>
              </w:tc>
              <w:tc>
                <w:tcPr>
                  <w:tcW w:w="705" w:type="dxa"/>
                  <w:vAlign w:val="center"/>
                </w:tcPr>
                <w:p w14:paraId="7F0A7D39">
                  <w:pPr>
                    <w:pStyle w:val="42"/>
                  </w:pPr>
                  <w:r>
                    <w:rPr>
                      <w:rFonts w:hint="eastAsia"/>
                    </w:rPr>
                    <w:t>人</w:t>
                  </w:r>
                </w:p>
              </w:tc>
              <w:tc>
                <w:tcPr>
                  <w:tcW w:w="850" w:type="dxa"/>
                  <w:vAlign w:val="center"/>
                </w:tcPr>
                <w:p w14:paraId="5072F3C2">
                  <w:pPr>
                    <w:pStyle w:val="42"/>
                  </w:pPr>
                  <w:r>
                    <w:rPr>
                      <w:rFonts w:hint="eastAsia"/>
                    </w:rPr>
                    <w:t>35</w:t>
                  </w:r>
                </w:p>
              </w:tc>
              <w:tc>
                <w:tcPr>
                  <w:tcW w:w="3119" w:type="dxa"/>
                  <w:vAlign w:val="center"/>
                </w:tcPr>
                <w:p w14:paraId="64FE43A6">
                  <w:pPr>
                    <w:pStyle w:val="42"/>
                  </w:pPr>
                  <w:r>
                    <w:rPr>
                      <w:rFonts w:hint="eastAsia"/>
                    </w:rPr>
                    <w:t>租赁金鼓新城临港公司已有办公大楼办公室作为办公地址</w:t>
                  </w:r>
                </w:p>
              </w:tc>
              <w:tc>
                <w:tcPr>
                  <w:tcW w:w="762" w:type="dxa"/>
                  <w:vAlign w:val="center"/>
                </w:tcPr>
                <w:p w14:paraId="09761FE9">
                  <w:pPr>
                    <w:pStyle w:val="42"/>
                  </w:pPr>
                </w:p>
              </w:tc>
            </w:tr>
            <w:tr w14:paraId="301C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4DFAD062">
                  <w:pPr>
                    <w:pStyle w:val="42"/>
                  </w:pPr>
                  <w:r>
                    <w:rPr>
                      <w:rFonts w:hint="eastAsia"/>
                    </w:rPr>
                    <w:t>三</w:t>
                  </w:r>
                </w:p>
              </w:tc>
              <w:tc>
                <w:tcPr>
                  <w:tcW w:w="1988" w:type="dxa"/>
                  <w:vAlign w:val="center"/>
                </w:tcPr>
                <w:p w14:paraId="2A193145">
                  <w:pPr>
                    <w:pStyle w:val="42"/>
                  </w:pPr>
                  <w:r>
                    <w:rPr>
                      <w:rFonts w:hint="eastAsia"/>
                    </w:rPr>
                    <w:t>总占地面积</w:t>
                  </w:r>
                </w:p>
              </w:tc>
              <w:tc>
                <w:tcPr>
                  <w:tcW w:w="705" w:type="dxa"/>
                  <w:vAlign w:val="center"/>
                </w:tcPr>
                <w:p w14:paraId="2383EC99">
                  <w:pPr>
                    <w:pStyle w:val="42"/>
                  </w:pPr>
                  <w:r>
                    <w:rPr>
                      <w:rFonts w:hint="eastAsia"/>
                    </w:rPr>
                    <w:t>m</w:t>
                  </w:r>
                  <w:r>
                    <w:rPr>
                      <w:rFonts w:hint="eastAsia"/>
                      <w:vertAlign w:val="superscript"/>
                    </w:rPr>
                    <w:t>2</w:t>
                  </w:r>
                </w:p>
              </w:tc>
              <w:tc>
                <w:tcPr>
                  <w:tcW w:w="850" w:type="dxa"/>
                  <w:vAlign w:val="center"/>
                </w:tcPr>
                <w:p w14:paraId="17187CD5">
                  <w:pPr>
                    <w:pStyle w:val="42"/>
                  </w:pPr>
                  <w:r>
                    <w:rPr>
                      <w:rFonts w:hint="eastAsia"/>
                    </w:rPr>
                    <w:t>110954</w:t>
                  </w:r>
                </w:p>
              </w:tc>
              <w:tc>
                <w:tcPr>
                  <w:tcW w:w="3119" w:type="dxa"/>
                  <w:vAlign w:val="center"/>
                </w:tcPr>
                <w:p w14:paraId="2179A34A">
                  <w:pPr>
                    <w:pStyle w:val="42"/>
                  </w:pPr>
                  <w:r>
                    <w:rPr>
                      <w:rFonts w:hint="eastAsia"/>
                    </w:rPr>
                    <w:t>166.43 亩</w:t>
                  </w:r>
                </w:p>
              </w:tc>
              <w:tc>
                <w:tcPr>
                  <w:tcW w:w="762" w:type="dxa"/>
                  <w:vAlign w:val="center"/>
                </w:tcPr>
                <w:p w14:paraId="527A124B">
                  <w:pPr>
                    <w:pStyle w:val="42"/>
                  </w:pPr>
                </w:p>
              </w:tc>
            </w:tr>
            <w:tr w14:paraId="5CEA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14:paraId="546E0566">
                  <w:pPr>
                    <w:pStyle w:val="42"/>
                  </w:pPr>
                  <w:r>
                    <w:rPr>
                      <w:rFonts w:hint="eastAsia"/>
                    </w:rPr>
                    <w:t>四</w:t>
                  </w:r>
                </w:p>
              </w:tc>
              <w:tc>
                <w:tcPr>
                  <w:tcW w:w="1988" w:type="dxa"/>
                  <w:vAlign w:val="center"/>
                </w:tcPr>
                <w:p w14:paraId="1BD1F03A">
                  <w:pPr>
                    <w:pStyle w:val="42"/>
                  </w:pPr>
                  <w:r>
                    <w:rPr>
                      <w:rFonts w:hint="eastAsia"/>
                    </w:rPr>
                    <w:t>工程项目总投资</w:t>
                  </w:r>
                </w:p>
              </w:tc>
              <w:tc>
                <w:tcPr>
                  <w:tcW w:w="705" w:type="dxa"/>
                  <w:vAlign w:val="center"/>
                </w:tcPr>
                <w:p w14:paraId="5FF99033">
                  <w:pPr>
                    <w:pStyle w:val="42"/>
                  </w:pPr>
                  <w:r>
                    <w:rPr>
                      <w:rFonts w:hint="eastAsia"/>
                    </w:rPr>
                    <w:t>万元</w:t>
                  </w:r>
                </w:p>
              </w:tc>
              <w:tc>
                <w:tcPr>
                  <w:tcW w:w="850" w:type="dxa"/>
                  <w:vAlign w:val="center"/>
                </w:tcPr>
                <w:p w14:paraId="041DD809">
                  <w:pPr>
                    <w:pStyle w:val="42"/>
                  </w:pPr>
                  <w:r>
                    <w:rPr>
                      <w:rFonts w:hint="eastAsia"/>
                    </w:rPr>
                    <w:t>35715.82</w:t>
                  </w:r>
                </w:p>
              </w:tc>
              <w:tc>
                <w:tcPr>
                  <w:tcW w:w="3119" w:type="dxa"/>
                  <w:vAlign w:val="center"/>
                </w:tcPr>
                <w:p w14:paraId="07F58D24">
                  <w:pPr>
                    <w:pStyle w:val="42"/>
                  </w:pPr>
                </w:p>
              </w:tc>
              <w:tc>
                <w:tcPr>
                  <w:tcW w:w="762" w:type="dxa"/>
                  <w:vAlign w:val="center"/>
                </w:tcPr>
                <w:p w14:paraId="72345692">
                  <w:pPr>
                    <w:pStyle w:val="42"/>
                  </w:pPr>
                </w:p>
              </w:tc>
            </w:tr>
          </w:tbl>
          <w:p w14:paraId="1C7E221E">
            <w:pPr>
              <w:pStyle w:val="41"/>
              <w:ind w:firstLine="480"/>
            </w:pPr>
          </w:p>
          <w:p w14:paraId="2DEFA0D5">
            <w:pPr>
              <w:pStyle w:val="41"/>
              <w:ind w:firstLine="480"/>
            </w:pPr>
            <w:r>
              <w:rPr>
                <w:rFonts w:hint="eastAsia"/>
              </w:rPr>
              <w:t>钦州石化产业园公共管廊四期全长5160米，分两段建设，分别为南港大道东侧（滨海公路至环珠东大街段）长度3820米及广西石化至南港大道长度1340米。主要建设内容为公共管廊项目工艺、土建、电气、配套公用工程等。钦州石化产业园公共管廊四期于2022年9月正式开工建设，目前仍在建设中。本项目主要依托园区公共管廊四期中的南港大道东侧（滨海公路至环珠东大街段）公共管廊及广西石化至南港大道公共管廊。</w:t>
            </w:r>
          </w:p>
          <w:p w14:paraId="5CF9CD3D">
            <w:pPr>
              <w:pStyle w:val="41"/>
              <w:ind w:firstLine="482"/>
              <w:rPr>
                <w:b/>
                <w:bCs/>
              </w:rPr>
            </w:pPr>
            <w:r>
              <w:rPr>
                <w:b/>
                <w:bCs/>
              </w:rPr>
              <w:t>6</w:t>
            </w:r>
            <w:r>
              <w:rPr>
                <w:rFonts w:hint="eastAsia"/>
                <w:b/>
                <w:bCs/>
              </w:rPr>
              <w:t>项目氮气来源</w:t>
            </w:r>
          </w:p>
          <w:p w14:paraId="76439066">
            <w:pPr>
              <w:pStyle w:val="41"/>
              <w:ind w:firstLine="480"/>
            </w:pPr>
            <w:r>
              <w:rPr>
                <w:rFonts w:hint="eastAsia"/>
              </w:rPr>
              <w:t>项目使用氮气源由空分项目提供，根据建设单位提供的工程资料，空分项目现预留了近</w:t>
            </w:r>
            <w:r>
              <w:t>12</w:t>
            </w:r>
            <w:r>
              <w:rPr>
                <w:rFonts w:hint="eastAsia"/>
              </w:rPr>
              <w:t>万</w:t>
            </w:r>
            <w:r>
              <w:t>Nm</w:t>
            </w:r>
            <w:r>
              <w:rPr>
                <w:vertAlign w:val="superscript"/>
              </w:rPr>
              <w:t>3</w:t>
            </w:r>
            <w:r>
              <w:t>/h</w:t>
            </w:r>
            <w:r>
              <w:rPr>
                <w:rFonts w:hint="eastAsia"/>
              </w:rPr>
              <w:t>的常压氮气供应，可满足本项目</w:t>
            </w:r>
            <w:r>
              <w:t>40000Nm</w:t>
            </w:r>
            <w:r>
              <w:rPr>
                <w:vertAlign w:val="superscript"/>
              </w:rPr>
              <w:t>3</w:t>
            </w:r>
            <w:r>
              <w:t>/h</w:t>
            </w:r>
            <w:r>
              <w:rPr>
                <w:rFonts w:hint="eastAsia"/>
              </w:rPr>
              <w:t>中压氮气的生产需求。</w:t>
            </w:r>
          </w:p>
        </w:tc>
      </w:tr>
      <w:tr w14:paraId="0D5A3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vAlign w:val="center"/>
          </w:tcPr>
          <w:p w14:paraId="4FE634E2">
            <w:pPr>
              <w:adjustRightInd w:val="0"/>
              <w:snapToGrid w:val="0"/>
              <w:jc w:val="center"/>
              <w:rPr>
                <w:rFonts w:hint="eastAsia" w:ascii="宋体" w:hAnsi="宋体" w:cs="宋体"/>
                <w:kern w:val="0"/>
                <w:sz w:val="24"/>
              </w:rPr>
            </w:pPr>
            <w:r>
              <w:rPr>
                <w:rFonts w:hint="eastAsia" w:ascii="宋体" w:hAnsi="宋体" w:cs="宋体"/>
                <w:kern w:val="0"/>
                <w:sz w:val="24"/>
              </w:rPr>
              <w:t>总平面及现场布置</w:t>
            </w:r>
          </w:p>
        </w:tc>
        <w:tc>
          <w:tcPr>
            <w:tcW w:w="8380" w:type="dxa"/>
          </w:tcPr>
          <w:p w14:paraId="4D87A335">
            <w:pPr>
              <w:pStyle w:val="41"/>
              <w:ind w:firstLine="480"/>
            </w:pPr>
            <w:r>
              <w:rPr>
                <w:rFonts w:hint="eastAsia"/>
              </w:rPr>
              <w:t>项目新建管线起点为勒沟东大街及南港大道交界处预留接口，起点坐标为：东经108°36′44.583″，北纬21°43′39.621″；沿南港大道朝北架空铺设至中国石油广西石化公司厂区附近，终点坐标为：东经108°36′54.308″，北纬21°46′21.724″。管线总长度约7km。</w:t>
            </w:r>
          </w:p>
          <w:p w14:paraId="678D11AD">
            <w:pPr>
              <w:pStyle w:val="41"/>
              <w:ind w:firstLine="480"/>
            </w:pPr>
            <w:r>
              <w:rPr>
                <w:rFonts w:hint="eastAsia"/>
              </w:rPr>
              <w:t>项目所在厂区内，东北角及南面各有一块预留空地可作为施工临时用地，本项目拟将空分厂区内南面预留地块作为施工临时用地，用于临时堆放施工材料、设备等；施工人员食宿依托港区周边生活设施解决，厂区内不再单独设临时施工营地；管线沿线与道路之间设</w:t>
            </w:r>
            <w:r>
              <w:rPr>
                <w:rFonts w:hint="eastAsia"/>
                <w:lang w:eastAsia="zh-CN"/>
              </w:rPr>
              <w:t>预留</w:t>
            </w:r>
            <w:r>
              <w:rPr>
                <w:rFonts w:hint="eastAsia"/>
              </w:rPr>
              <w:t>空地，可临时堆放材料，施工过程主要由吊车并配合人工将氮气管道放在相应位置。</w:t>
            </w:r>
          </w:p>
          <w:p w14:paraId="29EC097E">
            <w:pPr>
              <w:pStyle w:val="41"/>
              <w:ind w:firstLine="480"/>
            </w:pPr>
            <w:r>
              <w:rPr>
                <w:rFonts w:hint="eastAsia"/>
              </w:rPr>
              <w:t>施工临时占用道路时，施工单位应出具详细施工组织方案，并取得有关部门确认及协调。</w:t>
            </w:r>
          </w:p>
          <w:p w14:paraId="5F34F2F9">
            <w:pPr>
              <w:pStyle w:val="41"/>
              <w:ind w:firstLine="480"/>
            </w:pPr>
          </w:p>
        </w:tc>
      </w:tr>
      <w:tr w14:paraId="74243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vAlign w:val="center"/>
          </w:tcPr>
          <w:p w14:paraId="57F9A90B">
            <w:pPr>
              <w:adjustRightInd w:val="0"/>
              <w:snapToGrid w:val="0"/>
              <w:jc w:val="center"/>
              <w:rPr>
                <w:rFonts w:hint="eastAsia" w:ascii="宋体" w:hAnsi="宋体" w:cs="宋体"/>
                <w:kern w:val="0"/>
                <w:sz w:val="24"/>
              </w:rPr>
            </w:pPr>
            <w:r>
              <w:rPr>
                <w:rFonts w:hint="eastAsia" w:ascii="宋体" w:hAnsi="宋体" w:cs="宋体"/>
                <w:kern w:val="0"/>
                <w:sz w:val="24"/>
              </w:rPr>
              <w:t>施工方案</w:t>
            </w:r>
          </w:p>
        </w:tc>
        <w:tc>
          <w:tcPr>
            <w:tcW w:w="8380" w:type="dxa"/>
          </w:tcPr>
          <w:p w14:paraId="1FD6E1C4">
            <w:pPr>
              <w:pStyle w:val="41"/>
              <w:ind w:firstLine="480"/>
              <w:jc w:val="both"/>
            </w:pPr>
            <w:r>
              <w:rPr>
                <w:rFonts w:hint="eastAsia"/>
              </w:rPr>
              <w:t>项目建设工期为15个月，设计管道管径为DN500。</w:t>
            </w:r>
          </w:p>
          <w:p w14:paraId="119FDCB8">
            <w:pPr>
              <w:pStyle w:val="41"/>
              <w:ind w:firstLine="482"/>
              <w:jc w:val="both"/>
              <w:rPr>
                <w:b/>
                <w:bCs/>
              </w:rPr>
            </w:pPr>
            <w:r>
              <w:rPr>
                <w:rFonts w:hint="eastAsia"/>
                <w:b/>
                <w:bCs/>
              </w:rPr>
              <w:t>1管线施工工艺</w:t>
            </w:r>
          </w:p>
          <w:p w14:paraId="3CE34161">
            <w:pPr>
              <w:pStyle w:val="41"/>
              <w:ind w:firstLine="480"/>
            </w:pPr>
            <w:r>
              <w:rPr>
                <w:rFonts w:hint="eastAsia"/>
              </w:rPr>
              <w:t>项目依托的管廊由园区负责建设，本项目待园区管廊施工完毕后进行管道的布设，管道现场安装时已进行刷漆，主要施工过程如下：</w:t>
            </w:r>
          </w:p>
          <w:p w14:paraId="75500B77">
            <w:pPr>
              <w:adjustRightInd w:val="0"/>
              <w:snapToGrid w:val="0"/>
              <w:spacing w:line="360" w:lineRule="auto"/>
              <w:ind w:firstLine="480" w:firstLineChars="200"/>
              <w:rPr>
                <w:kern w:val="0"/>
                <w:sz w:val="24"/>
              </w:rPr>
            </w:pPr>
            <w:r>
              <w:rPr>
                <w:rFonts w:hint="eastAsia"/>
                <w:kern w:val="0"/>
                <w:sz w:val="24"/>
              </w:rPr>
              <w:t>（1）测量放线</w:t>
            </w:r>
          </w:p>
          <w:p w14:paraId="1AD4BD48">
            <w:pPr>
              <w:adjustRightInd w:val="0"/>
              <w:snapToGrid w:val="0"/>
              <w:spacing w:line="360" w:lineRule="auto"/>
              <w:ind w:firstLine="480" w:firstLineChars="200"/>
              <w:rPr>
                <w:kern w:val="0"/>
                <w:sz w:val="24"/>
              </w:rPr>
            </w:pPr>
            <w:r>
              <w:rPr>
                <w:rFonts w:hint="eastAsia"/>
                <w:kern w:val="0"/>
                <w:sz w:val="24"/>
              </w:rPr>
              <w:t>首先对施工图纸进行现场核对，根据施工图纸进行放线，以便指导后续施工。</w:t>
            </w:r>
          </w:p>
          <w:p w14:paraId="6E6E401B">
            <w:pPr>
              <w:adjustRightInd w:val="0"/>
              <w:snapToGrid w:val="0"/>
              <w:spacing w:line="360" w:lineRule="auto"/>
              <w:ind w:firstLine="480" w:firstLineChars="200"/>
              <w:rPr>
                <w:kern w:val="0"/>
                <w:sz w:val="24"/>
              </w:rPr>
            </w:pPr>
            <w:r>
              <w:rPr>
                <w:rFonts w:hint="eastAsia"/>
                <w:kern w:val="0"/>
                <w:sz w:val="24"/>
              </w:rPr>
              <w:t>（2）管道安装与连接</w:t>
            </w:r>
          </w:p>
          <w:p w14:paraId="169E3A8E">
            <w:pPr>
              <w:adjustRightInd w:val="0"/>
              <w:snapToGrid w:val="0"/>
              <w:spacing w:line="360" w:lineRule="auto"/>
              <w:ind w:firstLine="480" w:firstLineChars="200"/>
              <w:rPr>
                <w:kern w:val="0"/>
                <w:sz w:val="24"/>
              </w:rPr>
            </w:pPr>
            <w:r>
              <w:rPr>
                <w:rFonts w:hint="eastAsia"/>
                <w:kern w:val="0"/>
                <w:sz w:val="24"/>
              </w:rPr>
              <w:t>将管道用吊车放到管架上进行连接，管道的连接除与设备、阀门相接处及设计规定可采用法兰或螺纹连接外，均采用焊接连接。</w:t>
            </w:r>
          </w:p>
          <w:p w14:paraId="4F391F0B">
            <w:pPr>
              <w:adjustRightInd w:val="0"/>
              <w:snapToGrid w:val="0"/>
              <w:spacing w:line="360" w:lineRule="auto"/>
              <w:ind w:firstLine="480" w:firstLineChars="200"/>
              <w:rPr>
                <w:kern w:val="0"/>
                <w:sz w:val="24"/>
              </w:rPr>
            </w:pPr>
            <w:r>
              <w:rPr>
                <w:rFonts w:hint="eastAsia"/>
                <w:kern w:val="0"/>
                <w:sz w:val="24"/>
              </w:rPr>
              <w:t>（3）管道试压和吹扫</w:t>
            </w:r>
          </w:p>
          <w:p w14:paraId="5D68D172">
            <w:pPr>
              <w:adjustRightInd w:val="0"/>
              <w:snapToGrid w:val="0"/>
              <w:spacing w:line="360" w:lineRule="auto"/>
              <w:ind w:firstLine="480" w:firstLineChars="200"/>
              <w:rPr>
                <w:kern w:val="0"/>
                <w:sz w:val="24"/>
              </w:rPr>
            </w:pPr>
            <w:r>
              <w:rPr>
                <w:rFonts w:hint="eastAsia"/>
                <w:kern w:val="0"/>
                <w:sz w:val="24"/>
              </w:rPr>
              <w:t>氮气管道安装完毕后，应进行压力试验和泄漏性试验。管道吹扫、试压前应</w:t>
            </w:r>
            <w:r>
              <w:rPr>
                <w:rFonts w:hint="eastAsia"/>
                <w:kern w:val="0"/>
                <w:sz w:val="24"/>
                <w:lang w:eastAsia="zh-CN"/>
              </w:rPr>
              <w:t>制定</w:t>
            </w:r>
            <w:r>
              <w:rPr>
                <w:rFonts w:hint="eastAsia"/>
                <w:kern w:val="0"/>
                <w:sz w:val="24"/>
              </w:rPr>
              <w:t>施工方案及计划，安全措施，报建设单位审查批准后施行。吹扫、试压的介质均采用压缩空气。</w:t>
            </w:r>
          </w:p>
          <w:p w14:paraId="1937E433">
            <w:pPr>
              <w:pStyle w:val="41"/>
              <w:ind w:firstLine="480"/>
            </w:pPr>
            <w:r>
              <w:rPr>
                <w:rFonts w:hint="eastAsia"/>
              </w:rPr>
              <w:t>（4）管道补漆及临投产前的工作</w:t>
            </w:r>
          </w:p>
          <w:p w14:paraId="103A2D94">
            <w:pPr>
              <w:pStyle w:val="41"/>
              <w:ind w:firstLine="480"/>
            </w:pPr>
            <w:r>
              <w:rPr>
                <w:rFonts w:hint="eastAsia"/>
              </w:rPr>
              <w:t>管道在试压合格后在焊接处进行补漆，补漆量小，产生的挥发性有机物少，对周围环境影响较小。管道在临投产前，以氮气置换直至纯度合格。放散氮气应排放到室外高出附近操作面4m以上空旷的地方。氮气是大气中的主要成分，放散氮气对大气环境的影响较小。</w:t>
            </w:r>
          </w:p>
          <w:p w14:paraId="22F35152">
            <w:pPr>
              <w:adjustRightInd w:val="0"/>
              <w:snapToGrid w:val="0"/>
              <w:spacing w:line="360" w:lineRule="auto"/>
              <w:ind w:firstLine="480" w:firstLineChars="200"/>
              <w:rPr>
                <w:kern w:val="0"/>
                <w:sz w:val="24"/>
              </w:rPr>
            </w:pPr>
            <w:r>
              <w:rPr>
                <w:rFonts w:hint="eastAsia"/>
                <w:kern w:val="0"/>
                <w:sz w:val="24"/>
              </w:rPr>
              <w:t>综上所述，本项目施工期产生的废气主要为施工扬尘、焊接烟尘、机械尾气和少量挥发性有机物。施工期是短暂的，经过采取一定的措施，对周边大气环境影响较小。</w:t>
            </w:r>
          </w:p>
          <w:p w14:paraId="6B83865C">
            <w:pPr>
              <w:adjustRightInd w:val="0"/>
              <w:snapToGrid w:val="0"/>
              <w:spacing w:line="360" w:lineRule="auto"/>
              <w:ind w:firstLine="480" w:firstLineChars="200"/>
              <w:rPr>
                <w:kern w:val="0"/>
                <w:sz w:val="24"/>
              </w:rPr>
            </w:pPr>
            <w:r>
              <w:rPr>
                <w:rFonts w:hint="eastAsia"/>
                <w:kern w:val="0"/>
                <w:sz w:val="24"/>
              </w:rPr>
              <w:t>管道施工工艺流程图见</w:t>
            </w:r>
            <w:r>
              <w:rPr>
                <w:kern w:val="0"/>
                <w:sz w:val="24"/>
              </w:rPr>
              <w:fldChar w:fldCharType="begin"/>
            </w:r>
            <w:r>
              <w:rPr>
                <w:kern w:val="0"/>
                <w:sz w:val="24"/>
              </w:rPr>
              <w:instrText xml:space="preserve"> </w:instrText>
            </w:r>
            <w:r>
              <w:rPr>
                <w:rFonts w:hint="eastAsia"/>
                <w:kern w:val="0"/>
                <w:sz w:val="24"/>
              </w:rPr>
              <w:instrText xml:space="preserve">REF _Ref172036401 \r \h</w:instrText>
            </w:r>
            <w:r>
              <w:rPr>
                <w:kern w:val="0"/>
                <w:sz w:val="24"/>
              </w:rPr>
              <w:instrText xml:space="preserve"> </w:instrText>
            </w:r>
            <w:r>
              <w:rPr>
                <w:kern w:val="0"/>
                <w:sz w:val="24"/>
              </w:rPr>
              <w:fldChar w:fldCharType="separate"/>
            </w:r>
            <w:r>
              <w:rPr>
                <w:rFonts w:hint="eastAsia"/>
                <w:kern w:val="0"/>
                <w:sz w:val="24"/>
              </w:rPr>
              <w:t>图2-1</w:t>
            </w:r>
            <w:r>
              <w:rPr>
                <w:kern w:val="0"/>
                <w:sz w:val="24"/>
              </w:rPr>
              <w:fldChar w:fldCharType="end"/>
            </w:r>
            <w:r>
              <w:rPr>
                <w:rFonts w:hint="eastAsia"/>
                <w:kern w:val="0"/>
                <w:sz w:val="24"/>
              </w:rPr>
              <w:t>。</w:t>
            </w:r>
          </w:p>
          <w:p w14:paraId="2FC673E1">
            <w:pPr>
              <w:pStyle w:val="44"/>
            </w:pPr>
            <w:r>
              <w:rPr>
                <w:rFonts w:hint="eastAsia"/>
              </w:rPr>
              <w:object>
                <v:shape id="_x0000_i1025" o:spt="75" type="#_x0000_t75" style="height:125.25pt;width:408pt;" o:ole="t" filled="f" o:preferrelative="t" stroked="f" coordsize="21600,21600">
                  <v:path/>
                  <v:fill on="f" focussize="0,0"/>
                  <v:stroke on="f" joinstyle="miter"/>
                  <v:imagedata r:id="rId44" o:title=""/>
                  <o:lock v:ext="edit" aspectratio="t"/>
                  <w10:wrap type="none"/>
                  <w10:anchorlock/>
                </v:shape>
                <o:OLEObject Type="Embed" ProgID="Visio.Drawing.11" ShapeID="_x0000_i1025" DrawAspect="Content" ObjectID="_1468075725" r:id="rId43">
                  <o:LockedField>false</o:LockedField>
                </o:OLEObject>
              </w:object>
            </w:r>
          </w:p>
          <w:p w14:paraId="420C7D00">
            <w:pPr>
              <w:pStyle w:val="41"/>
              <w:numPr>
                <w:ilvl w:val="1"/>
                <w:numId w:val="6"/>
              </w:numPr>
              <w:spacing w:line="240" w:lineRule="auto"/>
              <w:ind w:left="0" w:firstLine="0" w:firstLineChars="0"/>
              <w:jc w:val="center"/>
              <w:rPr>
                <w:b/>
                <w:sz w:val="21"/>
              </w:rPr>
            </w:pPr>
            <w:bookmarkStart w:id="26" w:name="_Ref172036401"/>
            <w:r>
              <w:rPr>
                <w:b/>
                <w:sz w:val="21"/>
              </w:rPr>
              <w:t>施工</w:t>
            </w:r>
            <w:r>
              <w:rPr>
                <w:rFonts w:hint="eastAsia"/>
                <w:b/>
                <w:sz w:val="21"/>
              </w:rPr>
              <w:t>期</w:t>
            </w:r>
            <w:r>
              <w:rPr>
                <w:b/>
                <w:sz w:val="21"/>
              </w:rPr>
              <w:t>工艺</w:t>
            </w:r>
            <w:r>
              <w:rPr>
                <w:rFonts w:hint="eastAsia"/>
                <w:b/>
                <w:sz w:val="21"/>
              </w:rPr>
              <w:t>流程图</w:t>
            </w:r>
            <w:bookmarkEnd w:id="26"/>
          </w:p>
        </w:tc>
      </w:tr>
      <w:tr w14:paraId="68284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10" w:type="dxa"/>
            <w:vAlign w:val="center"/>
          </w:tcPr>
          <w:p w14:paraId="2C75D72D">
            <w:pPr>
              <w:adjustRightInd w:val="0"/>
              <w:snapToGrid w:val="0"/>
              <w:jc w:val="center"/>
              <w:rPr>
                <w:rFonts w:hint="eastAsia" w:ascii="宋体" w:hAnsi="宋体" w:cs="宋体"/>
                <w:kern w:val="0"/>
                <w:sz w:val="24"/>
              </w:rPr>
            </w:pPr>
            <w:r>
              <w:rPr>
                <w:rFonts w:hint="eastAsia" w:ascii="宋体" w:hAnsi="宋体" w:cs="宋体"/>
                <w:kern w:val="0"/>
                <w:sz w:val="24"/>
              </w:rPr>
              <w:t>其他</w:t>
            </w:r>
          </w:p>
        </w:tc>
        <w:tc>
          <w:tcPr>
            <w:tcW w:w="8380" w:type="dxa"/>
          </w:tcPr>
          <w:p w14:paraId="3FCCB715">
            <w:pPr>
              <w:pStyle w:val="41"/>
              <w:ind w:firstLine="480"/>
            </w:pPr>
            <w:r>
              <w:rPr>
                <w:rFonts w:hint="eastAsia"/>
              </w:rPr>
              <w:t>一、本项目建设内容</w:t>
            </w:r>
          </w:p>
          <w:p w14:paraId="2B988363">
            <w:pPr>
              <w:pStyle w:val="41"/>
              <w:ind w:firstLine="480"/>
            </w:pPr>
            <w:r>
              <w:rPr>
                <w:rFonts w:hint="eastAsia"/>
              </w:rPr>
              <w:t>本项目主要建设内容为：在原一期空分装置界区拟新建氮气供应系统，包含2套20000Nm</w:t>
            </w:r>
            <w:r>
              <w:rPr>
                <w:rFonts w:hint="eastAsia"/>
                <w:vertAlign w:val="superscript"/>
              </w:rPr>
              <w:t>3</w:t>
            </w:r>
            <w:r>
              <w:rPr>
                <w:rFonts w:hint="eastAsia"/>
              </w:rPr>
              <w:t>/h氮气压缩机，1套液体后备系统，后备系统包括：1000m</w:t>
            </w:r>
            <w:r>
              <w:rPr>
                <w:rFonts w:hint="eastAsia"/>
                <w:vertAlign w:val="superscript"/>
              </w:rPr>
              <w:t>3</w:t>
            </w:r>
            <w:r>
              <w:rPr>
                <w:rFonts w:hint="eastAsia"/>
              </w:rPr>
              <w:t xml:space="preserve"> 液氮储罐1个、液氮泵（2套）、80m</w:t>
            </w:r>
            <w:r>
              <w:rPr>
                <w:rFonts w:hint="eastAsia"/>
                <w:vertAlign w:val="superscript"/>
              </w:rPr>
              <w:t>3</w:t>
            </w:r>
            <w:r>
              <w:rPr>
                <w:rFonts w:hint="eastAsia"/>
              </w:rPr>
              <w:t>液氮中压储罐1个、蒸汽加热式氮气气化器1台。1套冷却水系统，并新建约7km的氮气输送管道。</w:t>
            </w:r>
          </w:p>
          <w:p w14:paraId="5D7245B9">
            <w:pPr>
              <w:pStyle w:val="44"/>
            </w:pPr>
            <w:r>
              <w:rPr>
                <w:rFonts w:hint="eastAsia"/>
              </w:rPr>
              <w:t>（涉密删除）</w:t>
            </w:r>
          </w:p>
          <w:p w14:paraId="04037F47">
            <w:pPr>
              <w:pStyle w:val="41"/>
              <w:numPr>
                <w:ilvl w:val="1"/>
                <w:numId w:val="6"/>
              </w:numPr>
              <w:spacing w:line="240" w:lineRule="auto"/>
              <w:ind w:left="0" w:firstLine="0" w:firstLineChars="0"/>
              <w:jc w:val="center"/>
              <w:rPr>
                <w:b/>
                <w:sz w:val="21"/>
              </w:rPr>
            </w:pPr>
            <w:bookmarkStart w:id="27" w:name="_Ref172189792"/>
            <w:r>
              <w:rPr>
                <w:rFonts w:hint="eastAsia"/>
                <w:b/>
                <w:sz w:val="21"/>
              </w:rPr>
              <w:t>工艺流程简图</w:t>
            </w:r>
            <w:bookmarkEnd w:id="27"/>
          </w:p>
          <w:p w14:paraId="153688BC">
            <w:pPr>
              <w:pStyle w:val="41"/>
              <w:ind w:firstLine="480"/>
            </w:pPr>
          </w:p>
        </w:tc>
      </w:tr>
    </w:tbl>
    <w:p w14:paraId="6B7052F2">
      <w:pPr>
        <w:pStyle w:val="15"/>
        <w:numPr>
          <w:ilvl w:val="0"/>
          <w:numId w:val="2"/>
        </w:numPr>
        <w:jc w:val="center"/>
        <w:outlineLvl w:val="0"/>
        <w:rPr>
          <w:rFonts w:hint="eastAsia" w:ascii="黑体" w:hAnsi="黑体" w:eastAsia="黑体"/>
          <w:snapToGrid w:val="0"/>
          <w:sz w:val="30"/>
          <w:szCs w:val="30"/>
        </w:rPr>
      </w:pPr>
      <w:r>
        <w:rPr>
          <w:rFonts w:eastAsia="仿宋_GB2312"/>
          <w:b/>
          <w:bCs/>
        </w:rPr>
        <w:br w:type="page"/>
      </w:r>
      <w:bookmarkStart w:id="28" w:name="_Ref141873200"/>
      <w:bookmarkStart w:id="29" w:name="_Toc182815853"/>
      <w:bookmarkStart w:id="30" w:name="_Toc132899297"/>
      <w:bookmarkStart w:id="31" w:name="_Toc132899319"/>
      <w:bookmarkStart w:id="32" w:name="_Toc182380107"/>
      <w:r>
        <w:rPr>
          <w:rFonts w:hint="eastAsia" w:ascii="黑体" w:hAnsi="黑体" w:eastAsia="黑体"/>
          <w:snapToGrid w:val="0"/>
          <w:sz w:val="30"/>
          <w:szCs w:val="30"/>
        </w:rPr>
        <w:t>生态环境现状、保护目标及评价标准</w:t>
      </w:r>
      <w:bookmarkEnd w:id="28"/>
      <w:bookmarkEnd w:id="29"/>
      <w:bookmarkEnd w:id="30"/>
      <w:bookmarkEnd w:id="31"/>
      <w:bookmarkEnd w:id="32"/>
    </w:p>
    <w:tbl>
      <w:tblPr>
        <w:tblStyle w:val="17"/>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41473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904" w:type="dxa"/>
            <w:vAlign w:val="center"/>
          </w:tcPr>
          <w:p w14:paraId="4F2AFE15">
            <w:pPr>
              <w:adjustRightInd w:val="0"/>
              <w:snapToGrid w:val="0"/>
              <w:jc w:val="center"/>
              <w:rPr>
                <w:rFonts w:hint="eastAsia" w:ascii="宋体" w:hAnsi="宋体" w:cs="宋体"/>
                <w:kern w:val="0"/>
                <w:sz w:val="24"/>
              </w:rPr>
            </w:pPr>
            <w:r>
              <w:rPr>
                <w:rFonts w:hint="eastAsia" w:ascii="宋体" w:hAnsi="宋体" w:cs="宋体"/>
                <w:kern w:val="0"/>
                <w:sz w:val="24"/>
              </w:rPr>
              <w:t>生态环境现状</w:t>
            </w:r>
          </w:p>
        </w:tc>
        <w:tc>
          <w:tcPr>
            <w:tcW w:w="8253" w:type="dxa"/>
          </w:tcPr>
          <w:p w14:paraId="3F624252">
            <w:pPr>
              <w:pStyle w:val="41"/>
              <w:ind w:firstLine="482"/>
              <w:jc w:val="both"/>
              <w:rPr>
                <w:b/>
                <w:bCs/>
              </w:rPr>
            </w:pPr>
            <w:r>
              <w:rPr>
                <w:rFonts w:hint="eastAsia"/>
                <w:b/>
                <w:bCs/>
              </w:rPr>
              <w:t>1主体功能区划、生态功能区划</w:t>
            </w:r>
          </w:p>
          <w:p w14:paraId="379723B3">
            <w:pPr>
              <w:pStyle w:val="41"/>
              <w:ind w:firstLine="480"/>
            </w:pPr>
            <w:r>
              <w:rPr>
                <w:rFonts w:hint="eastAsia"/>
              </w:rPr>
              <w:t>（1）区域主体功能区规划</w:t>
            </w:r>
          </w:p>
          <w:p w14:paraId="3C4150AF">
            <w:pPr>
              <w:pStyle w:val="41"/>
              <w:ind w:firstLine="480"/>
            </w:pPr>
            <w:r>
              <w:rPr>
                <w:rFonts w:hint="eastAsia"/>
              </w:rPr>
              <w:t>根据《广西壮族自治区主体功能区划》，拟建项目位于钦州市钦南区行政范围内，属于国家层面重点开发区域，不属于限制开发区域或禁止开发区域。</w:t>
            </w:r>
          </w:p>
          <w:p w14:paraId="30C12E6E">
            <w:pPr>
              <w:pStyle w:val="41"/>
              <w:ind w:firstLine="480"/>
            </w:pPr>
            <w:r>
              <w:rPr>
                <w:rFonts w:hint="eastAsia"/>
              </w:rPr>
              <w:t>拟建项目为氮气供应项目，推进项目的建设有助于完善园区公用工程。项目厂区位于钦州石化产业园内，管道依托园区内的公共管廊架设。综上，拟建项目符合广西主体功能区划的要求。</w:t>
            </w:r>
          </w:p>
          <w:p w14:paraId="7E1EF82A">
            <w:pPr>
              <w:pStyle w:val="41"/>
              <w:ind w:firstLine="480"/>
            </w:pPr>
            <w:r>
              <w:rPr>
                <w:rFonts w:hint="eastAsia"/>
              </w:rPr>
              <w:t>（2）《广西壮族自治区生态功能区划》</w:t>
            </w:r>
          </w:p>
          <w:p w14:paraId="05236B08">
            <w:pPr>
              <w:pStyle w:val="41"/>
              <w:ind w:firstLine="480"/>
              <w:rPr>
                <w:highlight w:val="yellow"/>
              </w:rPr>
            </w:pPr>
            <w:r>
              <w:rPr>
                <w:rFonts w:hint="eastAsia"/>
              </w:rPr>
              <w:t>根据《广西壮族自治区生态功能区划》，拟建项目位于钦州市钦南区钦州石化产业园内，属于钦州中心城市功能区，不属于广西壮族自治区9个重要生态功能区。</w:t>
            </w:r>
          </w:p>
          <w:p w14:paraId="3ACDCA7A">
            <w:pPr>
              <w:pStyle w:val="41"/>
              <w:ind w:firstLine="480"/>
            </w:pPr>
            <w:r>
              <w:rPr>
                <w:rFonts w:hint="eastAsia"/>
              </w:rPr>
              <w:t>拟建项目属于氮气供应项目，项目的建设进一步完善了园区公用工程的建设，为园区企业提供生产活动所需氮气。本项目运行过程中采取相应的环保措施后，对区域环境质量的影响较小。综上，拟建项目与《广西壮族自治区生态功能区划》相符。</w:t>
            </w:r>
          </w:p>
          <w:p w14:paraId="03DD897C">
            <w:pPr>
              <w:pStyle w:val="41"/>
              <w:ind w:firstLine="482"/>
              <w:jc w:val="both"/>
              <w:rPr>
                <w:b/>
                <w:bCs/>
              </w:rPr>
            </w:pPr>
            <w:r>
              <w:rPr>
                <w:rFonts w:hint="eastAsia"/>
                <w:b/>
                <w:bCs/>
              </w:rPr>
              <w:t>2生态环境质量现状</w:t>
            </w:r>
          </w:p>
          <w:p w14:paraId="64F00162">
            <w:pPr>
              <w:pStyle w:val="41"/>
              <w:ind w:firstLine="480"/>
            </w:pPr>
            <w:r>
              <w:rPr>
                <w:rFonts w:hint="eastAsia"/>
              </w:rPr>
              <w:t>项目的氮气压缩系统、液氮后备系统在广西华谊能源化工配套空分项目现有厂区内建设，氮气输送管道依托园区公共管廊进行架设，不新增占地。</w:t>
            </w:r>
          </w:p>
          <w:p w14:paraId="6671F44D">
            <w:pPr>
              <w:pStyle w:val="41"/>
              <w:ind w:firstLine="480"/>
            </w:pPr>
            <w:r>
              <w:rPr>
                <w:rFonts w:hint="eastAsia"/>
              </w:rPr>
              <w:t>（</w:t>
            </w:r>
            <w:r>
              <w:t>1</w:t>
            </w:r>
            <w:r>
              <w:rPr>
                <w:rFonts w:hint="eastAsia"/>
              </w:rPr>
              <w:t>）厂区</w:t>
            </w:r>
          </w:p>
          <w:p w14:paraId="3CB616CC">
            <w:pPr>
              <w:pStyle w:val="41"/>
              <w:ind w:firstLine="480"/>
            </w:pPr>
            <w:r>
              <w:rPr>
                <w:rFonts w:hint="eastAsia"/>
              </w:rPr>
              <w:t>目前项目所在区域钦州石化产业园已形成一定的开发规模。项目所在厂区周边区域开发程度较高，原生植物已被破坏，其植被主要以人工植被为主，主要的植被群落有马尾松—桃金娘—牛毡草群落，刺竹—牛毡草群落，桃金娘—芒箕群落，速生桉群落，木麻黄群落等，未发现有受国家重点保护的各级陆生野生动植物。</w:t>
            </w:r>
          </w:p>
          <w:p w14:paraId="30956E5F">
            <w:pPr>
              <w:pStyle w:val="41"/>
              <w:ind w:firstLine="480"/>
            </w:pPr>
            <w:r>
              <w:rPr>
                <w:rFonts w:hint="eastAsia"/>
              </w:rPr>
              <w:t>（</w:t>
            </w:r>
            <w:r>
              <w:t>2</w:t>
            </w:r>
            <w:r>
              <w:rPr>
                <w:rFonts w:hint="eastAsia"/>
              </w:rPr>
              <w:t>）管道</w:t>
            </w:r>
          </w:p>
          <w:p w14:paraId="6FB7F951">
            <w:pPr>
              <w:pStyle w:val="41"/>
              <w:ind w:firstLine="480"/>
            </w:pPr>
            <w:r>
              <w:rPr>
                <w:rFonts w:hint="eastAsia"/>
              </w:rPr>
              <w:t>本项目新建氮气输送管道自勒沟东大街与南港大道交界处起，沿南港大道往北铺设，总长约</w:t>
            </w:r>
            <w:r>
              <w:t>7km</w:t>
            </w:r>
            <w:r>
              <w:rPr>
                <w:rFonts w:hint="eastAsia"/>
              </w:rPr>
              <w:t>，管道沿线区域位于城镇边缘，为人类活动干扰频繁区，受管廊施工活动影响，沿线陆生植被基本被清除，仅有零星灌木、草丛分布，如狗牙根等，植被类型单一，结构简单，生态系统的生态功能不强。现场调查期间未发现国家重点保护的珍稀濒危动、植物种类。</w:t>
            </w:r>
          </w:p>
          <w:p w14:paraId="7FE48B36">
            <w:pPr>
              <w:pStyle w:val="41"/>
              <w:ind w:firstLine="480"/>
            </w:pPr>
            <w:r>
              <w:rPr>
                <w:rFonts w:hint="eastAsia"/>
              </w:rPr>
              <w:t>综上所述，项目所在区域生态环境质量一般。</w:t>
            </w:r>
          </w:p>
          <w:p w14:paraId="7DBDA14E">
            <w:pPr>
              <w:pStyle w:val="41"/>
              <w:ind w:firstLine="482"/>
              <w:jc w:val="both"/>
              <w:rPr>
                <w:b/>
                <w:bCs/>
              </w:rPr>
            </w:pPr>
            <w:r>
              <w:rPr>
                <w:rFonts w:hint="eastAsia"/>
                <w:b/>
                <w:bCs/>
              </w:rPr>
              <w:t>3环境空气质量现状</w:t>
            </w:r>
          </w:p>
          <w:p w14:paraId="6EE235ED">
            <w:pPr>
              <w:pStyle w:val="41"/>
              <w:ind w:firstLine="480"/>
              <w:jc w:val="both"/>
            </w:pPr>
            <w:r>
              <w:rPr>
                <w:rFonts w:hint="eastAsia"/>
              </w:rPr>
              <w:t>根据广西壮族自治区生态环境厅发布的《自治区生态环境厅关于通报2023年设区市及各县（市、区）环境空气质量的函》（桂环函〔2024〕58号），2023年钦州市环境空气中SO</w:t>
            </w:r>
            <w:r>
              <w:rPr>
                <w:rFonts w:hint="eastAsia"/>
                <w:vertAlign w:val="subscript"/>
              </w:rPr>
              <w:t>2</w:t>
            </w:r>
            <w:r>
              <w:rPr>
                <w:rFonts w:hint="eastAsia"/>
              </w:rPr>
              <w:t>、NO</w:t>
            </w:r>
            <w:r>
              <w:rPr>
                <w:rFonts w:hint="eastAsia"/>
                <w:vertAlign w:val="subscript"/>
              </w:rPr>
              <w:t>2</w:t>
            </w:r>
            <w:r>
              <w:rPr>
                <w:rFonts w:hint="eastAsia"/>
              </w:rPr>
              <w:t>年平均浓度达到《环境空气质量标准》（GB3095-2012）二级标准；PM</w:t>
            </w:r>
            <w:r>
              <w:rPr>
                <w:rFonts w:hint="eastAsia"/>
                <w:vertAlign w:val="subscript"/>
              </w:rPr>
              <w:t>10</w:t>
            </w:r>
            <w:r>
              <w:rPr>
                <w:rFonts w:hint="eastAsia"/>
              </w:rPr>
              <w:t>、PM</w:t>
            </w:r>
            <w:r>
              <w:rPr>
                <w:rFonts w:hint="eastAsia"/>
                <w:vertAlign w:val="subscript"/>
              </w:rPr>
              <w:t>2.5</w:t>
            </w:r>
            <w:r>
              <w:rPr>
                <w:rFonts w:hint="eastAsia"/>
              </w:rPr>
              <w:t>年平均浓度达到《环境空气质量标准》（GB3095-2012）二级标准；CO 24小时平均第95百分位数、O</w:t>
            </w:r>
            <w:r>
              <w:rPr>
                <w:rFonts w:hint="eastAsia"/>
                <w:vertAlign w:val="subscript"/>
              </w:rPr>
              <w:t>3</w:t>
            </w:r>
            <w:r>
              <w:rPr>
                <w:rFonts w:hint="eastAsia"/>
              </w:rPr>
              <w:t>日最大8小时平均第90百分位数浓度达到《环境空气质量标准》（GB3095-2012）二级标准。项目评价所在区域环境空气质量为达标区。</w:t>
            </w:r>
          </w:p>
          <w:p w14:paraId="773BCA64">
            <w:pPr>
              <w:pStyle w:val="41"/>
              <w:numPr>
                <w:ilvl w:val="0"/>
                <w:numId w:val="7"/>
              </w:numPr>
              <w:spacing w:line="240" w:lineRule="auto"/>
              <w:ind w:firstLineChars="0"/>
              <w:jc w:val="center"/>
              <w:rPr>
                <w:b/>
                <w:bCs/>
                <w:sz w:val="21"/>
                <w:szCs w:val="21"/>
              </w:rPr>
            </w:pPr>
            <w:r>
              <w:rPr>
                <w:rFonts w:hint="eastAsia"/>
                <w:b/>
                <w:bCs/>
                <w:sz w:val="21"/>
                <w:szCs w:val="21"/>
              </w:rPr>
              <w:t>区域空气质量现状评价表（2023年）</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26"/>
              <w:gridCol w:w="1559"/>
              <w:gridCol w:w="1560"/>
              <w:gridCol w:w="1134"/>
              <w:gridCol w:w="815"/>
            </w:tblGrid>
            <w:tr w14:paraId="42DF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8" w:type="dxa"/>
                  <w:vAlign w:val="center"/>
                </w:tcPr>
                <w:p w14:paraId="4BD063ED">
                  <w:pPr>
                    <w:pStyle w:val="42"/>
                    <w:rPr>
                      <w:b/>
                      <w:bCs/>
                    </w:rPr>
                  </w:pPr>
                  <w:r>
                    <w:rPr>
                      <w:rFonts w:hint="eastAsia"/>
                      <w:b/>
                      <w:bCs/>
                    </w:rPr>
                    <w:t>污染物</w:t>
                  </w:r>
                </w:p>
              </w:tc>
              <w:tc>
                <w:tcPr>
                  <w:tcW w:w="2126" w:type="dxa"/>
                  <w:vAlign w:val="center"/>
                </w:tcPr>
                <w:p w14:paraId="14964FD8">
                  <w:pPr>
                    <w:pStyle w:val="42"/>
                    <w:rPr>
                      <w:b/>
                      <w:bCs/>
                    </w:rPr>
                  </w:pPr>
                  <w:r>
                    <w:rPr>
                      <w:rFonts w:hint="eastAsia"/>
                      <w:b/>
                      <w:bCs/>
                    </w:rPr>
                    <w:t>年评价指标</w:t>
                  </w:r>
                </w:p>
              </w:tc>
              <w:tc>
                <w:tcPr>
                  <w:tcW w:w="1559" w:type="dxa"/>
                  <w:vAlign w:val="center"/>
                </w:tcPr>
                <w:p w14:paraId="6581D5A7">
                  <w:pPr>
                    <w:pStyle w:val="42"/>
                    <w:rPr>
                      <w:b/>
                      <w:bCs/>
                    </w:rPr>
                  </w:pPr>
                  <w:r>
                    <w:rPr>
                      <w:rFonts w:hint="eastAsia"/>
                      <w:b/>
                      <w:bCs/>
                    </w:rPr>
                    <w:t>现状浓度（µg/m</w:t>
                  </w:r>
                  <w:r>
                    <w:rPr>
                      <w:rFonts w:hint="eastAsia"/>
                      <w:b/>
                      <w:bCs/>
                      <w:vertAlign w:val="superscript"/>
                    </w:rPr>
                    <w:t>3</w:t>
                  </w:r>
                  <w:r>
                    <w:rPr>
                      <w:rFonts w:hint="eastAsia"/>
                      <w:b/>
                      <w:bCs/>
                    </w:rPr>
                    <w:t>）</w:t>
                  </w:r>
                </w:p>
              </w:tc>
              <w:tc>
                <w:tcPr>
                  <w:tcW w:w="1560" w:type="dxa"/>
                  <w:vAlign w:val="center"/>
                </w:tcPr>
                <w:p w14:paraId="40EE4CBF">
                  <w:pPr>
                    <w:pStyle w:val="42"/>
                    <w:rPr>
                      <w:b/>
                      <w:bCs/>
                    </w:rPr>
                  </w:pPr>
                  <w:r>
                    <w:rPr>
                      <w:rFonts w:hint="eastAsia"/>
                      <w:b/>
                      <w:bCs/>
                    </w:rPr>
                    <w:t>标准值（µg/m</w:t>
                  </w:r>
                  <w:r>
                    <w:rPr>
                      <w:rFonts w:hint="eastAsia"/>
                      <w:b/>
                      <w:bCs/>
                      <w:vertAlign w:val="superscript"/>
                    </w:rPr>
                    <w:t>3</w:t>
                  </w:r>
                  <w:r>
                    <w:rPr>
                      <w:rFonts w:hint="eastAsia"/>
                      <w:b/>
                      <w:bCs/>
                    </w:rPr>
                    <w:t>）</w:t>
                  </w:r>
                </w:p>
              </w:tc>
              <w:tc>
                <w:tcPr>
                  <w:tcW w:w="1134" w:type="dxa"/>
                  <w:vAlign w:val="center"/>
                </w:tcPr>
                <w:p w14:paraId="11031681">
                  <w:pPr>
                    <w:pStyle w:val="42"/>
                    <w:rPr>
                      <w:b/>
                      <w:bCs/>
                    </w:rPr>
                  </w:pPr>
                  <w:r>
                    <w:rPr>
                      <w:rFonts w:hint="eastAsia"/>
                      <w:b/>
                      <w:bCs/>
                    </w:rPr>
                    <w:t>占标率%</w:t>
                  </w:r>
                </w:p>
              </w:tc>
              <w:tc>
                <w:tcPr>
                  <w:tcW w:w="815" w:type="dxa"/>
                  <w:vAlign w:val="center"/>
                </w:tcPr>
                <w:p w14:paraId="3E83018B">
                  <w:pPr>
                    <w:pStyle w:val="42"/>
                    <w:rPr>
                      <w:b/>
                      <w:bCs/>
                    </w:rPr>
                  </w:pPr>
                  <w:r>
                    <w:rPr>
                      <w:rFonts w:hint="eastAsia"/>
                      <w:b/>
                      <w:bCs/>
                    </w:rPr>
                    <w:t>达标情况</w:t>
                  </w:r>
                </w:p>
              </w:tc>
            </w:tr>
            <w:tr w14:paraId="6654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2B1492F">
                  <w:pPr>
                    <w:pStyle w:val="42"/>
                  </w:pPr>
                  <w:r>
                    <w:rPr>
                      <w:rFonts w:hint="eastAsia"/>
                    </w:rPr>
                    <w:t>SO</w:t>
                  </w:r>
                  <w:r>
                    <w:rPr>
                      <w:rFonts w:hint="eastAsia"/>
                      <w:vertAlign w:val="subscript"/>
                    </w:rPr>
                    <w:t>2</w:t>
                  </w:r>
                </w:p>
              </w:tc>
              <w:tc>
                <w:tcPr>
                  <w:tcW w:w="2126" w:type="dxa"/>
                  <w:vAlign w:val="center"/>
                </w:tcPr>
                <w:p w14:paraId="66514652">
                  <w:pPr>
                    <w:pStyle w:val="42"/>
                  </w:pPr>
                  <w:r>
                    <w:rPr>
                      <w:rFonts w:hint="eastAsia"/>
                    </w:rPr>
                    <w:t>年平均质量浓度</w:t>
                  </w:r>
                </w:p>
              </w:tc>
              <w:tc>
                <w:tcPr>
                  <w:tcW w:w="1559" w:type="dxa"/>
                  <w:vAlign w:val="center"/>
                </w:tcPr>
                <w:p w14:paraId="5703A51C">
                  <w:pPr>
                    <w:pStyle w:val="42"/>
                  </w:pPr>
                  <w:r>
                    <w:rPr>
                      <w:rFonts w:hint="eastAsia"/>
                    </w:rPr>
                    <w:t>8</w:t>
                  </w:r>
                </w:p>
              </w:tc>
              <w:tc>
                <w:tcPr>
                  <w:tcW w:w="1560" w:type="dxa"/>
                  <w:vAlign w:val="center"/>
                </w:tcPr>
                <w:p w14:paraId="41E2148A">
                  <w:pPr>
                    <w:pStyle w:val="42"/>
                  </w:pPr>
                  <w:r>
                    <w:rPr>
                      <w:rFonts w:hint="eastAsia"/>
                    </w:rPr>
                    <w:t>60</w:t>
                  </w:r>
                </w:p>
              </w:tc>
              <w:tc>
                <w:tcPr>
                  <w:tcW w:w="1134" w:type="dxa"/>
                  <w:vAlign w:val="center"/>
                </w:tcPr>
                <w:p w14:paraId="193AC528">
                  <w:pPr>
                    <w:pStyle w:val="42"/>
                  </w:pPr>
                  <w:r>
                    <w:rPr>
                      <w:rFonts w:hint="eastAsia"/>
                    </w:rPr>
                    <w:t>13</w:t>
                  </w:r>
                  <w:r>
                    <w:t>.</w:t>
                  </w:r>
                  <w:r>
                    <w:rPr>
                      <w:rFonts w:hint="eastAsia"/>
                    </w:rPr>
                    <w:t>33</w:t>
                  </w:r>
                </w:p>
              </w:tc>
              <w:tc>
                <w:tcPr>
                  <w:tcW w:w="815" w:type="dxa"/>
                  <w:vAlign w:val="center"/>
                </w:tcPr>
                <w:p w14:paraId="7EAA4CE5">
                  <w:pPr>
                    <w:pStyle w:val="42"/>
                  </w:pPr>
                  <w:r>
                    <w:rPr>
                      <w:rFonts w:hint="eastAsia"/>
                    </w:rPr>
                    <w:t>达标</w:t>
                  </w:r>
                </w:p>
              </w:tc>
            </w:tr>
            <w:tr w14:paraId="4F6A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1C83D29">
                  <w:pPr>
                    <w:pStyle w:val="42"/>
                  </w:pPr>
                  <w:r>
                    <w:rPr>
                      <w:rFonts w:hint="eastAsia"/>
                    </w:rPr>
                    <w:t>NO</w:t>
                  </w:r>
                  <w:r>
                    <w:rPr>
                      <w:rFonts w:hint="eastAsia"/>
                      <w:vertAlign w:val="subscript"/>
                    </w:rPr>
                    <w:t>2</w:t>
                  </w:r>
                </w:p>
              </w:tc>
              <w:tc>
                <w:tcPr>
                  <w:tcW w:w="2126" w:type="dxa"/>
                  <w:vAlign w:val="center"/>
                </w:tcPr>
                <w:p w14:paraId="59DF3525">
                  <w:pPr>
                    <w:pStyle w:val="42"/>
                  </w:pPr>
                  <w:r>
                    <w:rPr>
                      <w:rFonts w:hint="eastAsia"/>
                    </w:rPr>
                    <w:t>年平均质量浓度</w:t>
                  </w:r>
                </w:p>
              </w:tc>
              <w:tc>
                <w:tcPr>
                  <w:tcW w:w="1559" w:type="dxa"/>
                  <w:vAlign w:val="center"/>
                </w:tcPr>
                <w:p w14:paraId="6306B1D1">
                  <w:pPr>
                    <w:pStyle w:val="42"/>
                  </w:pPr>
                  <w:r>
                    <w:rPr>
                      <w:rFonts w:hint="eastAsia"/>
                    </w:rPr>
                    <w:t>19</w:t>
                  </w:r>
                </w:p>
              </w:tc>
              <w:tc>
                <w:tcPr>
                  <w:tcW w:w="1560" w:type="dxa"/>
                  <w:vAlign w:val="center"/>
                </w:tcPr>
                <w:p w14:paraId="12E095EA">
                  <w:pPr>
                    <w:pStyle w:val="42"/>
                  </w:pPr>
                  <w:r>
                    <w:rPr>
                      <w:rFonts w:hint="eastAsia"/>
                    </w:rPr>
                    <w:t>40</w:t>
                  </w:r>
                </w:p>
              </w:tc>
              <w:tc>
                <w:tcPr>
                  <w:tcW w:w="1134" w:type="dxa"/>
                  <w:vAlign w:val="center"/>
                </w:tcPr>
                <w:p w14:paraId="4CE3F691">
                  <w:pPr>
                    <w:pStyle w:val="42"/>
                  </w:pPr>
                  <w:r>
                    <w:rPr>
                      <w:rFonts w:hint="eastAsia"/>
                    </w:rPr>
                    <w:t>47.5</w:t>
                  </w:r>
                </w:p>
              </w:tc>
              <w:tc>
                <w:tcPr>
                  <w:tcW w:w="815" w:type="dxa"/>
                  <w:vAlign w:val="center"/>
                </w:tcPr>
                <w:p w14:paraId="6076FA3B">
                  <w:pPr>
                    <w:pStyle w:val="42"/>
                  </w:pPr>
                  <w:r>
                    <w:rPr>
                      <w:rFonts w:hint="eastAsia"/>
                    </w:rPr>
                    <w:t>达标</w:t>
                  </w:r>
                </w:p>
              </w:tc>
            </w:tr>
            <w:tr w14:paraId="0EBD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7150541">
                  <w:pPr>
                    <w:pStyle w:val="42"/>
                  </w:pPr>
                  <w:r>
                    <w:rPr>
                      <w:rFonts w:hint="eastAsia"/>
                    </w:rPr>
                    <w:t>PM</w:t>
                  </w:r>
                  <w:r>
                    <w:rPr>
                      <w:rFonts w:hint="eastAsia"/>
                      <w:vertAlign w:val="subscript"/>
                    </w:rPr>
                    <w:t>10</w:t>
                  </w:r>
                </w:p>
              </w:tc>
              <w:tc>
                <w:tcPr>
                  <w:tcW w:w="2126" w:type="dxa"/>
                  <w:vAlign w:val="center"/>
                </w:tcPr>
                <w:p w14:paraId="0C775D11">
                  <w:pPr>
                    <w:pStyle w:val="42"/>
                  </w:pPr>
                  <w:r>
                    <w:rPr>
                      <w:rFonts w:hint="eastAsia"/>
                    </w:rPr>
                    <w:t>年平均质量浓度</w:t>
                  </w:r>
                </w:p>
              </w:tc>
              <w:tc>
                <w:tcPr>
                  <w:tcW w:w="1559" w:type="dxa"/>
                  <w:vAlign w:val="center"/>
                </w:tcPr>
                <w:p w14:paraId="5A3A0F78">
                  <w:pPr>
                    <w:pStyle w:val="42"/>
                  </w:pPr>
                  <w:r>
                    <w:rPr>
                      <w:rFonts w:hint="eastAsia"/>
                    </w:rPr>
                    <w:t>44</w:t>
                  </w:r>
                </w:p>
              </w:tc>
              <w:tc>
                <w:tcPr>
                  <w:tcW w:w="1560" w:type="dxa"/>
                  <w:vAlign w:val="center"/>
                </w:tcPr>
                <w:p w14:paraId="00705493">
                  <w:pPr>
                    <w:pStyle w:val="42"/>
                  </w:pPr>
                  <w:r>
                    <w:rPr>
                      <w:rFonts w:hint="eastAsia"/>
                    </w:rPr>
                    <w:t>70</w:t>
                  </w:r>
                </w:p>
              </w:tc>
              <w:tc>
                <w:tcPr>
                  <w:tcW w:w="1134" w:type="dxa"/>
                  <w:vAlign w:val="center"/>
                </w:tcPr>
                <w:p w14:paraId="7069470B">
                  <w:pPr>
                    <w:pStyle w:val="42"/>
                  </w:pPr>
                  <w:r>
                    <w:rPr>
                      <w:rFonts w:hint="eastAsia"/>
                    </w:rPr>
                    <w:t>62</w:t>
                  </w:r>
                  <w:r>
                    <w:t>.</w:t>
                  </w:r>
                  <w:r>
                    <w:rPr>
                      <w:rFonts w:hint="eastAsia"/>
                    </w:rPr>
                    <w:t>86</w:t>
                  </w:r>
                </w:p>
              </w:tc>
              <w:tc>
                <w:tcPr>
                  <w:tcW w:w="815" w:type="dxa"/>
                  <w:vAlign w:val="center"/>
                </w:tcPr>
                <w:p w14:paraId="11D76151">
                  <w:pPr>
                    <w:pStyle w:val="42"/>
                  </w:pPr>
                  <w:r>
                    <w:rPr>
                      <w:rFonts w:hint="eastAsia"/>
                    </w:rPr>
                    <w:t>达标</w:t>
                  </w:r>
                </w:p>
              </w:tc>
            </w:tr>
            <w:tr w14:paraId="3B56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A09F00E">
                  <w:pPr>
                    <w:pStyle w:val="42"/>
                  </w:pPr>
                  <w:r>
                    <w:rPr>
                      <w:rFonts w:hint="eastAsia"/>
                    </w:rPr>
                    <w:t>PM</w:t>
                  </w:r>
                  <w:r>
                    <w:rPr>
                      <w:rFonts w:hint="eastAsia"/>
                      <w:vertAlign w:val="subscript"/>
                    </w:rPr>
                    <w:t>2.5</w:t>
                  </w:r>
                </w:p>
              </w:tc>
              <w:tc>
                <w:tcPr>
                  <w:tcW w:w="2126" w:type="dxa"/>
                  <w:vAlign w:val="center"/>
                </w:tcPr>
                <w:p w14:paraId="3A4AFBAA">
                  <w:pPr>
                    <w:pStyle w:val="42"/>
                  </w:pPr>
                  <w:r>
                    <w:rPr>
                      <w:rFonts w:hint="eastAsia"/>
                    </w:rPr>
                    <w:t>年平均质量浓度</w:t>
                  </w:r>
                </w:p>
              </w:tc>
              <w:tc>
                <w:tcPr>
                  <w:tcW w:w="1559" w:type="dxa"/>
                  <w:vAlign w:val="center"/>
                </w:tcPr>
                <w:p w14:paraId="69A57389">
                  <w:pPr>
                    <w:pStyle w:val="42"/>
                  </w:pPr>
                  <w:r>
                    <w:rPr>
                      <w:rFonts w:hint="eastAsia"/>
                    </w:rPr>
                    <w:t>24.3</w:t>
                  </w:r>
                </w:p>
              </w:tc>
              <w:tc>
                <w:tcPr>
                  <w:tcW w:w="1560" w:type="dxa"/>
                  <w:vAlign w:val="center"/>
                </w:tcPr>
                <w:p w14:paraId="0B4E3340">
                  <w:pPr>
                    <w:pStyle w:val="42"/>
                  </w:pPr>
                  <w:r>
                    <w:rPr>
                      <w:rFonts w:hint="eastAsia"/>
                    </w:rPr>
                    <w:t>35</w:t>
                  </w:r>
                </w:p>
              </w:tc>
              <w:tc>
                <w:tcPr>
                  <w:tcW w:w="1134" w:type="dxa"/>
                  <w:vAlign w:val="center"/>
                </w:tcPr>
                <w:p w14:paraId="5210E7FB">
                  <w:pPr>
                    <w:pStyle w:val="42"/>
                  </w:pPr>
                  <w:r>
                    <w:rPr>
                      <w:rFonts w:hint="eastAsia"/>
                    </w:rPr>
                    <w:t>69.43</w:t>
                  </w:r>
                </w:p>
              </w:tc>
              <w:tc>
                <w:tcPr>
                  <w:tcW w:w="815" w:type="dxa"/>
                  <w:vAlign w:val="center"/>
                </w:tcPr>
                <w:p w14:paraId="6DA057D4">
                  <w:pPr>
                    <w:pStyle w:val="42"/>
                  </w:pPr>
                  <w:r>
                    <w:rPr>
                      <w:rFonts w:hint="eastAsia"/>
                    </w:rPr>
                    <w:t>达标</w:t>
                  </w:r>
                </w:p>
              </w:tc>
            </w:tr>
            <w:tr w14:paraId="12C4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C31B09A">
                  <w:pPr>
                    <w:pStyle w:val="42"/>
                  </w:pPr>
                  <w:r>
                    <w:rPr>
                      <w:rFonts w:hint="eastAsia"/>
                    </w:rPr>
                    <w:t>CO</w:t>
                  </w:r>
                </w:p>
              </w:tc>
              <w:tc>
                <w:tcPr>
                  <w:tcW w:w="2126" w:type="dxa"/>
                  <w:vAlign w:val="center"/>
                </w:tcPr>
                <w:p w14:paraId="1950F9E3">
                  <w:pPr>
                    <w:pStyle w:val="42"/>
                  </w:pPr>
                  <w:r>
                    <w:rPr>
                      <w:rFonts w:hint="eastAsia"/>
                    </w:rPr>
                    <w:t>百分位数日平均质量浓度</w:t>
                  </w:r>
                </w:p>
              </w:tc>
              <w:tc>
                <w:tcPr>
                  <w:tcW w:w="1559" w:type="dxa"/>
                  <w:vAlign w:val="center"/>
                </w:tcPr>
                <w:p w14:paraId="528F2958">
                  <w:pPr>
                    <w:pStyle w:val="42"/>
                  </w:pPr>
                  <w:r>
                    <w:rPr>
                      <w:rFonts w:hint="eastAsia"/>
                    </w:rPr>
                    <w:t>11</w:t>
                  </w:r>
                  <w:r>
                    <w:t>00</w:t>
                  </w:r>
                </w:p>
              </w:tc>
              <w:tc>
                <w:tcPr>
                  <w:tcW w:w="1560" w:type="dxa"/>
                  <w:vAlign w:val="center"/>
                </w:tcPr>
                <w:p w14:paraId="5931F16E">
                  <w:pPr>
                    <w:pStyle w:val="42"/>
                  </w:pPr>
                  <w:r>
                    <w:rPr>
                      <w:rFonts w:hint="eastAsia"/>
                    </w:rPr>
                    <w:t>4000</w:t>
                  </w:r>
                </w:p>
              </w:tc>
              <w:tc>
                <w:tcPr>
                  <w:tcW w:w="1134" w:type="dxa"/>
                  <w:vAlign w:val="center"/>
                </w:tcPr>
                <w:p w14:paraId="6C07E858">
                  <w:pPr>
                    <w:pStyle w:val="42"/>
                  </w:pPr>
                  <w:r>
                    <w:rPr>
                      <w:rFonts w:hint="eastAsia"/>
                    </w:rPr>
                    <w:t>27.</w:t>
                  </w:r>
                  <w:r>
                    <w:t>5</w:t>
                  </w:r>
                </w:p>
              </w:tc>
              <w:tc>
                <w:tcPr>
                  <w:tcW w:w="815" w:type="dxa"/>
                  <w:vAlign w:val="center"/>
                </w:tcPr>
                <w:p w14:paraId="06695A94">
                  <w:pPr>
                    <w:pStyle w:val="42"/>
                  </w:pPr>
                  <w:r>
                    <w:rPr>
                      <w:rFonts w:hint="eastAsia"/>
                    </w:rPr>
                    <w:t>达标</w:t>
                  </w:r>
                </w:p>
              </w:tc>
            </w:tr>
            <w:tr w14:paraId="77B9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A8B009D">
                  <w:pPr>
                    <w:pStyle w:val="42"/>
                  </w:pPr>
                  <w:r>
                    <w:rPr>
                      <w:rFonts w:hint="eastAsia"/>
                    </w:rPr>
                    <w:t>O</w:t>
                  </w:r>
                  <w:r>
                    <w:rPr>
                      <w:rFonts w:hint="eastAsia"/>
                      <w:vertAlign w:val="subscript"/>
                    </w:rPr>
                    <w:t>3</w:t>
                  </w:r>
                </w:p>
              </w:tc>
              <w:tc>
                <w:tcPr>
                  <w:tcW w:w="2126" w:type="dxa"/>
                  <w:vAlign w:val="center"/>
                </w:tcPr>
                <w:p w14:paraId="61A3345D">
                  <w:pPr>
                    <w:pStyle w:val="42"/>
                  </w:pPr>
                  <w:r>
                    <w:rPr>
                      <w:rFonts w:hint="eastAsia"/>
                    </w:rPr>
                    <w:t>8h平均质量浓度</w:t>
                  </w:r>
                </w:p>
              </w:tc>
              <w:tc>
                <w:tcPr>
                  <w:tcW w:w="1559" w:type="dxa"/>
                  <w:vAlign w:val="center"/>
                </w:tcPr>
                <w:p w14:paraId="4D1CCFDE">
                  <w:pPr>
                    <w:pStyle w:val="42"/>
                  </w:pPr>
                  <w:r>
                    <w:rPr>
                      <w:rFonts w:hint="eastAsia"/>
                    </w:rPr>
                    <w:t>118</w:t>
                  </w:r>
                </w:p>
              </w:tc>
              <w:tc>
                <w:tcPr>
                  <w:tcW w:w="1560" w:type="dxa"/>
                  <w:vAlign w:val="center"/>
                </w:tcPr>
                <w:p w14:paraId="655F49B1">
                  <w:pPr>
                    <w:pStyle w:val="42"/>
                  </w:pPr>
                  <w:r>
                    <w:rPr>
                      <w:rFonts w:hint="eastAsia"/>
                    </w:rPr>
                    <w:t>160</w:t>
                  </w:r>
                </w:p>
              </w:tc>
              <w:tc>
                <w:tcPr>
                  <w:tcW w:w="1134" w:type="dxa"/>
                  <w:vAlign w:val="center"/>
                </w:tcPr>
                <w:p w14:paraId="139B0789">
                  <w:pPr>
                    <w:pStyle w:val="42"/>
                  </w:pPr>
                  <w:r>
                    <w:rPr>
                      <w:rFonts w:hint="eastAsia"/>
                    </w:rPr>
                    <w:t>73.7</w:t>
                  </w:r>
                  <w:r>
                    <w:t>5</w:t>
                  </w:r>
                </w:p>
              </w:tc>
              <w:tc>
                <w:tcPr>
                  <w:tcW w:w="815" w:type="dxa"/>
                  <w:vAlign w:val="center"/>
                </w:tcPr>
                <w:p w14:paraId="3D7CCC64">
                  <w:pPr>
                    <w:pStyle w:val="42"/>
                  </w:pPr>
                  <w:r>
                    <w:rPr>
                      <w:rFonts w:hint="eastAsia"/>
                    </w:rPr>
                    <w:t>达标</w:t>
                  </w:r>
                </w:p>
              </w:tc>
            </w:tr>
          </w:tbl>
          <w:p w14:paraId="31B7A260">
            <w:pPr>
              <w:pStyle w:val="41"/>
              <w:ind w:firstLine="482"/>
              <w:jc w:val="both"/>
              <w:rPr>
                <w:b/>
                <w:bCs/>
              </w:rPr>
            </w:pPr>
          </w:p>
          <w:p w14:paraId="6CDD0388">
            <w:pPr>
              <w:pStyle w:val="41"/>
              <w:ind w:firstLine="482"/>
              <w:jc w:val="both"/>
              <w:rPr>
                <w:b/>
                <w:bCs/>
              </w:rPr>
            </w:pPr>
            <w:r>
              <w:rPr>
                <w:rFonts w:hint="eastAsia"/>
                <w:b/>
                <w:bCs/>
              </w:rPr>
              <w:t>4、海洋环境质量现状</w:t>
            </w:r>
          </w:p>
          <w:p w14:paraId="75DD5D42">
            <w:pPr>
              <w:pStyle w:val="41"/>
              <w:ind w:firstLine="480"/>
            </w:pPr>
            <w:r>
              <w:rPr>
                <w:rFonts w:hint="eastAsia"/>
              </w:rPr>
              <w:t>根据《2023年广西壮族自治区生态环境状况公报》，2023年，广西近岸海域海水水质状况总体“优”。40个监测点位中，优良水质海域面积（一、二类）比例为94.5%，优于国家考核目标（92.4%）要求，与2022年持平。其中，春、夏、秋三期优良水质面积比例分别为92.0%、94.8%、96.7%。主要超标指标为无机氮、活性磷酸盐、溶解氧和pH。</w:t>
            </w:r>
          </w:p>
          <w:p w14:paraId="484F99B3">
            <w:pPr>
              <w:pStyle w:val="41"/>
              <w:ind w:firstLine="480"/>
            </w:pPr>
            <w:r>
              <w:rPr>
                <w:rFonts w:hint="eastAsia"/>
              </w:rPr>
              <w:t>2023年，广西近岸海域表层沉积物综合质量等级为“优”。40个国控点位沉积物质量等级属于“优”的点位比例为100%，比2022年上升5.0个百分点。其中，符合《海洋沉积物质量》（GB 18668—2002）第一类标准的点位比例为85.0%，第二类为15.0%。与2022年相比，第一类下降5.0个百分点，第二类上升5.0个百分点。超第一类标准监测指标为铜和砷。沿海三市近岸海域表层沉积物综合质量等级均为“优”。</w:t>
            </w:r>
          </w:p>
          <w:p w14:paraId="30C83115">
            <w:pPr>
              <w:pStyle w:val="41"/>
              <w:ind w:firstLine="482"/>
              <w:jc w:val="both"/>
              <w:rPr>
                <w:b/>
                <w:bCs/>
              </w:rPr>
            </w:pPr>
            <w:r>
              <w:rPr>
                <w:rFonts w:hint="eastAsia"/>
                <w:b/>
                <w:bCs/>
              </w:rPr>
              <w:t>5声环境质量现状</w:t>
            </w:r>
          </w:p>
          <w:p w14:paraId="0B0FD04B">
            <w:pPr>
              <w:pStyle w:val="41"/>
              <w:ind w:firstLine="480"/>
            </w:pPr>
            <w:r>
              <w:rPr>
                <w:rFonts w:hint="eastAsia"/>
              </w:rPr>
              <w:t>根据《建设项目环境影响报告表编制技术指南（生态影响类）》（试行）中的要求：“无相关数据的，大气、固定声源环境质量现状监测参照《建设项目环境影响报告表编制技术指南（污染影响类）》（试行）相关规定开展补充监测”，根据《建设项目环境影响报告表编制技术指南（污染影响类）》（试行）中的要求：“3.声环境。厂界外周边50米范围内存在声环境保护目标的建设项目，应监测保护目标声环境质量现状并评价达标情况。各点位应监测昼夜间噪声，监测时间不少于1天，项目夜间不生产则仅监测昼间噪声。”</w:t>
            </w:r>
          </w:p>
          <w:p w14:paraId="78B682AB">
            <w:pPr>
              <w:pStyle w:val="41"/>
              <w:ind w:firstLine="480"/>
            </w:pPr>
            <w:r>
              <w:rPr>
                <w:rFonts w:hint="eastAsia"/>
              </w:rPr>
              <w:t>项目运营期间噪声主要来自于厂区内压缩机、水泵等各类设备的运行生产活动，项目厂区外50m范围内无声环境保护目标分布，故本次评价可不开展噪声补充监测。</w:t>
            </w:r>
          </w:p>
          <w:p w14:paraId="0CBFC785">
            <w:pPr>
              <w:pStyle w:val="41"/>
              <w:ind w:firstLine="482"/>
              <w:jc w:val="both"/>
              <w:rPr>
                <w:b/>
                <w:bCs/>
              </w:rPr>
            </w:pPr>
            <w:r>
              <w:rPr>
                <w:b/>
                <w:bCs/>
              </w:rPr>
              <w:t>6</w:t>
            </w:r>
            <w:r>
              <w:rPr>
                <w:rFonts w:hint="eastAsia"/>
                <w:b/>
                <w:bCs/>
              </w:rPr>
              <w:t>地下水环境质量现状</w:t>
            </w:r>
          </w:p>
          <w:p w14:paraId="3455F449">
            <w:pPr>
              <w:pStyle w:val="41"/>
              <w:ind w:firstLine="480"/>
            </w:pPr>
            <w:r>
              <w:rPr>
                <w:rFonts w:hint="eastAsia"/>
              </w:rPr>
              <w:t>根据《环境影响评价技术导则地下水环境》（</w:t>
            </w:r>
            <w:r>
              <w:t>HJ610-2016</w:t>
            </w:r>
            <w:r>
              <w:rPr>
                <w:rFonts w:hint="eastAsia"/>
              </w:rPr>
              <w:t>）中附录</w:t>
            </w:r>
            <w:r>
              <w:t>A</w:t>
            </w:r>
            <w:r>
              <w:rPr>
                <w:rFonts w:hint="eastAsia"/>
              </w:rPr>
              <w:t>确定项目属类别为项目属类别为“</w:t>
            </w:r>
            <w:r>
              <w:t>85</w:t>
            </w:r>
            <w:r>
              <w:rPr>
                <w:rFonts w:hint="eastAsia"/>
              </w:rPr>
              <w:t>、基础化学原料制造”中的“单纯混合或分装”、“</w:t>
            </w:r>
            <w:r>
              <w:t>89</w:t>
            </w:r>
            <w:r>
              <w:rPr>
                <w:rFonts w:hint="eastAsia"/>
              </w:rPr>
              <w:t>、化学品运输管线”以及“</w:t>
            </w:r>
            <w:r>
              <w:t>154</w:t>
            </w:r>
            <w:r>
              <w:rPr>
                <w:rFonts w:hint="eastAsia"/>
              </w:rPr>
              <w:t>、仓储（不含油库、气库、煤炭储存）”中的“其他”，“</w:t>
            </w:r>
            <w:r>
              <w:t>85</w:t>
            </w:r>
            <w:r>
              <w:rPr>
                <w:rFonts w:hint="eastAsia"/>
              </w:rPr>
              <w:t>、基础化学原料制造”、“</w:t>
            </w:r>
            <w:r>
              <w:t>154</w:t>
            </w:r>
            <w:r>
              <w:rPr>
                <w:rFonts w:hint="eastAsia"/>
              </w:rPr>
              <w:t>、仓储（不含油库、气库、煤炭储存）”类编制报告表的项目地下水环境影响评价项目类别均属于Ⅲ类；项目下游无饮用水源等地下水环境敏感目标，因此项目周边地下水环境为不敏感，确定本项目地下水环境评价等级为三级。</w:t>
            </w:r>
          </w:p>
          <w:p w14:paraId="60896C7C">
            <w:pPr>
              <w:pStyle w:val="41"/>
              <w:ind w:firstLine="480"/>
            </w:pPr>
            <w:r>
              <w:rPr>
                <w:rFonts w:hint="eastAsia"/>
              </w:rPr>
              <w:t>根据《环境影响评价技术导则地下水环境》（</w:t>
            </w:r>
            <w:r>
              <w:t>HJ610-2016</w:t>
            </w:r>
            <w:r>
              <w:rPr>
                <w:rFonts w:hint="eastAsia"/>
              </w:rPr>
              <w:t>），三级评价项目潜水含水层的水质监测点应不少于</w:t>
            </w:r>
            <w:r>
              <w:t>3</w:t>
            </w:r>
            <w:r>
              <w:rPr>
                <w:rFonts w:hint="eastAsia"/>
              </w:rPr>
              <w:t>个，可能受建设项目影响且具有饮用水开发利用价值的含水层</w:t>
            </w:r>
            <w:r>
              <w:t>1-2</w:t>
            </w:r>
            <w:r>
              <w:rPr>
                <w:rFonts w:hint="eastAsia"/>
              </w:rPr>
              <w:t>个。原则上建设项目场地上游及下游影响区的地下水水质监测点各不得少于</w:t>
            </w:r>
            <w:r>
              <w:t>1</w:t>
            </w:r>
            <w:r>
              <w:rPr>
                <w:rFonts w:hint="eastAsia"/>
              </w:rPr>
              <w:t>个。本项目位于旧营盘水文地质单元，本次评价引用</w:t>
            </w:r>
            <w:r>
              <w:t>2</w:t>
            </w:r>
            <w:r>
              <w:rPr>
                <w:rFonts w:hint="eastAsia"/>
              </w:rPr>
              <w:t>个、补充监测</w:t>
            </w:r>
            <w:r>
              <w:t>1</w:t>
            </w:r>
            <w:r>
              <w:rPr>
                <w:rFonts w:hint="eastAsia"/>
              </w:rPr>
              <w:t>个水质监测点，共布设</w:t>
            </w:r>
            <w:r>
              <w:t>3</w:t>
            </w:r>
            <w:r>
              <w:rPr>
                <w:rFonts w:hint="eastAsia"/>
              </w:rPr>
              <w:t>个监测点位，所布点位均位于旧营盘水文地质单元内，引用点位监测时间分别为</w:t>
            </w:r>
            <w:r>
              <w:t>2022</w:t>
            </w:r>
            <w:r>
              <w:rPr>
                <w:rFonts w:hint="eastAsia"/>
              </w:rPr>
              <w:t>年</w:t>
            </w:r>
            <w:r>
              <w:t>5</w:t>
            </w:r>
            <w:r>
              <w:rPr>
                <w:rFonts w:hint="eastAsia"/>
              </w:rPr>
              <w:t>月</w:t>
            </w:r>
            <w:r>
              <w:t>24</w:t>
            </w:r>
            <w:r>
              <w:rPr>
                <w:rFonts w:hint="eastAsia"/>
              </w:rPr>
              <w:t>日和</w:t>
            </w:r>
            <w:r>
              <w:t>2022</w:t>
            </w:r>
            <w:r>
              <w:rPr>
                <w:rFonts w:hint="eastAsia"/>
              </w:rPr>
              <w:t>年</w:t>
            </w:r>
            <w:r>
              <w:t>7</w:t>
            </w:r>
            <w:r>
              <w:rPr>
                <w:rFonts w:hint="eastAsia"/>
              </w:rPr>
              <w:t>月</w:t>
            </w:r>
            <w:r>
              <w:t>5</w:t>
            </w:r>
            <w:r>
              <w:rPr>
                <w:rFonts w:hint="eastAsia"/>
              </w:rPr>
              <w:t>日，因此引用点位的基本因子和特征因子监测值具有一定代表性。综上，项目地下水监测点布点位置、点位数量及数据时效均符合《环境影响评价技术导则</w:t>
            </w:r>
            <w:r>
              <w:t xml:space="preserve"> </w:t>
            </w:r>
            <w:r>
              <w:rPr>
                <w:rFonts w:hint="eastAsia"/>
              </w:rPr>
              <w:t>地下水环境》（</w:t>
            </w:r>
            <w:r>
              <w:t>HJ 610-2016</w:t>
            </w:r>
            <w:r>
              <w:rPr>
                <w:rFonts w:hint="eastAsia"/>
              </w:rPr>
              <w:t>）要求。监测布点情况见下表。</w:t>
            </w:r>
          </w:p>
          <w:p w14:paraId="1313B454">
            <w:pPr>
              <w:pStyle w:val="41"/>
              <w:numPr>
                <w:ilvl w:val="0"/>
                <w:numId w:val="7"/>
              </w:numPr>
              <w:spacing w:line="240" w:lineRule="auto"/>
              <w:ind w:firstLineChars="0"/>
              <w:jc w:val="center"/>
              <w:rPr>
                <w:b/>
                <w:bCs/>
                <w:sz w:val="21"/>
                <w:szCs w:val="21"/>
              </w:rPr>
            </w:pPr>
            <w:r>
              <w:rPr>
                <w:rFonts w:hint="eastAsia"/>
                <w:b/>
                <w:bCs/>
                <w:sz w:val="21"/>
                <w:szCs w:val="21"/>
              </w:rPr>
              <w:t>地下水环境质量现状监测布点情况一览表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76"/>
              <w:gridCol w:w="709"/>
              <w:gridCol w:w="2268"/>
              <w:gridCol w:w="1276"/>
              <w:gridCol w:w="1757"/>
            </w:tblGrid>
            <w:tr w14:paraId="4124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6" w:type="dxa"/>
                  <w:vAlign w:val="center"/>
                </w:tcPr>
                <w:p w14:paraId="75F9C7D7">
                  <w:pPr>
                    <w:pStyle w:val="42"/>
                    <w:rPr>
                      <w:b/>
                      <w:bCs/>
                    </w:rPr>
                  </w:pPr>
                  <w:r>
                    <w:rPr>
                      <w:rFonts w:hint="eastAsia"/>
                      <w:b/>
                      <w:bCs/>
                    </w:rPr>
                    <w:t>序号</w:t>
                  </w:r>
                </w:p>
              </w:tc>
              <w:tc>
                <w:tcPr>
                  <w:tcW w:w="1276" w:type="dxa"/>
                  <w:vAlign w:val="center"/>
                </w:tcPr>
                <w:p w14:paraId="0A746E55">
                  <w:pPr>
                    <w:pStyle w:val="42"/>
                    <w:rPr>
                      <w:b/>
                      <w:bCs/>
                    </w:rPr>
                  </w:pPr>
                  <w:r>
                    <w:rPr>
                      <w:rFonts w:hint="eastAsia"/>
                      <w:b/>
                      <w:bCs/>
                    </w:rPr>
                    <w:t>相对项目位置及距离</w:t>
                  </w:r>
                </w:p>
              </w:tc>
              <w:tc>
                <w:tcPr>
                  <w:tcW w:w="709" w:type="dxa"/>
                  <w:vAlign w:val="center"/>
                </w:tcPr>
                <w:p w14:paraId="2FB963A9">
                  <w:pPr>
                    <w:pStyle w:val="42"/>
                    <w:rPr>
                      <w:b/>
                      <w:bCs/>
                    </w:rPr>
                  </w:pPr>
                  <w:r>
                    <w:rPr>
                      <w:rFonts w:hint="eastAsia"/>
                      <w:b/>
                      <w:bCs/>
                    </w:rPr>
                    <w:t>监测内容</w:t>
                  </w:r>
                </w:p>
              </w:tc>
              <w:tc>
                <w:tcPr>
                  <w:tcW w:w="2268" w:type="dxa"/>
                  <w:vAlign w:val="center"/>
                </w:tcPr>
                <w:p w14:paraId="76310762">
                  <w:pPr>
                    <w:pStyle w:val="42"/>
                    <w:rPr>
                      <w:b/>
                      <w:bCs/>
                    </w:rPr>
                  </w:pPr>
                  <w:r>
                    <w:rPr>
                      <w:rFonts w:hint="eastAsia"/>
                      <w:b/>
                      <w:bCs/>
                    </w:rPr>
                    <w:t>监测因子</w:t>
                  </w:r>
                </w:p>
              </w:tc>
              <w:tc>
                <w:tcPr>
                  <w:tcW w:w="1276" w:type="dxa"/>
                  <w:vAlign w:val="center"/>
                </w:tcPr>
                <w:p w14:paraId="51F53542">
                  <w:pPr>
                    <w:pStyle w:val="42"/>
                    <w:rPr>
                      <w:b/>
                      <w:bCs/>
                    </w:rPr>
                  </w:pPr>
                  <w:r>
                    <w:rPr>
                      <w:rFonts w:hint="eastAsia"/>
                      <w:b/>
                      <w:bCs/>
                    </w:rPr>
                    <w:t>地下水与项目场地相对位置</w:t>
                  </w:r>
                </w:p>
              </w:tc>
              <w:tc>
                <w:tcPr>
                  <w:tcW w:w="1757" w:type="dxa"/>
                  <w:vAlign w:val="center"/>
                </w:tcPr>
                <w:p w14:paraId="47090C27">
                  <w:pPr>
                    <w:pStyle w:val="42"/>
                    <w:rPr>
                      <w:b/>
                      <w:bCs/>
                    </w:rPr>
                  </w:pPr>
                  <w:r>
                    <w:rPr>
                      <w:rFonts w:hint="eastAsia"/>
                      <w:b/>
                      <w:bCs/>
                    </w:rPr>
                    <w:t>备注</w:t>
                  </w:r>
                </w:p>
              </w:tc>
            </w:tr>
            <w:tr w14:paraId="07F4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FE98C83">
                  <w:pPr>
                    <w:pStyle w:val="42"/>
                  </w:pPr>
                  <w:r>
                    <w:t>U1</w:t>
                  </w:r>
                </w:p>
              </w:tc>
              <w:tc>
                <w:tcPr>
                  <w:tcW w:w="1276" w:type="dxa"/>
                  <w:vAlign w:val="center"/>
                </w:tcPr>
                <w:p w14:paraId="5DC041C6">
                  <w:pPr>
                    <w:pStyle w:val="42"/>
                  </w:pPr>
                  <w:r>
                    <w:rPr>
                      <w:rFonts w:hint="eastAsia"/>
                    </w:rPr>
                    <w:t>项目厂区西北面约</w:t>
                  </w:r>
                  <w:r>
                    <w:t>628m</w:t>
                  </w:r>
                  <w:r>
                    <w:rPr>
                      <w:rFonts w:hint="eastAsia"/>
                    </w:rPr>
                    <w:t>处</w:t>
                  </w:r>
                </w:p>
              </w:tc>
              <w:tc>
                <w:tcPr>
                  <w:tcW w:w="709" w:type="dxa"/>
                  <w:vAlign w:val="center"/>
                </w:tcPr>
                <w:p w14:paraId="33A82E02">
                  <w:pPr>
                    <w:pStyle w:val="42"/>
                  </w:pPr>
                  <w:r>
                    <w:rPr>
                      <w:rFonts w:hint="eastAsia"/>
                    </w:rPr>
                    <w:t>水质</w:t>
                  </w:r>
                </w:p>
              </w:tc>
              <w:tc>
                <w:tcPr>
                  <w:tcW w:w="2268" w:type="dxa"/>
                  <w:vMerge w:val="restart"/>
                  <w:vAlign w:val="center"/>
                </w:tcPr>
                <w:p w14:paraId="55F9DDD7">
                  <w:pPr>
                    <w:pStyle w:val="42"/>
                  </w:pPr>
                  <w:r>
                    <w:t>pH</w:t>
                  </w:r>
                  <w:r>
                    <w:rPr>
                      <w:rFonts w:hint="eastAsia"/>
                    </w:rPr>
                    <w:t>、氨氮、硝酸盐、亚硝酸盐、挥发酚、总硬度、溶解性总固体、耗氧量、</w:t>
                  </w:r>
                  <w:r>
                    <w:t>K</w:t>
                  </w:r>
                  <w:r>
                    <w:rPr>
                      <w:vertAlign w:val="superscript"/>
                    </w:rPr>
                    <w:t>+</w:t>
                  </w:r>
                  <w:r>
                    <w:rPr>
                      <w:rFonts w:hint="eastAsia"/>
                    </w:rPr>
                    <w:t>、</w:t>
                  </w:r>
                  <w:r>
                    <w:t>Na</w:t>
                  </w:r>
                  <w:r>
                    <w:rPr>
                      <w:vertAlign w:val="superscript"/>
                    </w:rPr>
                    <w:t>+</w:t>
                  </w:r>
                  <w:r>
                    <w:rPr>
                      <w:rFonts w:hint="eastAsia"/>
                    </w:rPr>
                    <w:t>、</w:t>
                  </w:r>
                  <w:r>
                    <w:t>Ca</w:t>
                  </w:r>
                  <w:r>
                    <w:rPr>
                      <w:vertAlign w:val="superscript"/>
                    </w:rPr>
                    <w:t>2+</w:t>
                  </w:r>
                  <w:r>
                    <w:rPr>
                      <w:rFonts w:hint="eastAsia"/>
                    </w:rPr>
                    <w:t>、</w:t>
                  </w:r>
                  <w:r>
                    <w:t>Mg</w:t>
                  </w:r>
                  <w:r>
                    <w:rPr>
                      <w:vertAlign w:val="superscript"/>
                    </w:rPr>
                    <w:t>2+</w:t>
                  </w:r>
                  <w:r>
                    <w:rPr>
                      <w:rFonts w:hint="eastAsia"/>
                    </w:rPr>
                    <w:t>、</w:t>
                  </w:r>
                  <w:r>
                    <w:t>CO</w:t>
                  </w:r>
                  <w:r>
                    <w:rPr>
                      <w:vertAlign w:val="subscript"/>
                    </w:rPr>
                    <w:t>3</w:t>
                  </w:r>
                  <w:r>
                    <w:rPr>
                      <w:vertAlign w:val="superscript"/>
                    </w:rPr>
                    <w:t>2-</w:t>
                  </w:r>
                  <w:r>
                    <w:rPr>
                      <w:rFonts w:hint="eastAsia"/>
                    </w:rPr>
                    <w:t>、</w:t>
                  </w:r>
                  <w:r>
                    <w:t>HCO</w:t>
                  </w:r>
                  <w:r>
                    <w:rPr>
                      <w:vertAlign w:val="subscript"/>
                    </w:rPr>
                    <w:t>3</w:t>
                  </w:r>
                  <w:r>
                    <w:rPr>
                      <w:vertAlign w:val="superscript"/>
                    </w:rPr>
                    <w:t>-</w:t>
                  </w:r>
                  <w:r>
                    <w:rPr>
                      <w:rFonts w:hint="eastAsia"/>
                    </w:rPr>
                    <w:t>、</w:t>
                  </w:r>
                  <w:r>
                    <w:t>Cl</w:t>
                  </w:r>
                  <w:r>
                    <w:rPr>
                      <w:vertAlign w:val="superscript"/>
                    </w:rPr>
                    <w:t>-</w:t>
                  </w:r>
                  <w:r>
                    <w:rPr>
                      <w:rFonts w:hint="eastAsia"/>
                    </w:rPr>
                    <w:t>、</w:t>
                  </w:r>
                  <w:r>
                    <w:t>SO</w:t>
                  </w:r>
                  <w:r>
                    <w:rPr>
                      <w:vertAlign w:val="subscript"/>
                    </w:rPr>
                    <w:t>4</w:t>
                  </w:r>
                  <w:r>
                    <w:rPr>
                      <w:vertAlign w:val="superscript"/>
                    </w:rPr>
                    <w:t>2-</w:t>
                  </w:r>
                </w:p>
              </w:tc>
              <w:tc>
                <w:tcPr>
                  <w:tcW w:w="1276" w:type="dxa"/>
                  <w:vAlign w:val="center"/>
                </w:tcPr>
                <w:p w14:paraId="6DC05626">
                  <w:pPr>
                    <w:pStyle w:val="42"/>
                  </w:pPr>
                  <w:r>
                    <w:rPr>
                      <w:rFonts w:hint="eastAsia"/>
                    </w:rPr>
                    <w:t>地下水上游</w:t>
                  </w:r>
                </w:p>
              </w:tc>
              <w:tc>
                <w:tcPr>
                  <w:tcW w:w="1757" w:type="dxa"/>
                  <w:vAlign w:val="center"/>
                </w:tcPr>
                <w:p w14:paraId="06B5CFDE">
                  <w:pPr>
                    <w:pStyle w:val="42"/>
                  </w:pPr>
                </w:p>
              </w:tc>
            </w:tr>
            <w:tr w14:paraId="1A1C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3C63C517">
                  <w:pPr>
                    <w:pStyle w:val="42"/>
                  </w:pPr>
                  <w:r>
                    <w:t>U2</w:t>
                  </w:r>
                </w:p>
              </w:tc>
              <w:tc>
                <w:tcPr>
                  <w:tcW w:w="1276" w:type="dxa"/>
                  <w:vAlign w:val="center"/>
                </w:tcPr>
                <w:p w14:paraId="5A8CE86F">
                  <w:pPr>
                    <w:pStyle w:val="42"/>
                  </w:pPr>
                  <w:r>
                    <w:rPr>
                      <w:rFonts w:hint="eastAsia"/>
                    </w:rPr>
                    <w:t>项目厂区东北面约</w:t>
                  </w:r>
                  <w:r>
                    <w:t>708m</w:t>
                  </w:r>
                  <w:r>
                    <w:rPr>
                      <w:rFonts w:hint="eastAsia"/>
                    </w:rPr>
                    <w:t>处</w:t>
                  </w:r>
                </w:p>
              </w:tc>
              <w:tc>
                <w:tcPr>
                  <w:tcW w:w="709" w:type="dxa"/>
                  <w:vAlign w:val="center"/>
                </w:tcPr>
                <w:p w14:paraId="6ABDC56F">
                  <w:pPr>
                    <w:pStyle w:val="42"/>
                  </w:pPr>
                  <w:r>
                    <w:rPr>
                      <w:rFonts w:hint="eastAsia"/>
                    </w:rPr>
                    <w:t>水质</w:t>
                  </w:r>
                </w:p>
              </w:tc>
              <w:tc>
                <w:tcPr>
                  <w:tcW w:w="2268" w:type="dxa"/>
                  <w:vMerge w:val="continue"/>
                  <w:vAlign w:val="center"/>
                </w:tcPr>
                <w:p w14:paraId="0D4C2EBC">
                  <w:pPr>
                    <w:pStyle w:val="42"/>
                  </w:pPr>
                </w:p>
              </w:tc>
              <w:tc>
                <w:tcPr>
                  <w:tcW w:w="1276" w:type="dxa"/>
                  <w:vAlign w:val="center"/>
                </w:tcPr>
                <w:p w14:paraId="3EA99BFE">
                  <w:pPr>
                    <w:pStyle w:val="42"/>
                  </w:pPr>
                  <w:r>
                    <w:rPr>
                      <w:rFonts w:hint="eastAsia"/>
                    </w:rPr>
                    <w:t>地下水侧下游</w:t>
                  </w:r>
                </w:p>
              </w:tc>
              <w:tc>
                <w:tcPr>
                  <w:tcW w:w="1757" w:type="dxa"/>
                  <w:vAlign w:val="center"/>
                </w:tcPr>
                <w:p w14:paraId="0BD233DF">
                  <w:pPr>
                    <w:pStyle w:val="42"/>
                  </w:pPr>
                </w:p>
              </w:tc>
            </w:tr>
            <w:tr w14:paraId="721F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86FD94C">
                  <w:pPr>
                    <w:pStyle w:val="42"/>
                  </w:pPr>
                  <w:r>
                    <w:t>U3</w:t>
                  </w:r>
                </w:p>
              </w:tc>
              <w:tc>
                <w:tcPr>
                  <w:tcW w:w="1276" w:type="dxa"/>
                  <w:vAlign w:val="center"/>
                </w:tcPr>
                <w:p w14:paraId="55F012F9">
                  <w:pPr>
                    <w:pStyle w:val="42"/>
                  </w:pPr>
                  <w:r>
                    <w:rPr>
                      <w:rFonts w:hint="eastAsia"/>
                    </w:rPr>
                    <w:t>项目厂区南面约</w:t>
                  </w:r>
                  <w:r>
                    <w:t>122m</w:t>
                  </w:r>
                  <w:r>
                    <w:rPr>
                      <w:rFonts w:hint="eastAsia"/>
                    </w:rPr>
                    <w:t>处</w:t>
                  </w:r>
                </w:p>
              </w:tc>
              <w:tc>
                <w:tcPr>
                  <w:tcW w:w="709" w:type="dxa"/>
                  <w:vAlign w:val="center"/>
                </w:tcPr>
                <w:p w14:paraId="7614B68A">
                  <w:pPr>
                    <w:pStyle w:val="42"/>
                  </w:pPr>
                  <w:r>
                    <w:rPr>
                      <w:rFonts w:hint="eastAsia"/>
                    </w:rPr>
                    <w:t>水质</w:t>
                  </w:r>
                </w:p>
              </w:tc>
              <w:tc>
                <w:tcPr>
                  <w:tcW w:w="2268" w:type="dxa"/>
                  <w:vMerge w:val="continue"/>
                  <w:vAlign w:val="center"/>
                </w:tcPr>
                <w:p w14:paraId="13ABD568">
                  <w:pPr>
                    <w:pStyle w:val="42"/>
                  </w:pPr>
                </w:p>
              </w:tc>
              <w:tc>
                <w:tcPr>
                  <w:tcW w:w="1276" w:type="dxa"/>
                  <w:vAlign w:val="center"/>
                </w:tcPr>
                <w:p w14:paraId="4226A144">
                  <w:pPr>
                    <w:pStyle w:val="42"/>
                  </w:pPr>
                  <w:r>
                    <w:rPr>
                      <w:rFonts w:hint="eastAsia"/>
                    </w:rPr>
                    <w:t>地下水下游</w:t>
                  </w:r>
                </w:p>
              </w:tc>
              <w:tc>
                <w:tcPr>
                  <w:tcW w:w="1757" w:type="dxa"/>
                  <w:vAlign w:val="center"/>
                </w:tcPr>
                <w:p w14:paraId="5F05872A">
                  <w:pPr>
                    <w:pStyle w:val="42"/>
                  </w:pPr>
                  <w:r>
                    <w:rPr>
                      <w:rFonts w:hint="eastAsia"/>
                    </w:rPr>
                    <w:t>本次监测，拟利用中石油码头库区现有监测井取样</w:t>
                  </w:r>
                </w:p>
              </w:tc>
            </w:tr>
          </w:tbl>
          <w:p w14:paraId="3692868F">
            <w:pPr>
              <w:pStyle w:val="41"/>
              <w:ind w:firstLine="480"/>
            </w:pPr>
          </w:p>
          <w:p w14:paraId="2E40E84D">
            <w:pPr>
              <w:pStyle w:val="41"/>
              <w:ind w:firstLine="480" w:firstLineChars="0"/>
            </w:pPr>
            <w:r>
              <w:rPr>
                <w:rFonts w:hint="eastAsia"/>
              </w:rPr>
              <w:t>（</w:t>
            </w:r>
            <w:r>
              <w:t>1</w:t>
            </w:r>
            <w:r>
              <w:rPr>
                <w:rFonts w:hint="eastAsia"/>
              </w:rPr>
              <w:t>）监测时间和监测频次</w:t>
            </w:r>
          </w:p>
          <w:p w14:paraId="0B1CAF56">
            <w:pPr>
              <w:pStyle w:val="41"/>
              <w:ind w:firstLine="480" w:firstLineChars="0"/>
            </w:pPr>
            <w:r>
              <w:t>U1</w:t>
            </w:r>
            <w:r>
              <w:rPr>
                <w:rFonts w:hint="eastAsia"/>
              </w:rPr>
              <w:t>点位采样时间为</w:t>
            </w:r>
            <w:r>
              <w:t>2022</w:t>
            </w:r>
            <w:r>
              <w:rPr>
                <w:rFonts w:hint="eastAsia"/>
              </w:rPr>
              <w:t>年</w:t>
            </w:r>
            <w:r>
              <w:t>5</w:t>
            </w:r>
            <w:r>
              <w:rPr>
                <w:rFonts w:hint="eastAsia"/>
              </w:rPr>
              <w:t>月</w:t>
            </w:r>
            <w:r>
              <w:t>24</w:t>
            </w:r>
            <w:r>
              <w:rPr>
                <w:rFonts w:hint="eastAsia"/>
              </w:rPr>
              <w:t>日，</w:t>
            </w:r>
            <w:r>
              <w:t>U2</w:t>
            </w:r>
            <w:r>
              <w:rPr>
                <w:rFonts w:hint="eastAsia"/>
              </w:rPr>
              <w:t>点位采样时间为</w:t>
            </w:r>
            <w:r>
              <w:t>2022</w:t>
            </w:r>
            <w:r>
              <w:rPr>
                <w:rFonts w:hint="eastAsia"/>
              </w:rPr>
              <w:t>年</w:t>
            </w:r>
            <w:r>
              <w:t>7</w:t>
            </w:r>
            <w:r>
              <w:rPr>
                <w:rFonts w:hint="eastAsia"/>
              </w:rPr>
              <w:t>月</w:t>
            </w:r>
            <w:r>
              <w:t>5</w:t>
            </w:r>
            <w:r>
              <w:rPr>
                <w:rFonts w:hint="eastAsia"/>
              </w:rPr>
              <w:t>日，</w:t>
            </w:r>
            <w:r>
              <w:t>U3</w:t>
            </w:r>
            <w:r>
              <w:rPr>
                <w:rFonts w:hint="eastAsia"/>
              </w:rPr>
              <w:t>点位采样时间为</w:t>
            </w:r>
            <w:r>
              <w:t>2024</w:t>
            </w:r>
            <w:r>
              <w:rPr>
                <w:rFonts w:hint="eastAsia"/>
              </w:rPr>
              <w:t>年</w:t>
            </w:r>
            <w:r>
              <w:t>9</w:t>
            </w:r>
            <w:r>
              <w:rPr>
                <w:rFonts w:hint="eastAsia"/>
              </w:rPr>
              <w:t>月</w:t>
            </w:r>
            <w:r>
              <w:t>10</w:t>
            </w:r>
            <w:r>
              <w:rPr>
                <w:rFonts w:hint="eastAsia"/>
              </w:rPr>
              <w:t>日，以上各点位采集</w:t>
            </w:r>
            <w:r>
              <w:t>1</w:t>
            </w:r>
            <w:r>
              <w:rPr>
                <w:rFonts w:hint="eastAsia"/>
              </w:rPr>
              <w:t>次水样进行测定。</w:t>
            </w:r>
          </w:p>
          <w:p w14:paraId="667F3627">
            <w:pPr>
              <w:pStyle w:val="41"/>
              <w:ind w:firstLine="480" w:firstLineChars="0"/>
            </w:pPr>
            <w:r>
              <w:rPr>
                <w:rFonts w:hint="eastAsia"/>
              </w:rPr>
              <w:t>（</w:t>
            </w:r>
            <w:r>
              <w:t>2</w:t>
            </w:r>
            <w:r>
              <w:rPr>
                <w:rFonts w:hint="eastAsia"/>
              </w:rPr>
              <w:t>）监测与分析方法</w:t>
            </w:r>
          </w:p>
          <w:p w14:paraId="394D740C">
            <w:pPr>
              <w:pStyle w:val="41"/>
              <w:numPr>
                <w:ilvl w:val="0"/>
                <w:numId w:val="7"/>
              </w:numPr>
              <w:spacing w:line="240" w:lineRule="auto"/>
              <w:ind w:firstLineChars="0"/>
              <w:jc w:val="center"/>
              <w:rPr>
                <w:b/>
                <w:bCs/>
                <w:sz w:val="21"/>
                <w:szCs w:val="21"/>
              </w:rPr>
            </w:pPr>
            <w:r>
              <w:rPr>
                <w:rFonts w:hint="eastAsia"/>
                <w:b/>
                <w:bCs/>
                <w:sz w:val="21"/>
                <w:szCs w:val="21"/>
              </w:rPr>
              <w:t>地下水水质分析方法及检出限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60"/>
              <w:gridCol w:w="3543"/>
              <w:gridCol w:w="1276"/>
              <w:gridCol w:w="907"/>
            </w:tblGrid>
            <w:tr w14:paraId="0701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36" w:type="dxa"/>
                  <w:vAlign w:val="center"/>
                </w:tcPr>
                <w:p w14:paraId="6B69D031">
                  <w:pPr>
                    <w:pStyle w:val="42"/>
                    <w:rPr>
                      <w:b/>
                      <w:bCs/>
                    </w:rPr>
                  </w:pPr>
                  <w:r>
                    <w:rPr>
                      <w:rFonts w:hint="eastAsia"/>
                      <w:b/>
                      <w:bCs/>
                    </w:rPr>
                    <w:t>序号</w:t>
                  </w:r>
                </w:p>
              </w:tc>
              <w:tc>
                <w:tcPr>
                  <w:tcW w:w="1560" w:type="dxa"/>
                  <w:vAlign w:val="center"/>
                </w:tcPr>
                <w:p w14:paraId="5564CDDA">
                  <w:pPr>
                    <w:pStyle w:val="42"/>
                    <w:rPr>
                      <w:b/>
                      <w:bCs/>
                    </w:rPr>
                  </w:pPr>
                  <w:r>
                    <w:rPr>
                      <w:rFonts w:hint="eastAsia"/>
                      <w:b/>
                      <w:bCs/>
                    </w:rPr>
                    <w:t>监测项目</w:t>
                  </w:r>
                </w:p>
              </w:tc>
              <w:tc>
                <w:tcPr>
                  <w:tcW w:w="3543" w:type="dxa"/>
                  <w:vAlign w:val="center"/>
                </w:tcPr>
                <w:p w14:paraId="173A0D53">
                  <w:pPr>
                    <w:pStyle w:val="42"/>
                    <w:rPr>
                      <w:b/>
                      <w:bCs/>
                    </w:rPr>
                  </w:pPr>
                  <w:r>
                    <w:rPr>
                      <w:rFonts w:hint="eastAsia"/>
                      <w:b/>
                      <w:bCs/>
                    </w:rPr>
                    <w:t>监测方法</w:t>
                  </w:r>
                </w:p>
              </w:tc>
              <w:tc>
                <w:tcPr>
                  <w:tcW w:w="1276" w:type="dxa"/>
                  <w:vAlign w:val="center"/>
                </w:tcPr>
                <w:p w14:paraId="291DD690">
                  <w:pPr>
                    <w:pStyle w:val="42"/>
                    <w:rPr>
                      <w:b/>
                      <w:bCs/>
                    </w:rPr>
                  </w:pPr>
                  <w:r>
                    <w:rPr>
                      <w:rFonts w:hint="eastAsia"/>
                      <w:b/>
                      <w:bCs/>
                    </w:rPr>
                    <w:t>检出限</w:t>
                  </w:r>
                </w:p>
              </w:tc>
              <w:tc>
                <w:tcPr>
                  <w:tcW w:w="907" w:type="dxa"/>
                  <w:vAlign w:val="center"/>
                </w:tcPr>
                <w:p w14:paraId="78BD08A2">
                  <w:pPr>
                    <w:pStyle w:val="42"/>
                    <w:rPr>
                      <w:b/>
                      <w:bCs/>
                    </w:rPr>
                  </w:pPr>
                  <w:r>
                    <w:rPr>
                      <w:rFonts w:hint="eastAsia"/>
                      <w:b/>
                      <w:bCs/>
                    </w:rPr>
                    <w:t>备注</w:t>
                  </w:r>
                </w:p>
              </w:tc>
            </w:tr>
            <w:tr w14:paraId="798E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1ADF252">
                  <w:pPr>
                    <w:pStyle w:val="42"/>
                  </w:pPr>
                  <w:r>
                    <w:t>1</w:t>
                  </w:r>
                </w:p>
              </w:tc>
              <w:tc>
                <w:tcPr>
                  <w:tcW w:w="1560" w:type="dxa"/>
                  <w:vAlign w:val="center"/>
                </w:tcPr>
                <w:p w14:paraId="19361041">
                  <w:pPr>
                    <w:pStyle w:val="42"/>
                  </w:pPr>
                  <w:r>
                    <w:t>pH</w:t>
                  </w:r>
                  <w:r>
                    <w:rPr>
                      <w:rFonts w:hint="eastAsia"/>
                    </w:rPr>
                    <w:t>值</w:t>
                  </w:r>
                </w:p>
              </w:tc>
              <w:tc>
                <w:tcPr>
                  <w:tcW w:w="3543" w:type="dxa"/>
                  <w:vAlign w:val="center"/>
                </w:tcPr>
                <w:p w14:paraId="4A1A46A2">
                  <w:pPr>
                    <w:pStyle w:val="42"/>
                  </w:pPr>
                  <w:r>
                    <w:rPr>
                      <w:rFonts w:hint="eastAsia"/>
                    </w:rPr>
                    <w:t>水质</w:t>
                  </w:r>
                  <w:r>
                    <w:t xml:space="preserve"> pH</w:t>
                  </w:r>
                  <w:r>
                    <w:rPr>
                      <w:rFonts w:hint="eastAsia"/>
                    </w:rPr>
                    <w:t>值的测定</w:t>
                  </w:r>
                  <w:r>
                    <w:t xml:space="preserve"> </w:t>
                  </w:r>
                  <w:r>
                    <w:rPr>
                      <w:rFonts w:hint="eastAsia"/>
                    </w:rPr>
                    <w:t>玻璃电极法（</w:t>
                  </w:r>
                  <w:r>
                    <w:t>HJ 1147-2020</w:t>
                  </w:r>
                  <w:r>
                    <w:rPr>
                      <w:rFonts w:hint="eastAsia"/>
                    </w:rPr>
                    <w:t>）</w:t>
                  </w:r>
                </w:p>
              </w:tc>
              <w:tc>
                <w:tcPr>
                  <w:tcW w:w="1276" w:type="dxa"/>
                  <w:vAlign w:val="center"/>
                </w:tcPr>
                <w:p w14:paraId="6D149774">
                  <w:pPr>
                    <w:pStyle w:val="42"/>
                  </w:pPr>
                  <w:r>
                    <w:t>--</w:t>
                  </w:r>
                </w:p>
              </w:tc>
              <w:tc>
                <w:tcPr>
                  <w:tcW w:w="907" w:type="dxa"/>
                  <w:vMerge w:val="restart"/>
                  <w:vAlign w:val="center"/>
                </w:tcPr>
                <w:p w14:paraId="4A033ED7">
                  <w:pPr>
                    <w:pStyle w:val="42"/>
                  </w:pPr>
                  <w:r>
                    <w:t>U1</w:t>
                  </w:r>
                  <w:r>
                    <w:rPr>
                      <w:rFonts w:hint="eastAsia"/>
                    </w:rPr>
                    <w:t>点位</w:t>
                  </w:r>
                </w:p>
              </w:tc>
            </w:tr>
            <w:tr w14:paraId="1904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70D4D4A6">
                  <w:pPr>
                    <w:pStyle w:val="42"/>
                  </w:pPr>
                  <w:r>
                    <w:t>2</w:t>
                  </w:r>
                </w:p>
              </w:tc>
              <w:tc>
                <w:tcPr>
                  <w:tcW w:w="1560" w:type="dxa"/>
                  <w:vAlign w:val="center"/>
                </w:tcPr>
                <w:p w14:paraId="2FEEDC6B">
                  <w:pPr>
                    <w:pStyle w:val="42"/>
                  </w:pPr>
                  <w:r>
                    <w:rPr>
                      <w:rFonts w:hint="eastAsia"/>
                    </w:rPr>
                    <w:t>氨氮</w:t>
                  </w:r>
                </w:p>
              </w:tc>
              <w:tc>
                <w:tcPr>
                  <w:tcW w:w="3543" w:type="dxa"/>
                  <w:vAlign w:val="center"/>
                </w:tcPr>
                <w:p w14:paraId="798AAEF0">
                  <w:pPr>
                    <w:pStyle w:val="42"/>
                  </w:pPr>
                  <w:r>
                    <w:rPr>
                      <w:rFonts w:hint="eastAsia"/>
                    </w:rPr>
                    <w:t>水质</w:t>
                  </w:r>
                  <w:r>
                    <w:t xml:space="preserve"> </w:t>
                  </w:r>
                  <w:r>
                    <w:rPr>
                      <w:rFonts w:hint="eastAsia"/>
                    </w:rPr>
                    <w:t>氨氮的测定</w:t>
                  </w:r>
                  <w:r>
                    <w:t xml:space="preserve"> </w:t>
                  </w:r>
                  <w:r>
                    <w:rPr>
                      <w:rFonts w:hint="eastAsia"/>
                    </w:rPr>
                    <w:t>纳氏试剂分光光度法（</w:t>
                  </w:r>
                  <w:r>
                    <w:t>HJ 535-2009</w:t>
                  </w:r>
                  <w:r>
                    <w:rPr>
                      <w:rFonts w:hint="eastAsia"/>
                    </w:rPr>
                    <w:t>）</w:t>
                  </w:r>
                </w:p>
              </w:tc>
              <w:tc>
                <w:tcPr>
                  <w:tcW w:w="1276" w:type="dxa"/>
                  <w:vAlign w:val="center"/>
                </w:tcPr>
                <w:p w14:paraId="5866249F">
                  <w:pPr>
                    <w:pStyle w:val="42"/>
                  </w:pPr>
                  <w:r>
                    <w:t>0.025mg/L</w:t>
                  </w:r>
                </w:p>
              </w:tc>
              <w:tc>
                <w:tcPr>
                  <w:tcW w:w="907" w:type="dxa"/>
                  <w:vMerge w:val="continue"/>
                  <w:vAlign w:val="center"/>
                </w:tcPr>
                <w:p w14:paraId="6197D647">
                  <w:pPr>
                    <w:pStyle w:val="42"/>
                  </w:pPr>
                </w:p>
              </w:tc>
            </w:tr>
            <w:tr w14:paraId="140D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7BA6A9C">
                  <w:pPr>
                    <w:pStyle w:val="42"/>
                  </w:pPr>
                  <w:r>
                    <w:t>3</w:t>
                  </w:r>
                </w:p>
              </w:tc>
              <w:tc>
                <w:tcPr>
                  <w:tcW w:w="1560" w:type="dxa"/>
                  <w:vAlign w:val="center"/>
                </w:tcPr>
                <w:p w14:paraId="2598CB93">
                  <w:pPr>
                    <w:pStyle w:val="42"/>
                  </w:pPr>
                  <w:r>
                    <w:rPr>
                      <w:rFonts w:hint="eastAsia"/>
                    </w:rPr>
                    <w:t>挥发酚</w:t>
                  </w:r>
                </w:p>
              </w:tc>
              <w:tc>
                <w:tcPr>
                  <w:tcW w:w="3543" w:type="dxa"/>
                  <w:vAlign w:val="center"/>
                </w:tcPr>
                <w:p w14:paraId="71C68544">
                  <w:pPr>
                    <w:pStyle w:val="42"/>
                  </w:pPr>
                  <w:r>
                    <w:rPr>
                      <w:rFonts w:hint="eastAsia"/>
                    </w:rPr>
                    <w:t>水质</w:t>
                  </w:r>
                  <w:r>
                    <w:t xml:space="preserve"> </w:t>
                  </w:r>
                  <w:r>
                    <w:rPr>
                      <w:rFonts w:hint="eastAsia"/>
                    </w:rPr>
                    <w:t>挥发酚的测定</w:t>
                  </w:r>
                  <w:r>
                    <w:t xml:space="preserve"> 4-</w:t>
                  </w:r>
                  <w:r>
                    <w:rPr>
                      <w:rFonts w:hint="eastAsia"/>
                    </w:rPr>
                    <w:t>氨基安替比林分光光度法（方法</w:t>
                  </w:r>
                  <w:r>
                    <w:t xml:space="preserve">1 </w:t>
                  </w:r>
                  <w:r>
                    <w:rPr>
                      <w:rFonts w:hint="eastAsia"/>
                    </w:rPr>
                    <w:t>萃取分光光度法）（</w:t>
                  </w:r>
                  <w:r>
                    <w:t>HJ 503-2009)</w:t>
                  </w:r>
                </w:p>
              </w:tc>
              <w:tc>
                <w:tcPr>
                  <w:tcW w:w="1276" w:type="dxa"/>
                  <w:vAlign w:val="center"/>
                </w:tcPr>
                <w:p w14:paraId="67F36AC0">
                  <w:pPr>
                    <w:pStyle w:val="42"/>
                  </w:pPr>
                  <w:r>
                    <w:t>0.0003 mg/L</w:t>
                  </w:r>
                </w:p>
              </w:tc>
              <w:tc>
                <w:tcPr>
                  <w:tcW w:w="907" w:type="dxa"/>
                  <w:vMerge w:val="continue"/>
                  <w:vAlign w:val="center"/>
                </w:tcPr>
                <w:p w14:paraId="00533B12">
                  <w:pPr>
                    <w:pStyle w:val="42"/>
                  </w:pPr>
                </w:p>
              </w:tc>
            </w:tr>
            <w:tr w14:paraId="7CD0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F140A42">
                  <w:pPr>
                    <w:pStyle w:val="42"/>
                  </w:pPr>
                  <w:r>
                    <w:t>4</w:t>
                  </w:r>
                </w:p>
              </w:tc>
              <w:tc>
                <w:tcPr>
                  <w:tcW w:w="1560" w:type="dxa"/>
                  <w:vAlign w:val="center"/>
                </w:tcPr>
                <w:p w14:paraId="6EDA6EDB">
                  <w:pPr>
                    <w:pStyle w:val="42"/>
                  </w:pPr>
                  <w:r>
                    <w:rPr>
                      <w:rFonts w:hint="eastAsia"/>
                    </w:rPr>
                    <w:t>总硬度</w:t>
                  </w:r>
                </w:p>
              </w:tc>
              <w:tc>
                <w:tcPr>
                  <w:tcW w:w="3543" w:type="dxa"/>
                  <w:vAlign w:val="center"/>
                </w:tcPr>
                <w:p w14:paraId="4CDBB4BB">
                  <w:pPr>
                    <w:pStyle w:val="42"/>
                  </w:pPr>
                  <w:r>
                    <w:rPr>
                      <w:rFonts w:hint="eastAsia"/>
                    </w:rPr>
                    <w:t>水质</w:t>
                  </w:r>
                  <w:r>
                    <w:t xml:space="preserve"> </w:t>
                  </w:r>
                  <w:r>
                    <w:rPr>
                      <w:rFonts w:hint="eastAsia"/>
                    </w:rPr>
                    <w:t>钙和镁总量的测定</w:t>
                  </w:r>
                  <w:r>
                    <w:t xml:space="preserve"> EDTA</w:t>
                  </w:r>
                  <w:r>
                    <w:rPr>
                      <w:rFonts w:hint="eastAsia"/>
                    </w:rPr>
                    <w:t>滴定法（</w:t>
                  </w:r>
                  <w:r>
                    <w:t>GB 7477-87</w:t>
                  </w:r>
                  <w:r>
                    <w:rPr>
                      <w:rFonts w:hint="eastAsia"/>
                    </w:rPr>
                    <w:t>）</w:t>
                  </w:r>
                </w:p>
              </w:tc>
              <w:tc>
                <w:tcPr>
                  <w:tcW w:w="1276" w:type="dxa"/>
                  <w:vAlign w:val="center"/>
                </w:tcPr>
                <w:p w14:paraId="23B13670">
                  <w:pPr>
                    <w:pStyle w:val="42"/>
                  </w:pPr>
                  <w:r>
                    <w:t>5mg/L</w:t>
                  </w:r>
                </w:p>
              </w:tc>
              <w:tc>
                <w:tcPr>
                  <w:tcW w:w="907" w:type="dxa"/>
                  <w:vMerge w:val="continue"/>
                  <w:vAlign w:val="center"/>
                </w:tcPr>
                <w:p w14:paraId="60822B9F">
                  <w:pPr>
                    <w:pStyle w:val="42"/>
                  </w:pPr>
                </w:p>
              </w:tc>
            </w:tr>
            <w:tr w14:paraId="1835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EB87A60">
                  <w:pPr>
                    <w:pStyle w:val="42"/>
                  </w:pPr>
                  <w:r>
                    <w:t>5</w:t>
                  </w:r>
                </w:p>
              </w:tc>
              <w:tc>
                <w:tcPr>
                  <w:tcW w:w="1560" w:type="dxa"/>
                  <w:vAlign w:val="center"/>
                </w:tcPr>
                <w:p w14:paraId="663B8DD0">
                  <w:pPr>
                    <w:pStyle w:val="42"/>
                  </w:pPr>
                  <w:r>
                    <w:rPr>
                      <w:rFonts w:hint="eastAsia"/>
                    </w:rPr>
                    <w:t>溶解性总固体</w:t>
                  </w:r>
                </w:p>
              </w:tc>
              <w:tc>
                <w:tcPr>
                  <w:tcW w:w="3543" w:type="dxa"/>
                  <w:vAlign w:val="center"/>
                </w:tcPr>
                <w:p w14:paraId="15BC55B5">
                  <w:pPr>
                    <w:pStyle w:val="42"/>
                  </w:pPr>
                  <w:r>
                    <w:rPr>
                      <w:rFonts w:hint="eastAsia"/>
                    </w:rPr>
                    <w:t>生活饮用水标准检验方法</w:t>
                  </w:r>
                  <w:r>
                    <w:t xml:space="preserve"> </w:t>
                  </w:r>
                  <w:r>
                    <w:rPr>
                      <w:rFonts w:hint="eastAsia"/>
                    </w:rPr>
                    <w:t>感官性状和物理指标（</w:t>
                  </w:r>
                  <w:r>
                    <w:t xml:space="preserve">8.1 </w:t>
                  </w:r>
                  <w:r>
                    <w:rPr>
                      <w:rFonts w:hint="eastAsia"/>
                    </w:rPr>
                    <w:t>溶解性总固体</w:t>
                  </w:r>
                  <w:r>
                    <w:t xml:space="preserve"> </w:t>
                  </w:r>
                  <w:r>
                    <w:rPr>
                      <w:rFonts w:hint="eastAsia"/>
                    </w:rPr>
                    <w:t>称量法）（</w:t>
                  </w:r>
                  <w:r>
                    <w:t>GB/T 5750.4-2006</w:t>
                  </w:r>
                  <w:r>
                    <w:rPr>
                      <w:rFonts w:hint="eastAsia"/>
                    </w:rPr>
                    <w:t>）</w:t>
                  </w:r>
                </w:p>
              </w:tc>
              <w:tc>
                <w:tcPr>
                  <w:tcW w:w="1276" w:type="dxa"/>
                  <w:vAlign w:val="center"/>
                </w:tcPr>
                <w:p w14:paraId="7530BEDE">
                  <w:pPr>
                    <w:pStyle w:val="42"/>
                  </w:pPr>
                  <w:r>
                    <w:t>4mg/L</w:t>
                  </w:r>
                </w:p>
              </w:tc>
              <w:tc>
                <w:tcPr>
                  <w:tcW w:w="907" w:type="dxa"/>
                  <w:vMerge w:val="continue"/>
                  <w:vAlign w:val="center"/>
                </w:tcPr>
                <w:p w14:paraId="6A173ABD">
                  <w:pPr>
                    <w:pStyle w:val="42"/>
                  </w:pPr>
                </w:p>
              </w:tc>
            </w:tr>
            <w:tr w14:paraId="0AC8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1E4558B">
                  <w:pPr>
                    <w:pStyle w:val="42"/>
                  </w:pPr>
                  <w:r>
                    <w:t>6</w:t>
                  </w:r>
                </w:p>
              </w:tc>
              <w:tc>
                <w:tcPr>
                  <w:tcW w:w="1560" w:type="dxa"/>
                  <w:vAlign w:val="center"/>
                </w:tcPr>
                <w:p w14:paraId="3FB2A643">
                  <w:pPr>
                    <w:pStyle w:val="42"/>
                  </w:pPr>
                  <w:r>
                    <w:rPr>
                      <w:rFonts w:hint="eastAsia"/>
                    </w:rPr>
                    <w:t>耗氧量</w:t>
                  </w:r>
                </w:p>
              </w:tc>
              <w:tc>
                <w:tcPr>
                  <w:tcW w:w="3543" w:type="dxa"/>
                  <w:vAlign w:val="center"/>
                </w:tcPr>
                <w:p w14:paraId="43A14057">
                  <w:pPr>
                    <w:pStyle w:val="42"/>
                  </w:pPr>
                  <w:r>
                    <w:rPr>
                      <w:rFonts w:hint="eastAsia"/>
                    </w:rPr>
                    <w:t>生活饮用水标准检验方法</w:t>
                  </w:r>
                  <w:r>
                    <w:t xml:space="preserve"> </w:t>
                  </w:r>
                  <w:r>
                    <w:rPr>
                      <w:rFonts w:hint="eastAsia"/>
                    </w:rPr>
                    <w:t>有机物综合指标（</w:t>
                  </w:r>
                  <w:r>
                    <w:t xml:space="preserve">1.1 </w:t>
                  </w:r>
                  <w:r>
                    <w:rPr>
                      <w:rFonts w:hint="eastAsia"/>
                    </w:rPr>
                    <w:t>酸性高锰酸钾滴定法）（</w:t>
                  </w:r>
                  <w:r>
                    <w:t>GB/T 5750.7-2006</w:t>
                  </w:r>
                  <w:r>
                    <w:rPr>
                      <w:rFonts w:hint="eastAsia"/>
                    </w:rPr>
                    <w:t>）</w:t>
                  </w:r>
                </w:p>
              </w:tc>
              <w:tc>
                <w:tcPr>
                  <w:tcW w:w="1276" w:type="dxa"/>
                  <w:vAlign w:val="center"/>
                </w:tcPr>
                <w:p w14:paraId="1C2E27F1">
                  <w:pPr>
                    <w:pStyle w:val="42"/>
                  </w:pPr>
                  <w:r>
                    <w:t>0.05mg/L</w:t>
                  </w:r>
                </w:p>
              </w:tc>
              <w:tc>
                <w:tcPr>
                  <w:tcW w:w="907" w:type="dxa"/>
                  <w:vMerge w:val="continue"/>
                  <w:vAlign w:val="center"/>
                </w:tcPr>
                <w:p w14:paraId="31BF1654">
                  <w:pPr>
                    <w:pStyle w:val="42"/>
                  </w:pPr>
                </w:p>
              </w:tc>
            </w:tr>
            <w:tr w14:paraId="6B5F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439DC8FE">
                  <w:pPr>
                    <w:pStyle w:val="42"/>
                  </w:pPr>
                  <w:r>
                    <w:t>7</w:t>
                  </w:r>
                </w:p>
              </w:tc>
              <w:tc>
                <w:tcPr>
                  <w:tcW w:w="1560" w:type="dxa"/>
                  <w:vAlign w:val="center"/>
                </w:tcPr>
                <w:p w14:paraId="173496E9">
                  <w:pPr>
                    <w:pStyle w:val="42"/>
                  </w:pPr>
                  <w:r>
                    <w:t>K</w:t>
                  </w:r>
                  <w:r>
                    <w:rPr>
                      <w:vertAlign w:val="superscript"/>
                    </w:rPr>
                    <w:t>+</w:t>
                  </w:r>
                </w:p>
              </w:tc>
              <w:tc>
                <w:tcPr>
                  <w:tcW w:w="3543" w:type="dxa"/>
                  <w:vMerge w:val="restart"/>
                  <w:vAlign w:val="center"/>
                </w:tcPr>
                <w:p w14:paraId="578E2BEE">
                  <w:pPr>
                    <w:pStyle w:val="42"/>
                  </w:pPr>
                  <w:r>
                    <w:rPr>
                      <w:rFonts w:hint="eastAsia"/>
                    </w:rPr>
                    <w:t>水质</w:t>
                  </w:r>
                  <w:r>
                    <w:t xml:space="preserve"> </w:t>
                  </w:r>
                  <w:r>
                    <w:rPr>
                      <w:rFonts w:hint="eastAsia"/>
                    </w:rPr>
                    <w:t>可溶性阳离子（</w:t>
                  </w:r>
                  <w:r>
                    <w:t>Li</w:t>
                  </w:r>
                  <w:r>
                    <w:rPr>
                      <w:vertAlign w:val="superscript"/>
                    </w:rPr>
                    <w:t>+</w:t>
                  </w:r>
                  <w:r>
                    <w:rPr>
                      <w:rFonts w:hint="eastAsia"/>
                    </w:rPr>
                    <w:t>、</w:t>
                  </w:r>
                  <w:r>
                    <w:t>Na</w:t>
                  </w:r>
                  <w:r>
                    <w:rPr>
                      <w:vertAlign w:val="superscript"/>
                    </w:rPr>
                    <w:t>+</w:t>
                  </w:r>
                  <w:r>
                    <w:rPr>
                      <w:rFonts w:hint="eastAsia"/>
                    </w:rPr>
                    <w:t>、</w:t>
                  </w:r>
                  <w:r>
                    <w:t>NH</w:t>
                  </w:r>
                  <w:r>
                    <w:rPr>
                      <w:vertAlign w:val="subscript"/>
                    </w:rPr>
                    <w:t>4</w:t>
                  </w:r>
                  <w:r>
                    <w:rPr>
                      <w:vertAlign w:val="superscript"/>
                    </w:rPr>
                    <w:t>+</w:t>
                  </w:r>
                  <w:r>
                    <w:rPr>
                      <w:rFonts w:hint="eastAsia"/>
                    </w:rPr>
                    <w:t>、</w:t>
                  </w:r>
                  <w:r>
                    <w:t>K</w:t>
                  </w:r>
                  <w:r>
                    <w:rPr>
                      <w:vertAlign w:val="superscript"/>
                    </w:rPr>
                    <w:t>+</w:t>
                  </w:r>
                  <w:r>
                    <w:rPr>
                      <w:rFonts w:hint="eastAsia"/>
                    </w:rPr>
                    <w:t>、</w:t>
                  </w:r>
                  <w:r>
                    <w:t>Ca</w:t>
                  </w:r>
                  <w:r>
                    <w:rPr>
                      <w:vertAlign w:val="superscript"/>
                    </w:rPr>
                    <w:t>2+</w:t>
                  </w:r>
                  <w:r>
                    <w:rPr>
                      <w:rFonts w:hint="eastAsia"/>
                    </w:rPr>
                    <w:t>、</w:t>
                  </w:r>
                  <w:r>
                    <w:t>Mg</w:t>
                  </w:r>
                  <w:r>
                    <w:rPr>
                      <w:vertAlign w:val="superscript"/>
                    </w:rPr>
                    <w:t>2+</w:t>
                  </w:r>
                  <w:r>
                    <w:rPr>
                      <w:rFonts w:hint="eastAsia"/>
                    </w:rPr>
                    <w:t>）的测定</w:t>
                  </w:r>
                  <w:r>
                    <w:t xml:space="preserve"> </w:t>
                  </w:r>
                  <w:r>
                    <w:rPr>
                      <w:rFonts w:hint="eastAsia"/>
                    </w:rPr>
                    <w:t>离子色谱法（</w:t>
                  </w:r>
                  <w:r>
                    <w:t>HJ 812-2016</w:t>
                  </w:r>
                  <w:r>
                    <w:rPr>
                      <w:rFonts w:hint="eastAsia"/>
                    </w:rPr>
                    <w:t>）</w:t>
                  </w:r>
                </w:p>
              </w:tc>
              <w:tc>
                <w:tcPr>
                  <w:tcW w:w="1276" w:type="dxa"/>
                  <w:vAlign w:val="center"/>
                </w:tcPr>
                <w:p w14:paraId="043827A6">
                  <w:pPr>
                    <w:pStyle w:val="42"/>
                  </w:pPr>
                  <w:r>
                    <w:t>0.02mg/L</w:t>
                  </w:r>
                </w:p>
              </w:tc>
              <w:tc>
                <w:tcPr>
                  <w:tcW w:w="907" w:type="dxa"/>
                  <w:vMerge w:val="continue"/>
                  <w:vAlign w:val="center"/>
                </w:tcPr>
                <w:p w14:paraId="7955CB24">
                  <w:pPr>
                    <w:pStyle w:val="42"/>
                  </w:pPr>
                </w:p>
              </w:tc>
            </w:tr>
            <w:tr w14:paraId="3C86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3A9B3FF1">
                  <w:pPr>
                    <w:pStyle w:val="42"/>
                  </w:pPr>
                  <w:r>
                    <w:t>8</w:t>
                  </w:r>
                </w:p>
              </w:tc>
              <w:tc>
                <w:tcPr>
                  <w:tcW w:w="1560" w:type="dxa"/>
                  <w:vAlign w:val="center"/>
                </w:tcPr>
                <w:p w14:paraId="70F0C6E8">
                  <w:pPr>
                    <w:pStyle w:val="42"/>
                  </w:pPr>
                  <w:r>
                    <w:t>Na</w:t>
                  </w:r>
                  <w:r>
                    <w:rPr>
                      <w:vertAlign w:val="superscript"/>
                    </w:rPr>
                    <w:t>+</w:t>
                  </w:r>
                </w:p>
              </w:tc>
              <w:tc>
                <w:tcPr>
                  <w:tcW w:w="3543" w:type="dxa"/>
                  <w:vMerge w:val="continue"/>
                  <w:vAlign w:val="center"/>
                </w:tcPr>
                <w:p w14:paraId="600BA1A0">
                  <w:pPr>
                    <w:pStyle w:val="42"/>
                  </w:pPr>
                </w:p>
              </w:tc>
              <w:tc>
                <w:tcPr>
                  <w:tcW w:w="1276" w:type="dxa"/>
                  <w:vAlign w:val="center"/>
                </w:tcPr>
                <w:p w14:paraId="39444DF8">
                  <w:pPr>
                    <w:pStyle w:val="42"/>
                  </w:pPr>
                  <w:r>
                    <w:t>0.02mg/L</w:t>
                  </w:r>
                </w:p>
              </w:tc>
              <w:tc>
                <w:tcPr>
                  <w:tcW w:w="907" w:type="dxa"/>
                  <w:vMerge w:val="continue"/>
                  <w:vAlign w:val="center"/>
                </w:tcPr>
                <w:p w14:paraId="0C6FEA94">
                  <w:pPr>
                    <w:pStyle w:val="42"/>
                  </w:pPr>
                </w:p>
              </w:tc>
            </w:tr>
            <w:tr w14:paraId="56B0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F6C4051">
                  <w:pPr>
                    <w:pStyle w:val="42"/>
                  </w:pPr>
                  <w:r>
                    <w:t>9</w:t>
                  </w:r>
                </w:p>
              </w:tc>
              <w:tc>
                <w:tcPr>
                  <w:tcW w:w="1560" w:type="dxa"/>
                  <w:vAlign w:val="center"/>
                </w:tcPr>
                <w:p w14:paraId="16EC2298">
                  <w:pPr>
                    <w:pStyle w:val="42"/>
                  </w:pPr>
                  <w:r>
                    <w:t>Ca</w:t>
                  </w:r>
                  <w:r>
                    <w:rPr>
                      <w:vertAlign w:val="superscript"/>
                    </w:rPr>
                    <w:t>2+</w:t>
                  </w:r>
                </w:p>
              </w:tc>
              <w:tc>
                <w:tcPr>
                  <w:tcW w:w="3543" w:type="dxa"/>
                  <w:vMerge w:val="continue"/>
                  <w:vAlign w:val="center"/>
                </w:tcPr>
                <w:p w14:paraId="7BF7D969">
                  <w:pPr>
                    <w:pStyle w:val="42"/>
                  </w:pPr>
                </w:p>
              </w:tc>
              <w:tc>
                <w:tcPr>
                  <w:tcW w:w="1276" w:type="dxa"/>
                  <w:vAlign w:val="center"/>
                </w:tcPr>
                <w:p w14:paraId="6E5C9A30">
                  <w:pPr>
                    <w:pStyle w:val="42"/>
                  </w:pPr>
                  <w:r>
                    <w:t>0.03mg/L</w:t>
                  </w:r>
                </w:p>
              </w:tc>
              <w:tc>
                <w:tcPr>
                  <w:tcW w:w="907" w:type="dxa"/>
                  <w:vMerge w:val="continue"/>
                  <w:vAlign w:val="center"/>
                </w:tcPr>
                <w:p w14:paraId="719405D1">
                  <w:pPr>
                    <w:pStyle w:val="42"/>
                  </w:pPr>
                </w:p>
              </w:tc>
            </w:tr>
            <w:tr w14:paraId="0932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3B5ADC1A">
                  <w:pPr>
                    <w:pStyle w:val="42"/>
                  </w:pPr>
                  <w:r>
                    <w:t>10</w:t>
                  </w:r>
                </w:p>
              </w:tc>
              <w:tc>
                <w:tcPr>
                  <w:tcW w:w="1560" w:type="dxa"/>
                  <w:vAlign w:val="center"/>
                </w:tcPr>
                <w:p w14:paraId="27BAA6DE">
                  <w:pPr>
                    <w:pStyle w:val="42"/>
                  </w:pPr>
                  <w:r>
                    <w:t>Mg</w:t>
                  </w:r>
                  <w:r>
                    <w:rPr>
                      <w:vertAlign w:val="superscript"/>
                    </w:rPr>
                    <w:t>2+</w:t>
                  </w:r>
                </w:p>
              </w:tc>
              <w:tc>
                <w:tcPr>
                  <w:tcW w:w="3543" w:type="dxa"/>
                  <w:vMerge w:val="continue"/>
                  <w:vAlign w:val="center"/>
                </w:tcPr>
                <w:p w14:paraId="3EA048D2">
                  <w:pPr>
                    <w:pStyle w:val="42"/>
                  </w:pPr>
                </w:p>
              </w:tc>
              <w:tc>
                <w:tcPr>
                  <w:tcW w:w="1276" w:type="dxa"/>
                  <w:vAlign w:val="center"/>
                </w:tcPr>
                <w:p w14:paraId="261686A5">
                  <w:pPr>
                    <w:pStyle w:val="42"/>
                  </w:pPr>
                  <w:r>
                    <w:t>0.02mg/L</w:t>
                  </w:r>
                </w:p>
              </w:tc>
              <w:tc>
                <w:tcPr>
                  <w:tcW w:w="907" w:type="dxa"/>
                  <w:vMerge w:val="continue"/>
                  <w:vAlign w:val="center"/>
                </w:tcPr>
                <w:p w14:paraId="49382010">
                  <w:pPr>
                    <w:pStyle w:val="42"/>
                  </w:pPr>
                </w:p>
              </w:tc>
            </w:tr>
            <w:tr w14:paraId="39D4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36" w:type="dxa"/>
                  <w:vAlign w:val="center"/>
                </w:tcPr>
                <w:p w14:paraId="0002B81C">
                  <w:pPr>
                    <w:pStyle w:val="42"/>
                  </w:pPr>
                  <w:r>
                    <w:t>11</w:t>
                  </w:r>
                </w:p>
              </w:tc>
              <w:tc>
                <w:tcPr>
                  <w:tcW w:w="1560" w:type="dxa"/>
                  <w:vAlign w:val="center"/>
                </w:tcPr>
                <w:p w14:paraId="035DC944">
                  <w:pPr>
                    <w:pStyle w:val="42"/>
                  </w:pPr>
                  <w:r>
                    <w:t>CO</w:t>
                  </w:r>
                  <w:r>
                    <w:rPr>
                      <w:vertAlign w:val="subscript"/>
                    </w:rPr>
                    <w:t>3</w:t>
                  </w:r>
                  <w:r>
                    <w:rPr>
                      <w:vertAlign w:val="superscript"/>
                    </w:rPr>
                    <w:t>2-</w:t>
                  </w:r>
                </w:p>
              </w:tc>
              <w:tc>
                <w:tcPr>
                  <w:tcW w:w="3543" w:type="dxa"/>
                  <w:vMerge w:val="restart"/>
                  <w:vAlign w:val="center"/>
                </w:tcPr>
                <w:p w14:paraId="3FFEE6EF">
                  <w:pPr>
                    <w:pStyle w:val="42"/>
                  </w:pPr>
                  <w:r>
                    <w:rPr>
                      <w:rFonts w:hint="eastAsia"/>
                    </w:rPr>
                    <w:t>碱度</w:t>
                  </w:r>
                  <w:r>
                    <w:t xml:space="preserve"> </w:t>
                  </w:r>
                  <w:r>
                    <w:rPr>
                      <w:rFonts w:hint="eastAsia"/>
                    </w:rPr>
                    <w:t>酸碱指示剂滴定法（</w:t>
                  </w:r>
                  <w:r>
                    <w:t>B</w:t>
                  </w:r>
                  <w:r>
                    <w:rPr>
                      <w:rFonts w:hint="eastAsia"/>
                    </w:rPr>
                    <w:t>）《水和废水监测分析方法》（第四版增补版）国家环境保护总局（</w:t>
                  </w:r>
                  <w:r>
                    <w:t>2002</w:t>
                  </w:r>
                  <w:r>
                    <w:rPr>
                      <w:rFonts w:hint="eastAsia"/>
                    </w:rPr>
                    <w:t>年）</w:t>
                  </w:r>
                </w:p>
              </w:tc>
              <w:tc>
                <w:tcPr>
                  <w:tcW w:w="1276" w:type="dxa"/>
                  <w:vAlign w:val="center"/>
                </w:tcPr>
                <w:p w14:paraId="30EE2D19">
                  <w:pPr>
                    <w:pStyle w:val="42"/>
                  </w:pPr>
                  <w:r>
                    <w:t>--</w:t>
                  </w:r>
                </w:p>
              </w:tc>
              <w:tc>
                <w:tcPr>
                  <w:tcW w:w="907" w:type="dxa"/>
                  <w:vMerge w:val="continue"/>
                  <w:vAlign w:val="center"/>
                </w:tcPr>
                <w:p w14:paraId="3C44E363">
                  <w:pPr>
                    <w:pStyle w:val="42"/>
                  </w:pPr>
                </w:p>
              </w:tc>
            </w:tr>
            <w:tr w14:paraId="725E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8497C63">
                  <w:pPr>
                    <w:pStyle w:val="42"/>
                  </w:pPr>
                  <w:r>
                    <w:t>12</w:t>
                  </w:r>
                </w:p>
              </w:tc>
              <w:tc>
                <w:tcPr>
                  <w:tcW w:w="1560" w:type="dxa"/>
                  <w:vAlign w:val="center"/>
                </w:tcPr>
                <w:p w14:paraId="56358DDF">
                  <w:pPr>
                    <w:pStyle w:val="42"/>
                  </w:pPr>
                  <w:r>
                    <w:t>HCO</w:t>
                  </w:r>
                  <w:r>
                    <w:rPr>
                      <w:vertAlign w:val="subscript"/>
                    </w:rPr>
                    <w:t>3</w:t>
                  </w:r>
                  <w:r>
                    <w:rPr>
                      <w:vertAlign w:val="superscript"/>
                    </w:rPr>
                    <w:t>-</w:t>
                  </w:r>
                </w:p>
              </w:tc>
              <w:tc>
                <w:tcPr>
                  <w:tcW w:w="3543" w:type="dxa"/>
                  <w:vMerge w:val="continue"/>
                  <w:vAlign w:val="center"/>
                </w:tcPr>
                <w:p w14:paraId="5F908EC8">
                  <w:pPr>
                    <w:pStyle w:val="42"/>
                  </w:pPr>
                </w:p>
              </w:tc>
              <w:tc>
                <w:tcPr>
                  <w:tcW w:w="1276" w:type="dxa"/>
                  <w:vAlign w:val="center"/>
                </w:tcPr>
                <w:p w14:paraId="47C288A4">
                  <w:pPr>
                    <w:pStyle w:val="42"/>
                  </w:pPr>
                  <w:r>
                    <w:t>--</w:t>
                  </w:r>
                </w:p>
              </w:tc>
              <w:tc>
                <w:tcPr>
                  <w:tcW w:w="907" w:type="dxa"/>
                  <w:vMerge w:val="continue"/>
                  <w:vAlign w:val="center"/>
                </w:tcPr>
                <w:p w14:paraId="0D00CA55">
                  <w:pPr>
                    <w:pStyle w:val="42"/>
                  </w:pPr>
                </w:p>
              </w:tc>
            </w:tr>
            <w:tr w14:paraId="26EE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3A2BE511">
                  <w:pPr>
                    <w:pStyle w:val="42"/>
                  </w:pPr>
                  <w:r>
                    <w:t>13</w:t>
                  </w:r>
                </w:p>
              </w:tc>
              <w:tc>
                <w:tcPr>
                  <w:tcW w:w="1560" w:type="dxa"/>
                  <w:vAlign w:val="center"/>
                </w:tcPr>
                <w:p w14:paraId="40FFA0C1">
                  <w:pPr>
                    <w:pStyle w:val="42"/>
                  </w:pPr>
                  <w:r>
                    <w:t>Cl</w:t>
                  </w:r>
                  <w:r>
                    <w:rPr>
                      <w:vertAlign w:val="superscript"/>
                    </w:rPr>
                    <w:t>-</w:t>
                  </w:r>
                </w:p>
              </w:tc>
              <w:tc>
                <w:tcPr>
                  <w:tcW w:w="3543" w:type="dxa"/>
                  <w:vMerge w:val="restart"/>
                  <w:vAlign w:val="center"/>
                </w:tcPr>
                <w:p w14:paraId="29C6F550">
                  <w:pPr>
                    <w:pStyle w:val="42"/>
                  </w:pPr>
                  <w:r>
                    <w:rPr>
                      <w:rFonts w:hint="eastAsia"/>
                    </w:rPr>
                    <w:t>水质</w:t>
                  </w:r>
                  <w:r>
                    <w:t xml:space="preserve"> </w:t>
                  </w:r>
                  <w:r>
                    <w:rPr>
                      <w:rFonts w:hint="eastAsia"/>
                    </w:rPr>
                    <w:t>无机阴离子（</w:t>
                  </w:r>
                  <w:r>
                    <w:t>F</w:t>
                  </w:r>
                  <w:r>
                    <w:rPr>
                      <w:vertAlign w:val="superscript"/>
                    </w:rPr>
                    <w:t>-</w:t>
                  </w:r>
                  <w:r>
                    <w:rPr>
                      <w:rFonts w:hint="eastAsia"/>
                    </w:rPr>
                    <w:t>、</w:t>
                  </w:r>
                  <w:r>
                    <w:t>Cl</w:t>
                  </w:r>
                  <w:r>
                    <w:rPr>
                      <w:vertAlign w:val="superscript"/>
                    </w:rPr>
                    <w:t>-</w:t>
                  </w:r>
                  <w:r>
                    <w:rPr>
                      <w:rFonts w:hint="eastAsia"/>
                    </w:rPr>
                    <w:t>、</w:t>
                  </w:r>
                  <w:r>
                    <w:t>NO</w:t>
                  </w:r>
                  <w:r>
                    <w:rPr>
                      <w:vertAlign w:val="subscript"/>
                    </w:rPr>
                    <w:t>2</w:t>
                  </w:r>
                  <w:r>
                    <w:rPr>
                      <w:vertAlign w:val="superscript"/>
                    </w:rPr>
                    <w:t>-</w:t>
                  </w:r>
                  <w:r>
                    <w:rPr>
                      <w:rFonts w:hint="eastAsia"/>
                    </w:rPr>
                    <w:t>、</w:t>
                  </w:r>
                  <w:r>
                    <w:t>Br</w:t>
                  </w:r>
                  <w:r>
                    <w:rPr>
                      <w:vertAlign w:val="superscript"/>
                    </w:rPr>
                    <w:t>-</w:t>
                  </w:r>
                  <w:r>
                    <w:rPr>
                      <w:rFonts w:hint="eastAsia"/>
                    </w:rPr>
                    <w:t>、</w:t>
                  </w:r>
                  <w:r>
                    <w:t>NO</w:t>
                  </w:r>
                  <w:r>
                    <w:rPr>
                      <w:vertAlign w:val="subscript"/>
                    </w:rPr>
                    <w:t>3</w:t>
                  </w:r>
                  <w:r>
                    <w:rPr>
                      <w:vertAlign w:val="superscript"/>
                    </w:rPr>
                    <w:t>-</w:t>
                  </w:r>
                  <w:r>
                    <w:rPr>
                      <w:rFonts w:hint="eastAsia"/>
                    </w:rPr>
                    <w:t>、</w:t>
                  </w:r>
                  <w:r>
                    <w:t>PO</w:t>
                  </w:r>
                  <w:r>
                    <w:rPr>
                      <w:vertAlign w:val="subscript"/>
                    </w:rPr>
                    <w:t>4</w:t>
                  </w:r>
                  <w:r>
                    <w:rPr>
                      <w:vertAlign w:val="superscript"/>
                    </w:rPr>
                    <w:t>3-</w:t>
                  </w:r>
                  <w:r>
                    <w:rPr>
                      <w:rFonts w:hint="eastAsia"/>
                    </w:rPr>
                    <w:t>、</w:t>
                  </w:r>
                  <w:r>
                    <w:t>SO</w:t>
                  </w:r>
                  <w:r>
                    <w:rPr>
                      <w:vertAlign w:val="subscript"/>
                    </w:rPr>
                    <w:t>3</w:t>
                  </w:r>
                  <w:r>
                    <w:rPr>
                      <w:vertAlign w:val="superscript"/>
                    </w:rPr>
                    <w:t>2-</w:t>
                  </w:r>
                  <w:r>
                    <w:rPr>
                      <w:rFonts w:hint="eastAsia"/>
                    </w:rPr>
                    <w:t>、</w:t>
                  </w:r>
                  <w:r>
                    <w:t>SO</w:t>
                  </w:r>
                  <w:r>
                    <w:rPr>
                      <w:vertAlign w:val="subscript"/>
                    </w:rPr>
                    <w:t>4</w:t>
                  </w:r>
                  <w:r>
                    <w:rPr>
                      <w:vertAlign w:val="superscript"/>
                    </w:rPr>
                    <w:t>2-</w:t>
                  </w:r>
                  <w:r>
                    <w:rPr>
                      <w:rFonts w:hint="eastAsia"/>
                    </w:rPr>
                    <w:t>）的测定</w:t>
                  </w:r>
                  <w:r>
                    <w:t xml:space="preserve"> </w:t>
                  </w:r>
                  <w:r>
                    <w:rPr>
                      <w:rFonts w:hint="eastAsia"/>
                    </w:rPr>
                    <w:t>离子色谱法</w:t>
                  </w:r>
                  <w:r>
                    <w:t>HJ 84-2016</w:t>
                  </w:r>
                </w:p>
              </w:tc>
              <w:tc>
                <w:tcPr>
                  <w:tcW w:w="1276" w:type="dxa"/>
                  <w:vAlign w:val="center"/>
                </w:tcPr>
                <w:p w14:paraId="50BDD8CD">
                  <w:pPr>
                    <w:pStyle w:val="42"/>
                  </w:pPr>
                  <w:r>
                    <w:t>0.007mg/L</w:t>
                  </w:r>
                </w:p>
              </w:tc>
              <w:tc>
                <w:tcPr>
                  <w:tcW w:w="907" w:type="dxa"/>
                  <w:vMerge w:val="continue"/>
                  <w:vAlign w:val="center"/>
                </w:tcPr>
                <w:p w14:paraId="1E33090A">
                  <w:pPr>
                    <w:pStyle w:val="42"/>
                  </w:pPr>
                </w:p>
              </w:tc>
            </w:tr>
            <w:tr w14:paraId="1044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987AD8C">
                  <w:pPr>
                    <w:pStyle w:val="42"/>
                  </w:pPr>
                  <w:r>
                    <w:t>14</w:t>
                  </w:r>
                </w:p>
              </w:tc>
              <w:tc>
                <w:tcPr>
                  <w:tcW w:w="1560" w:type="dxa"/>
                  <w:vAlign w:val="center"/>
                </w:tcPr>
                <w:p w14:paraId="55199BB7">
                  <w:pPr>
                    <w:pStyle w:val="42"/>
                  </w:pPr>
                  <w:r>
                    <w:t>SO</w:t>
                  </w:r>
                  <w:r>
                    <w:rPr>
                      <w:vertAlign w:val="subscript"/>
                    </w:rPr>
                    <w:t>4</w:t>
                  </w:r>
                  <w:r>
                    <w:rPr>
                      <w:vertAlign w:val="superscript"/>
                    </w:rPr>
                    <w:t>2-</w:t>
                  </w:r>
                </w:p>
              </w:tc>
              <w:tc>
                <w:tcPr>
                  <w:tcW w:w="3543" w:type="dxa"/>
                  <w:vMerge w:val="continue"/>
                  <w:vAlign w:val="center"/>
                </w:tcPr>
                <w:p w14:paraId="52779CBD">
                  <w:pPr>
                    <w:pStyle w:val="42"/>
                  </w:pPr>
                </w:p>
              </w:tc>
              <w:tc>
                <w:tcPr>
                  <w:tcW w:w="1276" w:type="dxa"/>
                  <w:vAlign w:val="center"/>
                </w:tcPr>
                <w:p w14:paraId="51C4CFA8">
                  <w:pPr>
                    <w:pStyle w:val="42"/>
                  </w:pPr>
                  <w:r>
                    <w:t>0.018mg/L</w:t>
                  </w:r>
                </w:p>
              </w:tc>
              <w:tc>
                <w:tcPr>
                  <w:tcW w:w="907" w:type="dxa"/>
                  <w:vMerge w:val="continue"/>
                  <w:vAlign w:val="center"/>
                </w:tcPr>
                <w:p w14:paraId="065F4770">
                  <w:pPr>
                    <w:pStyle w:val="42"/>
                  </w:pPr>
                </w:p>
              </w:tc>
            </w:tr>
            <w:tr w14:paraId="7B31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47C7E2D">
                  <w:pPr>
                    <w:pStyle w:val="42"/>
                  </w:pPr>
                  <w:r>
                    <w:t>15</w:t>
                  </w:r>
                </w:p>
              </w:tc>
              <w:tc>
                <w:tcPr>
                  <w:tcW w:w="1560" w:type="dxa"/>
                  <w:vAlign w:val="center"/>
                </w:tcPr>
                <w:p w14:paraId="570149A8">
                  <w:pPr>
                    <w:pStyle w:val="42"/>
                  </w:pPr>
                  <w:r>
                    <w:rPr>
                      <w:rFonts w:hint="eastAsia"/>
                    </w:rPr>
                    <w:t>硝酸盐氮</w:t>
                  </w:r>
                </w:p>
              </w:tc>
              <w:tc>
                <w:tcPr>
                  <w:tcW w:w="3543" w:type="dxa"/>
                  <w:vMerge w:val="continue"/>
                  <w:vAlign w:val="center"/>
                </w:tcPr>
                <w:p w14:paraId="67738C8B">
                  <w:pPr>
                    <w:pStyle w:val="42"/>
                  </w:pPr>
                </w:p>
              </w:tc>
              <w:tc>
                <w:tcPr>
                  <w:tcW w:w="1276" w:type="dxa"/>
                  <w:vAlign w:val="center"/>
                </w:tcPr>
                <w:p w14:paraId="56E39A85">
                  <w:pPr>
                    <w:pStyle w:val="42"/>
                  </w:pPr>
                  <w:r>
                    <w:t>0.016mg/L</w:t>
                  </w:r>
                </w:p>
              </w:tc>
              <w:tc>
                <w:tcPr>
                  <w:tcW w:w="907" w:type="dxa"/>
                  <w:vMerge w:val="continue"/>
                  <w:vAlign w:val="center"/>
                </w:tcPr>
                <w:p w14:paraId="74ABBAFA">
                  <w:pPr>
                    <w:pStyle w:val="42"/>
                  </w:pPr>
                </w:p>
              </w:tc>
            </w:tr>
            <w:tr w14:paraId="6F2C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1F7CB28">
                  <w:pPr>
                    <w:pStyle w:val="42"/>
                  </w:pPr>
                  <w:r>
                    <w:t>16</w:t>
                  </w:r>
                </w:p>
              </w:tc>
              <w:tc>
                <w:tcPr>
                  <w:tcW w:w="1560" w:type="dxa"/>
                  <w:vAlign w:val="center"/>
                </w:tcPr>
                <w:p w14:paraId="3A39708F">
                  <w:pPr>
                    <w:pStyle w:val="42"/>
                  </w:pPr>
                  <w:r>
                    <w:rPr>
                      <w:rFonts w:hint="eastAsia"/>
                    </w:rPr>
                    <w:t>亚硝酸盐氮</w:t>
                  </w:r>
                </w:p>
              </w:tc>
              <w:tc>
                <w:tcPr>
                  <w:tcW w:w="3543" w:type="dxa"/>
                  <w:vMerge w:val="continue"/>
                  <w:vAlign w:val="center"/>
                </w:tcPr>
                <w:p w14:paraId="489FEC2D">
                  <w:pPr>
                    <w:pStyle w:val="42"/>
                  </w:pPr>
                </w:p>
              </w:tc>
              <w:tc>
                <w:tcPr>
                  <w:tcW w:w="1276" w:type="dxa"/>
                  <w:vAlign w:val="center"/>
                </w:tcPr>
                <w:p w14:paraId="3A34461A">
                  <w:pPr>
                    <w:pStyle w:val="42"/>
                  </w:pPr>
                  <w:r>
                    <w:t>0.016mg/L</w:t>
                  </w:r>
                </w:p>
              </w:tc>
              <w:tc>
                <w:tcPr>
                  <w:tcW w:w="907" w:type="dxa"/>
                  <w:vMerge w:val="continue"/>
                  <w:vAlign w:val="center"/>
                </w:tcPr>
                <w:p w14:paraId="02721F6D">
                  <w:pPr>
                    <w:pStyle w:val="42"/>
                  </w:pPr>
                </w:p>
              </w:tc>
            </w:tr>
            <w:tr w14:paraId="3686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27D7A6C">
                  <w:pPr>
                    <w:pStyle w:val="42"/>
                  </w:pPr>
                  <w:r>
                    <w:t>17</w:t>
                  </w:r>
                </w:p>
              </w:tc>
              <w:tc>
                <w:tcPr>
                  <w:tcW w:w="1560" w:type="dxa"/>
                  <w:vAlign w:val="center"/>
                </w:tcPr>
                <w:p w14:paraId="72CE4797">
                  <w:pPr>
                    <w:pStyle w:val="42"/>
                  </w:pPr>
                  <w:r>
                    <w:t>pH</w:t>
                  </w:r>
                  <w:r>
                    <w:rPr>
                      <w:rFonts w:hint="eastAsia"/>
                    </w:rPr>
                    <w:t>值</w:t>
                  </w:r>
                </w:p>
              </w:tc>
              <w:tc>
                <w:tcPr>
                  <w:tcW w:w="3543" w:type="dxa"/>
                  <w:vAlign w:val="center"/>
                </w:tcPr>
                <w:p w14:paraId="6E9D5B32">
                  <w:pPr>
                    <w:pStyle w:val="42"/>
                  </w:pPr>
                  <w:r>
                    <w:t>pH</w:t>
                  </w:r>
                  <w:r>
                    <w:rPr>
                      <w:rFonts w:hint="eastAsia"/>
                    </w:rPr>
                    <w:t>值</w:t>
                  </w:r>
                  <w:r>
                    <w:t xml:space="preserve"> </w:t>
                  </w:r>
                  <w:r>
                    <w:rPr>
                      <w:rFonts w:hint="eastAsia"/>
                    </w:rPr>
                    <w:t>便携式</w:t>
                  </w:r>
                  <w:r>
                    <w:t>pH</w:t>
                  </w:r>
                  <w:r>
                    <w:rPr>
                      <w:rFonts w:hint="eastAsia"/>
                    </w:rPr>
                    <w:t>计法《水和废水监测分析方法》（第四版）</w:t>
                  </w:r>
                </w:p>
              </w:tc>
              <w:tc>
                <w:tcPr>
                  <w:tcW w:w="1276" w:type="dxa"/>
                  <w:vAlign w:val="center"/>
                </w:tcPr>
                <w:p w14:paraId="25C08A5F">
                  <w:pPr>
                    <w:pStyle w:val="42"/>
                  </w:pPr>
                  <w:r>
                    <w:t>0.01</w:t>
                  </w:r>
                  <w:r>
                    <w:rPr>
                      <w:rFonts w:hint="eastAsia"/>
                    </w:rPr>
                    <w:t>（无量纲）</w:t>
                  </w:r>
                </w:p>
              </w:tc>
              <w:tc>
                <w:tcPr>
                  <w:tcW w:w="907" w:type="dxa"/>
                  <w:vMerge w:val="restart"/>
                  <w:vAlign w:val="center"/>
                </w:tcPr>
                <w:p w14:paraId="66892611">
                  <w:pPr>
                    <w:pStyle w:val="42"/>
                  </w:pPr>
                  <w:r>
                    <w:t>U2</w:t>
                  </w:r>
                  <w:r>
                    <w:rPr>
                      <w:rFonts w:hint="eastAsia"/>
                    </w:rPr>
                    <w:t>点位</w:t>
                  </w:r>
                </w:p>
              </w:tc>
            </w:tr>
            <w:tr w14:paraId="27A4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8355037">
                  <w:pPr>
                    <w:pStyle w:val="42"/>
                  </w:pPr>
                  <w:r>
                    <w:t>18</w:t>
                  </w:r>
                </w:p>
              </w:tc>
              <w:tc>
                <w:tcPr>
                  <w:tcW w:w="1560" w:type="dxa"/>
                  <w:vAlign w:val="center"/>
                </w:tcPr>
                <w:p w14:paraId="105333E3">
                  <w:pPr>
                    <w:pStyle w:val="42"/>
                  </w:pPr>
                  <w:r>
                    <w:rPr>
                      <w:rFonts w:hint="eastAsia"/>
                    </w:rPr>
                    <w:t>总硬度</w:t>
                  </w:r>
                </w:p>
              </w:tc>
              <w:tc>
                <w:tcPr>
                  <w:tcW w:w="3543" w:type="dxa"/>
                  <w:vAlign w:val="center"/>
                </w:tcPr>
                <w:p w14:paraId="62FA4023">
                  <w:pPr>
                    <w:pStyle w:val="42"/>
                  </w:pPr>
                  <w:r>
                    <w:rPr>
                      <w:rFonts w:hint="eastAsia"/>
                    </w:rPr>
                    <w:t>水质</w:t>
                  </w:r>
                  <w:r>
                    <w:t xml:space="preserve"> </w:t>
                  </w:r>
                  <w:r>
                    <w:rPr>
                      <w:rFonts w:hint="eastAsia"/>
                    </w:rPr>
                    <w:t>钙和镁总量的测定</w:t>
                  </w:r>
                  <w:r>
                    <w:t xml:space="preserve"> EDTA</w:t>
                  </w:r>
                  <w:r>
                    <w:rPr>
                      <w:rFonts w:hint="eastAsia"/>
                    </w:rPr>
                    <w:t>滴定法</w:t>
                  </w:r>
                  <w:r>
                    <w:t>GB 7477-1987</w:t>
                  </w:r>
                </w:p>
              </w:tc>
              <w:tc>
                <w:tcPr>
                  <w:tcW w:w="1276" w:type="dxa"/>
                  <w:vAlign w:val="center"/>
                </w:tcPr>
                <w:p w14:paraId="357B7328">
                  <w:pPr>
                    <w:pStyle w:val="42"/>
                  </w:pPr>
                  <w:r>
                    <w:t>5mg/L</w:t>
                  </w:r>
                </w:p>
              </w:tc>
              <w:tc>
                <w:tcPr>
                  <w:tcW w:w="907" w:type="dxa"/>
                  <w:vMerge w:val="continue"/>
                  <w:vAlign w:val="center"/>
                </w:tcPr>
                <w:p w14:paraId="5BFD8359">
                  <w:pPr>
                    <w:pStyle w:val="42"/>
                  </w:pPr>
                </w:p>
              </w:tc>
            </w:tr>
            <w:tr w14:paraId="6E1E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76A21E5A">
                  <w:pPr>
                    <w:pStyle w:val="42"/>
                  </w:pPr>
                  <w:r>
                    <w:t>19</w:t>
                  </w:r>
                </w:p>
              </w:tc>
              <w:tc>
                <w:tcPr>
                  <w:tcW w:w="1560" w:type="dxa"/>
                  <w:vAlign w:val="center"/>
                </w:tcPr>
                <w:p w14:paraId="4473649F">
                  <w:pPr>
                    <w:pStyle w:val="42"/>
                  </w:pPr>
                  <w:r>
                    <w:rPr>
                      <w:rFonts w:hint="eastAsia"/>
                    </w:rPr>
                    <w:t>溶解性总固体</w:t>
                  </w:r>
                </w:p>
              </w:tc>
              <w:tc>
                <w:tcPr>
                  <w:tcW w:w="3543" w:type="dxa"/>
                  <w:vAlign w:val="center"/>
                </w:tcPr>
                <w:p w14:paraId="19E80068">
                  <w:pPr>
                    <w:pStyle w:val="42"/>
                  </w:pPr>
                  <w:r>
                    <w:rPr>
                      <w:rFonts w:hint="eastAsia"/>
                    </w:rPr>
                    <w:t>生活饮用水标准检验方法</w:t>
                  </w:r>
                  <w:r>
                    <w:t xml:space="preserve"> </w:t>
                  </w:r>
                  <w:r>
                    <w:rPr>
                      <w:rFonts w:hint="eastAsia"/>
                    </w:rPr>
                    <w:t>感官性状和物理指标（</w:t>
                  </w:r>
                  <w:r>
                    <w:t>8.1</w:t>
                  </w:r>
                  <w:r>
                    <w:rPr>
                      <w:rFonts w:hint="eastAsia"/>
                    </w:rPr>
                    <w:t>溶解性总固体</w:t>
                  </w:r>
                  <w:r>
                    <w:t xml:space="preserve"> </w:t>
                  </w:r>
                  <w:r>
                    <w:rPr>
                      <w:rFonts w:hint="eastAsia"/>
                    </w:rPr>
                    <w:t>称重法）</w:t>
                  </w:r>
                  <w:r>
                    <w:t>GB/T 5750.4-2006</w:t>
                  </w:r>
                </w:p>
              </w:tc>
              <w:tc>
                <w:tcPr>
                  <w:tcW w:w="1276" w:type="dxa"/>
                  <w:vAlign w:val="center"/>
                </w:tcPr>
                <w:p w14:paraId="746444AF">
                  <w:pPr>
                    <w:pStyle w:val="42"/>
                  </w:pPr>
                  <w:r>
                    <w:t>---</w:t>
                  </w:r>
                </w:p>
              </w:tc>
              <w:tc>
                <w:tcPr>
                  <w:tcW w:w="907" w:type="dxa"/>
                  <w:vMerge w:val="continue"/>
                  <w:vAlign w:val="center"/>
                </w:tcPr>
                <w:p w14:paraId="45ABE28A">
                  <w:pPr>
                    <w:pStyle w:val="42"/>
                  </w:pPr>
                </w:p>
              </w:tc>
            </w:tr>
            <w:tr w14:paraId="61D0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597FD65">
                  <w:pPr>
                    <w:pStyle w:val="42"/>
                  </w:pPr>
                  <w:r>
                    <w:t>20</w:t>
                  </w:r>
                </w:p>
              </w:tc>
              <w:tc>
                <w:tcPr>
                  <w:tcW w:w="1560" w:type="dxa"/>
                  <w:vAlign w:val="center"/>
                </w:tcPr>
                <w:p w14:paraId="52E0C3F6">
                  <w:pPr>
                    <w:pStyle w:val="42"/>
                  </w:pPr>
                  <w:r>
                    <w:rPr>
                      <w:rFonts w:hint="eastAsia"/>
                    </w:rPr>
                    <w:t>硫酸盐</w:t>
                  </w:r>
                </w:p>
              </w:tc>
              <w:tc>
                <w:tcPr>
                  <w:tcW w:w="3543" w:type="dxa"/>
                  <w:vAlign w:val="center"/>
                </w:tcPr>
                <w:p w14:paraId="13CA9E05">
                  <w:pPr>
                    <w:pStyle w:val="42"/>
                  </w:pPr>
                  <w:r>
                    <w:rPr>
                      <w:rFonts w:hint="eastAsia"/>
                    </w:rPr>
                    <w:t>水质</w:t>
                  </w:r>
                  <w:r>
                    <w:t xml:space="preserve"> </w:t>
                  </w:r>
                  <w:r>
                    <w:rPr>
                      <w:rFonts w:hint="eastAsia"/>
                    </w:rPr>
                    <w:t>硫酸盐的测定</w:t>
                  </w:r>
                  <w:r>
                    <w:t xml:space="preserve"> </w:t>
                  </w:r>
                  <w:r>
                    <w:rPr>
                      <w:rFonts w:hint="eastAsia"/>
                    </w:rPr>
                    <w:t>铬酸钡分光光度法（试行）</w:t>
                  </w:r>
                  <w:r>
                    <w:t>HJ/T 342-2007</w:t>
                  </w:r>
                </w:p>
              </w:tc>
              <w:tc>
                <w:tcPr>
                  <w:tcW w:w="1276" w:type="dxa"/>
                  <w:vAlign w:val="center"/>
                </w:tcPr>
                <w:p w14:paraId="5F1CDDA3">
                  <w:pPr>
                    <w:pStyle w:val="42"/>
                  </w:pPr>
                  <w:r>
                    <w:t>8mg/L</w:t>
                  </w:r>
                </w:p>
              </w:tc>
              <w:tc>
                <w:tcPr>
                  <w:tcW w:w="907" w:type="dxa"/>
                  <w:vMerge w:val="continue"/>
                  <w:vAlign w:val="center"/>
                </w:tcPr>
                <w:p w14:paraId="716F9C6A">
                  <w:pPr>
                    <w:pStyle w:val="42"/>
                  </w:pPr>
                </w:p>
              </w:tc>
            </w:tr>
            <w:tr w14:paraId="040C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79B3DE7">
                  <w:pPr>
                    <w:pStyle w:val="42"/>
                  </w:pPr>
                  <w:r>
                    <w:t>21</w:t>
                  </w:r>
                </w:p>
              </w:tc>
              <w:tc>
                <w:tcPr>
                  <w:tcW w:w="1560" w:type="dxa"/>
                  <w:vAlign w:val="center"/>
                </w:tcPr>
                <w:p w14:paraId="39A28D34">
                  <w:pPr>
                    <w:pStyle w:val="42"/>
                  </w:pPr>
                  <w:r>
                    <w:rPr>
                      <w:rFonts w:hint="eastAsia"/>
                    </w:rPr>
                    <w:t>氯化物</w:t>
                  </w:r>
                </w:p>
              </w:tc>
              <w:tc>
                <w:tcPr>
                  <w:tcW w:w="3543" w:type="dxa"/>
                  <w:vAlign w:val="center"/>
                </w:tcPr>
                <w:p w14:paraId="2C0FC5E7">
                  <w:pPr>
                    <w:pStyle w:val="42"/>
                  </w:pPr>
                  <w:r>
                    <w:rPr>
                      <w:rFonts w:hint="eastAsia"/>
                    </w:rPr>
                    <w:t>水质</w:t>
                  </w:r>
                  <w:r>
                    <w:t xml:space="preserve"> </w:t>
                  </w:r>
                  <w:r>
                    <w:rPr>
                      <w:rFonts w:hint="eastAsia"/>
                    </w:rPr>
                    <w:t>氯化物的测定</w:t>
                  </w:r>
                  <w:r>
                    <w:t xml:space="preserve"> </w:t>
                  </w:r>
                  <w:r>
                    <w:rPr>
                      <w:rFonts w:hint="eastAsia"/>
                    </w:rPr>
                    <w:t>硝酸银滴定法</w:t>
                  </w:r>
                  <w:r>
                    <w:t>GB 11896-1989</w:t>
                  </w:r>
                </w:p>
              </w:tc>
              <w:tc>
                <w:tcPr>
                  <w:tcW w:w="1276" w:type="dxa"/>
                  <w:vAlign w:val="center"/>
                </w:tcPr>
                <w:p w14:paraId="742809BA">
                  <w:pPr>
                    <w:pStyle w:val="42"/>
                  </w:pPr>
                  <w:r>
                    <w:t>10mg/L</w:t>
                  </w:r>
                </w:p>
              </w:tc>
              <w:tc>
                <w:tcPr>
                  <w:tcW w:w="907" w:type="dxa"/>
                  <w:vMerge w:val="continue"/>
                  <w:vAlign w:val="center"/>
                </w:tcPr>
                <w:p w14:paraId="3F0A2A78">
                  <w:pPr>
                    <w:pStyle w:val="42"/>
                  </w:pPr>
                </w:p>
              </w:tc>
            </w:tr>
            <w:tr w14:paraId="03DA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C95E9E5">
                  <w:pPr>
                    <w:pStyle w:val="42"/>
                  </w:pPr>
                  <w:r>
                    <w:t>22</w:t>
                  </w:r>
                </w:p>
              </w:tc>
              <w:tc>
                <w:tcPr>
                  <w:tcW w:w="1560" w:type="dxa"/>
                  <w:vAlign w:val="center"/>
                </w:tcPr>
                <w:p w14:paraId="7E3ADCC4">
                  <w:pPr>
                    <w:pStyle w:val="42"/>
                  </w:pPr>
                  <w:r>
                    <w:rPr>
                      <w:rFonts w:hint="eastAsia"/>
                    </w:rPr>
                    <w:t>耗氧量</w:t>
                  </w:r>
                </w:p>
              </w:tc>
              <w:tc>
                <w:tcPr>
                  <w:tcW w:w="3543" w:type="dxa"/>
                  <w:vAlign w:val="center"/>
                </w:tcPr>
                <w:p w14:paraId="33343E98">
                  <w:pPr>
                    <w:pStyle w:val="42"/>
                  </w:pPr>
                  <w:r>
                    <w:rPr>
                      <w:rFonts w:hint="eastAsia"/>
                    </w:rPr>
                    <w:t>生活饮用水标准检验方法</w:t>
                  </w:r>
                  <w:r>
                    <w:t xml:space="preserve"> </w:t>
                  </w:r>
                  <w:r>
                    <w:rPr>
                      <w:rFonts w:hint="eastAsia"/>
                    </w:rPr>
                    <w:t>有机物综合指标</w:t>
                  </w:r>
                  <w:r>
                    <w:t xml:space="preserve"> </w:t>
                  </w:r>
                  <w:r>
                    <w:rPr>
                      <w:rFonts w:hint="eastAsia"/>
                    </w:rPr>
                    <w:t>（</w:t>
                  </w:r>
                  <w:r>
                    <w:t>1.1</w:t>
                  </w:r>
                  <w:r>
                    <w:rPr>
                      <w:rFonts w:hint="eastAsia"/>
                    </w:rPr>
                    <w:t>酸性高锰酸钾滴定法）</w:t>
                  </w:r>
                  <w:r>
                    <w:t>GB/T 5750.7-2006</w:t>
                  </w:r>
                </w:p>
              </w:tc>
              <w:tc>
                <w:tcPr>
                  <w:tcW w:w="1276" w:type="dxa"/>
                  <w:vAlign w:val="center"/>
                </w:tcPr>
                <w:p w14:paraId="76521C91">
                  <w:pPr>
                    <w:pStyle w:val="42"/>
                  </w:pPr>
                  <w:r>
                    <w:t>0.05mg/L</w:t>
                  </w:r>
                </w:p>
              </w:tc>
              <w:tc>
                <w:tcPr>
                  <w:tcW w:w="907" w:type="dxa"/>
                  <w:vMerge w:val="continue"/>
                  <w:vAlign w:val="center"/>
                </w:tcPr>
                <w:p w14:paraId="471ECE3A">
                  <w:pPr>
                    <w:pStyle w:val="42"/>
                  </w:pPr>
                </w:p>
              </w:tc>
            </w:tr>
            <w:tr w14:paraId="3489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6BF29A3F">
                  <w:pPr>
                    <w:pStyle w:val="42"/>
                  </w:pPr>
                  <w:r>
                    <w:t>23</w:t>
                  </w:r>
                </w:p>
              </w:tc>
              <w:tc>
                <w:tcPr>
                  <w:tcW w:w="1560" w:type="dxa"/>
                  <w:vAlign w:val="center"/>
                </w:tcPr>
                <w:p w14:paraId="55144711">
                  <w:pPr>
                    <w:pStyle w:val="42"/>
                  </w:pPr>
                  <w:r>
                    <w:rPr>
                      <w:rFonts w:hint="eastAsia"/>
                    </w:rPr>
                    <w:t>氨氮</w:t>
                  </w:r>
                </w:p>
              </w:tc>
              <w:tc>
                <w:tcPr>
                  <w:tcW w:w="3543" w:type="dxa"/>
                  <w:vAlign w:val="center"/>
                </w:tcPr>
                <w:p w14:paraId="05F72B79">
                  <w:pPr>
                    <w:pStyle w:val="42"/>
                  </w:pPr>
                  <w:r>
                    <w:rPr>
                      <w:rFonts w:hint="eastAsia"/>
                    </w:rPr>
                    <w:t>水质</w:t>
                  </w:r>
                  <w:r>
                    <w:t xml:space="preserve"> </w:t>
                  </w:r>
                  <w:r>
                    <w:rPr>
                      <w:rFonts w:hint="eastAsia"/>
                    </w:rPr>
                    <w:t>氨氮的测定</w:t>
                  </w:r>
                  <w:r>
                    <w:t xml:space="preserve"> </w:t>
                  </w:r>
                  <w:r>
                    <w:rPr>
                      <w:rFonts w:hint="eastAsia"/>
                    </w:rPr>
                    <w:t>纳氏试剂分光光度法</w:t>
                  </w:r>
                  <w:r>
                    <w:t xml:space="preserve"> HJ 535-2009</w:t>
                  </w:r>
                </w:p>
              </w:tc>
              <w:tc>
                <w:tcPr>
                  <w:tcW w:w="1276" w:type="dxa"/>
                  <w:vAlign w:val="center"/>
                </w:tcPr>
                <w:p w14:paraId="764B81B1">
                  <w:pPr>
                    <w:pStyle w:val="42"/>
                  </w:pPr>
                  <w:r>
                    <w:t>0.025mg/L</w:t>
                  </w:r>
                </w:p>
              </w:tc>
              <w:tc>
                <w:tcPr>
                  <w:tcW w:w="907" w:type="dxa"/>
                  <w:vMerge w:val="continue"/>
                  <w:vAlign w:val="center"/>
                </w:tcPr>
                <w:p w14:paraId="49BB611B">
                  <w:pPr>
                    <w:pStyle w:val="42"/>
                  </w:pPr>
                </w:p>
              </w:tc>
            </w:tr>
            <w:tr w14:paraId="3CA3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0BE08D88">
                  <w:pPr>
                    <w:pStyle w:val="42"/>
                  </w:pPr>
                  <w:r>
                    <w:t>24</w:t>
                  </w:r>
                </w:p>
              </w:tc>
              <w:tc>
                <w:tcPr>
                  <w:tcW w:w="1560" w:type="dxa"/>
                  <w:vAlign w:val="center"/>
                </w:tcPr>
                <w:p w14:paraId="40A25886">
                  <w:pPr>
                    <w:pStyle w:val="42"/>
                  </w:pPr>
                  <w:r>
                    <w:rPr>
                      <w:rFonts w:hint="eastAsia"/>
                    </w:rPr>
                    <w:t>硝酸盐</w:t>
                  </w:r>
                </w:p>
              </w:tc>
              <w:tc>
                <w:tcPr>
                  <w:tcW w:w="3543" w:type="dxa"/>
                  <w:vAlign w:val="center"/>
                </w:tcPr>
                <w:p w14:paraId="2F2AD669">
                  <w:pPr>
                    <w:pStyle w:val="42"/>
                  </w:pPr>
                  <w:r>
                    <w:rPr>
                      <w:rFonts w:hint="eastAsia"/>
                    </w:rPr>
                    <w:t>水质</w:t>
                  </w:r>
                  <w:r>
                    <w:t xml:space="preserve"> </w:t>
                  </w:r>
                  <w:r>
                    <w:rPr>
                      <w:rFonts w:hint="eastAsia"/>
                    </w:rPr>
                    <w:t>硝酸盐氮的测定</w:t>
                  </w:r>
                  <w:r>
                    <w:t xml:space="preserve"> </w:t>
                  </w:r>
                  <w:r>
                    <w:rPr>
                      <w:rFonts w:hint="eastAsia"/>
                    </w:rPr>
                    <w:t>紫外分光光度法（试行）</w:t>
                  </w:r>
                  <w:r>
                    <w:t xml:space="preserve"> HJ/T 346-2007</w:t>
                  </w:r>
                </w:p>
              </w:tc>
              <w:tc>
                <w:tcPr>
                  <w:tcW w:w="1276" w:type="dxa"/>
                  <w:vAlign w:val="center"/>
                </w:tcPr>
                <w:p w14:paraId="197049CC">
                  <w:pPr>
                    <w:pStyle w:val="42"/>
                  </w:pPr>
                  <w:r>
                    <w:t>0.08mg/L</w:t>
                  </w:r>
                </w:p>
              </w:tc>
              <w:tc>
                <w:tcPr>
                  <w:tcW w:w="907" w:type="dxa"/>
                  <w:vMerge w:val="continue"/>
                  <w:vAlign w:val="center"/>
                </w:tcPr>
                <w:p w14:paraId="03CBCDD0">
                  <w:pPr>
                    <w:pStyle w:val="42"/>
                  </w:pPr>
                </w:p>
              </w:tc>
            </w:tr>
            <w:tr w14:paraId="79CE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F2523F2">
                  <w:pPr>
                    <w:pStyle w:val="42"/>
                  </w:pPr>
                  <w:r>
                    <w:t>25</w:t>
                  </w:r>
                </w:p>
              </w:tc>
              <w:tc>
                <w:tcPr>
                  <w:tcW w:w="1560" w:type="dxa"/>
                  <w:vAlign w:val="center"/>
                </w:tcPr>
                <w:p w14:paraId="2EE0D940">
                  <w:pPr>
                    <w:pStyle w:val="42"/>
                  </w:pPr>
                  <w:r>
                    <w:rPr>
                      <w:rFonts w:hint="eastAsia"/>
                    </w:rPr>
                    <w:t>亚硝酸盐</w:t>
                  </w:r>
                </w:p>
              </w:tc>
              <w:tc>
                <w:tcPr>
                  <w:tcW w:w="3543" w:type="dxa"/>
                  <w:vAlign w:val="center"/>
                </w:tcPr>
                <w:p w14:paraId="02FB3A08">
                  <w:pPr>
                    <w:pStyle w:val="42"/>
                  </w:pPr>
                  <w:r>
                    <w:rPr>
                      <w:rFonts w:hint="eastAsia"/>
                    </w:rPr>
                    <w:t>水质</w:t>
                  </w:r>
                  <w:r>
                    <w:t xml:space="preserve"> </w:t>
                  </w:r>
                  <w:r>
                    <w:rPr>
                      <w:rFonts w:hint="eastAsia"/>
                    </w:rPr>
                    <w:t>亚硝酸盐氮的测定</w:t>
                  </w:r>
                  <w:r>
                    <w:t xml:space="preserve"> </w:t>
                  </w:r>
                  <w:r>
                    <w:rPr>
                      <w:rFonts w:hint="eastAsia"/>
                    </w:rPr>
                    <w:t>分光光度法</w:t>
                  </w:r>
                  <w:r>
                    <w:t>GB 7493-1987</w:t>
                  </w:r>
                </w:p>
              </w:tc>
              <w:tc>
                <w:tcPr>
                  <w:tcW w:w="1276" w:type="dxa"/>
                  <w:vAlign w:val="center"/>
                </w:tcPr>
                <w:p w14:paraId="7AEDE6D8">
                  <w:pPr>
                    <w:pStyle w:val="42"/>
                  </w:pPr>
                  <w:r>
                    <w:t>0.003mg/L</w:t>
                  </w:r>
                </w:p>
              </w:tc>
              <w:tc>
                <w:tcPr>
                  <w:tcW w:w="907" w:type="dxa"/>
                  <w:vMerge w:val="continue"/>
                  <w:vAlign w:val="center"/>
                </w:tcPr>
                <w:p w14:paraId="13BDF78B">
                  <w:pPr>
                    <w:pStyle w:val="42"/>
                  </w:pPr>
                </w:p>
              </w:tc>
            </w:tr>
            <w:tr w14:paraId="1FF9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7759AE3B">
                  <w:pPr>
                    <w:pStyle w:val="42"/>
                  </w:pPr>
                  <w:r>
                    <w:t>26</w:t>
                  </w:r>
                </w:p>
              </w:tc>
              <w:tc>
                <w:tcPr>
                  <w:tcW w:w="1560" w:type="dxa"/>
                  <w:vAlign w:val="center"/>
                </w:tcPr>
                <w:p w14:paraId="467E0ED6">
                  <w:pPr>
                    <w:pStyle w:val="42"/>
                  </w:pPr>
                  <w:r>
                    <w:rPr>
                      <w:rFonts w:hint="eastAsia"/>
                    </w:rPr>
                    <w:t>挥发酚</w:t>
                  </w:r>
                </w:p>
              </w:tc>
              <w:tc>
                <w:tcPr>
                  <w:tcW w:w="3543" w:type="dxa"/>
                  <w:vAlign w:val="center"/>
                </w:tcPr>
                <w:p w14:paraId="6D0BF5E4">
                  <w:pPr>
                    <w:pStyle w:val="42"/>
                  </w:pPr>
                  <w:r>
                    <w:rPr>
                      <w:rFonts w:hint="eastAsia"/>
                    </w:rPr>
                    <w:t>水质</w:t>
                  </w:r>
                  <w:r>
                    <w:t xml:space="preserve"> </w:t>
                  </w:r>
                  <w:r>
                    <w:rPr>
                      <w:rFonts w:hint="eastAsia"/>
                    </w:rPr>
                    <w:t>挥发酚的测定</w:t>
                  </w:r>
                  <w:r>
                    <w:t xml:space="preserve"> 4-</w:t>
                  </w:r>
                  <w:r>
                    <w:rPr>
                      <w:rFonts w:hint="eastAsia"/>
                    </w:rPr>
                    <w:t>氨基安替比林分光光度法</w:t>
                  </w:r>
                  <w:r>
                    <w:t xml:space="preserve"> HJ503-2009</w:t>
                  </w:r>
                </w:p>
              </w:tc>
              <w:tc>
                <w:tcPr>
                  <w:tcW w:w="1276" w:type="dxa"/>
                  <w:vAlign w:val="center"/>
                </w:tcPr>
                <w:p w14:paraId="7EE516F9">
                  <w:pPr>
                    <w:pStyle w:val="42"/>
                  </w:pPr>
                  <w:r>
                    <w:t>0.0003mg/L</w:t>
                  </w:r>
                </w:p>
              </w:tc>
              <w:tc>
                <w:tcPr>
                  <w:tcW w:w="907" w:type="dxa"/>
                  <w:vMerge w:val="continue"/>
                  <w:vAlign w:val="center"/>
                </w:tcPr>
                <w:p w14:paraId="35AF4512">
                  <w:pPr>
                    <w:pStyle w:val="42"/>
                  </w:pPr>
                </w:p>
              </w:tc>
            </w:tr>
            <w:tr w14:paraId="3356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4371026E">
                  <w:pPr>
                    <w:pStyle w:val="42"/>
                  </w:pPr>
                  <w:r>
                    <w:t>27</w:t>
                  </w:r>
                </w:p>
              </w:tc>
              <w:tc>
                <w:tcPr>
                  <w:tcW w:w="1560" w:type="dxa"/>
                  <w:vAlign w:val="center"/>
                </w:tcPr>
                <w:p w14:paraId="61771CD6">
                  <w:pPr>
                    <w:pStyle w:val="42"/>
                  </w:pPr>
                  <w:r>
                    <w:rPr>
                      <w:rFonts w:hint="eastAsia"/>
                    </w:rPr>
                    <w:t>钾</w:t>
                  </w:r>
                </w:p>
              </w:tc>
              <w:tc>
                <w:tcPr>
                  <w:tcW w:w="3543" w:type="dxa"/>
                  <w:vMerge w:val="restart"/>
                  <w:vAlign w:val="center"/>
                </w:tcPr>
                <w:p w14:paraId="319A26A5">
                  <w:pPr>
                    <w:pStyle w:val="42"/>
                  </w:pPr>
                  <w:r>
                    <w:rPr>
                      <w:rFonts w:hint="eastAsia"/>
                    </w:rPr>
                    <w:t>水质</w:t>
                  </w:r>
                  <w:r>
                    <w:t xml:space="preserve"> </w:t>
                  </w:r>
                  <w:r>
                    <w:rPr>
                      <w:rFonts w:hint="eastAsia"/>
                    </w:rPr>
                    <w:t>钾和钠的测定</w:t>
                  </w:r>
                  <w:r>
                    <w:t xml:space="preserve"> </w:t>
                  </w:r>
                  <w:r>
                    <w:rPr>
                      <w:rFonts w:hint="eastAsia"/>
                    </w:rPr>
                    <w:t>火焰原子吸收分光光度法</w:t>
                  </w:r>
                  <w:r>
                    <w:t>GB11904-1989</w:t>
                  </w:r>
                </w:p>
              </w:tc>
              <w:tc>
                <w:tcPr>
                  <w:tcW w:w="1276" w:type="dxa"/>
                  <w:vAlign w:val="center"/>
                </w:tcPr>
                <w:p w14:paraId="01C946CF">
                  <w:pPr>
                    <w:pStyle w:val="42"/>
                  </w:pPr>
                  <w:r>
                    <w:t>0.05mg/L</w:t>
                  </w:r>
                </w:p>
              </w:tc>
              <w:tc>
                <w:tcPr>
                  <w:tcW w:w="907" w:type="dxa"/>
                  <w:vMerge w:val="continue"/>
                  <w:vAlign w:val="center"/>
                </w:tcPr>
                <w:p w14:paraId="21AE35E3">
                  <w:pPr>
                    <w:pStyle w:val="42"/>
                  </w:pPr>
                </w:p>
              </w:tc>
            </w:tr>
            <w:tr w14:paraId="3EB9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0807B284">
                  <w:pPr>
                    <w:pStyle w:val="42"/>
                  </w:pPr>
                  <w:r>
                    <w:t>28</w:t>
                  </w:r>
                </w:p>
              </w:tc>
              <w:tc>
                <w:tcPr>
                  <w:tcW w:w="1560" w:type="dxa"/>
                  <w:vAlign w:val="center"/>
                </w:tcPr>
                <w:p w14:paraId="2A583670">
                  <w:pPr>
                    <w:pStyle w:val="42"/>
                  </w:pPr>
                  <w:r>
                    <w:rPr>
                      <w:rFonts w:hint="eastAsia"/>
                    </w:rPr>
                    <w:t>钠</w:t>
                  </w:r>
                </w:p>
              </w:tc>
              <w:tc>
                <w:tcPr>
                  <w:tcW w:w="3543" w:type="dxa"/>
                  <w:vMerge w:val="continue"/>
                  <w:vAlign w:val="center"/>
                </w:tcPr>
                <w:p w14:paraId="152D4147">
                  <w:pPr>
                    <w:pStyle w:val="42"/>
                  </w:pPr>
                </w:p>
              </w:tc>
              <w:tc>
                <w:tcPr>
                  <w:tcW w:w="1276" w:type="dxa"/>
                  <w:vAlign w:val="center"/>
                </w:tcPr>
                <w:p w14:paraId="042E0B6D">
                  <w:pPr>
                    <w:pStyle w:val="42"/>
                  </w:pPr>
                  <w:r>
                    <w:t>0.01mg/L</w:t>
                  </w:r>
                </w:p>
              </w:tc>
              <w:tc>
                <w:tcPr>
                  <w:tcW w:w="907" w:type="dxa"/>
                  <w:vMerge w:val="continue"/>
                  <w:vAlign w:val="center"/>
                </w:tcPr>
                <w:p w14:paraId="757904C6">
                  <w:pPr>
                    <w:pStyle w:val="42"/>
                  </w:pPr>
                </w:p>
              </w:tc>
            </w:tr>
            <w:tr w14:paraId="14F6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DE4B7C0">
                  <w:pPr>
                    <w:pStyle w:val="42"/>
                  </w:pPr>
                  <w:r>
                    <w:t>29</w:t>
                  </w:r>
                </w:p>
              </w:tc>
              <w:tc>
                <w:tcPr>
                  <w:tcW w:w="1560" w:type="dxa"/>
                  <w:vAlign w:val="center"/>
                </w:tcPr>
                <w:p w14:paraId="2A6A32CB">
                  <w:pPr>
                    <w:pStyle w:val="42"/>
                  </w:pPr>
                  <w:r>
                    <w:rPr>
                      <w:rFonts w:hint="eastAsia"/>
                    </w:rPr>
                    <w:t>钙</w:t>
                  </w:r>
                </w:p>
              </w:tc>
              <w:tc>
                <w:tcPr>
                  <w:tcW w:w="3543" w:type="dxa"/>
                  <w:vMerge w:val="restart"/>
                  <w:vAlign w:val="center"/>
                </w:tcPr>
                <w:p w14:paraId="472B5AC1">
                  <w:pPr>
                    <w:pStyle w:val="42"/>
                  </w:pPr>
                  <w:r>
                    <w:rPr>
                      <w:rFonts w:hint="eastAsia"/>
                    </w:rPr>
                    <w:t>水质</w:t>
                  </w:r>
                  <w:r>
                    <w:t xml:space="preserve"> </w:t>
                  </w:r>
                  <w:r>
                    <w:rPr>
                      <w:rFonts w:hint="eastAsia"/>
                    </w:rPr>
                    <w:t>钙和镁的测定</w:t>
                  </w:r>
                  <w:r>
                    <w:t xml:space="preserve"> </w:t>
                  </w:r>
                  <w:r>
                    <w:rPr>
                      <w:rFonts w:hint="eastAsia"/>
                    </w:rPr>
                    <w:t>原子吸收分光光度法</w:t>
                  </w:r>
                  <w:r>
                    <w:t xml:space="preserve"> GB11905-1989</w:t>
                  </w:r>
                </w:p>
              </w:tc>
              <w:tc>
                <w:tcPr>
                  <w:tcW w:w="1276" w:type="dxa"/>
                  <w:vAlign w:val="center"/>
                </w:tcPr>
                <w:p w14:paraId="6545831D">
                  <w:pPr>
                    <w:pStyle w:val="42"/>
                  </w:pPr>
                  <w:r>
                    <w:t>0.02mg/L</w:t>
                  </w:r>
                </w:p>
              </w:tc>
              <w:tc>
                <w:tcPr>
                  <w:tcW w:w="907" w:type="dxa"/>
                  <w:vMerge w:val="continue"/>
                  <w:vAlign w:val="center"/>
                </w:tcPr>
                <w:p w14:paraId="36C3EA0B">
                  <w:pPr>
                    <w:pStyle w:val="42"/>
                  </w:pPr>
                </w:p>
              </w:tc>
            </w:tr>
            <w:tr w14:paraId="181D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4FC5E194">
                  <w:pPr>
                    <w:pStyle w:val="42"/>
                  </w:pPr>
                  <w:r>
                    <w:t>30</w:t>
                  </w:r>
                </w:p>
              </w:tc>
              <w:tc>
                <w:tcPr>
                  <w:tcW w:w="1560" w:type="dxa"/>
                  <w:vAlign w:val="center"/>
                </w:tcPr>
                <w:p w14:paraId="756BC2E1">
                  <w:pPr>
                    <w:pStyle w:val="42"/>
                  </w:pPr>
                  <w:r>
                    <w:rPr>
                      <w:rFonts w:hint="eastAsia"/>
                    </w:rPr>
                    <w:t>镁</w:t>
                  </w:r>
                </w:p>
              </w:tc>
              <w:tc>
                <w:tcPr>
                  <w:tcW w:w="3543" w:type="dxa"/>
                  <w:vMerge w:val="continue"/>
                  <w:vAlign w:val="center"/>
                </w:tcPr>
                <w:p w14:paraId="422022F5">
                  <w:pPr>
                    <w:pStyle w:val="42"/>
                  </w:pPr>
                </w:p>
              </w:tc>
              <w:tc>
                <w:tcPr>
                  <w:tcW w:w="1276" w:type="dxa"/>
                  <w:vAlign w:val="center"/>
                </w:tcPr>
                <w:p w14:paraId="65E9D629">
                  <w:pPr>
                    <w:pStyle w:val="42"/>
                  </w:pPr>
                  <w:r>
                    <w:t>0.002mg/L</w:t>
                  </w:r>
                </w:p>
              </w:tc>
              <w:tc>
                <w:tcPr>
                  <w:tcW w:w="907" w:type="dxa"/>
                  <w:vMerge w:val="continue"/>
                  <w:vAlign w:val="center"/>
                </w:tcPr>
                <w:p w14:paraId="56C9D5D5">
                  <w:pPr>
                    <w:pStyle w:val="42"/>
                  </w:pPr>
                </w:p>
              </w:tc>
            </w:tr>
            <w:tr w14:paraId="6D3D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34F919DB">
                  <w:pPr>
                    <w:pStyle w:val="42"/>
                  </w:pPr>
                  <w:r>
                    <w:t>31</w:t>
                  </w:r>
                </w:p>
              </w:tc>
              <w:tc>
                <w:tcPr>
                  <w:tcW w:w="1560" w:type="dxa"/>
                  <w:vAlign w:val="center"/>
                </w:tcPr>
                <w:p w14:paraId="5361BF33">
                  <w:pPr>
                    <w:pStyle w:val="42"/>
                  </w:pPr>
                  <w:r>
                    <w:rPr>
                      <w:rFonts w:hint="eastAsia"/>
                    </w:rPr>
                    <w:t>碳酸盐</w:t>
                  </w:r>
                </w:p>
              </w:tc>
              <w:tc>
                <w:tcPr>
                  <w:tcW w:w="3543" w:type="dxa"/>
                  <w:vMerge w:val="restart"/>
                  <w:vAlign w:val="center"/>
                </w:tcPr>
                <w:p w14:paraId="67F0DCCB">
                  <w:pPr>
                    <w:pStyle w:val="42"/>
                  </w:pPr>
                  <w:r>
                    <w:rPr>
                      <w:rFonts w:hint="eastAsia"/>
                    </w:rPr>
                    <w:t>碱度</w:t>
                  </w:r>
                  <w:r>
                    <w:t xml:space="preserve"> </w:t>
                  </w:r>
                  <w:r>
                    <w:rPr>
                      <w:rFonts w:hint="eastAsia"/>
                    </w:rPr>
                    <w:t>酸碱指示剂滴定法《水和废水监测分析方法》（第四版）国家环境保护总局（</w:t>
                  </w:r>
                  <w:r>
                    <w:t>2002</w:t>
                  </w:r>
                  <w:r>
                    <w:rPr>
                      <w:rFonts w:hint="eastAsia"/>
                    </w:rPr>
                    <w:t>年）</w:t>
                  </w:r>
                </w:p>
              </w:tc>
              <w:tc>
                <w:tcPr>
                  <w:tcW w:w="1276" w:type="dxa"/>
                  <w:vAlign w:val="center"/>
                </w:tcPr>
                <w:p w14:paraId="1E534CB6">
                  <w:pPr>
                    <w:pStyle w:val="42"/>
                  </w:pPr>
                  <w:r>
                    <w:t>---</w:t>
                  </w:r>
                </w:p>
              </w:tc>
              <w:tc>
                <w:tcPr>
                  <w:tcW w:w="907" w:type="dxa"/>
                  <w:vMerge w:val="continue"/>
                  <w:vAlign w:val="center"/>
                </w:tcPr>
                <w:p w14:paraId="7CB2AA58">
                  <w:pPr>
                    <w:pStyle w:val="42"/>
                  </w:pPr>
                </w:p>
              </w:tc>
            </w:tr>
            <w:tr w14:paraId="5F09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7D15CD01">
                  <w:pPr>
                    <w:pStyle w:val="42"/>
                  </w:pPr>
                  <w:r>
                    <w:t>32</w:t>
                  </w:r>
                </w:p>
              </w:tc>
              <w:tc>
                <w:tcPr>
                  <w:tcW w:w="1560" w:type="dxa"/>
                  <w:vAlign w:val="center"/>
                </w:tcPr>
                <w:p w14:paraId="48668FAE">
                  <w:pPr>
                    <w:pStyle w:val="42"/>
                  </w:pPr>
                  <w:r>
                    <w:rPr>
                      <w:rFonts w:hint="eastAsia"/>
                    </w:rPr>
                    <w:t>重碳酸盐</w:t>
                  </w:r>
                </w:p>
              </w:tc>
              <w:tc>
                <w:tcPr>
                  <w:tcW w:w="3543" w:type="dxa"/>
                  <w:vMerge w:val="continue"/>
                  <w:vAlign w:val="center"/>
                </w:tcPr>
                <w:p w14:paraId="21A2EAD8">
                  <w:pPr>
                    <w:pStyle w:val="42"/>
                  </w:pPr>
                </w:p>
              </w:tc>
              <w:tc>
                <w:tcPr>
                  <w:tcW w:w="1276" w:type="dxa"/>
                  <w:vAlign w:val="center"/>
                </w:tcPr>
                <w:p w14:paraId="021811C7">
                  <w:pPr>
                    <w:pStyle w:val="42"/>
                  </w:pPr>
                  <w:r>
                    <w:t>---</w:t>
                  </w:r>
                </w:p>
              </w:tc>
              <w:tc>
                <w:tcPr>
                  <w:tcW w:w="907" w:type="dxa"/>
                  <w:vMerge w:val="continue"/>
                  <w:vAlign w:val="center"/>
                </w:tcPr>
                <w:p w14:paraId="706EA055">
                  <w:pPr>
                    <w:pStyle w:val="42"/>
                  </w:pPr>
                </w:p>
              </w:tc>
            </w:tr>
            <w:tr w14:paraId="13F1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90BB087">
                  <w:pPr>
                    <w:pStyle w:val="42"/>
                  </w:pPr>
                  <w:r>
                    <w:t>33</w:t>
                  </w:r>
                </w:p>
              </w:tc>
              <w:tc>
                <w:tcPr>
                  <w:tcW w:w="1560" w:type="dxa"/>
                  <w:vAlign w:val="center"/>
                </w:tcPr>
                <w:p w14:paraId="707FE7BB">
                  <w:pPr>
                    <w:pStyle w:val="42"/>
                  </w:pPr>
                  <w:r>
                    <w:rPr>
                      <w:rFonts w:hint="eastAsia"/>
                    </w:rPr>
                    <w:t>K</w:t>
                  </w:r>
                  <w:r>
                    <w:rPr>
                      <w:vertAlign w:val="superscript"/>
                    </w:rPr>
                    <w:t>+</w:t>
                  </w:r>
                </w:p>
              </w:tc>
              <w:tc>
                <w:tcPr>
                  <w:tcW w:w="3543" w:type="dxa"/>
                  <w:vMerge w:val="restart"/>
                  <w:vAlign w:val="center"/>
                </w:tcPr>
                <w:p w14:paraId="75E9F614">
                  <w:pPr>
                    <w:pStyle w:val="42"/>
                  </w:pPr>
                  <w:r>
                    <w:rPr>
                      <w:rFonts w:hint="eastAsia"/>
                    </w:rPr>
                    <w:t>水质 可溶性阳离子（Li</w:t>
                  </w:r>
                  <w:r>
                    <w:rPr>
                      <w:vertAlign w:val="superscript"/>
                    </w:rPr>
                    <w:t>+</w:t>
                  </w:r>
                  <w:r>
                    <w:rPr>
                      <w:rFonts w:hint="eastAsia"/>
                    </w:rPr>
                    <w:t>、Na</w:t>
                  </w:r>
                  <w:r>
                    <w:rPr>
                      <w:vertAlign w:val="superscript"/>
                    </w:rPr>
                    <w:t>+</w:t>
                  </w:r>
                  <w:r>
                    <w:rPr>
                      <w:rFonts w:hint="eastAsia"/>
                    </w:rPr>
                    <w:t>、NH</w:t>
                  </w:r>
                  <w:r>
                    <w:rPr>
                      <w:vertAlign w:val="subscript"/>
                    </w:rPr>
                    <w:t>4</w:t>
                  </w:r>
                  <w:r>
                    <w:rPr>
                      <w:vertAlign w:val="superscript"/>
                    </w:rPr>
                    <w:t>+</w:t>
                  </w:r>
                  <w:r>
                    <w:rPr>
                      <w:rFonts w:hint="eastAsia"/>
                    </w:rPr>
                    <w:t>、K</w:t>
                  </w:r>
                  <w:r>
                    <w:rPr>
                      <w:vertAlign w:val="superscript"/>
                    </w:rPr>
                    <w:t>+</w:t>
                  </w:r>
                  <w:r>
                    <w:rPr>
                      <w:rFonts w:hint="eastAsia"/>
                    </w:rPr>
                    <w:t>、Ca</w:t>
                  </w:r>
                  <w:r>
                    <w:rPr>
                      <w:vertAlign w:val="superscript"/>
                    </w:rPr>
                    <w:t>2+</w:t>
                  </w:r>
                  <w:r>
                    <w:rPr>
                      <w:rFonts w:hint="eastAsia"/>
                    </w:rPr>
                    <w:t>、Mg</w:t>
                  </w:r>
                  <w:r>
                    <w:rPr>
                      <w:vertAlign w:val="superscript"/>
                    </w:rPr>
                    <w:t>2+</w:t>
                  </w:r>
                  <w:r>
                    <w:rPr>
                      <w:rFonts w:hint="eastAsia"/>
                    </w:rPr>
                    <w:t>）的测定 离子色谱法 （HJ 812-2016）</w:t>
                  </w:r>
                </w:p>
              </w:tc>
              <w:tc>
                <w:tcPr>
                  <w:tcW w:w="1276" w:type="dxa"/>
                  <w:vAlign w:val="center"/>
                </w:tcPr>
                <w:p w14:paraId="2B9254ED">
                  <w:pPr>
                    <w:pStyle w:val="42"/>
                  </w:pPr>
                  <w:r>
                    <w:rPr>
                      <w:rFonts w:hint="eastAsia"/>
                    </w:rPr>
                    <w:t>0.02mg/L</w:t>
                  </w:r>
                </w:p>
              </w:tc>
              <w:tc>
                <w:tcPr>
                  <w:tcW w:w="907" w:type="dxa"/>
                  <w:vMerge w:val="restart"/>
                  <w:vAlign w:val="center"/>
                </w:tcPr>
                <w:p w14:paraId="27D0E516">
                  <w:pPr>
                    <w:pStyle w:val="42"/>
                  </w:pPr>
                  <w:r>
                    <w:rPr>
                      <w:rFonts w:hint="eastAsia"/>
                    </w:rPr>
                    <w:t>U3点位</w:t>
                  </w:r>
                </w:p>
              </w:tc>
            </w:tr>
            <w:tr w14:paraId="4C5E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94181B9">
                  <w:pPr>
                    <w:pStyle w:val="42"/>
                  </w:pPr>
                  <w:r>
                    <w:t>34</w:t>
                  </w:r>
                </w:p>
              </w:tc>
              <w:tc>
                <w:tcPr>
                  <w:tcW w:w="1560" w:type="dxa"/>
                  <w:vAlign w:val="center"/>
                </w:tcPr>
                <w:p w14:paraId="511A4DCE">
                  <w:pPr>
                    <w:pStyle w:val="42"/>
                  </w:pPr>
                  <w:r>
                    <w:t>Na</w:t>
                  </w:r>
                  <w:r>
                    <w:rPr>
                      <w:vertAlign w:val="superscript"/>
                    </w:rPr>
                    <w:t>+</w:t>
                  </w:r>
                </w:p>
              </w:tc>
              <w:tc>
                <w:tcPr>
                  <w:tcW w:w="3543" w:type="dxa"/>
                  <w:vMerge w:val="continue"/>
                  <w:vAlign w:val="center"/>
                </w:tcPr>
                <w:p w14:paraId="7927A921">
                  <w:pPr>
                    <w:pStyle w:val="42"/>
                  </w:pPr>
                </w:p>
              </w:tc>
              <w:tc>
                <w:tcPr>
                  <w:tcW w:w="1276" w:type="dxa"/>
                  <w:vAlign w:val="center"/>
                </w:tcPr>
                <w:p w14:paraId="01905A44">
                  <w:pPr>
                    <w:pStyle w:val="42"/>
                  </w:pPr>
                  <w:r>
                    <w:t>0.02mg/L</w:t>
                  </w:r>
                </w:p>
              </w:tc>
              <w:tc>
                <w:tcPr>
                  <w:tcW w:w="907" w:type="dxa"/>
                  <w:vMerge w:val="continue"/>
                  <w:vAlign w:val="center"/>
                </w:tcPr>
                <w:p w14:paraId="19E39F2C">
                  <w:pPr>
                    <w:pStyle w:val="42"/>
                  </w:pPr>
                </w:p>
              </w:tc>
            </w:tr>
            <w:tr w14:paraId="45EE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2B91B5F">
                  <w:pPr>
                    <w:pStyle w:val="42"/>
                  </w:pPr>
                  <w:r>
                    <w:t>35</w:t>
                  </w:r>
                </w:p>
              </w:tc>
              <w:tc>
                <w:tcPr>
                  <w:tcW w:w="1560" w:type="dxa"/>
                  <w:vAlign w:val="center"/>
                </w:tcPr>
                <w:p w14:paraId="225BEF05">
                  <w:pPr>
                    <w:pStyle w:val="42"/>
                  </w:pPr>
                  <w:r>
                    <w:t>Ca</w:t>
                  </w:r>
                  <w:r>
                    <w:rPr>
                      <w:vertAlign w:val="superscript"/>
                    </w:rPr>
                    <w:t>2+</w:t>
                  </w:r>
                </w:p>
              </w:tc>
              <w:tc>
                <w:tcPr>
                  <w:tcW w:w="3543" w:type="dxa"/>
                  <w:vMerge w:val="continue"/>
                  <w:vAlign w:val="center"/>
                </w:tcPr>
                <w:p w14:paraId="3BED4EAF">
                  <w:pPr>
                    <w:pStyle w:val="42"/>
                  </w:pPr>
                </w:p>
              </w:tc>
              <w:tc>
                <w:tcPr>
                  <w:tcW w:w="1276" w:type="dxa"/>
                  <w:vAlign w:val="center"/>
                </w:tcPr>
                <w:p w14:paraId="19F06E70">
                  <w:pPr>
                    <w:pStyle w:val="42"/>
                  </w:pPr>
                  <w:r>
                    <w:t>0.03mg/L</w:t>
                  </w:r>
                </w:p>
              </w:tc>
              <w:tc>
                <w:tcPr>
                  <w:tcW w:w="907" w:type="dxa"/>
                  <w:vMerge w:val="continue"/>
                  <w:vAlign w:val="center"/>
                </w:tcPr>
                <w:p w14:paraId="37C97084">
                  <w:pPr>
                    <w:pStyle w:val="42"/>
                  </w:pPr>
                </w:p>
              </w:tc>
            </w:tr>
            <w:tr w14:paraId="7358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1911841">
                  <w:pPr>
                    <w:pStyle w:val="42"/>
                  </w:pPr>
                  <w:r>
                    <w:t>36</w:t>
                  </w:r>
                </w:p>
              </w:tc>
              <w:tc>
                <w:tcPr>
                  <w:tcW w:w="1560" w:type="dxa"/>
                  <w:vAlign w:val="center"/>
                </w:tcPr>
                <w:p w14:paraId="165C61F6">
                  <w:pPr>
                    <w:pStyle w:val="42"/>
                  </w:pPr>
                  <w:r>
                    <w:t>Mg</w:t>
                  </w:r>
                  <w:r>
                    <w:rPr>
                      <w:vertAlign w:val="superscript"/>
                    </w:rPr>
                    <w:t>2+</w:t>
                  </w:r>
                </w:p>
              </w:tc>
              <w:tc>
                <w:tcPr>
                  <w:tcW w:w="3543" w:type="dxa"/>
                  <w:vMerge w:val="continue"/>
                  <w:vAlign w:val="center"/>
                </w:tcPr>
                <w:p w14:paraId="7126E6DE">
                  <w:pPr>
                    <w:pStyle w:val="42"/>
                  </w:pPr>
                </w:p>
              </w:tc>
              <w:tc>
                <w:tcPr>
                  <w:tcW w:w="1276" w:type="dxa"/>
                  <w:vAlign w:val="center"/>
                </w:tcPr>
                <w:p w14:paraId="7C73BDF1">
                  <w:pPr>
                    <w:pStyle w:val="42"/>
                  </w:pPr>
                  <w:r>
                    <w:t>0.02mg/L</w:t>
                  </w:r>
                </w:p>
              </w:tc>
              <w:tc>
                <w:tcPr>
                  <w:tcW w:w="907" w:type="dxa"/>
                  <w:vMerge w:val="continue"/>
                  <w:vAlign w:val="center"/>
                </w:tcPr>
                <w:p w14:paraId="7F4ACAF2">
                  <w:pPr>
                    <w:pStyle w:val="42"/>
                  </w:pPr>
                </w:p>
              </w:tc>
            </w:tr>
            <w:tr w14:paraId="5D7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AB0213C">
                  <w:pPr>
                    <w:pStyle w:val="42"/>
                  </w:pPr>
                  <w:r>
                    <w:rPr>
                      <w:rFonts w:hint="eastAsia"/>
                    </w:rPr>
                    <w:t>37</w:t>
                  </w:r>
                </w:p>
              </w:tc>
              <w:tc>
                <w:tcPr>
                  <w:tcW w:w="1560" w:type="dxa"/>
                  <w:vAlign w:val="center"/>
                </w:tcPr>
                <w:p w14:paraId="41F7BA90">
                  <w:pPr>
                    <w:pStyle w:val="42"/>
                  </w:pPr>
                  <w:r>
                    <w:rPr>
                      <w:rFonts w:hint="eastAsia"/>
                    </w:rPr>
                    <w:t>CO</w:t>
                  </w:r>
                  <w:r>
                    <w:rPr>
                      <w:vertAlign w:val="subscript"/>
                    </w:rPr>
                    <w:t>3</w:t>
                  </w:r>
                  <w:r>
                    <w:rPr>
                      <w:vertAlign w:val="superscript"/>
                    </w:rPr>
                    <w:t>2-</w:t>
                  </w:r>
                </w:p>
              </w:tc>
              <w:tc>
                <w:tcPr>
                  <w:tcW w:w="3543" w:type="dxa"/>
                  <w:vMerge w:val="restart"/>
                  <w:vAlign w:val="center"/>
                </w:tcPr>
                <w:p w14:paraId="57BCEFE4">
                  <w:pPr>
                    <w:pStyle w:val="42"/>
                  </w:pPr>
                  <w:r>
                    <w:rPr>
                      <w:rFonts w:hint="eastAsia"/>
                    </w:rPr>
                    <w:t>碱度 酸碱指示剂滴定法《水和废水监测分析方法》（第四版增补版）国家环境保护总局 （2002年）</w:t>
                  </w:r>
                </w:p>
              </w:tc>
              <w:tc>
                <w:tcPr>
                  <w:tcW w:w="1276" w:type="dxa"/>
                  <w:vAlign w:val="center"/>
                </w:tcPr>
                <w:p w14:paraId="064BE5E8">
                  <w:pPr>
                    <w:pStyle w:val="42"/>
                  </w:pPr>
                  <w:r>
                    <w:rPr>
                      <w:rFonts w:hint="eastAsia"/>
                    </w:rPr>
                    <w:t>/</w:t>
                  </w:r>
                </w:p>
              </w:tc>
              <w:tc>
                <w:tcPr>
                  <w:tcW w:w="907" w:type="dxa"/>
                  <w:vMerge w:val="continue"/>
                  <w:vAlign w:val="center"/>
                </w:tcPr>
                <w:p w14:paraId="28BFB439">
                  <w:pPr>
                    <w:pStyle w:val="42"/>
                  </w:pPr>
                </w:p>
              </w:tc>
            </w:tr>
            <w:tr w14:paraId="2967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6EBA9077">
                  <w:pPr>
                    <w:pStyle w:val="42"/>
                  </w:pPr>
                  <w:r>
                    <w:rPr>
                      <w:rFonts w:hint="eastAsia"/>
                    </w:rPr>
                    <w:t>38</w:t>
                  </w:r>
                </w:p>
              </w:tc>
              <w:tc>
                <w:tcPr>
                  <w:tcW w:w="1560" w:type="dxa"/>
                  <w:vAlign w:val="center"/>
                </w:tcPr>
                <w:p w14:paraId="0645066B">
                  <w:pPr>
                    <w:pStyle w:val="42"/>
                  </w:pPr>
                  <w:r>
                    <w:t>HCO</w:t>
                  </w:r>
                  <w:r>
                    <w:rPr>
                      <w:vertAlign w:val="subscript"/>
                    </w:rPr>
                    <w:t>3</w:t>
                  </w:r>
                  <w:r>
                    <w:rPr>
                      <w:vertAlign w:val="superscript"/>
                    </w:rPr>
                    <w:t>-</w:t>
                  </w:r>
                </w:p>
              </w:tc>
              <w:tc>
                <w:tcPr>
                  <w:tcW w:w="3543" w:type="dxa"/>
                  <w:vMerge w:val="continue"/>
                  <w:vAlign w:val="center"/>
                </w:tcPr>
                <w:p w14:paraId="2113DA9D">
                  <w:pPr>
                    <w:pStyle w:val="42"/>
                  </w:pPr>
                </w:p>
              </w:tc>
              <w:tc>
                <w:tcPr>
                  <w:tcW w:w="1276" w:type="dxa"/>
                  <w:vAlign w:val="center"/>
                </w:tcPr>
                <w:p w14:paraId="11B6852A">
                  <w:pPr>
                    <w:pStyle w:val="42"/>
                  </w:pPr>
                  <w:r>
                    <w:t>/</w:t>
                  </w:r>
                </w:p>
              </w:tc>
              <w:tc>
                <w:tcPr>
                  <w:tcW w:w="907" w:type="dxa"/>
                  <w:vMerge w:val="continue"/>
                  <w:vAlign w:val="center"/>
                </w:tcPr>
                <w:p w14:paraId="221F64B7">
                  <w:pPr>
                    <w:pStyle w:val="42"/>
                  </w:pPr>
                </w:p>
              </w:tc>
            </w:tr>
            <w:tr w14:paraId="6341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048FC4DF">
                  <w:pPr>
                    <w:pStyle w:val="42"/>
                  </w:pPr>
                  <w:r>
                    <w:rPr>
                      <w:rFonts w:hint="eastAsia"/>
                    </w:rPr>
                    <w:t>39</w:t>
                  </w:r>
                </w:p>
              </w:tc>
              <w:tc>
                <w:tcPr>
                  <w:tcW w:w="1560" w:type="dxa"/>
                  <w:vAlign w:val="center"/>
                </w:tcPr>
                <w:p w14:paraId="1A80630D">
                  <w:pPr>
                    <w:pStyle w:val="42"/>
                  </w:pPr>
                  <w:r>
                    <w:rPr>
                      <w:rFonts w:hint="eastAsia"/>
                    </w:rPr>
                    <w:t>Cl</w:t>
                  </w:r>
                  <w:r>
                    <w:rPr>
                      <w:vertAlign w:val="superscript"/>
                    </w:rPr>
                    <w:t>-</w:t>
                  </w:r>
                </w:p>
              </w:tc>
              <w:tc>
                <w:tcPr>
                  <w:tcW w:w="3543" w:type="dxa"/>
                  <w:vMerge w:val="restart"/>
                  <w:vAlign w:val="center"/>
                </w:tcPr>
                <w:p w14:paraId="4A649A80">
                  <w:pPr>
                    <w:pStyle w:val="42"/>
                  </w:pPr>
                  <w:r>
                    <w:rPr>
                      <w:rFonts w:hint="eastAsia"/>
                    </w:rPr>
                    <w:t>水质 无机阴离子（F</w:t>
                  </w:r>
                  <w:r>
                    <w:rPr>
                      <w:vertAlign w:val="superscript"/>
                    </w:rPr>
                    <w:t>-</w:t>
                  </w:r>
                  <w:r>
                    <w:rPr>
                      <w:rFonts w:hint="eastAsia"/>
                    </w:rPr>
                    <w:t>、Cl</w:t>
                  </w:r>
                  <w:r>
                    <w:rPr>
                      <w:vertAlign w:val="superscript"/>
                    </w:rPr>
                    <w:t>-</w:t>
                  </w:r>
                  <w:r>
                    <w:rPr>
                      <w:rFonts w:hint="eastAsia"/>
                    </w:rPr>
                    <w:t>、NO</w:t>
                  </w:r>
                  <w:r>
                    <w:rPr>
                      <w:vertAlign w:val="subscript"/>
                    </w:rPr>
                    <w:t>2</w:t>
                  </w:r>
                  <w:r>
                    <w:rPr>
                      <w:vertAlign w:val="superscript"/>
                    </w:rPr>
                    <w:t>-</w:t>
                  </w:r>
                  <w:r>
                    <w:rPr>
                      <w:rFonts w:hint="eastAsia"/>
                    </w:rPr>
                    <w:t>、Br</w:t>
                  </w:r>
                  <w:r>
                    <w:rPr>
                      <w:vertAlign w:val="superscript"/>
                    </w:rPr>
                    <w:t>-</w:t>
                  </w:r>
                  <w:r>
                    <w:rPr>
                      <w:rFonts w:hint="eastAsia"/>
                    </w:rPr>
                    <w:t>、NO</w:t>
                  </w:r>
                  <w:r>
                    <w:rPr>
                      <w:vertAlign w:val="subscript"/>
                    </w:rPr>
                    <w:t>3</w:t>
                  </w:r>
                  <w:r>
                    <w:rPr>
                      <w:vertAlign w:val="superscript"/>
                    </w:rPr>
                    <w:t>-</w:t>
                  </w:r>
                  <w:r>
                    <w:rPr>
                      <w:rFonts w:hint="eastAsia"/>
                    </w:rPr>
                    <w:t>、PO</w:t>
                  </w:r>
                  <w:r>
                    <w:rPr>
                      <w:vertAlign w:val="subscript"/>
                    </w:rPr>
                    <w:t>4</w:t>
                  </w:r>
                  <w:r>
                    <w:rPr>
                      <w:vertAlign w:val="superscript"/>
                    </w:rPr>
                    <w:t>3-</w:t>
                  </w:r>
                  <w:r>
                    <w:rPr>
                      <w:rFonts w:hint="eastAsia"/>
                    </w:rPr>
                    <w:t>、SO</w:t>
                  </w:r>
                  <w:r>
                    <w:rPr>
                      <w:vertAlign w:val="subscript"/>
                    </w:rPr>
                    <w:t>3</w:t>
                  </w:r>
                  <w:r>
                    <w:rPr>
                      <w:vertAlign w:val="superscript"/>
                    </w:rPr>
                    <w:t>2-</w:t>
                  </w:r>
                  <w:r>
                    <w:rPr>
                      <w:rFonts w:hint="eastAsia"/>
                    </w:rPr>
                    <w:t>、SO</w:t>
                  </w:r>
                  <w:r>
                    <w:rPr>
                      <w:vertAlign w:val="subscript"/>
                    </w:rPr>
                    <w:t>4</w:t>
                  </w:r>
                  <w:r>
                    <w:rPr>
                      <w:vertAlign w:val="superscript"/>
                    </w:rPr>
                    <w:t>2-</w:t>
                  </w:r>
                  <w:r>
                    <w:rPr>
                      <w:rFonts w:hint="eastAsia"/>
                    </w:rPr>
                    <w:t>）的测定 离子色谱法（HJ 84-2016）</w:t>
                  </w:r>
                </w:p>
              </w:tc>
              <w:tc>
                <w:tcPr>
                  <w:tcW w:w="1276" w:type="dxa"/>
                  <w:vAlign w:val="center"/>
                </w:tcPr>
                <w:p w14:paraId="108803DC">
                  <w:pPr>
                    <w:pStyle w:val="42"/>
                  </w:pPr>
                  <w:r>
                    <w:rPr>
                      <w:rFonts w:hint="eastAsia"/>
                    </w:rPr>
                    <w:t>0.007mg/L</w:t>
                  </w:r>
                </w:p>
              </w:tc>
              <w:tc>
                <w:tcPr>
                  <w:tcW w:w="907" w:type="dxa"/>
                  <w:vMerge w:val="continue"/>
                  <w:vAlign w:val="center"/>
                </w:tcPr>
                <w:p w14:paraId="4D08BCDA">
                  <w:pPr>
                    <w:pStyle w:val="42"/>
                  </w:pPr>
                </w:p>
              </w:tc>
            </w:tr>
            <w:tr w14:paraId="3CB6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70F9E10C">
                  <w:pPr>
                    <w:pStyle w:val="42"/>
                  </w:pPr>
                  <w:r>
                    <w:rPr>
                      <w:rFonts w:hint="eastAsia"/>
                    </w:rPr>
                    <w:t>40</w:t>
                  </w:r>
                </w:p>
              </w:tc>
              <w:tc>
                <w:tcPr>
                  <w:tcW w:w="1560" w:type="dxa"/>
                  <w:vAlign w:val="center"/>
                </w:tcPr>
                <w:p w14:paraId="3D3B8897">
                  <w:pPr>
                    <w:pStyle w:val="42"/>
                  </w:pPr>
                  <w:r>
                    <w:t>SO</w:t>
                  </w:r>
                  <w:r>
                    <w:rPr>
                      <w:vertAlign w:val="subscript"/>
                    </w:rPr>
                    <w:t>4</w:t>
                  </w:r>
                  <w:r>
                    <w:rPr>
                      <w:vertAlign w:val="superscript"/>
                    </w:rPr>
                    <w:t>2-</w:t>
                  </w:r>
                </w:p>
              </w:tc>
              <w:tc>
                <w:tcPr>
                  <w:tcW w:w="3543" w:type="dxa"/>
                  <w:vMerge w:val="continue"/>
                  <w:vAlign w:val="center"/>
                </w:tcPr>
                <w:p w14:paraId="2FF3CCD1">
                  <w:pPr>
                    <w:pStyle w:val="42"/>
                  </w:pPr>
                </w:p>
              </w:tc>
              <w:tc>
                <w:tcPr>
                  <w:tcW w:w="1276" w:type="dxa"/>
                  <w:vAlign w:val="center"/>
                </w:tcPr>
                <w:p w14:paraId="37053E1A">
                  <w:pPr>
                    <w:pStyle w:val="42"/>
                  </w:pPr>
                  <w:r>
                    <w:t>0.018mg/L</w:t>
                  </w:r>
                </w:p>
              </w:tc>
              <w:tc>
                <w:tcPr>
                  <w:tcW w:w="907" w:type="dxa"/>
                  <w:vMerge w:val="continue"/>
                  <w:vAlign w:val="center"/>
                </w:tcPr>
                <w:p w14:paraId="5F2C2C8E">
                  <w:pPr>
                    <w:pStyle w:val="42"/>
                  </w:pPr>
                </w:p>
              </w:tc>
            </w:tr>
            <w:tr w14:paraId="653E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36705846">
                  <w:pPr>
                    <w:pStyle w:val="42"/>
                  </w:pPr>
                  <w:r>
                    <w:rPr>
                      <w:rFonts w:hint="eastAsia"/>
                    </w:rPr>
                    <w:t>41</w:t>
                  </w:r>
                </w:p>
              </w:tc>
              <w:tc>
                <w:tcPr>
                  <w:tcW w:w="1560" w:type="dxa"/>
                  <w:vAlign w:val="center"/>
                </w:tcPr>
                <w:p w14:paraId="0EF73B1E">
                  <w:pPr>
                    <w:pStyle w:val="42"/>
                  </w:pPr>
                  <w:r>
                    <w:rPr>
                      <w:rFonts w:hint="eastAsia"/>
                    </w:rPr>
                    <w:t>硝酸盐</w:t>
                  </w:r>
                </w:p>
              </w:tc>
              <w:tc>
                <w:tcPr>
                  <w:tcW w:w="3543" w:type="dxa"/>
                  <w:vMerge w:val="continue"/>
                  <w:vAlign w:val="center"/>
                </w:tcPr>
                <w:p w14:paraId="3DA39E87">
                  <w:pPr>
                    <w:pStyle w:val="42"/>
                  </w:pPr>
                </w:p>
              </w:tc>
              <w:tc>
                <w:tcPr>
                  <w:tcW w:w="1276" w:type="dxa"/>
                  <w:vAlign w:val="center"/>
                </w:tcPr>
                <w:p w14:paraId="49057676">
                  <w:pPr>
                    <w:pStyle w:val="42"/>
                  </w:pPr>
                  <w:r>
                    <w:rPr>
                      <w:rFonts w:hint="eastAsia"/>
                    </w:rPr>
                    <w:t>0.016mg/L</w:t>
                  </w:r>
                </w:p>
              </w:tc>
              <w:tc>
                <w:tcPr>
                  <w:tcW w:w="907" w:type="dxa"/>
                  <w:vMerge w:val="continue"/>
                  <w:vAlign w:val="center"/>
                </w:tcPr>
                <w:p w14:paraId="719E6967">
                  <w:pPr>
                    <w:pStyle w:val="42"/>
                  </w:pPr>
                </w:p>
              </w:tc>
            </w:tr>
            <w:tr w14:paraId="0421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8F8B634">
                  <w:pPr>
                    <w:pStyle w:val="42"/>
                  </w:pPr>
                  <w:r>
                    <w:rPr>
                      <w:rFonts w:hint="eastAsia"/>
                    </w:rPr>
                    <w:t>42</w:t>
                  </w:r>
                </w:p>
              </w:tc>
              <w:tc>
                <w:tcPr>
                  <w:tcW w:w="1560" w:type="dxa"/>
                  <w:vAlign w:val="center"/>
                </w:tcPr>
                <w:p w14:paraId="6872AC2D">
                  <w:pPr>
                    <w:pStyle w:val="42"/>
                  </w:pPr>
                  <w:r>
                    <w:rPr>
                      <w:rFonts w:hint="eastAsia"/>
                    </w:rPr>
                    <w:t>亚硝酸盐</w:t>
                  </w:r>
                </w:p>
              </w:tc>
              <w:tc>
                <w:tcPr>
                  <w:tcW w:w="3543" w:type="dxa"/>
                  <w:vMerge w:val="continue"/>
                  <w:vAlign w:val="center"/>
                </w:tcPr>
                <w:p w14:paraId="12441889">
                  <w:pPr>
                    <w:pStyle w:val="42"/>
                  </w:pPr>
                </w:p>
              </w:tc>
              <w:tc>
                <w:tcPr>
                  <w:tcW w:w="1276" w:type="dxa"/>
                  <w:vAlign w:val="center"/>
                </w:tcPr>
                <w:p w14:paraId="596DFF9B">
                  <w:pPr>
                    <w:pStyle w:val="42"/>
                  </w:pPr>
                  <w:r>
                    <w:rPr>
                      <w:rFonts w:hint="eastAsia"/>
                    </w:rPr>
                    <w:t>0.016mg/L</w:t>
                  </w:r>
                </w:p>
              </w:tc>
              <w:tc>
                <w:tcPr>
                  <w:tcW w:w="907" w:type="dxa"/>
                  <w:vMerge w:val="continue"/>
                  <w:vAlign w:val="center"/>
                </w:tcPr>
                <w:p w14:paraId="6BF3D438">
                  <w:pPr>
                    <w:pStyle w:val="42"/>
                  </w:pPr>
                </w:p>
              </w:tc>
            </w:tr>
            <w:tr w14:paraId="6801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0C78E571">
                  <w:pPr>
                    <w:pStyle w:val="42"/>
                  </w:pPr>
                  <w:r>
                    <w:rPr>
                      <w:rFonts w:hint="eastAsia"/>
                    </w:rPr>
                    <w:t>43</w:t>
                  </w:r>
                </w:p>
              </w:tc>
              <w:tc>
                <w:tcPr>
                  <w:tcW w:w="1560" w:type="dxa"/>
                  <w:vAlign w:val="center"/>
                </w:tcPr>
                <w:p w14:paraId="1506CDC3">
                  <w:pPr>
                    <w:pStyle w:val="42"/>
                  </w:pPr>
                  <w:r>
                    <w:rPr>
                      <w:rFonts w:hint="eastAsia"/>
                    </w:rPr>
                    <w:t>pH值</w:t>
                  </w:r>
                </w:p>
              </w:tc>
              <w:tc>
                <w:tcPr>
                  <w:tcW w:w="3543" w:type="dxa"/>
                  <w:vAlign w:val="center"/>
                </w:tcPr>
                <w:p w14:paraId="41105DAC">
                  <w:pPr>
                    <w:pStyle w:val="42"/>
                  </w:pPr>
                  <w:r>
                    <w:rPr>
                      <w:rFonts w:hint="eastAsia"/>
                    </w:rPr>
                    <w:t>水质 pH值的测定 电极法（HJ 1147-2020）</w:t>
                  </w:r>
                </w:p>
              </w:tc>
              <w:tc>
                <w:tcPr>
                  <w:tcW w:w="1276" w:type="dxa"/>
                  <w:vAlign w:val="center"/>
                </w:tcPr>
                <w:p w14:paraId="2BE6734A">
                  <w:pPr>
                    <w:pStyle w:val="42"/>
                  </w:pPr>
                  <w:r>
                    <w:rPr>
                      <w:rFonts w:hint="eastAsia"/>
                    </w:rPr>
                    <w:t>/</w:t>
                  </w:r>
                </w:p>
              </w:tc>
              <w:tc>
                <w:tcPr>
                  <w:tcW w:w="907" w:type="dxa"/>
                  <w:vMerge w:val="continue"/>
                  <w:vAlign w:val="center"/>
                </w:tcPr>
                <w:p w14:paraId="42E1B5A0">
                  <w:pPr>
                    <w:pStyle w:val="42"/>
                  </w:pPr>
                </w:p>
              </w:tc>
            </w:tr>
            <w:tr w14:paraId="45F5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1E04CD31">
                  <w:pPr>
                    <w:pStyle w:val="42"/>
                  </w:pPr>
                  <w:r>
                    <w:rPr>
                      <w:rFonts w:hint="eastAsia"/>
                    </w:rPr>
                    <w:t>44</w:t>
                  </w:r>
                </w:p>
              </w:tc>
              <w:tc>
                <w:tcPr>
                  <w:tcW w:w="1560" w:type="dxa"/>
                  <w:vAlign w:val="center"/>
                </w:tcPr>
                <w:p w14:paraId="39409489">
                  <w:pPr>
                    <w:pStyle w:val="42"/>
                  </w:pPr>
                  <w:r>
                    <w:rPr>
                      <w:rFonts w:hint="eastAsia"/>
                    </w:rPr>
                    <w:t>氨氮</w:t>
                  </w:r>
                </w:p>
              </w:tc>
              <w:tc>
                <w:tcPr>
                  <w:tcW w:w="3543" w:type="dxa"/>
                  <w:vAlign w:val="center"/>
                </w:tcPr>
                <w:p w14:paraId="7D8F2D66">
                  <w:pPr>
                    <w:pStyle w:val="42"/>
                  </w:pPr>
                  <w:r>
                    <w:rPr>
                      <w:rFonts w:hint="eastAsia"/>
                    </w:rPr>
                    <w:t>水质 氨氮的测定 纳氏试剂分光光度法（HJ 535-2009）</w:t>
                  </w:r>
                </w:p>
              </w:tc>
              <w:tc>
                <w:tcPr>
                  <w:tcW w:w="1276" w:type="dxa"/>
                  <w:vAlign w:val="center"/>
                </w:tcPr>
                <w:p w14:paraId="78CD95E4">
                  <w:pPr>
                    <w:pStyle w:val="42"/>
                  </w:pPr>
                  <w:r>
                    <w:rPr>
                      <w:rFonts w:hint="eastAsia"/>
                    </w:rPr>
                    <w:t>0.025mg/L</w:t>
                  </w:r>
                </w:p>
              </w:tc>
              <w:tc>
                <w:tcPr>
                  <w:tcW w:w="907" w:type="dxa"/>
                  <w:vMerge w:val="continue"/>
                  <w:vAlign w:val="center"/>
                </w:tcPr>
                <w:p w14:paraId="01FC4524">
                  <w:pPr>
                    <w:pStyle w:val="42"/>
                  </w:pPr>
                </w:p>
              </w:tc>
            </w:tr>
            <w:tr w14:paraId="1F6D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69BAF916">
                  <w:pPr>
                    <w:pStyle w:val="42"/>
                  </w:pPr>
                  <w:r>
                    <w:rPr>
                      <w:rFonts w:hint="eastAsia"/>
                    </w:rPr>
                    <w:t>45</w:t>
                  </w:r>
                </w:p>
              </w:tc>
              <w:tc>
                <w:tcPr>
                  <w:tcW w:w="1560" w:type="dxa"/>
                  <w:vAlign w:val="center"/>
                </w:tcPr>
                <w:p w14:paraId="44F2A5FF">
                  <w:pPr>
                    <w:pStyle w:val="42"/>
                  </w:pPr>
                  <w:r>
                    <w:rPr>
                      <w:rFonts w:hint="eastAsia"/>
                    </w:rPr>
                    <w:t>挥发酚</w:t>
                  </w:r>
                </w:p>
              </w:tc>
              <w:tc>
                <w:tcPr>
                  <w:tcW w:w="3543" w:type="dxa"/>
                  <w:vAlign w:val="center"/>
                </w:tcPr>
                <w:p w14:paraId="2BD6FBC8">
                  <w:pPr>
                    <w:pStyle w:val="42"/>
                  </w:pPr>
                  <w:r>
                    <w:rPr>
                      <w:rFonts w:hint="eastAsia"/>
                    </w:rPr>
                    <w:t>水质 挥发酚的测定 4-氨基安替比林分光光度法（方法1萃取分光光度法）（HJ 503-2009）</w:t>
                  </w:r>
                </w:p>
              </w:tc>
              <w:tc>
                <w:tcPr>
                  <w:tcW w:w="1276" w:type="dxa"/>
                  <w:vAlign w:val="center"/>
                </w:tcPr>
                <w:p w14:paraId="718600D1">
                  <w:pPr>
                    <w:pStyle w:val="42"/>
                  </w:pPr>
                  <w:r>
                    <w:rPr>
                      <w:rFonts w:hint="eastAsia"/>
                    </w:rPr>
                    <w:t>0.0003mg/L</w:t>
                  </w:r>
                </w:p>
              </w:tc>
              <w:tc>
                <w:tcPr>
                  <w:tcW w:w="907" w:type="dxa"/>
                  <w:vMerge w:val="continue"/>
                  <w:vAlign w:val="center"/>
                </w:tcPr>
                <w:p w14:paraId="3CDA57F9">
                  <w:pPr>
                    <w:pStyle w:val="42"/>
                  </w:pPr>
                </w:p>
              </w:tc>
            </w:tr>
            <w:tr w14:paraId="6A8C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50F78920">
                  <w:pPr>
                    <w:pStyle w:val="42"/>
                  </w:pPr>
                  <w:r>
                    <w:rPr>
                      <w:rFonts w:hint="eastAsia"/>
                    </w:rPr>
                    <w:t>46</w:t>
                  </w:r>
                </w:p>
              </w:tc>
              <w:tc>
                <w:tcPr>
                  <w:tcW w:w="1560" w:type="dxa"/>
                  <w:vAlign w:val="center"/>
                </w:tcPr>
                <w:p w14:paraId="435477F4">
                  <w:pPr>
                    <w:pStyle w:val="42"/>
                  </w:pPr>
                  <w:r>
                    <w:rPr>
                      <w:rFonts w:hint="eastAsia"/>
                    </w:rPr>
                    <w:t>总硬度</w:t>
                  </w:r>
                </w:p>
              </w:tc>
              <w:tc>
                <w:tcPr>
                  <w:tcW w:w="3543" w:type="dxa"/>
                  <w:vAlign w:val="center"/>
                </w:tcPr>
                <w:p w14:paraId="1A8A91A0">
                  <w:pPr>
                    <w:pStyle w:val="42"/>
                  </w:pPr>
                  <w:r>
                    <w:rPr>
                      <w:rFonts w:hint="eastAsia"/>
                    </w:rPr>
                    <w:t>水质 钙和镁总量的测定 EDTA滴定法（GB 7477-87）</w:t>
                  </w:r>
                </w:p>
              </w:tc>
              <w:tc>
                <w:tcPr>
                  <w:tcW w:w="1276" w:type="dxa"/>
                  <w:vAlign w:val="center"/>
                </w:tcPr>
                <w:p w14:paraId="510173A0">
                  <w:pPr>
                    <w:pStyle w:val="42"/>
                  </w:pPr>
                  <w:r>
                    <w:rPr>
                      <w:rFonts w:hint="eastAsia"/>
                    </w:rPr>
                    <w:t>5mg/L</w:t>
                  </w:r>
                </w:p>
              </w:tc>
              <w:tc>
                <w:tcPr>
                  <w:tcW w:w="907" w:type="dxa"/>
                  <w:vMerge w:val="continue"/>
                  <w:vAlign w:val="center"/>
                </w:tcPr>
                <w:p w14:paraId="3FBDAC6C">
                  <w:pPr>
                    <w:pStyle w:val="42"/>
                  </w:pPr>
                </w:p>
              </w:tc>
            </w:tr>
            <w:tr w14:paraId="7317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2C7AF455">
                  <w:pPr>
                    <w:pStyle w:val="42"/>
                  </w:pPr>
                  <w:r>
                    <w:rPr>
                      <w:rFonts w:hint="eastAsia"/>
                    </w:rPr>
                    <w:t>47</w:t>
                  </w:r>
                </w:p>
              </w:tc>
              <w:tc>
                <w:tcPr>
                  <w:tcW w:w="1560" w:type="dxa"/>
                  <w:vAlign w:val="center"/>
                </w:tcPr>
                <w:p w14:paraId="03FC39AC">
                  <w:pPr>
                    <w:pStyle w:val="42"/>
                  </w:pPr>
                  <w:r>
                    <w:rPr>
                      <w:rFonts w:hint="eastAsia"/>
                    </w:rPr>
                    <w:t>溶解性总固体</w:t>
                  </w:r>
                </w:p>
              </w:tc>
              <w:tc>
                <w:tcPr>
                  <w:tcW w:w="3543" w:type="dxa"/>
                  <w:vAlign w:val="center"/>
                </w:tcPr>
                <w:p w14:paraId="7E3D3853">
                  <w:pPr>
                    <w:pStyle w:val="42"/>
                  </w:pPr>
                  <w:r>
                    <w:rPr>
                      <w:rFonts w:hint="eastAsia"/>
                    </w:rPr>
                    <w:t>生活饮用水标准检验方法 第4部分： 感官性状和物理指标（11.1称量法）（GB/T 5750.4-2023）</w:t>
                  </w:r>
                </w:p>
              </w:tc>
              <w:tc>
                <w:tcPr>
                  <w:tcW w:w="1276" w:type="dxa"/>
                  <w:vAlign w:val="center"/>
                </w:tcPr>
                <w:p w14:paraId="0DA6B4E0">
                  <w:pPr>
                    <w:pStyle w:val="42"/>
                  </w:pPr>
                  <w:r>
                    <w:rPr>
                      <w:rFonts w:hint="eastAsia"/>
                    </w:rPr>
                    <w:t>4mg/L</w:t>
                  </w:r>
                </w:p>
              </w:tc>
              <w:tc>
                <w:tcPr>
                  <w:tcW w:w="907" w:type="dxa"/>
                  <w:vMerge w:val="continue"/>
                  <w:vAlign w:val="center"/>
                </w:tcPr>
                <w:p w14:paraId="4F75BE6E">
                  <w:pPr>
                    <w:pStyle w:val="42"/>
                  </w:pPr>
                </w:p>
              </w:tc>
            </w:tr>
            <w:tr w14:paraId="7CF5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14:paraId="62BC328C">
                  <w:pPr>
                    <w:pStyle w:val="42"/>
                  </w:pPr>
                  <w:r>
                    <w:rPr>
                      <w:rFonts w:hint="eastAsia"/>
                    </w:rPr>
                    <w:t>48</w:t>
                  </w:r>
                </w:p>
              </w:tc>
              <w:tc>
                <w:tcPr>
                  <w:tcW w:w="1560" w:type="dxa"/>
                  <w:vAlign w:val="center"/>
                </w:tcPr>
                <w:p w14:paraId="68EC1254">
                  <w:pPr>
                    <w:pStyle w:val="42"/>
                  </w:pPr>
                  <w:r>
                    <w:rPr>
                      <w:rFonts w:hint="eastAsia"/>
                    </w:rPr>
                    <w:t>高锰酸盐指数（以O</w:t>
                  </w:r>
                  <w:r>
                    <w:rPr>
                      <w:vertAlign w:val="subscript"/>
                    </w:rPr>
                    <w:t>2</w:t>
                  </w:r>
                  <w:r>
                    <w:rPr>
                      <w:rFonts w:hint="eastAsia"/>
                    </w:rPr>
                    <w:t>计）</w:t>
                  </w:r>
                </w:p>
              </w:tc>
              <w:tc>
                <w:tcPr>
                  <w:tcW w:w="3543" w:type="dxa"/>
                  <w:vAlign w:val="center"/>
                </w:tcPr>
                <w:p w14:paraId="438808D1">
                  <w:pPr>
                    <w:pStyle w:val="42"/>
                  </w:pPr>
                  <w:r>
                    <w:rPr>
                      <w:rFonts w:hint="eastAsia"/>
                    </w:rPr>
                    <w:t>生活饮用水标准检验方法 第7部分： 有机物综合指标（4.1 酸性高锰酸钾滴定法）（GB/T 5750.7-2023）</w:t>
                  </w:r>
                </w:p>
              </w:tc>
              <w:tc>
                <w:tcPr>
                  <w:tcW w:w="1276" w:type="dxa"/>
                  <w:vAlign w:val="center"/>
                </w:tcPr>
                <w:p w14:paraId="54C70DC5">
                  <w:pPr>
                    <w:pStyle w:val="42"/>
                  </w:pPr>
                  <w:r>
                    <w:rPr>
                      <w:rFonts w:hint="eastAsia"/>
                    </w:rPr>
                    <w:t>0.05mg/L</w:t>
                  </w:r>
                </w:p>
              </w:tc>
              <w:tc>
                <w:tcPr>
                  <w:tcW w:w="907" w:type="dxa"/>
                  <w:vMerge w:val="continue"/>
                  <w:vAlign w:val="center"/>
                </w:tcPr>
                <w:p w14:paraId="73682238">
                  <w:pPr>
                    <w:pStyle w:val="42"/>
                  </w:pPr>
                </w:p>
              </w:tc>
            </w:tr>
            <w:tr w14:paraId="180E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2" w:type="dxa"/>
                  <w:gridSpan w:val="5"/>
                  <w:vAlign w:val="center"/>
                </w:tcPr>
                <w:p w14:paraId="7834AE47">
                  <w:pPr>
                    <w:pStyle w:val="42"/>
                    <w:jc w:val="both"/>
                  </w:pPr>
                  <w:r>
                    <w:rPr>
                      <w:rFonts w:hint="eastAsia"/>
                    </w:rPr>
                    <w:t>注：因不同点位部分因子的</w:t>
                  </w:r>
                  <w:r>
                    <w:rPr>
                      <w:rFonts w:hint="eastAsia"/>
                      <w:lang w:eastAsia="zh-CN"/>
                    </w:rPr>
                    <w:t>检测</w:t>
                  </w:r>
                  <w:r>
                    <w:rPr>
                      <w:rFonts w:hint="eastAsia"/>
                    </w:rPr>
                    <w:t>方法、检出限不相同，故将各个因子的检测方法及检出限按点位分别列出。</w:t>
                  </w:r>
                </w:p>
              </w:tc>
            </w:tr>
          </w:tbl>
          <w:p w14:paraId="0DB992C8">
            <w:pPr>
              <w:pStyle w:val="41"/>
              <w:ind w:firstLine="480"/>
            </w:pPr>
          </w:p>
          <w:p w14:paraId="2340C3FF">
            <w:pPr>
              <w:pStyle w:val="41"/>
              <w:ind w:firstLine="480"/>
            </w:pPr>
            <w:r>
              <w:rPr>
                <w:rFonts w:hint="eastAsia"/>
              </w:rPr>
              <w:t>（</w:t>
            </w:r>
            <w:r>
              <w:t>3</w:t>
            </w:r>
            <w:r>
              <w:rPr>
                <w:rFonts w:hint="eastAsia"/>
              </w:rPr>
              <w:t>）评价标准</w:t>
            </w:r>
          </w:p>
          <w:p w14:paraId="06ABD01A">
            <w:pPr>
              <w:pStyle w:val="41"/>
              <w:ind w:firstLine="480"/>
            </w:pPr>
            <w:r>
              <w:rPr>
                <w:rFonts w:hint="eastAsia"/>
              </w:rPr>
              <w:t>地下水环境质量现状按《地下水质量标准》（</w:t>
            </w:r>
            <w:r>
              <w:t>GB/T</w:t>
            </w:r>
            <w:r>
              <w:rPr>
                <w:rFonts w:hint="eastAsia"/>
              </w:rPr>
              <w:t xml:space="preserve"> </w:t>
            </w:r>
            <w:r>
              <w:t>14848-2017</w:t>
            </w:r>
            <w:r>
              <w:rPr>
                <w:rFonts w:hint="eastAsia"/>
              </w:rPr>
              <w:t>）</w:t>
            </w:r>
            <w:r>
              <w:t xml:space="preserve">III </w:t>
            </w:r>
            <w:r>
              <w:rPr>
                <w:rFonts w:hint="eastAsia"/>
              </w:rPr>
              <w:t>类标准进行评价，</w:t>
            </w:r>
            <w:r>
              <w:t>K</w:t>
            </w:r>
            <w:r>
              <w:rPr>
                <w:vertAlign w:val="superscript"/>
              </w:rPr>
              <w:t>+</w:t>
            </w:r>
            <w:r>
              <w:rPr>
                <w:rFonts w:hint="eastAsia"/>
              </w:rPr>
              <w:t>、</w:t>
            </w:r>
            <w:r>
              <w:t>Na</w:t>
            </w:r>
            <w:r>
              <w:rPr>
                <w:vertAlign w:val="superscript"/>
              </w:rPr>
              <w:t>+</w:t>
            </w:r>
            <w:r>
              <w:rPr>
                <w:rFonts w:hint="eastAsia"/>
              </w:rPr>
              <w:t>、</w:t>
            </w:r>
            <w:r>
              <w:t>Ca</w:t>
            </w:r>
            <w:r>
              <w:rPr>
                <w:vertAlign w:val="superscript"/>
              </w:rPr>
              <w:t>2+</w:t>
            </w:r>
            <w:r>
              <w:rPr>
                <w:rFonts w:hint="eastAsia"/>
              </w:rPr>
              <w:t>、</w:t>
            </w:r>
            <w:r>
              <w:t>Mg</w:t>
            </w:r>
            <w:r>
              <w:rPr>
                <w:vertAlign w:val="superscript"/>
              </w:rPr>
              <w:t>2+</w:t>
            </w:r>
            <w:r>
              <w:rPr>
                <w:rFonts w:hint="eastAsia"/>
              </w:rPr>
              <w:t>、</w:t>
            </w:r>
            <w:r>
              <w:t>CO</w:t>
            </w:r>
            <w:r>
              <w:rPr>
                <w:vertAlign w:val="subscript"/>
              </w:rPr>
              <w:t>3</w:t>
            </w:r>
            <w:r>
              <w:rPr>
                <w:vertAlign w:val="superscript"/>
              </w:rPr>
              <w:t>2-</w:t>
            </w:r>
            <w:r>
              <w:rPr>
                <w:rFonts w:hint="eastAsia"/>
              </w:rPr>
              <w:t>、</w:t>
            </w:r>
            <w:r>
              <w:t>HCO</w:t>
            </w:r>
            <w:r>
              <w:rPr>
                <w:vertAlign w:val="subscript"/>
              </w:rPr>
              <w:t>3</w:t>
            </w:r>
            <w:r>
              <w:rPr>
                <w:vertAlign w:val="superscript"/>
              </w:rPr>
              <w:t>-</w:t>
            </w:r>
            <w:r>
              <w:rPr>
                <w:rFonts w:hint="eastAsia"/>
              </w:rPr>
              <w:t>暂无现行的地下水环境质量标准限值，仅记录背景值，不进行评价。</w:t>
            </w:r>
          </w:p>
          <w:p w14:paraId="085B2D58">
            <w:pPr>
              <w:pStyle w:val="41"/>
              <w:ind w:firstLine="480"/>
            </w:pPr>
            <w:r>
              <w:rPr>
                <w:rFonts w:hint="eastAsia"/>
              </w:rPr>
              <w:t>（</w:t>
            </w:r>
            <w:r>
              <w:t>4</w:t>
            </w:r>
            <w:r>
              <w:rPr>
                <w:rFonts w:hint="eastAsia"/>
              </w:rPr>
              <w:t>）评价方法</w:t>
            </w:r>
          </w:p>
          <w:p w14:paraId="2CE74FC7">
            <w:pPr>
              <w:pStyle w:val="41"/>
              <w:ind w:firstLine="480"/>
            </w:pPr>
            <w:r>
              <w:rPr>
                <w:rFonts w:hint="eastAsia"/>
              </w:rPr>
              <w:t>单项评价采用标准指数法，即实测浓度值与评价标准限值之比。评价计算公式如下：</w:t>
            </w:r>
          </w:p>
          <w:p w14:paraId="40EC51B8">
            <w:pPr>
              <w:pStyle w:val="44"/>
            </w:pPr>
            <w:r>
              <w:t>Pi=Ci/Csi</w:t>
            </w:r>
          </w:p>
          <w:p w14:paraId="4507E42C">
            <w:pPr>
              <w:pStyle w:val="41"/>
              <w:ind w:firstLine="480"/>
            </w:pPr>
            <w:r>
              <w:rPr>
                <w:rFonts w:hint="eastAsia"/>
              </w:rPr>
              <w:t>式中：</w:t>
            </w:r>
          </w:p>
          <w:p w14:paraId="5AC94E24">
            <w:pPr>
              <w:pStyle w:val="41"/>
              <w:ind w:firstLine="480"/>
            </w:pPr>
            <w:r>
              <w:t>Pi</w:t>
            </w:r>
            <w:r>
              <w:rPr>
                <w:rFonts w:hint="eastAsia"/>
              </w:rPr>
              <w:t>——第</w:t>
            </w:r>
            <w:r>
              <w:t>i</w:t>
            </w:r>
            <w:r>
              <w:rPr>
                <w:rFonts w:hint="eastAsia"/>
              </w:rPr>
              <w:t>个水质因子的标准指数，无量纲；</w:t>
            </w:r>
          </w:p>
          <w:p w14:paraId="77C792F7">
            <w:pPr>
              <w:pStyle w:val="41"/>
              <w:ind w:firstLine="480"/>
            </w:pPr>
            <w:r>
              <w:t>Ci——</w:t>
            </w:r>
            <w:r>
              <w:rPr>
                <w:rFonts w:hint="eastAsia"/>
              </w:rPr>
              <w:t>第</w:t>
            </w:r>
            <w:r>
              <w:t>i</w:t>
            </w:r>
            <w:r>
              <w:rPr>
                <w:rFonts w:hint="eastAsia"/>
              </w:rPr>
              <w:t>个水质因子的监测浓度值，</w:t>
            </w:r>
            <w:r>
              <w:t>mg/L</w:t>
            </w:r>
            <w:r>
              <w:rPr>
                <w:rFonts w:hint="eastAsia"/>
              </w:rPr>
              <w:t>；</w:t>
            </w:r>
          </w:p>
          <w:p w14:paraId="3E5E1068">
            <w:pPr>
              <w:pStyle w:val="41"/>
              <w:ind w:firstLine="480"/>
            </w:pPr>
            <w:r>
              <w:t>Csi——</w:t>
            </w:r>
            <w:r>
              <w:rPr>
                <w:rFonts w:hint="eastAsia"/>
              </w:rPr>
              <w:t>第</w:t>
            </w:r>
            <w:r>
              <w:t xml:space="preserve">i </w:t>
            </w:r>
            <w:r>
              <w:rPr>
                <w:rFonts w:hint="eastAsia"/>
              </w:rPr>
              <w:t>水质因子的标准浓度值，</w:t>
            </w:r>
            <w:r>
              <w:t>mg/L</w:t>
            </w:r>
            <w:r>
              <w:rPr>
                <w:rFonts w:hint="eastAsia"/>
              </w:rPr>
              <w:t>。</w:t>
            </w:r>
          </w:p>
          <w:p w14:paraId="39A8373B">
            <w:pPr>
              <w:pStyle w:val="41"/>
              <w:ind w:firstLine="480"/>
            </w:pPr>
            <w:r>
              <w:t>pH</w:t>
            </w:r>
            <w:r>
              <w:rPr>
                <w:rFonts w:hint="eastAsia"/>
              </w:rPr>
              <w:t>值按以下公式计算和评价：</w:t>
            </w:r>
          </w:p>
          <w:p w14:paraId="055B96EC">
            <w:pPr>
              <w:pStyle w:val="44"/>
            </w:pPr>
            <w:r>
              <w:t>P</w:t>
            </w:r>
            <w:r>
              <w:rPr>
                <w:vertAlign w:val="subscript"/>
              </w:rPr>
              <w:t>pH</w:t>
            </w:r>
            <w:r>
              <w:t>=</w:t>
            </w:r>
            <w:r>
              <w:rPr>
                <w:rFonts w:hint="eastAsia"/>
              </w:rPr>
              <w:t>（</w:t>
            </w:r>
            <w:r>
              <w:t>7.0</w:t>
            </w:r>
            <w:r>
              <w:rPr>
                <w:rFonts w:hint="eastAsia"/>
              </w:rPr>
              <w:t>－</w:t>
            </w:r>
            <w:r>
              <w:t>pH</w:t>
            </w:r>
            <w:r>
              <w:rPr>
                <w:rFonts w:hint="eastAsia"/>
              </w:rPr>
              <w:t>）</w:t>
            </w:r>
            <w:r>
              <w:t>/</w:t>
            </w:r>
            <w:r>
              <w:rPr>
                <w:rFonts w:hint="eastAsia"/>
              </w:rPr>
              <w:t>（</w:t>
            </w:r>
            <w:r>
              <w:t>7.0</w:t>
            </w:r>
            <w:r>
              <w:rPr>
                <w:rFonts w:hint="eastAsia"/>
              </w:rPr>
              <w:t>－</w:t>
            </w:r>
            <w:r>
              <w:t>pH</w:t>
            </w:r>
            <w:r>
              <w:rPr>
                <w:vertAlign w:val="subscript"/>
              </w:rPr>
              <w:t>sd</w:t>
            </w:r>
            <w:r>
              <w:rPr>
                <w:rFonts w:hint="eastAsia"/>
              </w:rPr>
              <w:t>），</w:t>
            </w:r>
            <w:r>
              <w:t xml:space="preserve"> pH</w:t>
            </w:r>
            <w:r>
              <w:rPr>
                <w:rFonts w:hint="eastAsia"/>
              </w:rPr>
              <w:t>≤</w:t>
            </w:r>
            <w:r>
              <w:t xml:space="preserve">7 </w:t>
            </w:r>
            <w:r>
              <w:rPr>
                <w:rFonts w:hint="eastAsia"/>
              </w:rPr>
              <w:t>时</w:t>
            </w:r>
          </w:p>
          <w:p w14:paraId="25B98FF6">
            <w:pPr>
              <w:pStyle w:val="44"/>
            </w:pPr>
            <w:r>
              <w:t>P</w:t>
            </w:r>
            <w:r>
              <w:rPr>
                <w:vertAlign w:val="subscript"/>
              </w:rPr>
              <w:t>pH</w:t>
            </w:r>
            <w:r>
              <w:t>=</w:t>
            </w:r>
            <w:r>
              <w:rPr>
                <w:rFonts w:hint="eastAsia"/>
              </w:rPr>
              <w:t>（</w:t>
            </w:r>
            <w:r>
              <w:t>pH</w:t>
            </w:r>
            <w:r>
              <w:rPr>
                <w:rFonts w:hint="eastAsia"/>
              </w:rPr>
              <w:t>－</w:t>
            </w:r>
            <w:r>
              <w:t>7.0</w:t>
            </w:r>
            <w:r>
              <w:rPr>
                <w:rFonts w:hint="eastAsia"/>
              </w:rPr>
              <w:t>）</w:t>
            </w:r>
            <w:r>
              <w:t>/</w:t>
            </w:r>
            <w:r>
              <w:rPr>
                <w:rFonts w:hint="eastAsia"/>
              </w:rPr>
              <w:t>（</w:t>
            </w:r>
            <w:r>
              <w:t>pH</w:t>
            </w:r>
            <w:r>
              <w:rPr>
                <w:vertAlign w:val="subscript"/>
              </w:rPr>
              <w:t>su</w:t>
            </w:r>
            <w:r>
              <w:rPr>
                <w:rFonts w:hint="eastAsia"/>
              </w:rPr>
              <w:t>－</w:t>
            </w:r>
            <w:r>
              <w:t>7.0</w:t>
            </w:r>
            <w:r>
              <w:rPr>
                <w:rFonts w:hint="eastAsia"/>
              </w:rPr>
              <w:t>），</w:t>
            </w:r>
            <w:r>
              <w:t xml:space="preserve"> pH</w:t>
            </w:r>
            <w:r>
              <w:rPr>
                <w:rFonts w:hint="eastAsia"/>
              </w:rPr>
              <w:t>＞</w:t>
            </w:r>
            <w:r>
              <w:t xml:space="preserve">7 </w:t>
            </w:r>
            <w:r>
              <w:rPr>
                <w:rFonts w:hint="eastAsia"/>
              </w:rPr>
              <w:t>时</w:t>
            </w:r>
          </w:p>
          <w:p w14:paraId="5AD49AFF">
            <w:pPr>
              <w:pStyle w:val="41"/>
              <w:ind w:firstLine="480"/>
            </w:pPr>
            <w:r>
              <w:rPr>
                <w:rFonts w:hint="eastAsia"/>
              </w:rPr>
              <w:t>式中：</w:t>
            </w:r>
          </w:p>
          <w:p w14:paraId="294AFF2E">
            <w:pPr>
              <w:pStyle w:val="41"/>
              <w:ind w:firstLine="480"/>
            </w:pPr>
            <w:r>
              <w:t>P</w:t>
            </w:r>
            <w:r>
              <w:rPr>
                <w:vertAlign w:val="subscript"/>
              </w:rPr>
              <w:t>pH</w:t>
            </w:r>
            <w:r>
              <w:t>——pH</w:t>
            </w:r>
            <w:r>
              <w:rPr>
                <w:rFonts w:hint="eastAsia"/>
              </w:rPr>
              <w:t>的标准指数，无量纲；</w:t>
            </w:r>
          </w:p>
          <w:p w14:paraId="3D2C59AF">
            <w:pPr>
              <w:pStyle w:val="41"/>
              <w:ind w:firstLine="480"/>
            </w:pPr>
            <w:r>
              <w:t>pH——pH</w:t>
            </w:r>
            <w:r>
              <w:rPr>
                <w:rFonts w:hint="eastAsia"/>
              </w:rPr>
              <w:t>监测值；</w:t>
            </w:r>
          </w:p>
          <w:p w14:paraId="69795D79">
            <w:pPr>
              <w:pStyle w:val="41"/>
              <w:ind w:firstLine="480"/>
            </w:pPr>
            <w:r>
              <w:t>pH</w:t>
            </w:r>
            <w:r>
              <w:rPr>
                <w:vertAlign w:val="subscript"/>
              </w:rPr>
              <w:t>su</w:t>
            </w:r>
            <w:r>
              <w:t>——</w:t>
            </w:r>
            <w:r>
              <w:rPr>
                <w:rFonts w:hint="eastAsia"/>
              </w:rPr>
              <w:t>标准中</w:t>
            </w:r>
            <w:r>
              <w:t>pH</w:t>
            </w:r>
            <w:r>
              <w:rPr>
                <w:rFonts w:hint="eastAsia"/>
              </w:rPr>
              <w:t>的上限值；</w:t>
            </w:r>
          </w:p>
          <w:p w14:paraId="7003CF0F">
            <w:pPr>
              <w:pStyle w:val="41"/>
              <w:ind w:firstLine="480"/>
            </w:pPr>
            <w:r>
              <w:t>pH</w:t>
            </w:r>
            <w:r>
              <w:rPr>
                <w:vertAlign w:val="subscript"/>
              </w:rPr>
              <w:t>sd</w:t>
            </w:r>
            <w:r>
              <w:t>——</w:t>
            </w:r>
            <w:r>
              <w:rPr>
                <w:rFonts w:hint="eastAsia"/>
              </w:rPr>
              <w:t>标准中</w:t>
            </w:r>
            <w:r>
              <w:t>pH</w:t>
            </w:r>
            <w:r>
              <w:rPr>
                <w:rFonts w:hint="eastAsia"/>
              </w:rPr>
              <w:t>的下限值。</w:t>
            </w:r>
          </w:p>
          <w:p w14:paraId="5D2B6610">
            <w:pPr>
              <w:pStyle w:val="41"/>
              <w:ind w:firstLine="480"/>
            </w:pPr>
            <w:r>
              <w:rPr>
                <w:rFonts w:hint="eastAsia"/>
              </w:rPr>
              <w:t>水质参数的标准指数＞</w:t>
            </w:r>
            <w:r>
              <w:t>1</w:t>
            </w:r>
            <w:r>
              <w:rPr>
                <w:rFonts w:hint="eastAsia"/>
              </w:rPr>
              <w:t>，表明该水质参数超过了规定的水质标准限值，水质参数标准指数越大，说明水质参数超标越严重。</w:t>
            </w:r>
          </w:p>
          <w:p w14:paraId="64F75824">
            <w:pPr>
              <w:pStyle w:val="41"/>
              <w:ind w:firstLine="480" w:firstLineChars="0"/>
            </w:pPr>
            <w:r>
              <w:rPr>
                <w:rFonts w:hint="eastAsia"/>
              </w:rPr>
              <w:t>（</w:t>
            </w:r>
            <w:r>
              <w:t>5</w:t>
            </w:r>
            <w:r>
              <w:rPr>
                <w:rFonts w:hint="eastAsia"/>
              </w:rPr>
              <w:t>）评价结果</w:t>
            </w:r>
          </w:p>
          <w:p w14:paraId="7FFD3F3B">
            <w:pPr>
              <w:pStyle w:val="41"/>
              <w:numPr>
                <w:ilvl w:val="0"/>
                <w:numId w:val="7"/>
              </w:numPr>
              <w:spacing w:line="240" w:lineRule="auto"/>
              <w:ind w:firstLineChars="0"/>
              <w:jc w:val="center"/>
              <w:rPr>
                <w:b/>
                <w:bCs/>
                <w:sz w:val="21"/>
                <w:szCs w:val="21"/>
              </w:rPr>
            </w:pPr>
            <w:r>
              <w:rPr>
                <w:rFonts w:hint="eastAsia"/>
                <w:b/>
                <w:bCs/>
                <w:sz w:val="21"/>
                <w:szCs w:val="21"/>
              </w:rPr>
              <w:t>地下水环境质量现状调查与评价结果（单位：mg/L，标注除外）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04"/>
              <w:gridCol w:w="1604"/>
              <w:gridCol w:w="1605"/>
              <w:gridCol w:w="1605"/>
            </w:tblGrid>
            <w:tr w14:paraId="5ED1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8" w:type="dxa"/>
                  <w:gridSpan w:val="2"/>
                  <w:vMerge w:val="restart"/>
                  <w:vAlign w:val="center"/>
                </w:tcPr>
                <w:p w14:paraId="316FB8B0">
                  <w:pPr>
                    <w:pStyle w:val="42"/>
                    <w:rPr>
                      <w:b/>
                      <w:bCs/>
                    </w:rPr>
                  </w:pPr>
                  <w:r>
                    <w:rPr>
                      <w:rFonts w:hint="eastAsia"/>
                      <w:b/>
                      <w:bCs/>
                    </w:rPr>
                    <w:t>监测项目</w:t>
                  </w:r>
                </w:p>
              </w:tc>
              <w:tc>
                <w:tcPr>
                  <w:tcW w:w="4814" w:type="dxa"/>
                  <w:gridSpan w:val="3"/>
                  <w:vAlign w:val="center"/>
                </w:tcPr>
                <w:p w14:paraId="260D1453">
                  <w:pPr>
                    <w:pStyle w:val="42"/>
                    <w:rPr>
                      <w:b/>
                      <w:bCs/>
                    </w:rPr>
                  </w:pPr>
                  <w:r>
                    <w:rPr>
                      <w:rFonts w:hint="eastAsia"/>
                      <w:b/>
                      <w:bCs/>
                    </w:rPr>
                    <w:t>监测结果</w:t>
                  </w:r>
                </w:p>
              </w:tc>
            </w:tr>
            <w:tr w14:paraId="2AAF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08" w:type="dxa"/>
                  <w:gridSpan w:val="2"/>
                  <w:vMerge w:val="continue"/>
                  <w:vAlign w:val="center"/>
                </w:tcPr>
                <w:p w14:paraId="280A7D67">
                  <w:pPr>
                    <w:pStyle w:val="42"/>
                    <w:rPr>
                      <w:b/>
                      <w:bCs/>
                    </w:rPr>
                  </w:pPr>
                </w:p>
              </w:tc>
              <w:tc>
                <w:tcPr>
                  <w:tcW w:w="1604" w:type="dxa"/>
                  <w:vAlign w:val="center"/>
                </w:tcPr>
                <w:p w14:paraId="3579B362">
                  <w:pPr>
                    <w:pStyle w:val="42"/>
                    <w:rPr>
                      <w:b/>
                      <w:bCs/>
                    </w:rPr>
                  </w:pPr>
                  <w:r>
                    <w:rPr>
                      <w:b/>
                      <w:bCs/>
                    </w:rPr>
                    <w:t>U1</w:t>
                  </w:r>
                </w:p>
              </w:tc>
              <w:tc>
                <w:tcPr>
                  <w:tcW w:w="1605" w:type="dxa"/>
                  <w:vAlign w:val="center"/>
                </w:tcPr>
                <w:p w14:paraId="18E37DB6">
                  <w:pPr>
                    <w:pStyle w:val="42"/>
                    <w:rPr>
                      <w:b/>
                      <w:bCs/>
                    </w:rPr>
                  </w:pPr>
                  <w:r>
                    <w:rPr>
                      <w:b/>
                      <w:bCs/>
                    </w:rPr>
                    <w:t>U2</w:t>
                  </w:r>
                </w:p>
              </w:tc>
              <w:tc>
                <w:tcPr>
                  <w:tcW w:w="1605" w:type="dxa"/>
                  <w:vAlign w:val="center"/>
                </w:tcPr>
                <w:p w14:paraId="6A5A710D">
                  <w:pPr>
                    <w:pStyle w:val="42"/>
                    <w:rPr>
                      <w:b/>
                      <w:bCs/>
                    </w:rPr>
                  </w:pPr>
                  <w:r>
                    <w:rPr>
                      <w:b/>
                      <w:bCs/>
                    </w:rPr>
                    <w:t>U3</w:t>
                  </w:r>
                </w:p>
              </w:tc>
            </w:tr>
            <w:tr w14:paraId="3298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3C14031E">
                  <w:pPr>
                    <w:pStyle w:val="42"/>
                  </w:pPr>
                  <w:r>
                    <w:t>pH</w:t>
                  </w:r>
                </w:p>
              </w:tc>
              <w:tc>
                <w:tcPr>
                  <w:tcW w:w="1604" w:type="dxa"/>
                  <w:vAlign w:val="center"/>
                </w:tcPr>
                <w:p w14:paraId="66C85FB3">
                  <w:pPr>
                    <w:pStyle w:val="42"/>
                  </w:pPr>
                  <w:r>
                    <w:rPr>
                      <w:rFonts w:hint="eastAsia"/>
                    </w:rPr>
                    <w:t>监测值</w:t>
                  </w:r>
                </w:p>
              </w:tc>
              <w:tc>
                <w:tcPr>
                  <w:tcW w:w="1604" w:type="dxa"/>
                  <w:vAlign w:val="center"/>
                </w:tcPr>
                <w:p w14:paraId="300C5302">
                  <w:pPr>
                    <w:pStyle w:val="42"/>
                  </w:pPr>
                </w:p>
              </w:tc>
              <w:tc>
                <w:tcPr>
                  <w:tcW w:w="1605" w:type="dxa"/>
                  <w:vAlign w:val="center"/>
                </w:tcPr>
                <w:p w14:paraId="63D94CAA">
                  <w:pPr>
                    <w:pStyle w:val="42"/>
                  </w:pPr>
                </w:p>
              </w:tc>
              <w:tc>
                <w:tcPr>
                  <w:tcW w:w="1605" w:type="dxa"/>
                  <w:vAlign w:val="center"/>
                </w:tcPr>
                <w:p w14:paraId="225F06E7">
                  <w:pPr>
                    <w:pStyle w:val="42"/>
                  </w:pPr>
                </w:p>
              </w:tc>
            </w:tr>
            <w:tr w14:paraId="7535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20F44500">
                  <w:pPr>
                    <w:pStyle w:val="42"/>
                  </w:pPr>
                </w:p>
              </w:tc>
              <w:tc>
                <w:tcPr>
                  <w:tcW w:w="1604" w:type="dxa"/>
                  <w:vAlign w:val="center"/>
                </w:tcPr>
                <w:p w14:paraId="5607E0A6">
                  <w:pPr>
                    <w:pStyle w:val="42"/>
                  </w:pPr>
                  <w:r>
                    <w:rPr>
                      <w:rFonts w:hint="eastAsia"/>
                    </w:rPr>
                    <w:t>标准值</w:t>
                  </w:r>
                </w:p>
              </w:tc>
              <w:tc>
                <w:tcPr>
                  <w:tcW w:w="1604" w:type="dxa"/>
                  <w:vAlign w:val="center"/>
                </w:tcPr>
                <w:p w14:paraId="07421D5F">
                  <w:pPr>
                    <w:pStyle w:val="42"/>
                  </w:pPr>
                </w:p>
              </w:tc>
              <w:tc>
                <w:tcPr>
                  <w:tcW w:w="1605" w:type="dxa"/>
                  <w:vAlign w:val="center"/>
                </w:tcPr>
                <w:p w14:paraId="0E6D698E">
                  <w:pPr>
                    <w:pStyle w:val="42"/>
                  </w:pPr>
                </w:p>
              </w:tc>
              <w:tc>
                <w:tcPr>
                  <w:tcW w:w="1605" w:type="dxa"/>
                  <w:vAlign w:val="center"/>
                </w:tcPr>
                <w:p w14:paraId="16772E3A">
                  <w:pPr>
                    <w:pStyle w:val="42"/>
                  </w:pPr>
                </w:p>
              </w:tc>
            </w:tr>
            <w:tr w14:paraId="60FB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1F4B6C6">
                  <w:pPr>
                    <w:pStyle w:val="42"/>
                  </w:pPr>
                </w:p>
              </w:tc>
              <w:tc>
                <w:tcPr>
                  <w:tcW w:w="1604" w:type="dxa"/>
                  <w:vAlign w:val="center"/>
                </w:tcPr>
                <w:p w14:paraId="74149262">
                  <w:pPr>
                    <w:pStyle w:val="42"/>
                  </w:pPr>
                  <w:r>
                    <w:t>Pi</w:t>
                  </w:r>
                </w:p>
              </w:tc>
              <w:tc>
                <w:tcPr>
                  <w:tcW w:w="1604" w:type="dxa"/>
                  <w:vAlign w:val="center"/>
                </w:tcPr>
                <w:p w14:paraId="5440AC3E">
                  <w:pPr>
                    <w:pStyle w:val="42"/>
                  </w:pPr>
                </w:p>
              </w:tc>
              <w:tc>
                <w:tcPr>
                  <w:tcW w:w="1605" w:type="dxa"/>
                  <w:vAlign w:val="center"/>
                </w:tcPr>
                <w:p w14:paraId="501C9D11">
                  <w:pPr>
                    <w:pStyle w:val="42"/>
                  </w:pPr>
                </w:p>
              </w:tc>
              <w:tc>
                <w:tcPr>
                  <w:tcW w:w="1605" w:type="dxa"/>
                  <w:vAlign w:val="center"/>
                </w:tcPr>
                <w:p w14:paraId="74C26725">
                  <w:pPr>
                    <w:pStyle w:val="42"/>
                  </w:pPr>
                </w:p>
              </w:tc>
            </w:tr>
            <w:tr w14:paraId="131D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3B8E3C92">
                  <w:pPr>
                    <w:pStyle w:val="42"/>
                  </w:pPr>
                </w:p>
              </w:tc>
              <w:tc>
                <w:tcPr>
                  <w:tcW w:w="1604" w:type="dxa"/>
                  <w:vAlign w:val="center"/>
                </w:tcPr>
                <w:p w14:paraId="5AB68142">
                  <w:pPr>
                    <w:pStyle w:val="42"/>
                  </w:pPr>
                  <w:r>
                    <w:rPr>
                      <w:rFonts w:hint="eastAsia"/>
                    </w:rPr>
                    <w:t>达标情况</w:t>
                  </w:r>
                </w:p>
              </w:tc>
              <w:tc>
                <w:tcPr>
                  <w:tcW w:w="1604" w:type="dxa"/>
                  <w:vAlign w:val="center"/>
                </w:tcPr>
                <w:p w14:paraId="2689A11D">
                  <w:pPr>
                    <w:pStyle w:val="42"/>
                  </w:pPr>
                </w:p>
              </w:tc>
              <w:tc>
                <w:tcPr>
                  <w:tcW w:w="1605" w:type="dxa"/>
                  <w:vAlign w:val="center"/>
                </w:tcPr>
                <w:p w14:paraId="08F68ABD">
                  <w:pPr>
                    <w:pStyle w:val="42"/>
                  </w:pPr>
                </w:p>
              </w:tc>
              <w:tc>
                <w:tcPr>
                  <w:tcW w:w="1605" w:type="dxa"/>
                  <w:vAlign w:val="center"/>
                </w:tcPr>
                <w:p w14:paraId="753526C9">
                  <w:pPr>
                    <w:pStyle w:val="42"/>
                  </w:pPr>
                </w:p>
              </w:tc>
            </w:tr>
            <w:tr w14:paraId="4AAD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7B5C7552">
                  <w:pPr>
                    <w:pStyle w:val="42"/>
                  </w:pPr>
                  <w:r>
                    <w:rPr>
                      <w:rFonts w:hint="eastAsia"/>
                    </w:rPr>
                    <w:t>耗氧量</w:t>
                  </w:r>
                </w:p>
              </w:tc>
              <w:tc>
                <w:tcPr>
                  <w:tcW w:w="1604" w:type="dxa"/>
                  <w:vAlign w:val="center"/>
                </w:tcPr>
                <w:p w14:paraId="250DB8A3">
                  <w:pPr>
                    <w:pStyle w:val="42"/>
                  </w:pPr>
                  <w:r>
                    <w:rPr>
                      <w:rFonts w:hint="eastAsia"/>
                    </w:rPr>
                    <w:t>监测值</w:t>
                  </w:r>
                </w:p>
              </w:tc>
              <w:tc>
                <w:tcPr>
                  <w:tcW w:w="1604" w:type="dxa"/>
                  <w:vAlign w:val="center"/>
                </w:tcPr>
                <w:p w14:paraId="1A7103C8">
                  <w:pPr>
                    <w:pStyle w:val="42"/>
                  </w:pPr>
                </w:p>
              </w:tc>
              <w:tc>
                <w:tcPr>
                  <w:tcW w:w="1605" w:type="dxa"/>
                  <w:vAlign w:val="center"/>
                </w:tcPr>
                <w:p w14:paraId="7CAADCD4">
                  <w:pPr>
                    <w:pStyle w:val="42"/>
                  </w:pPr>
                </w:p>
              </w:tc>
              <w:tc>
                <w:tcPr>
                  <w:tcW w:w="1605" w:type="dxa"/>
                  <w:vAlign w:val="center"/>
                </w:tcPr>
                <w:p w14:paraId="41E6B4AA">
                  <w:pPr>
                    <w:pStyle w:val="42"/>
                  </w:pPr>
                </w:p>
              </w:tc>
            </w:tr>
            <w:tr w14:paraId="7E75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63DF0B0">
                  <w:pPr>
                    <w:pStyle w:val="42"/>
                  </w:pPr>
                </w:p>
              </w:tc>
              <w:tc>
                <w:tcPr>
                  <w:tcW w:w="1604" w:type="dxa"/>
                  <w:vAlign w:val="center"/>
                </w:tcPr>
                <w:p w14:paraId="114744EA">
                  <w:pPr>
                    <w:pStyle w:val="42"/>
                  </w:pPr>
                  <w:r>
                    <w:rPr>
                      <w:rFonts w:hint="eastAsia"/>
                    </w:rPr>
                    <w:t>标准值</w:t>
                  </w:r>
                </w:p>
              </w:tc>
              <w:tc>
                <w:tcPr>
                  <w:tcW w:w="1604" w:type="dxa"/>
                  <w:vAlign w:val="center"/>
                </w:tcPr>
                <w:p w14:paraId="762B8897">
                  <w:pPr>
                    <w:pStyle w:val="42"/>
                  </w:pPr>
                </w:p>
              </w:tc>
              <w:tc>
                <w:tcPr>
                  <w:tcW w:w="1605" w:type="dxa"/>
                  <w:vAlign w:val="center"/>
                </w:tcPr>
                <w:p w14:paraId="7F2402E9">
                  <w:pPr>
                    <w:pStyle w:val="42"/>
                  </w:pPr>
                </w:p>
              </w:tc>
              <w:tc>
                <w:tcPr>
                  <w:tcW w:w="1605" w:type="dxa"/>
                  <w:vAlign w:val="center"/>
                </w:tcPr>
                <w:p w14:paraId="2390A0CE">
                  <w:pPr>
                    <w:pStyle w:val="42"/>
                  </w:pPr>
                </w:p>
              </w:tc>
            </w:tr>
            <w:tr w14:paraId="3AF2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429BA08">
                  <w:pPr>
                    <w:pStyle w:val="42"/>
                  </w:pPr>
                </w:p>
              </w:tc>
              <w:tc>
                <w:tcPr>
                  <w:tcW w:w="1604" w:type="dxa"/>
                  <w:vAlign w:val="center"/>
                </w:tcPr>
                <w:p w14:paraId="4FD27AC7">
                  <w:pPr>
                    <w:pStyle w:val="42"/>
                  </w:pPr>
                  <w:r>
                    <w:t>Pi</w:t>
                  </w:r>
                </w:p>
              </w:tc>
              <w:tc>
                <w:tcPr>
                  <w:tcW w:w="1604" w:type="dxa"/>
                  <w:vAlign w:val="center"/>
                </w:tcPr>
                <w:p w14:paraId="58BD1522">
                  <w:pPr>
                    <w:pStyle w:val="42"/>
                  </w:pPr>
                </w:p>
              </w:tc>
              <w:tc>
                <w:tcPr>
                  <w:tcW w:w="1605" w:type="dxa"/>
                  <w:vAlign w:val="center"/>
                </w:tcPr>
                <w:p w14:paraId="68E0A851">
                  <w:pPr>
                    <w:pStyle w:val="42"/>
                  </w:pPr>
                </w:p>
              </w:tc>
              <w:tc>
                <w:tcPr>
                  <w:tcW w:w="1605" w:type="dxa"/>
                  <w:vAlign w:val="center"/>
                </w:tcPr>
                <w:p w14:paraId="0DA62C02">
                  <w:pPr>
                    <w:pStyle w:val="42"/>
                  </w:pPr>
                </w:p>
              </w:tc>
            </w:tr>
            <w:tr w14:paraId="50D6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501BCBE">
                  <w:pPr>
                    <w:pStyle w:val="42"/>
                  </w:pPr>
                </w:p>
              </w:tc>
              <w:tc>
                <w:tcPr>
                  <w:tcW w:w="1604" w:type="dxa"/>
                  <w:vAlign w:val="center"/>
                </w:tcPr>
                <w:p w14:paraId="7EB26EC1">
                  <w:pPr>
                    <w:pStyle w:val="42"/>
                  </w:pPr>
                  <w:r>
                    <w:rPr>
                      <w:rFonts w:hint="eastAsia"/>
                    </w:rPr>
                    <w:t>达标情况</w:t>
                  </w:r>
                </w:p>
              </w:tc>
              <w:tc>
                <w:tcPr>
                  <w:tcW w:w="1604" w:type="dxa"/>
                  <w:vAlign w:val="center"/>
                </w:tcPr>
                <w:p w14:paraId="1E4FE8FD">
                  <w:pPr>
                    <w:pStyle w:val="42"/>
                  </w:pPr>
                </w:p>
              </w:tc>
              <w:tc>
                <w:tcPr>
                  <w:tcW w:w="1605" w:type="dxa"/>
                  <w:vAlign w:val="center"/>
                </w:tcPr>
                <w:p w14:paraId="7AA9E396">
                  <w:pPr>
                    <w:pStyle w:val="42"/>
                  </w:pPr>
                </w:p>
              </w:tc>
              <w:tc>
                <w:tcPr>
                  <w:tcW w:w="1605" w:type="dxa"/>
                  <w:vAlign w:val="center"/>
                </w:tcPr>
                <w:p w14:paraId="628CDBBD">
                  <w:pPr>
                    <w:pStyle w:val="42"/>
                  </w:pPr>
                </w:p>
              </w:tc>
            </w:tr>
            <w:tr w14:paraId="5651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5C2B4968">
                  <w:pPr>
                    <w:pStyle w:val="42"/>
                  </w:pPr>
                  <w:r>
                    <w:rPr>
                      <w:rFonts w:hint="eastAsia"/>
                    </w:rPr>
                    <w:t>氨氮</w:t>
                  </w:r>
                </w:p>
              </w:tc>
              <w:tc>
                <w:tcPr>
                  <w:tcW w:w="1604" w:type="dxa"/>
                  <w:vAlign w:val="center"/>
                </w:tcPr>
                <w:p w14:paraId="03AC0C74">
                  <w:pPr>
                    <w:pStyle w:val="42"/>
                  </w:pPr>
                  <w:r>
                    <w:rPr>
                      <w:rFonts w:hint="eastAsia"/>
                    </w:rPr>
                    <w:t>监测值</w:t>
                  </w:r>
                </w:p>
              </w:tc>
              <w:tc>
                <w:tcPr>
                  <w:tcW w:w="1604" w:type="dxa"/>
                  <w:vAlign w:val="center"/>
                </w:tcPr>
                <w:p w14:paraId="7A66604E">
                  <w:pPr>
                    <w:pStyle w:val="42"/>
                  </w:pPr>
                </w:p>
              </w:tc>
              <w:tc>
                <w:tcPr>
                  <w:tcW w:w="1605" w:type="dxa"/>
                  <w:vAlign w:val="center"/>
                </w:tcPr>
                <w:p w14:paraId="448989F2">
                  <w:pPr>
                    <w:pStyle w:val="42"/>
                  </w:pPr>
                </w:p>
              </w:tc>
              <w:tc>
                <w:tcPr>
                  <w:tcW w:w="1605" w:type="dxa"/>
                  <w:vAlign w:val="center"/>
                </w:tcPr>
                <w:p w14:paraId="6B7DDB42">
                  <w:pPr>
                    <w:pStyle w:val="42"/>
                  </w:pPr>
                </w:p>
              </w:tc>
            </w:tr>
            <w:tr w14:paraId="7AB0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B91B67F">
                  <w:pPr>
                    <w:pStyle w:val="42"/>
                  </w:pPr>
                </w:p>
              </w:tc>
              <w:tc>
                <w:tcPr>
                  <w:tcW w:w="1604" w:type="dxa"/>
                  <w:vAlign w:val="center"/>
                </w:tcPr>
                <w:p w14:paraId="7012DCD5">
                  <w:pPr>
                    <w:pStyle w:val="42"/>
                  </w:pPr>
                  <w:r>
                    <w:rPr>
                      <w:rFonts w:hint="eastAsia"/>
                    </w:rPr>
                    <w:t>标准值</w:t>
                  </w:r>
                </w:p>
              </w:tc>
              <w:tc>
                <w:tcPr>
                  <w:tcW w:w="1604" w:type="dxa"/>
                  <w:vAlign w:val="center"/>
                </w:tcPr>
                <w:p w14:paraId="1EAEC826">
                  <w:pPr>
                    <w:pStyle w:val="42"/>
                  </w:pPr>
                </w:p>
              </w:tc>
              <w:tc>
                <w:tcPr>
                  <w:tcW w:w="1605" w:type="dxa"/>
                  <w:vAlign w:val="center"/>
                </w:tcPr>
                <w:p w14:paraId="32411B85">
                  <w:pPr>
                    <w:pStyle w:val="42"/>
                  </w:pPr>
                </w:p>
              </w:tc>
              <w:tc>
                <w:tcPr>
                  <w:tcW w:w="1605" w:type="dxa"/>
                  <w:vAlign w:val="center"/>
                </w:tcPr>
                <w:p w14:paraId="06C97C43">
                  <w:pPr>
                    <w:pStyle w:val="42"/>
                  </w:pPr>
                </w:p>
              </w:tc>
            </w:tr>
            <w:tr w14:paraId="6465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68CE4488">
                  <w:pPr>
                    <w:pStyle w:val="42"/>
                  </w:pPr>
                </w:p>
              </w:tc>
              <w:tc>
                <w:tcPr>
                  <w:tcW w:w="1604" w:type="dxa"/>
                  <w:vAlign w:val="center"/>
                </w:tcPr>
                <w:p w14:paraId="4C27F6BD">
                  <w:pPr>
                    <w:pStyle w:val="42"/>
                  </w:pPr>
                  <w:r>
                    <w:t>Pi</w:t>
                  </w:r>
                </w:p>
              </w:tc>
              <w:tc>
                <w:tcPr>
                  <w:tcW w:w="1604" w:type="dxa"/>
                  <w:vAlign w:val="center"/>
                </w:tcPr>
                <w:p w14:paraId="343188A1">
                  <w:pPr>
                    <w:pStyle w:val="42"/>
                  </w:pPr>
                </w:p>
              </w:tc>
              <w:tc>
                <w:tcPr>
                  <w:tcW w:w="1605" w:type="dxa"/>
                  <w:vAlign w:val="center"/>
                </w:tcPr>
                <w:p w14:paraId="6B534567">
                  <w:pPr>
                    <w:pStyle w:val="42"/>
                  </w:pPr>
                </w:p>
              </w:tc>
              <w:tc>
                <w:tcPr>
                  <w:tcW w:w="1605" w:type="dxa"/>
                  <w:vAlign w:val="center"/>
                </w:tcPr>
                <w:p w14:paraId="749A741B">
                  <w:pPr>
                    <w:pStyle w:val="42"/>
                  </w:pPr>
                </w:p>
              </w:tc>
            </w:tr>
            <w:tr w14:paraId="2FFA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5CAD90D">
                  <w:pPr>
                    <w:pStyle w:val="42"/>
                  </w:pPr>
                </w:p>
              </w:tc>
              <w:tc>
                <w:tcPr>
                  <w:tcW w:w="1604" w:type="dxa"/>
                  <w:vAlign w:val="center"/>
                </w:tcPr>
                <w:p w14:paraId="21F584B7">
                  <w:pPr>
                    <w:pStyle w:val="42"/>
                  </w:pPr>
                  <w:r>
                    <w:rPr>
                      <w:rFonts w:hint="eastAsia"/>
                    </w:rPr>
                    <w:t>达标情况</w:t>
                  </w:r>
                </w:p>
              </w:tc>
              <w:tc>
                <w:tcPr>
                  <w:tcW w:w="1604" w:type="dxa"/>
                  <w:vAlign w:val="center"/>
                </w:tcPr>
                <w:p w14:paraId="62F134C6">
                  <w:pPr>
                    <w:pStyle w:val="42"/>
                  </w:pPr>
                </w:p>
              </w:tc>
              <w:tc>
                <w:tcPr>
                  <w:tcW w:w="1605" w:type="dxa"/>
                  <w:vAlign w:val="center"/>
                </w:tcPr>
                <w:p w14:paraId="5A827708">
                  <w:pPr>
                    <w:pStyle w:val="42"/>
                  </w:pPr>
                </w:p>
              </w:tc>
              <w:tc>
                <w:tcPr>
                  <w:tcW w:w="1605" w:type="dxa"/>
                  <w:vAlign w:val="center"/>
                </w:tcPr>
                <w:p w14:paraId="5A1D4559">
                  <w:pPr>
                    <w:pStyle w:val="42"/>
                  </w:pPr>
                </w:p>
              </w:tc>
            </w:tr>
            <w:tr w14:paraId="5C05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2E7DA857">
                  <w:pPr>
                    <w:pStyle w:val="42"/>
                  </w:pPr>
                  <w:r>
                    <w:rPr>
                      <w:rFonts w:hint="eastAsia"/>
                    </w:rPr>
                    <w:t>挥发酚</w:t>
                  </w:r>
                </w:p>
              </w:tc>
              <w:tc>
                <w:tcPr>
                  <w:tcW w:w="1604" w:type="dxa"/>
                  <w:vAlign w:val="center"/>
                </w:tcPr>
                <w:p w14:paraId="25AFD3D8">
                  <w:pPr>
                    <w:pStyle w:val="42"/>
                  </w:pPr>
                  <w:r>
                    <w:rPr>
                      <w:rFonts w:hint="eastAsia"/>
                    </w:rPr>
                    <w:t>监测值</w:t>
                  </w:r>
                </w:p>
              </w:tc>
              <w:tc>
                <w:tcPr>
                  <w:tcW w:w="1604" w:type="dxa"/>
                  <w:vAlign w:val="center"/>
                </w:tcPr>
                <w:p w14:paraId="655ECED2">
                  <w:pPr>
                    <w:pStyle w:val="42"/>
                  </w:pPr>
                </w:p>
              </w:tc>
              <w:tc>
                <w:tcPr>
                  <w:tcW w:w="1605" w:type="dxa"/>
                  <w:vAlign w:val="center"/>
                </w:tcPr>
                <w:p w14:paraId="013147D4">
                  <w:pPr>
                    <w:pStyle w:val="42"/>
                  </w:pPr>
                </w:p>
              </w:tc>
              <w:tc>
                <w:tcPr>
                  <w:tcW w:w="1605" w:type="dxa"/>
                  <w:vAlign w:val="center"/>
                </w:tcPr>
                <w:p w14:paraId="5A9D34F4">
                  <w:pPr>
                    <w:pStyle w:val="42"/>
                  </w:pPr>
                </w:p>
              </w:tc>
            </w:tr>
            <w:tr w14:paraId="245A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5C85D7A">
                  <w:pPr>
                    <w:pStyle w:val="42"/>
                  </w:pPr>
                </w:p>
              </w:tc>
              <w:tc>
                <w:tcPr>
                  <w:tcW w:w="1604" w:type="dxa"/>
                  <w:vAlign w:val="center"/>
                </w:tcPr>
                <w:p w14:paraId="02B701F1">
                  <w:pPr>
                    <w:pStyle w:val="42"/>
                  </w:pPr>
                  <w:r>
                    <w:rPr>
                      <w:rFonts w:hint="eastAsia"/>
                    </w:rPr>
                    <w:t>标准值</w:t>
                  </w:r>
                </w:p>
              </w:tc>
              <w:tc>
                <w:tcPr>
                  <w:tcW w:w="1604" w:type="dxa"/>
                  <w:vAlign w:val="center"/>
                </w:tcPr>
                <w:p w14:paraId="41D22E40">
                  <w:pPr>
                    <w:pStyle w:val="42"/>
                  </w:pPr>
                </w:p>
              </w:tc>
              <w:tc>
                <w:tcPr>
                  <w:tcW w:w="1605" w:type="dxa"/>
                  <w:vAlign w:val="center"/>
                </w:tcPr>
                <w:p w14:paraId="374533D4">
                  <w:pPr>
                    <w:pStyle w:val="42"/>
                  </w:pPr>
                </w:p>
              </w:tc>
              <w:tc>
                <w:tcPr>
                  <w:tcW w:w="1605" w:type="dxa"/>
                  <w:vAlign w:val="center"/>
                </w:tcPr>
                <w:p w14:paraId="74E2300B">
                  <w:pPr>
                    <w:pStyle w:val="42"/>
                  </w:pPr>
                </w:p>
              </w:tc>
            </w:tr>
            <w:tr w14:paraId="2BCC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2C24361B">
                  <w:pPr>
                    <w:pStyle w:val="42"/>
                  </w:pPr>
                </w:p>
              </w:tc>
              <w:tc>
                <w:tcPr>
                  <w:tcW w:w="1604" w:type="dxa"/>
                  <w:vAlign w:val="center"/>
                </w:tcPr>
                <w:p w14:paraId="043C6C33">
                  <w:pPr>
                    <w:pStyle w:val="42"/>
                  </w:pPr>
                  <w:r>
                    <w:t>Pi</w:t>
                  </w:r>
                </w:p>
              </w:tc>
              <w:tc>
                <w:tcPr>
                  <w:tcW w:w="1604" w:type="dxa"/>
                  <w:vAlign w:val="center"/>
                </w:tcPr>
                <w:p w14:paraId="1D0F9175">
                  <w:pPr>
                    <w:pStyle w:val="42"/>
                  </w:pPr>
                </w:p>
              </w:tc>
              <w:tc>
                <w:tcPr>
                  <w:tcW w:w="1605" w:type="dxa"/>
                  <w:vAlign w:val="center"/>
                </w:tcPr>
                <w:p w14:paraId="794C006E">
                  <w:pPr>
                    <w:pStyle w:val="42"/>
                  </w:pPr>
                </w:p>
              </w:tc>
              <w:tc>
                <w:tcPr>
                  <w:tcW w:w="1605" w:type="dxa"/>
                  <w:vAlign w:val="center"/>
                </w:tcPr>
                <w:p w14:paraId="73B96E60">
                  <w:pPr>
                    <w:pStyle w:val="42"/>
                  </w:pPr>
                </w:p>
              </w:tc>
            </w:tr>
            <w:tr w14:paraId="34AF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5DECFEA">
                  <w:pPr>
                    <w:pStyle w:val="42"/>
                  </w:pPr>
                </w:p>
              </w:tc>
              <w:tc>
                <w:tcPr>
                  <w:tcW w:w="1604" w:type="dxa"/>
                  <w:vAlign w:val="center"/>
                </w:tcPr>
                <w:p w14:paraId="5FDB1CDF">
                  <w:pPr>
                    <w:pStyle w:val="42"/>
                  </w:pPr>
                  <w:r>
                    <w:rPr>
                      <w:rFonts w:hint="eastAsia"/>
                    </w:rPr>
                    <w:t>达标情况</w:t>
                  </w:r>
                </w:p>
              </w:tc>
              <w:tc>
                <w:tcPr>
                  <w:tcW w:w="1604" w:type="dxa"/>
                  <w:vAlign w:val="center"/>
                </w:tcPr>
                <w:p w14:paraId="73EF812F">
                  <w:pPr>
                    <w:pStyle w:val="42"/>
                  </w:pPr>
                </w:p>
              </w:tc>
              <w:tc>
                <w:tcPr>
                  <w:tcW w:w="1605" w:type="dxa"/>
                  <w:vAlign w:val="center"/>
                </w:tcPr>
                <w:p w14:paraId="463BD0AD">
                  <w:pPr>
                    <w:pStyle w:val="42"/>
                  </w:pPr>
                </w:p>
              </w:tc>
              <w:tc>
                <w:tcPr>
                  <w:tcW w:w="1605" w:type="dxa"/>
                  <w:vAlign w:val="center"/>
                </w:tcPr>
                <w:p w14:paraId="7FC14633">
                  <w:pPr>
                    <w:pStyle w:val="42"/>
                  </w:pPr>
                </w:p>
              </w:tc>
            </w:tr>
            <w:tr w14:paraId="15E0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3A6E8D44">
                  <w:pPr>
                    <w:pStyle w:val="42"/>
                  </w:pPr>
                  <w:r>
                    <w:rPr>
                      <w:rFonts w:hint="eastAsia"/>
                    </w:rPr>
                    <w:t>总硬度</w:t>
                  </w:r>
                </w:p>
              </w:tc>
              <w:tc>
                <w:tcPr>
                  <w:tcW w:w="1604" w:type="dxa"/>
                  <w:vAlign w:val="center"/>
                </w:tcPr>
                <w:p w14:paraId="3E2E402C">
                  <w:pPr>
                    <w:pStyle w:val="42"/>
                  </w:pPr>
                  <w:r>
                    <w:rPr>
                      <w:rFonts w:hint="eastAsia"/>
                    </w:rPr>
                    <w:t>监测值</w:t>
                  </w:r>
                </w:p>
              </w:tc>
              <w:tc>
                <w:tcPr>
                  <w:tcW w:w="1604" w:type="dxa"/>
                  <w:vAlign w:val="center"/>
                </w:tcPr>
                <w:p w14:paraId="0F60A2FE">
                  <w:pPr>
                    <w:pStyle w:val="42"/>
                  </w:pPr>
                </w:p>
              </w:tc>
              <w:tc>
                <w:tcPr>
                  <w:tcW w:w="1605" w:type="dxa"/>
                  <w:vAlign w:val="center"/>
                </w:tcPr>
                <w:p w14:paraId="095996EF">
                  <w:pPr>
                    <w:pStyle w:val="42"/>
                  </w:pPr>
                </w:p>
              </w:tc>
              <w:tc>
                <w:tcPr>
                  <w:tcW w:w="1605" w:type="dxa"/>
                  <w:vAlign w:val="center"/>
                </w:tcPr>
                <w:p w14:paraId="4D000C31">
                  <w:pPr>
                    <w:pStyle w:val="42"/>
                  </w:pPr>
                </w:p>
              </w:tc>
            </w:tr>
            <w:tr w14:paraId="5B3B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614ACDE6">
                  <w:pPr>
                    <w:pStyle w:val="42"/>
                  </w:pPr>
                </w:p>
              </w:tc>
              <w:tc>
                <w:tcPr>
                  <w:tcW w:w="1604" w:type="dxa"/>
                  <w:vAlign w:val="center"/>
                </w:tcPr>
                <w:p w14:paraId="0DC9C9DF">
                  <w:pPr>
                    <w:pStyle w:val="42"/>
                  </w:pPr>
                  <w:r>
                    <w:rPr>
                      <w:rFonts w:hint="eastAsia"/>
                    </w:rPr>
                    <w:t>标准值</w:t>
                  </w:r>
                </w:p>
              </w:tc>
              <w:tc>
                <w:tcPr>
                  <w:tcW w:w="1604" w:type="dxa"/>
                  <w:vAlign w:val="center"/>
                </w:tcPr>
                <w:p w14:paraId="11523746">
                  <w:pPr>
                    <w:pStyle w:val="42"/>
                  </w:pPr>
                </w:p>
              </w:tc>
              <w:tc>
                <w:tcPr>
                  <w:tcW w:w="1605" w:type="dxa"/>
                  <w:vAlign w:val="center"/>
                </w:tcPr>
                <w:p w14:paraId="1A1F21F1">
                  <w:pPr>
                    <w:pStyle w:val="42"/>
                  </w:pPr>
                </w:p>
              </w:tc>
              <w:tc>
                <w:tcPr>
                  <w:tcW w:w="1605" w:type="dxa"/>
                  <w:vAlign w:val="center"/>
                </w:tcPr>
                <w:p w14:paraId="3765E627">
                  <w:pPr>
                    <w:pStyle w:val="42"/>
                  </w:pPr>
                </w:p>
              </w:tc>
            </w:tr>
            <w:tr w14:paraId="5C15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CA8AC2B">
                  <w:pPr>
                    <w:pStyle w:val="42"/>
                  </w:pPr>
                </w:p>
              </w:tc>
              <w:tc>
                <w:tcPr>
                  <w:tcW w:w="1604" w:type="dxa"/>
                  <w:vAlign w:val="center"/>
                </w:tcPr>
                <w:p w14:paraId="3DE19B07">
                  <w:pPr>
                    <w:pStyle w:val="42"/>
                  </w:pPr>
                  <w:r>
                    <w:t>Pi</w:t>
                  </w:r>
                </w:p>
              </w:tc>
              <w:tc>
                <w:tcPr>
                  <w:tcW w:w="1604" w:type="dxa"/>
                  <w:vAlign w:val="center"/>
                </w:tcPr>
                <w:p w14:paraId="1305383B">
                  <w:pPr>
                    <w:pStyle w:val="42"/>
                  </w:pPr>
                </w:p>
              </w:tc>
              <w:tc>
                <w:tcPr>
                  <w:tcW w:w="1605" w:type="dxa"/>
                  <w:vAlign w:val="center"/>
                </w:tcPr>
                <w:p w14:paraId="4A4AFD5C">
                  <w:pPr>
                    <w:pStyle w:val="42"/>
                  </w:pPr>
                </w:p>
              </w:tc>
              <w:tc>
                <w:tcPr>
                  <w:tcW w:w="1605" w:type="dxa"/>
                  <w:vAlign w:val="center"/>
                </w:tcPr>
                <w:p w14:paraId="39E688AA">
                  <w:pPr>
                    <w:pStyle w:val="42"/>
                  </w:pPr>
                </w:p>
              </w:tc>
            </w:tr>
            <w:tr w14:paraId="08B1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492F49BA">
                  <w:pPr>
                    <w:pStyle w:val="42"/>
                  </w:pPr>
                </w:p>
              </w:tc>
              <w:tc>
                <w:tcPr>
                  <w:tcW w:w="1604" w:type="dxa"/>
                  <w:vAlign w:val="center"/>
                </w:tcPr>
                <w:p w14:paraId="362C472D">
                  <w:pPr>
                    <w:pStyle w:val="42"/>
                  </w:pPr>
                  <w:r>
                    <w:rPr>
                      <w:rFonts w:hint="eastAsia"/>
                    </w:rPr>
                    <w:t>达标情况</w:t>
                  </w:r>
                </w:p>
              </w:tc>
              <w:tc>
                <w:tcPr>
                  <w:tcW w:w="1604" w:type="dxa"/>
                  <w:vAlign w:val="center"/>
                </w:tcPr>
                <w:p w14:paraId="5BB364AF">
                  <w:pPr>
                    <w:pStyle w:val="42"/>
                  </w:pPr>
                </w:p>
              </w:tc>
              <w:tc>
                <w:tcPr>
                  <w:tcW w:w="1605" w:type="dxa"/>
                  <w:vAlign w:val="center"/>
                </w:tcPr>
                <w:p w14:paraId="0C2A7787">
                  <w:pPr>
                    <w:pStyle w:val="42"/>
                  </w:pPr>
                </w:p>
              </w:tc>
              <w:tc>
                <w:tcPr>
                  <w:tcW w:w="1605" w:type="dxa"/>
                  <w:vAlign w:val="center"/>
                </w:tcPr>
                <w:p w14:paraId="54382360">
                  <w:pPr>
                    <w:pStyle w:val="42"/>
                  </w:pPr>
                </w:p>
              </w:tc>
            </w:tr>
            <w:tr w14:paraId="1BD6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2D416C44">
                  <w:pPr>
                    <w:pStyle w:val="42"/>
                  </w:pPr>
                  <w:r>
                    <w:rPr>
                      <w:rFonts w:hint="eastAsia"/>
                    </w:rPr>
                    <w:t>硝酸盐</w:t>
                  </w:r>
                </w:p>
              </w:tc>
              <w:tc>
                <w:tcPr>
                  <w:tcW w:w="1604" w:type="dxa"/>
                  <w:vAlign w:val="center"/>
                </w:tcPr>
                <w:p w14:paraId="41E34292">
                  <w:pPr>
                    <w:pStyle w:val="42"/>
                  </w:pPr>
                  <w:r>
                    <w:rPr>
                      <w:rFonts w:hint="eastAsia"/>
                    </w:rPr>
                    <w:t>监测值</w:t>
                  </w:r>
                </w:p>
              </w:tc>
              <w:tc>
                <w:tcPr>
                  <w:tcW w:w="1604" w:type="dxa"/>
                  <w:vAlign w:val="center"/>
                </w:tcPr>
                <w:p w14:paraId="467DBB06">
                  <w:pPr>
                    <w:pStyle w:val="42"/>
                  </w:pPr>
                </w:p>
              </w:tc>
              <w:tc>
                <w:tcPr>
                  <w:tcW w:w="1605" w:type="dxa"/>
                  <w:vAlign w:val="center"/>
                </w:tcPr>
                <w:p w14:paraId="607CA2CE">
                  <w:pPr>
                    <w:pStyle w:val="42"/>
                  </w:pPr>
                </w:p>
              </w:tc>
              <w:tc>
                <w:tcPr>
                  <w:tcW w:w="1605" w:type="dxa"/>
                  <w:vAlign w:val="center"/>
                </w:tcPr>
                <w:p w14:paraId="287E9992">
                  <w:pPr>
                    <w:pStyle w:val="42"/>
                  </w:pPr>
                </w:p>
              </w:tc>
            </w:tr>
            <w:tr w14:paraId="40B7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4E07DA7">
                  <w:pPr>
                    <w:pStyle w:val="42"/>
                  </w:pPr>
                </w:p>
              </w:tc>
              <w:tc>
                <w:tcPr>
                  <w:tcW w:w="1604" w:type="dxa"/>
                  <w:vAlign w:val="center"/>
                </w:tcPr>
                <w:p w14:paraId="334113A2">
                  <w:pPr>
                    <w:pStyle w:val="42"/>
                  </w:pPr>
                  <w:r>
                    <w:rPr>
                      <w:rFonts w:hint="eastAsia"/>
                    </w:rPr>
                    <w:t>标准值</w:t>
                  </w:r>
                </w:p>
              </w:tc>
              <w:tc>
                <w:tcPr>
                  <w:tcW w:w="1604" w:type="dxa"/>
                  <w:vAlign w:val="center"/>
                </w:tcPr>
                <w:p w14:paraId="629B0EE2">
                  <w:pPr>
                    <w:pStyle w:val="42"/>
                  </w:pPr>
                </w:p>
              </w:tc>
              <w:tc>
                <w:tcPr>
                  <w:tcW w:w="1605" w:type="dxa"/>
                  <w:vAlign w:val="center"/>
                </w:tcPr>
                <w:p w14:paraId="7196D68E">
                  <w:pPr>
                    <w:pStyle w:val="42"/>
                  </w:pPr>
                </w:p>
              </w:tc>
              <w:tc>
                <w:tcPr>
                  <w:tcW w:w="1605" w:type="dxa"/>
                  <w:vAlign w:val="center"/>
                </w:tcPr>
                <w:p w14:paraId="42B1F95A">
                  <w:pPr>
                    <w:pStyle w:val="42"/>
                  </w:pPr>
                </w:p>
              </w:tc>
            </w:tr>
            <w:tr w14:paraId="5041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63F1707E">
                  <w:pPr>
                    <w:pStyle w:val="42"/>
                  </w:pPr>
                </w:p>
              </w:tc>
              <w:tc>
                <w:tcPr>
                  <w:tcW w:w="1604" w:type="dxa"/>
                  <w:vAlign w:val="center"/>
                </w:tcPr>
                <w:p w14:paraId="407590C7">
                  <w:pPr>
                    <w:pStyle w:val="42"/>
                  </w:pPr>
                  <w:r>
                    <w:t>Pi</w:t>
                  </w:r>
                </w:p>
              </w:tc>
              <w:tc>
                <w:tcPr>
                  <w:tcW w:w="1604" w:type="dxa"/>
                  <w:vAlign w:val="center"/>
                </w:tcPr>
                <w:p w14:paraId="793FF78F">
                  <w:pPr>
                    <w:pStyle w:val="42"/>
                  </w:pPr>
                </w:p>
              </w:tc>
              <w:tc>
                <w:tcPr>
                  <w:tcW w:w="1605" w:type="dxa"/>
                  <w:vAlign w:val="center"/>
                </w:tcPr>
                <w:p w14:paraId="26091DEA">
                  <w:pPr>
                    <w:pStyle w:val="42"/>
                  </w:pPr>
                </w:p>
              </w:tc>
              <w:tc>
                <w:tcPr>
                  <w:tcW w:w="1605" w:type="dxa"/>
                  <w:vAlign w:val="center"/>
                </w:tcPr>
                <w:p w14:paraId="46CD6250">
                  <w:pPr>
                    <w:pStyle w:val="42"/>
                  </w:pPr>
                </w:p>
              </w:tc>
            </w:tr>
            <w:tr w14:paraId="274F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7B35ECD6">
                  <w:pPr>
                    <w:pStyle w:val="42"/>
                  </w:pPr>
                </w:p>
              </w:tc>
              <w:tc>
                <w:tcPr>
                  <w:tcW w:w="1604" w:type="dxa"/>
                  <w:vAlign w:val="center"/>
                </w:tcPr>
                <w:p w14:paraId="5ECBB764">
                  <w:pPr>
                    <w:pStyle w:val="42"/>
                  </w:pPr>
                  <w:r>
                    <w:rPr>
                      <w:rFonts w:hint="eastAsia"/>
                    </w:rPr>
                    <w:t>达标情况</w:t>
                  </w:r>
                </w:p>
              </w:tc>
              <w:tc>
                <w:tcPr>
                  <w:tcW w:w="1604" w:type="dxa"/>
                  <w:vAlign w:val="center"/>
                </w:tcPr>
                <w:p w14:paraId="484755AA">
                  <w:pPr>
                    <w:pStyle w:val="42"/>
                  </w:pPr>
                </w:p>
              </w:tc>
              <w:tc>
                <w:tcPr>
                  <w:tcW w:w="1605" w:type="dxa"/>
                  <w:vAlign w:val="center"/>
                </w:tcPr>
                <w:p w14:paraId="73AE2888">
                  <w:pPr>
                    <w:pStyle w:val="42"/>
                  </w:pPr>
                </w:p>
              </w:tc>
              <w:tc>
                <w:tcPr>
                  <w:tcW w:w="1605" w:type="dxa"/>
                  <w:vAlign w:val="center"/>
                </w:tcPr>
                <w:p w14:paraId="7B55D812">
                  <w:pPr>
                    <w:pStyle w:val="42"/>
                  </w:pPr>
                </w:p>
              </w:tc>
            </w:tr>
            <w:tr w14:paraId="6C3A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24CB39E4">
                  <w:pPr>
                    <w:pStyle w:val="42"/>
                  </w:pPr>
                  <w:r>
                    <w:rPr>
                      <w:rFonts w:hint="eastAsia"/>
                    </w:rPr>
                    <w:t>亚硝酸盐</w:t>
                  </w:r>
                </w:p>
              </w:tc>
              <w:tc>
                <w:tcPr>
                  <w:tcW w:w="1604" w:type="dxa"/>
                  <w:vAlign w:val="center"/>
                </w:tcPr>
                <w:p w14:paraId="2378A5F7">
                  <w:pPr>
                    <w:pStyle w:val="42"/>
                  </w:pPr>
                  <w:r>
                    <w:rPr>
                      <w:rFonts w:hint="eastAsia"/>
                    </w:rPr>
                    <w:t>监测值</w:t>
                  </w:r>
                </w:p>
              </w:tc>
              <w:tc>
                <w:tcPr>
                  <w:tcW w:w="1604" w:type="dxa"/>
                  <w:vAlign w:val="center"/>
                </w:tcPr>
                <w:p w14:paraId="6683A8CE">
                  <w:pPr>
                    <w:pStyle w:val="42"/>
                  </w:pPr>
                </w:p>
              </w:tc>
              <w:tc>
                <w:tcPr>
                  <w:tcW w:w="1605" w:type="dxa"/>
                  <w:vAlign w:val="center"/>
                </w:tcPr>
                <w:p w14:paraId="63EFC9E4">
                  <w:pPr>
                    <w:pStyle w:val="42"/>
                  </w:pPr>
                </w:p>
              </w:tc>
              <w:tc>
                <w:tcPr>
                  <w:tcW w:w="1605" w:type="dxa"/>
                  <w:vAlign w:val="center"/>
                </w:tcPr>
                <w:p w14:paraId="01210E9E">
                  <w:pPr>
                    <w:pStyle w:val="42"/>
                  </w:pPr>
                </w:p>
              </w:tc>
            </w:tr>
            <w:tr w14:paraId="3B47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8A4AFEC">
                  <w:pPr>
                    <w:pStyle w:val="42"/>
                  </w:pPr>
                </w:p>
              </w:tc>
              <w:tc>
                <w:tcPr>
                  <w:tcW w:w="1604" w:type="dxa"/>
                  <w:vAlign w:val="center"/>
                </w:tcPr>
                <w:p w14:paraId="00FDBCF1">
                  <w:pPr>
                    <w:pStyle w:val="42"/>
                  </w:pPr>
                  <w:r>
                    <w:rPr>
                      <w:rFonts w:hint="eastAsia"/>
                    </w:rPr>
                    <w:t>标准值</w:t>
                  </w:r>
                </w:p>
              </w:tc>
              <w:tc>
                <w:tcPr>
                  <w:tcW w:w="1604" w:type="dxa"/>
                  <w:vAlign w:val="center"/>
                </w:tcPr>
                <w:p w14:paraId="2146129D">
                  <w:pPr>
                    <w:pStyle w:val="42"/>
                  </w:pPr>
                </w:p>
              </w:tc>
              <w:tc>
                <w:tcPr>
                  <w:tcW w:w="1605" w:type="dxa"/>
                  <w:vAlign w:val="center"/>
                </w:tcPr>
                <w:p w14:paraId="1844D932">
                  <w:pPr>
                    <w:pStyle w:val="42"/>
                  </w:pPr>
                </w:p>
              </w:tc>
              <w:tc>
                <w:tcPr>
                  <w:tcW w:w="1605" w:type="dxa"/>
                  <w:vAlign w:val="center"/>
                </w:tcPr>
                <w:p w14:paraId="244D0F12">
                  <w:pPr>
                    <w:pStyle w:val="42"/>
                  </w:pPr>
                </w:p>
              </w:tc>
            </w:tr>
            <w:tr w14:paraId="6861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2836057">
                  <w:pPr>
                    <w:pStyle w:val="42"/>
                  </w:pPr>
                </w:p>
              </w:tc>
              <w:tc>
                <w:tcPr>
                  <w:tcW w:w="1604" w:type="dxa"/>
                  <w:vAlign w:val="center"/>
                </w:tcPr>
                <w:p w14:paraId="1513BB94">
                  <w:pPr>
                    <w:pStyle w:val="42"/>
                  </w:pPr>
                  <w:r>
                    <w:t>Pi</w:t>
                  </w:r>
                </w:p>
              </w:tc>
              <w:tc>
                <w:tcPr>
                  <w:tcW w:w="1604" w:type="dxa"/>
                  <w:vAlign w:val="center"/>
                </w:tcPr>
                <w:p w14:paraId="310FEBAB">
                  <w:pPr>
                    <w:pStyle w:val="42"/>
                  </w:pPr>
                </w:p>
              </w:tc>
              <w:tc>
                <w:tcPr>
                  <w:tcW w:w="1605" w:type="dxa"/>
                  <w:vAlign w:val="center"/>
                </w:tcPr>
                <w:p w14:paraId="4AD0BCDD">
                  <w:pPr>
                    <w:pStyle w:val="42"/>
                  </w:pPr>
                </w:p>
              </w:tc>
              <w:tc>
                <w:tcPr>
                  <w:tcW w:w="1605" w:type="dxa"/>
                  <w:vAlign w:val="center"/>
                </w:tcPr>
                <w:p w14:paraId="44EA3789">
                  <w:pPr>
                    <w:pStyle w:val="42"/>
                  </w:pPr>
                </w:p>
              </w:tc>
            </w:tr>
            <w:tr w14:paraId="39E4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7BBA2C5D">
                  <w:pPr>
                    <w:pStyle w:val="42"/>
                  </w:pPr>
                </w:p>
              </w:tc>
              <w:tc>
                <w:tcPr>
                  <w:tcW w:w="1604" w:type="dxa"/>
                  <w:vAlign w:val="center"/>
                </w:tcPr>
                <w:p w14:paraId="3044EE29">
                  <w:pPr>
                    <w:pStyle w:val="42"/>
                  </w:pPr>
                  <w:r>
                    <w:rPr>
                      <w:rFonts w:hint="eastAsia"/>
                    </w:rPr>
                    <w:t>达标情况</w:t>
                  </w:r>
                </w:p>
              </w:tc>
              <w:tc>
                <w:tcPr>
                  <w:tcW w:w="1604" w:type="dxa"/>
                  <w:vAlign w:val="center"/>
                </w:tcPr>
                <w:p w14:paraId="5F7176D4">
                  <w:pPr>
                    <w:pStyle w:val="42"/>
                  </w:pPr>
                </w:p>
              </w:tc>
              <w:tc>
                <w:tcPr>
                  <w:tcW w:w="1605" w:type="dxa"/>
                  <w:vAlign w:val="center"/>
                </w:tcPr>
                <w:p w14:paraId="1EE89E5A">
                  <w:pPr>
                    <w:pStyle w:val="42"/>
                  </w:pPr>
                </w:p>
              </w:tc>
              <w:tc>
                <w:tcPr>
                  <w:tcW w:w="1605" w:type="dxa"/>
                  <w:vAlign w:val="center"/>
                </w:tcPr>
                <w:p w14:paraId="5D0F956C">
                  <w:pPr>
                    <w:pStyle w:val="42"/>
                  </w:pPr>
                </w:p>
              </w:tc>
            </w:tr>
            <w:tr w14:paraId="1E2A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0103CE85">
                  <w:pPr>
                    <w:pStyle w:val="42"/>
                  </w:pPr>
                  <w:r>
                    <w:rPr>
                      <w:rFonts w:hint="eastAsia"/>
                    </w:rPr>
                    <w:t>溶解性总固体</w:t>
                  </w:r>
                </w:p>
              </w:tc>
              <w:tc>
                <w:tcPr>
                  <w:tcW w:w="1604" w:type="dxa"/>
                  <w:vAlign w:val="center"/>
                </w:tcPr>
                <w:p w14:paraId="0A16686F">
                  <w:pPr>
                    <w:pStyle w:val="42"/>
                  </w:pPr>
                  <w:r>
                    <w:rPr>
                      <w:rFonts w:hint="eastAsia"/>
                    </w:rPr>
                    <w:t>监测值</w:t>
                  </w:r>
                </w:p>
              </w:tc>
              <w:tc>
                <w:tcPr>
                  <w:tcW w:w="1604" w:type="dxa"/>
                  <w:vAlign w:val="center"/>
                </w:tcPr>
                <w:p w14:paraId="18B132EF">
                  <w:pPr>
                    <w:pStyle w:val="42"/>
                  </w:pPr>
                </w:p>
              </w:tc>
              <w:tc>
                <w:tcPr>
                  <w:tcW w:w="1605" w:type="dxa"/>
                  <w:vAlign w:val="center"/>
                </w:tcPr>
                <w:p w14:paraId="60FBBA2D">
                  <w:pPr>
                    <w:pStyle w:val="42"/>
                  </w:pPr>
                </w:p>
              </w:tc>
              <w:tc>
                <w:tcPr>
                  <w:tcW w:w="1605" w:type="dxa"/>
                  <w:vAlign w:val="center"/>
                </w:tcPr>
                <w:p w14:paraId="34222D26">
                  <w:pPr>
                    <w:pStyle w:val="42"/>
                  </w:pPr>
                </w:p>
              </w:tc>
            </w:tr>
            <w:tr w14:paraId="0CD0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6B7BE32D">
                  <w:pPr>
                    <w:pStyle w:val="42"/>
                  </w:pPr>
                </w:p>
              </w:tc>
              <w:tc>
                <w:tcPr>
                  <w:tcW w:w="1604" w:type="dxa"/>
                  <w:vAlign w:val="center"/>
                </w:tcPr>
                <w:p w14:paraId="0AC7237F">
                  <w:pPr>
                    <w:pStyle w:val="42"/>
                  </w:pPr>
                  <w:r>
                    <w:rPr>
                      <w:rFonts w:hint="eastAsia"/>
                    </w:rPr>
                    <w:t>标准值</w:t>
                  </w:r>
                </w:p>
              </w:tc>
              <w:tc>
                <w:tcPr>
                  <w:tcW w:w="1604" w:type="dxa"/>
                  <w:vAlign w:val="center"/>
                </w:tcPr>
                <w:p w14:paraId="14A97337">
                  <w:pPr>
                    <w:pStyle w:val="42"/>
                  </w:pPr>
                </w:p>
              </w:tc>
              <w:tc>
                <w:tcPr>
                  <w:tcW w:w="1605" w:type="dxa"/>
                  <w:vAlign w:val="center"/>
                </w:tcPr>
                <w:p w14:paraId="43B5C1AC">
                  <w:pPr>
                    <w:pStyle w:val="42"/>
                  </w:pPr>
                </w:p>
              </w:tc>
              <w:tc>
                <w:tcPr>
                  <w:tcW w:w="1605" w:type="dxa"/>
                  <w:vAlign w:val="center"/>
                </w:tcPr>
                <w:p w14:paraId="2ED3C245">
                  <w:pPr>
                    <w:pStyle w:val="42"/>
                  </w:pPr>
                </w:p>
              </w:tc>
            </w:tr>
            <w:tr w14:paraId="458C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3AEEC6D4">
                  <w:pPr>
                    <w:pStyle w:val="42"/>
                  </w:pPr>
                </w:p>
              </w:tc>
              <w:tc>
                <w:tcPr>
                  <w:tcW w:w="1604" w:type="dxa"/>
                  <w:vAlign w:val="center"/>
                </w:tcPr>
                <w:p w14:paraId="754E739A">
                  <w:pPr>
                    <w:pStyle w:val="42"/>
                  </w:pPr>
                  <w:r>
                    <w:t>Pi</w:t>
                  </w:r>
                </w:p>
              </w:tc>
              <w:tc>
                <w:tcPr>
                  <w:tcW w:w="1604" w:type="dxa"/>
                  <w:vAlign w:val="center"/>
                </w:tcPr>
                <w:p w14:paraId="5DB5CAD0">
                  <w:pPr>
                    <w:pStyle w:val="42"/>
                  </w:pPr>
                </w:p>
              </w:tc>
              <w:tc>
                <w:tcPr>
                  <w:tcW w:w="1605" w:type="dxa"/>
                  <w:vAlign w:val="center"/>
                </w:tcPr>
                <w:p w14:paraId="22326EBF">
                  <w:pPr>
                    <w:pStyle w:val="42"/>
                  </w:pPr>
                </w:p>
              </w:tc>
              <w:tc>
                <w:tcPr>
                  <w:tcW w:w="1605" w:type="dxa"/>
                  <w:vAlign w:val="center"/>
                </w:tcPr>
                <w:p w14:paraId="03CF5F6B">
                  <w:pPr>
                    <w:pStyle w:val="42"/>
                  </w:pPr>
                </w:p>
              </w:tc>
            </w:tr>
            <w:tr w14:paraId="365B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330D6C7C">
                  <w:pPr>
                    <w:pStyle w:val="42"/>
                  </w:pPr>
                </w:p>
              </w:tc>
              <w:tc>
                <w:tcPr>
                  <w:tcW w:w="1604" w:type="dxa"/>
                  <w:vAlign w:val="center"/>
                </w:tcPr>
                <w:p w14:paraId="25079CF4">
                  <w:pPr>
                    <w:pStyle w:val="42"/>
                  </w:pPr>
                  <w:r>
                    <w:rPr>
                      <w:rFonts w:hint="eastAsia"/>
                    </w:rPr>
                    <w:t>达标情况</w:t>
                  </w:r>
                </w:p>
              </w:tc>
              <w:tc>
                <w:tcPr>
                  <w:tcW w:w="1604" w:type="dxa"/>
                  <w:vAlign w:val="center"/>
                </w:tcPr>
                <w:p w14:paraId="301CF031">
                  <w:pPr>
                    <w:pStyle w:val="42"/>
                  </w:pPr>
                </w:p>
              </w:tc>
              <w:tc>
                <w:tcPr>
                  <w:tcW w:w="1605" w:type="dxa"/>
                  <w:vAlign w:val="center"/>
                </w:tcPr>
                <w:p w14:paraId="61376070">
                  <w:pPr>
                    <w:pStyle w:val="42"/>
                  </w:pPr>
                </w:p>
              </w:tc>
              <w:tc>
                <w:tcPr>
                  <w:tcW w:w="1605" w:type="dxa"/>
                  <w:vAlign w:val="center"/>
                </w:tcPr>
                <w:p w14:paraId="247BA452">
                  <w:pPr>
                    <w:pStyle w:val="42"/>
                  </w:pPr>
                </w:p>
              </w:tc>
            </w:tr>
            <w:tr w14:paraId="17C3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75F1408E">
                  <w:pPr>
                    <w:pStyle w:val="42"/>
                  </w:pPr>
                  <w:r>
                    <w:t>K</w:t>
                  </w:r>
                  <w:r>
                    <w:rPr>
                      <w:vertAlign w:val="superscript"/>
                    </w:rPr>
                    <w:t>+</w:t>
                  </w:r>
                </w:p>
              </w:tc>
              <w:tc>
                <w:tcPr>
                  <w:tcW w:w="1604" w:type="dxa"/>
                  <w:vAlign w:val="center"/>
                </w:tcPr>
                <w:p w14:paraId="43468BAF">
                  <w:pPr>
                    <w:pStyle w:val="42"/>
                  </w:pPr>
                  <w:r>
                    <w:rPr>
                      <w:rFonts w:hint="eastAsia"/>
                    </w:rPr>
                    <w:t>监测值</w:t>
                  </w:r>
                </w:p>
              </w:tc>
              <w:tc>
                <w:tcPr>
                  <w:tcW w:w="1604" w:type="dxa"/>
                  <w:vAlign w:val="center"/>
                </w:tcPr>
                <w:p w14:paraId="04699B69">
                  <w:pPr>
                    <w:pStyle w:val="42"/>
                  </w:pPr>
                </w:p>
              </w:tc>
              <w:tc>
                <w:tcPr>
                  <w:tcW w:w="1605" w:type="dxa"/>
                  <w:vAlign w:val="center"/>
                </w:tcPr>
                <w:p w14:paraId="627BAEA9">
                  <w:pPr>
                    <w:pStyle w:val="42"/>
                  </w:pPr>
                </w:p>
              </w:tc>
              <w:tc>
                <w:tcPr>
                  <w:tcW w:w="1605" w:type="dxa"/>
                  <w:vAlign w:val="center"/>
                </w:tcPr>
                <w:p w14:paraId="3DE866FB">
                  <w:pPr>
                    <w:pStyle w:val="42"/>
                  </w:pPr>
                </w:p>
              </w:tc>
            </w:tr>
            <w:tr w14:paraId="07AF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42127184">
                  <w:pPr>
                    <w:pStyle w:val="42"/>
                  </w:pPr>
                  <w:r>
                    <w:t>Na</w:t>
                  </w:r>
                  <w:r>
                    <w:rPr>
                      <w:vertAlign w:val="superscript"/>
                    </w:rPr>
                    <w:t>+</w:t>
                  </w:r>
                </w:p>
              </w:tc>
              <w:tc>
                <w:tcPr>
                  <w:tcW w:w="1604" w:type="dxa"/>
                  <w:vAlign w:val="center"/>
                </w:tcPr>
                <w:p w14:paraId="5899B5E9">
                  <w:pPr>
                    <w:pStyle w:val="42"/>
                  </w:pPr>
                  <w:r>
                    <w:rPr>
                      <w:rFonts w:hint="eastAsia"/>
                    </w:rPr>
                    <w:t>监测值</w:t>
                  </w:r>
                </w:p>
              </w:tc>
              <w:tc>
                <w:tcPr>
                  <w:tcW w:w="1604" w:type="dxa"/>
                  <w:vAlign w:val="center"/>
                </w:tcPr>
                <w:p w14:paraId="1BE48722">
                  <w:pPr>
                    <w:pStyle w:val="42"/>
                  </w:pPr>
                </w:p>
              </w:tc>
              <w:tc>
                <w:tcPr>
                  <w:tcW w:w="1605" w:type="dxa"/>
                  <w:vAlign w:val="center"/>
                </w:tcPr>
                <w:p w14:paraId="2920F4E0">
                  <w:pPr>
                    <w:pStyle w:val="42"/>
                  </w:pPr>
                </w:p>
              </w:tc>
              <w:tc>
                <w:tcPr>
                  <w:tcW w:w="1605" w:type="dxa"/>
                  <w:vAlign w:val="center"/>
                </w:tcPr>
                <w:p w14:paraId="705F00D3">
                  <w:pPr>
                    <w:pStyle w:val="42"/>
                  </w:pPr>
                </w:p>
              </w:tc>
            </w:tr>
            <w:tr w14:paraId="0BD8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76ECAF32">
                  <w:pPr>
                    <w:pStyle w:val="42"/>
                  </w:pPr>
                  <w:r>
                    <w:t>Ca</w:t>
                  </w:r>
                  <w:r>
                    <w:rPr>
                      <w:vertAlign w:val="superscript"/>
                    </w:rPr>
                    <w:t>2+</w:t>
                  </w:r>
                </w:p>
              </w:tc>
              <w:tc>
                <w:tcPr>
                  <w:tcW w:w="1604" w:type="dxa"/>
                  <w:vAlign w:val="center"/>
                </w:tcPr>
                <w:p w14:paraId="710A187B">
                  <w:pPr>
                    <w:pStyle w:val="42"/>
                  </w:pPr>
                  <w:r>
                    <w:rPr>
                      <w:rFonts w:hint="eastAsia"/>
                    </w:rPr>
                    <w:t>监测值</w:t>
                  </w:r>
                </w:p>
              </w:tc>
              <w:tc>
                <w:tcPr>
                  <w:tcW w:w="1604" w:type="dxa"/>
                  <w:vAlign w:val="center"/>
                </w:tcPr>
                <w:p w14:paraId="2B5A28B0">
                  <w:pPr>
                    <w:pStyle w:val="42"/>
                  </w:pPr>
                </w:p>
              </w:tc>
              <w:tc>
                <w:tcPr>
                  <w:tcW w:w="1605" w:type="dxa"/>
                  <w:vAlign w:val="center"/>
                </w:tcPr>
                <w:p w14:paraId="3CD7A11C">
                  <w:pPr>
                    <w:pStyle w:val="42"/>
                  </w:pPr>
                </w:p>
              </w:tc>
              <w:tc>
                <w:tcPr>
                  <w:tcW w:w="1605" w:type="dxa"/>
                  <w:vAlign w:val="center"/>
                </w:tcPr>
                <w:p w14:paraId="374C795A">
                  <w:pPr>
                    <w:pStyle w:val="42"/>
                  </w:pPr>
                </w:p>
              </w:tc>
            </w:tr>
            <w:tr w14:paraId="74A4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02D3E416">
                  <w:pPr>
                    <w:pStyle w:val="42"/>
                  </w:pPr>
                  <w:r>
                    <w:t>Mg</w:t>
                  </w:r>
                  <w:r>
                    <w:rPr>
                      <w:vertAlign w:val="superscript"/>
                    </w:rPr>
                    <w:t>2+</w:t>
                  </w:r>
                </w:p>
              </w:tc>
              <w:tc>
                <w:tcPr>
                  <w:tcW w:w="1604" w:type="dxa"/>
                  <w:vAlign w:val="center"/>
                </w:tcPr>
                <w:p w14:paraId="15E1C649">
                  <w:pPr>
                    <w:pStyle w:val="42"/>
                  </w:pPr>
                  <w:r>
                    <w:rPr>
                      <w:rFonts w:hint="eastAsia"/>
                    </w:rPr>
                    <w:t>监测值</w:t>
                  </w:r>
                </w:p>
              </w:tc>
              <w:tc>
                <w:tcPr>
                  <w:tcW w:w="1604" w:type="dxa"/>
                  <w:vAlign w:val="center"/>
                </w:tcPr>
                <w:p w14:paraId="11808B08">
                  <w:pPr>
                    <w:pStyle w:val="42"/>
                  </w:pPr>
                </w:p>
              </w:tc>
              <w:tc>
                <w:tcPr>
                  <w:tcW w:w="1605" w:type="dxa"/>
                  <w:vAlign w:val="center"/>
                </w:tcPr>
                <w:p w14:paraId="0B627858">
                  <w:pPr>
                    <w:pStyle w:val="42"/>
                  </w:pPr>
                </w:p>
              </w:tc>
              <w:tc>
                <w:tcPr>
                  <w:tcW w:w="1605" w:type="dxa"/>
                  <w:vAlign w:val="center"/>
                </w:tcPr>
                <w:p w14:paraId="5BAF718D">
                  <w:pPr>
                    <w:pStyle w:val="42"/>
                  </w:pPr>
                </w:p>
              </w:tc>
            </w:tr>
            <w:tr w14:paraId="53F9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587F09D0">
                  <w:pPr>
                    <w:pStyle w:val="42"/>
                  </w:pPr>
                  <w:r>
                    <w:t>CO</w:t>
                  </w:r>
                  <w:r>
                    <w:rPr>
                      <w:vertAlign w:val="subscript"/>
                    </w:rPr>
                    <w:t>3</w:t>
                  </w:r>
                  <w:r>
                    <w:rPr>
                      <w:vertAlign w:val="superscript"/>
                    </w:rPr>
                    <w:t>2-</w:t>
                  </w:r>
                </w:p>
              </w:tc>
              <w:tc>
                <w:tcPr>
                  <w:tcW w:w="1604" w:type="dxa"/>
                  <w:vAlign w:val="center"/>
                </w:tcPr>
                <w:p w14:paraId="1CA85A24">
                  <w:pPr>
                    <w:pStyle w:val="42"/>
                  </w:pPr>
                  <w:r>
                    <w:rPr>
                      <w:rFonts w:hint="eastAsia"/>
                    </w:rPr>
                    <w:t>监测值</w:t>
                  </w:r>
                </w:p>
              </w:tc>
              <w:tc>
                <w:tcPr>
                  <w:tcW w:w="1604" w:type="dxa"/>
                  <w:vAlign w:val="center"/>
                </w:tcPr>
                <w:p w14:paraId="0196C7EF">
                  <w:pPr>
                    <w:pStyle w:val="42"/>
                  </w:pPr>
                </w:p>
              </w:tc>
              <w:tc>
                <w:tcPr>
                  <w:tcW w:w="1605" w:type="dxa"/>
                  <w:vAlign w:val="center"/>
                </w:tcPr>
                <w:p w14:paraId="1080DFCA">
                  <w:pPr>
                    <w:pStyle w:val="42"/>
                  </w:pPr>
                </w:p>
              </w:tc>
              <w:tc>
                <w:tcPr>
                  <w:tcW w:w="1605" w:type="dxa"/>
                  <w:vAlign w:val="center"/>
                </w:tcPr>
                <w:p w14:paraId="3B15F232">
                  <w:pPr>
                    <w:pStyle w:val="42"/>
                  </w:pPr>
                </w:p>
              </w:tc>
            </w:tr>
            <w:tr w14:paraId="43B4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1A6A98E7">
                  <w:pPr>
                    <w:pStyle w:val="42"/>
                  </w:pPr>
                  <w:r>
                    <w:t>HCO</w:t>
                  </w:r>
                  <w:r>
                    <w:rPr>
                      <w:vertAlign w:val="subscript"/>
                    </w:rPr>
                    <w:t>3</w:t>
                  </w:r>
                  <w:r>
                    <w:rPr>
                      <w:vertAlign w:val="superscript"/>
                    </w:rPr>
                    <w:t>-</w:t>
                  </w:r>
                </w:p>
              </w:tc>
              <w:tc>
                <w:tcPr>
                  <w:tcW w:w="1604" w:type="dxa"/>
                  <w:vAlign w:val="center"/>
                </w:tcPr>
                <w:p w14:paraId="06788AE5">
                  <w:pPr>
                    <w:pStyle w:val="42"/>
                  </w:pPr>
                  <w:r>
                    <w:rPr>
                      <w:rFonts w:hint="eastAsia"/>
                    </w:rPr>
                    <w:t>监测值</w:t>
                  </w:r>
                </w:p>
              </w:tc>
              <w:tc>
                <w:tcPr>
                  <w:tcW w:w="1604" w:type="dxa"/>
                  <w:vAlign w:val="center"/>
                </w:tcPr>
                <w:p w14:paraId="597536C7">
                  <w:pPr>
                    <w:pStyle w:val="42"/>
                  </w:pPr>
                </w:p>
              </w:tc>
              <w:tc>
                <w:tcPr>
                  <w:tcW w:w="1605" w:type="dxa"/>
                  <w:vAlign w:val="center"/>
                </w:tcPr>
                <w:p w14:paraId="00C343FE">
                  <w:pPr>
                    <w:pStyle w:val="42"/>
                  </w:pPr>
                </w:p>
              </w:tc>
              <w:tc>
                <w:tcPr>
                  <w:tcW w:w="1605" w:type="dxa"/>
                  <w:vAlign w:val="center"/>
                </w:tcPr>
                <w:p w14:paraId="5E1416A0">
                  <w:pPr>
                    <w:pStyle w:val="42"/>
                  </w:pPr>
                </w:p>
              </w:tc>
            </w:tr>
            <w:tr w14:paraId="0A97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0F7C991B">
                  <w:pPr>
                    <w:pStyle w:val="42"/>
                  </w:pPr>
                  <w:r>
                    <w:t>Cl</w:t>
                  </w:r>
                  <w:r>
                    <w:rPr>
                      <w:vertAlign w:val="superscript"/>
                    </w:rPr>
                    <w:t>-</w:t>
                  </w:r>
                </w:p>
              </w:tc>
              <w:tc>
                <w:tcPr>
                  <w:tcW w:w="1604" w:type="dxa"/>
                  <w:vAlign w:val="center"/>
                </w:tcPr>
                <w:p w14:paraId="3A0A5269">
                  <w:pPr>
                    <w:pStyle w:val="42"/>
                  </w:pPr>
                  <w:r>
                    <w:rPr>
                      <w:rFonts w:hint="eastAsia"/>
                    </w:rPr>
                    <w:t>监测值</w:t>
                  </w:r>
                </w:p>
              </w:tc>
              <w:tc>
                <w:tcPr>
                  <w:tcW w:w="1604" w:type="dxa"/>
                  <w:vAlign w:val="center"/>
                </w:tcPr>
                <w:p w14:paraId="3908696D">
                  <w:pPr>
                    <w:pStyle w:val="42"/>
                  </w:pPr>
                </w:p>
              </w:tc>
              <w:tc>
                <w:tcPr>
                  <w:tcW w:w="1605" w:type="dxa"/>
                  <w:vAlign w:val="center"/>
                </w:tcPr>
                <w:p w14:paraId="12C147ED">
                  <w:pPr>
                    <w:pStyle w:val="42"/>
                  </w:pPr>
                </w:p>
              </w:tc>
              <w:tc>
                <w:tcPr>
                  <w:tcW w:w="1605" w:type="dxa"/>
                  <w:vAlign w:val="center"/>
                </w:tcPr>
                <w:p w14:paraId="1BF113F6">
                  <w:pPr>
                    <w:pStyle w:val="42"/>
                  </w:pPr>
                </w:p>
              </w:tc>
            </w:tr>
            <w:tr w14:paraId="5F35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6F730FEC">
                  <w:pPr>
                    <w:pStyle w:val="42"/>
                  </w:pPr>
                </w:p>
              </w:tc>
              <w:tc>
                <w:tcPr>
                  <w:tcW w:w="1604" w:type="dxa"/>
                  <w:vAlign w:val="center"/>
                </w:tcPr>
                <w:p w14:paraId="2C36CF84">
                  <w:pPr>
                    <w:pStyle w:val="42"/>
                  </w:pPr>
                  <w:r>
                    <w:rPr>
                      <w:rFonts w:hint="eastAsia"/>
                    </w:rPr>
                    <w:t>标准值</w:t>
                  </w:r>
                </w:p>
              </w:tc>
              <w:tc>
                <w:tcPr>
                  <w:tcW w:w="1604" w:type="dxa"/>
                  <w:vAlign w:val="center"/>
                </w:tcPr>
                <w:p w14:paraId="4DC3BB51">
                  <w:pPr>
                    <w:pStyle w:val="42"/>
                  </w:pPr>
                </w:p>
              </w:tc>
              <w:tc>
                <w:tcPr>
                  <w:tcW w:w="1605" w:type="dxa"/>
                  <w:vAlign w:val="center"/>
                </w:tcPr>
                <w:p w14:paraId="68F5ED63">
                  <w:pPr>
                    <w:pStyle w:val="42"/>
                  </w:pPr>
                </w:p>
              </w:tc>
              <w:tc>
                <w:tcPr>
                  <w:tcW w:w="1605" w:type="dxa"/>
                  <w:vAlign w:val="center"/>
                </w:tcPr>
                <w:p w14:paraId="3DA0DC6F">
                  <w:pPr>
                    <w:pStyle w:val="42"/>
                  </w:pPr>
                </w:p>
              </w:tc>
            </w:tr>
            <w:tr w14:paraId="3D23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2114ABF9">
                  <w:pPr>
                    <w:pStyle w:val="42"/>
                  </w:pPr>
                </w:p>
              </w:tc>
              <w:tc>
                <w:tcPr>
                  <w:tcW w:w="1604" w:type="dxa"/>
                  <w:vAlign w:val="center"/>
                </w:tcPr>
                <w:p w14:paraId="31162CC0">
                  <w:pPr>
                    <w:pStyle w:val="42"/>
                  </w:pPr>
                  <w:r>
                    <w:t>Pi</w:t>
                  </w:r>
                </w:p>
              </w:tc>
              <w:tc>
                <w:tcPr>
                  <w:tcW w:w="1604" w:type="dxa"/>
                  <w:shd w:val="clear" w:color="auto" w:fill="BEBEBE" w:themeFill="background1" w:themeFillShade="BF"/>
                  <w:vAlign w:val="center"/>
                </w:tcPr>
                <w:p w14:paraId="3ABF8B8E">
                  <w:pPr>
                    <w:pStyle w:val="42"/>
                  </w:pPr>
                </w:p>
              </w:tc>
              <w:tc>
                <w:tcPr>
                  <w:tcW w:w="1605" w:type="dxa"/>
                  <w:vAlign w:val="center"/>
                </w:tcPr>
                <w:p w14:paraId="61599D34">
                  <w:pPr>
                    <w:pStyle w:val="42"/>
                  </w:pPr>
                </w:p>
              </w:tc>
              <w:tc>
                <w:tcPr>
                  <w:tcW w:w="1605" w:type="dxa"/>
                  <w:vAlign w:val="center"/>
                </w:tcPr>
                <w:p w14:paraId="45F0ACD5">
                  <w:pPr>
                    <w:pStyle w:val="42"/>
                  </w:pPr>
                </w:p>
              </w:tc>
            </w:tr>
            <w:tr w14:paraId="280F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A480D04">
                  <w:pPr>
                    <w:pStyle w:val="42"/>
                  </w:pPr>
                </w:p>
              </w:tc>
              <w:tc>
                <w:tcPr>
                  <w:tcW w:w="1604" w:type="dxa"/>
                  <w:vAlign w:val="center"/>
                </w:tcPr>
                <w:p w14:paraId="0927F5D3">
                  <w:pPr>
                    <w:pStyle w:val="42"/>
                  </w:pPr>
                  <w:r>
                    <w:rPr>
                      <w:rFonts w:hint="eastAsia"/>
                    </w:rPr>
                    <w:t>达标情况</w:t>
                  </w:r>
                </w:p>
              </w:tc>
              <w:tc>
                <w:tcPr>
                  <w:tcW w:w="1604" w:type="dxa"/>
                  <w:shd w:val="clear" w:color="auto" w:fill="BEBEBE" w:themeFill="background1" w:themeFillShade="BF"/>
                  <w:vAlign w:val="center"/>
                </w:tcPr>
                <w:p w14:paraId="5D0E48F0">
                  <w:pPr>
                    <w:pStyle w:val="42"/>
                  </w:pPr>
                </w:p>
              </w:tc>
              <w:tc>
                <w:tcPr>
                  <w:tcW w:w="1605" w:type="dxa"/>
                  <w:vAlign w:val="center"/>
                </w:tcPr>
                <w:p w14:paraId="0810FC41">
                  <w:pPr>
                    <w:pStyle w:val="42"/>
                  </w:pPr>
                </w:p>
              </w:tc>
              <w:tc>
                <w:tcPr>
                  <w:tcW w:w="1605" w:type="dxa"/>
                  <w:vAlign w:val="center"/>
                </w:tcPr>
                <w:p w14:paraId="0EA9EDA8">
                  <w:pPr>
                    <w:pStyle w:val="42"/>
                  </w:pPr>
                </w:p>
              </w:tc>
            </w:tr>
            <w:tr w14:paraId="4528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63A60974">
                  <w:pPr>
                    <w:pStyle w:val="42"/>
                  </w:pPr>
                  <w:r>
                    <w:t>SO</w:t>
                  </w:r>
                  <w:r>
                    <w:rPr>
                      <w:vertAlign w:val="subscript"/>
                    </w:rPr>
                    <w:t>4</w:t>
                  </w:r>
                  <w:r>
                    <w:rPr>
                      <w:vertAlign w:val="superscript"/>
                    </w:rPr>
                    <w:t>2-</w:t>
                  </w:r>
                </w:p>
              </w:tc>
              <w:tc>
                <w:tcPr>
                  <w:tcW w:w="1604" w:type="dxa"/>
                  <w:vAlign w:val="center"/>
                </w:tcPr>
                <w:p w14:paraId="73C59B47">
                  <w:pPr>
                    <w:pStyle w:val="42"/>
                  </w:pPr>
                  <w:r>
                    <w:rPr>
                      <w:rFonts w:hint="eastAsia"/>
                    </w:rPr>
                    <w:t>监测值</w:t>
                  </w:r>
                </w:p>
              </w:tc>
              <w:tc>
                <w:tcPr>
                  <w:tcW w:w="1604" w:type="dxa"/>
                  <w:vAlign w:val="center"/>
                </w:tcPr>
                <w:p w14:paraId="7EE2E175">
                  <w:pPr>
                    <w:pStyle w:val="42"/>
                  </w:pPr>
                </w:p>
              </w:tc>
              <w:tc>
                <w:tcPr>
                  <w:tcW w:w="1605" w:type="dxa"/>
                  <w:vAlign w:val="center"/>
                </w:tcPr>
                <w:p w14:paraId="60F050A5">
                  <w:pPr>
                    <w:pStyle w:val="42"/>
                  </w:pPr>
                </w:p>
              </w:tc>
              <w:tc>
                <w:tcPr>
                  <w:tcW w:w="1605" w:type="dxa"/>
                  <w:vAlign w:val="center"/>
                </w:tcPr>
                <w:p w14:paraId="7E52AF9E">
                  <w:pPr>
                    <w:pStyle w:val="42"/>
                  </w:pPr>
                </w:p>
              </w:tc>
            </w:tr>
            <w:tr w14:paraId="76EF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314F27A2">
                  <w:pPr>
                    <w:pStyle w:val="42"/>
                  </w:pPr>
                </w:p>
              </w:tc>
              <w:tc>
                <w:tcPr>
                  <w:tcW w:w="1604" w:type="dxa"/>
                  <w:vAlign w:val="center"/>
                </w:tcPr>
                <w:p w14:paraId="44B02E8B">
                  <w:pPr>
                    <w:pStyle w:val="42"/>
                  </w:pPr>
                  <w:r>
                    <w:rPr>
                      <w:rFonts w:hint="eastAsia"/>
                    </w:rPr>
                    <w:t>标准值</w:t>
                  </w:r>
                </w:p>
              </w:tc>
              <w:tc>
                <w:tcPr>
                  <w:tcW w:w="1604" w:type="dxa"/>
                  <w:vAlign w:val="center"/>
                </w:tcPr>
                <w:p w14:paraId="35F66948">
                  <w:pPr>
                    <w:pStyle w:val="42"/>
                  </w:pPr>
                </w:p>
              </w:tc>
              <w:tc>
                <w:tcPr>
                  <w:tcW w:w="1605" w:type="dxa"/>
                  <w:vAlign w:val="center"/>
                </w:tcPr>
                <w:p w14:paraId="4931C061">
                  <w:pPr>
                    <w:pStyle w:val="42"/>
                  </w:pPr>
                </w:p>
              </w:tc>
              <w:tc>
                <w:tcPr>
                  <w:tcW w:w="1605" w:type="dxa"/>
                  <w:vAlign w:val="center"/>
                </w:tcPr>
                <w:p w14:paraId="14AE1F2F">
                  <w:pPr>
                    <w:pStyle w:val="42"/>
                  </w:pPr>
                </w:p>
              </w:tc>
            </w:tr>
            <w:tr w14:paraId="4E7D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4C125943">
                  <w:pPr>
                    <w:pStyle w:val="42"/>
                  </w:pPr>
                </w:p>
              </w:tc>
              <w:tc>
                <w:tcPr>
                  <w:tcW w:w="1604" w:type="dxa"/>
                  <w:vAlign w:val="center"/>
                </w:tcPr>
                <w:p w14:paraId="76F74085">
                  <w:pPr>
                    <w:pStyle w:val="42"/>
                  </w:pPr>
                  <w:r>
                    <w:t>Pi</w:t>
                  </w:r>
                </w:p>
              </w:tc>
              <w:tc>
                <w:tcPr>
                  <w:tcW w:w="1604" w:type="dxa"/>
                  <w:vAlign w:val="center"/>
                </w:tcPr>
                <w:p w14:paraId="06731EB6">
                  <w:pPr>
                    <w:pStyle w:val="42"/>
                  </w:pPr>
                </w:p>
              </w:tc>
              <w:tc>
                <w:tcPr>
                  <w:tcW w:w="1605" w:type="dxa"/>
                  <w:vAlign w:val="center"/>
                </w:tcPr>
                <w:p w14:paraId="096DF148">
                  <w:pPr>
                    <w:pStyle w:val="42"/>
                  </w:pPr>
                </w:p>
              </w:tc>
              <w:tc>
                <w:tcPr>
                  <w:tcW w:w="1605" w:type="dxa"/>
                  <w:vAlign w:val="center"/>
                </w:tcPr>
                <w:p w14:paraId="59CDFD5E">
                  <w:pPr>
                    <w:pStyle w:val="42"/>
                  </w:pPr>
                </w:p>
              </w:tc>
            </w:tr>
            <w:tr w14:paraId="2A48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0A3496C">
                  <w:pPr>
                    <w:pStyle w:val="42"/>
                  </w:pPr>
                </w:p>
              </w:tc>
              <w:tc>
                <w:tcPr>
                  <w:tcW w:w="1604" w:type="dxa"/>
                  <w:vAlign w:val="center"/>
                </w:tcPr>
                <w:p w14:paraId="23448CE0">
                  <w:pPr>
                    <w:pStyle w:val="42"/>
                  </w:pPr>
                  <w:r>
                    <w:rPr>
                      <w:rFonts w:hint="eastAsia"/>
                    </w:rPr>
                    <w:t>达标情况</w:t>
                  </w:r>
                </w:p>
              </w:tc>
              <w:tc>
                <w:tcPr>
                  <w:tcW w:w="1604" w:type="dxa"/>
                  <w:vAlign w:val="center"/>
                </w:tcPr>
                <w:p w14:paraId="17DD42A5">
                  <w:pPr>
                    <w:pStyle w:val="42"/>
                  </w:pPr>
                </w:p>
              </w:tc>
              <w:tc>
                <w:tcPr>
                  <w:tcW w:w="1605" w:type="dxa"/>
                  <w:vAlign w:val="center"/>
                </w:tcPr>
                <w:p w14:paraId="1E52828B">
                  <w:pPr>
                    <w:pStyle w:val="42"/>
                  </w:pPr>
                </w:p>
              </w:tc>
              <w:tc>
                <w:tcPr>
                  <w:tcW w:w="1605" w:type="dxa"/>
                  <w:vAlign w:val="center"/>
                </w:tcPr>
                <w:p w14:paraId="5E66D6BA">
                  <w:pPr>
                    <w:pStyle w:val="42"/>
                  </w:pPr>
                </w:p>
              </w:tc>
            </w:tr>
          </w:tbl>
          <w:p w14:paraId="39AF4218">
            <w:pPr>
              <w:pStyle w:val="41"/>
              <w:ind w:firstLine="480" w:firstLineChars="0"/>
            </w:pPr>
          </w:p>
          <w:p w14:paraId="138755A2">
            <w:pPr>
              <w:pStyle w:val="41"/>
              <w:ind w:firstLine="480" w:firstLineChars="0"/>
            </w:pPr>
            <w:r>
              <w:rPr>
                <w:rFonts w:hint="eastAsia"/>
              </w:rPr>
              <w:t>由上表监测，除</w:t>
            </w:r>
            <w:r>
              <w:t>U1</w:t>
            </w:r>
            <w:r>
              <w:rPr>
                <w:rFonts w:hint="eastAsia"/>
              </w:rPr>
              <w:t>点位</w:t>
            </w:r>
            <w:r>
              <w:t>Cl</w:t>
            </w:r>
            <w:r>
              <w:rPr>
                <w:vertAlign w:val="superscript"/>
              </w:rPr>
              <w:t>-</w:t>
            </w:r>
            <w:r>
              <w:rPr>
                <w:rFonts w:hint="eastAsia"/>
              </w:rPr>
              <w:t>出现超标现象外，其余各监测点位的各监测因子均能满足《地下水质量标准》（</w:t>
            </w:r>
            <w:r>
              <w:t>GB/T 14848-2017</w:t>
            </w:r>
            <w:r>
              <w:rPr>
                <w:rFonts w:hint="eastAsia"/>
              </w:rPr>
              <w:t>）</w:t>
            </w:r>
            <w:r>
              <w:t xml:space="preserve">III </w:t>
            </w:r>
            <w:r>
              <w:rPr>
                <w:rFonts w:hint="eastAsia"/>
              </w:rPr>
              <w:t>类标准限值要求。</w:t>
            </w:r>
            <w:r>
              <w:t>U1</w:t>
            </w:r>
            <w:r>
              <w:rPr>
                <w:rFonts w:hint="eastAsia"/>
              </w:rPr>
              <w:t>点位</w:t>
            </w:r>
            <w:r>
              <w:t>Cl</w:t>
            </w:r>
            <w:r>
              <w:rPr>
                <w:vertAlign w:val="superscript"/>
              </w:rPr>
              <w:t>-</w:t>
            </w:r>
            <w:r>
              <w:rPr>
                <w:rFonts w:hint="eastAsia"/>
              </w:rPr>
              <w:t>超标的原因可能是受海水影响，</w:t>
            </w:r>
            <w:r>
              <w:t>U1</w:t>
            </w:r>
            <w:r>
              <w:rPr>
                <w:rFonts w:hint="eastAsia"/>
              </w:rPr>
              <w:t>点位所在位置邻近海岸，地下水与海水水力联系较为紧密，地下水水质易</w:t>
            </w:r>
            <w:r>
              <w:rPr>
                <w:rFonts w:hint="eastAsia"/>
                <w:lang w:eastAsia="zh-CN"/>
              </w:rPr>
              <w:t>受到</w:t>
            </w:r>
            <w:r>
              <w:rPr>
                <w:rFonts w:hint="eastAsia"/>
              </w:rPr>
              <w:t>海水水质影响。</w:t>
            </w:r>
          </w:p>
          <w:p w14:paraId="49ECE332">
            <w:pPr>
              <w:pStyle w:val="41"/>
              <w:ind w:firstLine="480" w:firstLineChars="0"/>
            </w:pPr>
          </w:p>
          <w:p w14:paraId="1FD4C99C">
            <w:pPr>
              <w:pStyle w:val="41"/>
              <w:ind w:firstLine="480" w:firstLineChars="0"/>
            </w:pPr>
          </w:p>
        </w:tc>
      </w:tr>
      <w:tr w14:paraId="615E5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vAlign w:val="center"/>
          </w:tcPr>
          <w:p w14:paraId="63B00988">
            <w:pPr>
              <w:adjustRightInd w:val="0"/>
              <w:snapToGrid w:val="0"/>
              <w:jc w:val="center"/>
              <w:rPr>
                <w:rFonts w:hint="eastAsia" w:ascii="宋体" w:hAnsi="宋体" w:cs="宋体"/>
                <w:kern w:val="0"/>
                <w:sz w:val="24"/>
              </w:rPr>
            </w:pPr>
            <w:r>
              <w:rPr>
                <w:rFonts w:hint="eastAsia" w:ascii="宋体" w:hAnsi="宋体"/>
                <w:bCs/>
                <w:sz w:val="24"/>
              </w:rPr>
              <w:t>与项目有关的原有环境污染和生态破坏问题</w:t>
            </w:r>
          </w:p>
        </w:tc>
        <w:tc>
          <w:tcPr>
            <w:tcW w:w="8253" w:type="dxa"/>
          </w:tcPr>
          <w:p w14:paraId="736A8005">
            <w:pPr>
              <w:pStyle w:val="41"/>
              <w:ind w:firstLine="480"/>
            </w:pPr>
            <w:r>
              <w:rPr>
                <w:rFonts w:hint="eastAsia"/>
              </w:rPr>
              <w:t>本项目为扩建项目，建设单位现有工程主要包括以下项目：①广西华谊能源化工配套空分项目（简称“空分项目”）；②普莱克斯（广西）气体有限公司钦州基地二期氮气供应项目（简称“二期氮气供应项目”）；③普莱克斯（广西）气体有限公司年产6426吨贫氪氙液氧项目（简称“贫氪氙液氧项目”）；④氮气管道工程-林德气体（广西）有限公司至广西新天德能源有限公司（简称“氮气管道工程”）。</w:t>
            </w:r>
          </w:p>
          <w:p w14:paraId="57BE22F2">
            <w:pPr>
              <w:pStyle w:val="41"/>
              <w:ind w:firstLine="482"/>
              <w:rPr>
                <w:b/>
                <w:bCs/>
              </w:rPr>
            </w:pPr>
            <w:r>
              <w:rPr>
                <w:rFonts w:hint="eastAsia"/>
                <w:b/>
                <w:bCs/>
              </w:rPr>
              <w:t>一、现有工程环保手续情况</w:t>
            </w:r>
          </w:p>
          <w:p w14:paraId="344F83BE">
            <w:pPr>
              <w:pStyle w:val="41"/>
              <w:numPr>
                <w:ilvl w:val="0"/>
                <w:numId w:val="7"/>
              </w:numPr>
              <w:spacing w:line="240" w:lineRule="auto"/>
              <w:ind w:firstLineChars="0"/>
              <w:jc w:val="center"/>
              <w:rPr>
                <w:b/>
                <w:bCs/>
                <w:sz w:val="21"/>
                <w:szCs w:val="21"/>
              </w:rPr>
            </w:pPr>
            <w:r>
              <w:rPr>
                <w:rFonts w:hint="eastAsia"/>
                <w:b/>
                <w:bCs/>
                <w:sz w:val="21"/>
                <w:szCs w:val="21"/>
              </w:rPr>
              <w:t>林德气体（广西）有限公司现有工程环评及环保验收手续基本情况表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550"/>
              <w:gridCol w:w="2056"/>
              <w:gridCol w:w="1760"/>
              <w:gridCol w:w="1127"/>
              <w:gridCol w:w="1107"/>
            </w:tblGrid>
            <w:tr w14:paraId="1C38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 w:type="dxa"/>
                  <w:vAlign w:val="center"/>
                </w:tcPr>
                <w:p w14:paraId="697DE417">
                  <w:pPr>
                    <w:pStyle w:val="42"/>
                    <w:rPr>
                      <w:b/>
                      <w:bCs/>
                    </w:rPr>
                  </w:pPr>
                  <w:r>
                    <w:rPr>
                      <w:rFonts w:hint="eastAsia"/>
                      <w:b/>
                      <w:bCs/>
                    </w:rPr>
                    <w:t>序号</w:t>
                  </w:r>
                </w:p>
              </w:tc>
              <w:tc>
                <w:tcPr>
                  <w:tcW w:w="1559" w:type="dxa"/>
                  <w:vAlign w:val="center"/>
                </w:tcPr>
                <w:p w14:paraId="1DA43EEB">
                  <w:pPr>
                    <w:pStyle w:val="42"/>
                    <w:rPr>
                      <w:b/>
                      <w:bCs/>
                    </w:rPr>
                  </w:pPr>
                  <w:r>
                    <w:rPr>
                      <w:rFonts w:hint="eastAsia"/>
                      <w:b/>
                      <w:bCs/>
                    </w:rPr>
                    <w:t>名称</w:t>
                  </w:r>
                </w:p>
              </w:tc>
              <w:tc>
                <w:tcPr>
                  <w:tcW w:w="2061" w:type="dxa"/>
                  <w:vAlign w:val="center"/>
                </w:tcPr>
                <w:p w14:paraId="410E7AD0">
                  <w:pPr>
                    <w:pStyle w:val="42"/>
                    <w:rPr>
                      <w:b/>
                      <w:bCs/>
                    </w:rPr>
                  </w:pPr>
                  <w:r>
                    <w:rPr>
                      <w:rFonts w:hint="eastAsia"/>
                      <w:b/>
                      <w:bCs/>
                    </w:rPr>
                    <w:t>主要建设内容</w:t>
                  </w:r>
                </w:p>
              </w:tc>
              <w:tc>
                <w:tcPr>
                  <w:tcW w:w="1766" w:type="dxa"/>
                  <w:vAlign w:val="center"/>
                </w:tcPr>
                <w:p w14:paraId="638A554D">
                  <w:pPr>
                    <w:pStyle w:val="42"/>
                    <w:rPr>
                      <w:b/>
                      <w:bCs/>
                    </w:rPr>
                  </w:pPr>
                  <w:r>
                    <w:rPr>
                      <w:rFonts w:hint="eastAsia"/>
                      <w:b/>
                      <w:bCs/>
                    </w:rPr>
                    <w:t>环评手续</w:t>
                  </w:r>
                </w:p>
              </w:tc>
              <w:tc>
                <w:tcPr>
                  <w:tcW w:w="1134" w:type="dxa"/>
                  <w:vAlign w:val="center"/>
                </w:tcPr>
                <w:p w14:paraId="4CF75FB6">
                  <w:pPr>
                    <w:pStyle w:val="42"/>
                    <w:rPr>
                      <w:b/>
                      <w:bCs/>
                    </w:rPr>
                  </w:pPr>
                  <w:r>
                    <w:rPr>
                      <w:rFonts w:hint="eastAsia"/>
                      <w:b/>
                      <w:bCs/>
                    </w:rPr>
                    <w:t>建设情况</w:t>
                  </w:r>
                </w:p>
              </w:tc>
              <w:tc>
                <w:tcPr>
                  <w:tcW w:w="1114" w:type="dxa"/>
                  <w:vAlign w:val="center"/>
                </w:tcPr>
                <w:p w14:paraId="491FA2CE">
                  <w:pPr>
                    <w:pStyle w:val="42"/>
                    <w:rPr>
                      <w:b/>
                      <w:bCs/>
                    </w:rPr>
                  </w:pPr>
                  <w:r>
                    <w:rPr>
                      <w:rFonts w:hint="eastAsia"/>
                      <w:b/>
                      <w:bCs/>
                    </w:rPr>
                    <w:t>验收情况</w:t>
                  </w:r>
                </w:p>
              </w:tc>
            </w:tr>
            <w:tr w14:paraId="28E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407131FB">
                  <w:pPr>
                    <w:pStyle w:val="42"/>
                  </w:pPr>
                  <w:r>
                    <w:rPr>
                      <w:rFonts w:hint="eastAsia"/>
                    </w:rPr>
                    <w:t>1</w:t>
                  </w:r>
                </w:p>
              </w:tc>
              <w:tc>
                <w:tcPr>
                  <w:tcW w:w="1559" w:type="dxa"/>
                  <w:vAlign w:val="center"/>
                </w:tcPr>
                <w:p w14:paraId="51973CFB">
                  <w:pPr>
                    <w:pStyle w:val="42"/>
                  </w:pPr>
                  <w:r>
                    <w:rPr>
                      <w:rFonts w:hint="eastAsia"/>
                    </w:rPr>
                    <w:t>广西华谊能源化工配套空分项目</w:t>
                  </w:r>
                </w:p>
              </w:tc>
              <w:tc>
                <w:tcPr>
                  <w:tcW w:w="2061" w:type="dxa"/>
                  <w:vAlign w:val="center"/>
                </w:tcPr>
                <w:p w14:paraId="320B3802">
                  <w:pPr>
                    <w:pStyle w:val="42"/>
                  </w:pPr>
                  <w:r>
                    <w:rPr>
                      <w:rFonts w:hint="eastAsia"/>
                    </w:rPr>
                    <w:t>新建三套78000Nm</w:t>
                  </w:r>
                  <w:r>
                    <w:rPr>
                      <w:rFonts w:hint="eastAsia"/>
                      <w:vertAlign w:val="superscript"/>
                    </w:rPr>
                    <w:t>3</w:t>
                  </w:r>
                  <w:r>
                    <w:rPr>
                      <w:rFonts w:hint="eastAsia"/>
                    </w:rPr>
                    <w:t>/h 空分装置及相应的后备系统、辅助装置及公用工程</w:t>
                  </w:r>
                </w:p>
              </w:tc>
              <w:tc>
                <w:tcPr>
                  <w:tcW w:w="1766" w:type="dxa"/>
                  <w:vAlign w:val="center"/>
                </w:tcPr>
                <w:p w14:paraId="737081DC">
                  <w:pPr>
                    <w:pStyle w:val="42"/>
                  </w:pPr>
                  <w:r>
                    <w:rPr>
                      <w:rFonts w:hint="eastAsia"/>
                    </w:rPr>
                    <w:t>2019.4.17 取得环评批复，批文号：钦港环管字〔2019〕6 号</w:t>
                  </w:r>
                </w:p>
              </w:tc>
              <w:tc>
                <w:tcPr>
                  <w:tcW w:w="1134" w:type="dxa"/>
                  <w:vAlign w:val="center"/>
                </w:tcPr>
                <w:p w14:paraId="3E32CCA8">
                  <w:pPr>
                    <w:pStyle w:val="42"/>
                  </w:pPr>
                  <w:r>
                    <w:rPr>
                      <w:rFonts w:hint="eastAsia"/>
                    </w:rPr>
                    <w:t>已建成</w:t>
                  </w:r>
                </w:p>
              </w:tc>
              <w:tc>
                <w:tcPr>
                  <w:tcW w:w="1114" w:type="dxa"/>
                  <w:vAlign w:val="center"/>
                </w:tcPr>
                <w:p w14:paraId="3DE22D10">
                  <w:pPr>
                    <w:pStyle w:val="42"/>
                  </w:pPr>
                  <w:r>
                    <w:rPr>
                      <w:rFonts w:hint="eastAsia"/>
                    </w:rPr>
                    <w:t>已验收</w:t>
                  </w:r>
                </w:p>
              </w:tc>
            </w:tr>
            <w:tr w14:paraId="3890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54E9D218">
                  <w:pPr>
                    <w:pStyle w:val="42"/>
                  </w:pPr>
                  <w:r>
                    <w:rPr>
                      <w:rFonts w:hint="eastAsia"/>
                    </w:rPr>
                    <w:t>2</w:t>
                  </w:r>
                </w:p>
              </w:tc>
              <w:tc>
                <w:tcPr>
                  <w:tcW w:w="1559" w:type="dxa"/>
                  <w:vAlign w:val="center"/>
                </w:tcPr>
                <w:p w14:paraId="292DBD89">
                  <w:pPr>
                    <w:pStyle w:val="42"/>
                  </w:pPr>
                  <w:r>
                    <w:rPr>
                      <w:rFonts w:hint="eastAsia"/>
                    </w:rPr>
                    <w:t>普莱克斯（广西）气体有限公司钦州基地二期氮气供应项目</w:t>
                  </w:r>
                </w:p>
              </w:tc>
              <w:tc>
                <w:tcPr>
                  <w:tcW w:w="2061" w:type="dxa"/>
                  <w:vAlign w:val="center"/>
                </w:tcPr>
                <w:p w14:paraId="5ACCE9F0">
                  <w:pPr>
                    <w:pStyle w:val="42"/>
                  </w:pPr>
                  <w:r>
                    <w:rPr>
                      <w:rFonts w:hint="eastAsia"/>
                    </w:rPr>
                    <w:t>新建两台10000Nm</w:t>
                  </w:r>
                  <w:r>
                    <w:rPr>
                      <w:rFonts w:hint="eastAsia"/>
                      <w:vertAlign w:val="superscript"/>
                    </w:rPr>
                    <w:t>3</w:t>
                  </w:r>
                  <w:r>
                    <w:rPr>
                      <w:rFonts w:hint="eastAsia"/>
                    </w:rPr>
                    <w:t>/h氮气压缩机（一用一备）、液体后备系统、冷却水塔和公用工程，以及厂区外5公里的DN500的氮气管线</w:t>
                  </w:r>
                </w:p>
              </w:tc>
              <w:tc>
                <w:tcPr>
                  <w:tcW w:w="1766" w:type="dxa"/>
                  <w:vAlign w:val="center"/>
                </w:tcPr>
                <w:p w14:paraId="02378CBC">
                  <w:pPr>
                    <w:pStyle w:val="42"/>
                  </w:pPr>
                  <w:r>
                    <w:rPr>
                      <w:rFonts w:hint="eastAsia"/>
                    </w:rPr>
                    <w:t>2021.12.14 取得环评批复，批文号：自贸钦港审批环〔2021〕16 号</w:t>
                  </w:r>
                </w:p>
              </w:tc>
              <w:tc>
                <w:tcPr>
                  <w:tcW w:w="1134" w:type="dxa"/>
                  <w:vAlign w:val="center"/>
                </w:tcPr>
                <w:p w14:paraId="281EB508">
                  <w:pPr>
                    <w:pStyle w:val="42"/>
                  </w:pPr>
                  <w:r>
                    <w:rPr>
                      <w:rFonts w:hint="eastAsia"/>
                    </w:rPr>
                    <w:t>已建成</w:t>
                  </w:r>
                </w:p>
              </w:tc>
              <w:tc>
                <w:tcPr>
                  <w:tcW w:w="1114" w:type="dxa"/>
                  <w:vAlign w:val="center"/>
                </w:tcPr>
                <w:p w14:paraId="3D13B83E">
                  <w:pPr>
                    <w:pStyle w:val="42"/>
                  </w:pPr>
                  <w:r>
                    <w:rPr>
                      <w:rFonts w:hint="eastAsia"/>
                    </w:rPr>
                    <w:t>已验收</w:t>
                  </w:r>
                </w:p>
              </w:tc>
            </w:tr>
            <w:tr w14:paraId="45B2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0849DC85">
                  <w:pPr>
                    <w:pStyle w:val="42"/>
                  </w:pPr>
                  <w:r>
                    <w:rPr>
                      <w:rFonts w:hint="eastAsia"/>
                    </w:rPr>
                    <w:t>3</w:t>
                  </w:r>
                </w:p>
              </w:tc>
              <w:tc>
                <w:tcPr>
                  <w:tcW w:w="1559" w:type="dxa"/>
                  <w:vAlign w:val="center"/>
                </w:tcPr>
                <w:p w14:paraId="149D8A93">
                  <w:pPr>
                    <w:pStyle w:val="42"/>
                  </w:pPr>
                  <w:r>
                    <w:rPr>
                      <w:rFonts w:hint="eastAsia"/>
                    </w:rPr>
                    <w:t>普莱克斯（广西）气体有限公司年产6426吨贫氪氙液氧项目</w:t>
                  </w:r>
                </w:p>
              </w:tc>
              <w:tc>
                <w:tcPr>
                  <w:tcW w:w="2061" w:type="dxa"/>
                  <w:vAlign w:val="center"/>
                </w:tcPr>
                <w:p w14:paraId="7AD9DBFA">
                  <w:pPr>
                    <w:pStyle w:val="42"/>
                  </w:pPr>
                  <w:r>
                    <w:rPr>
                      <w:rFonts w:hint="eastAsia"/>
                    </w:rPr>
                    <w:t>新建三套贫氪氙液氧提取装置</w:t>
                  </w:r>
                </w:p>
              </w:tc>
              <w:tc>
                <w:tcPr>
                  <w:tcW w:w="1766" w:type="dxa"/>
                  <w:vAlign w:val="center"/>
                </w:tcPr>
                <w:p w14:paraId="12D8F6F7">
                  <w:pPr>
                    <w:pStyle w:val="42"/>
                  </w:pPr>
                  <w:r>
                    <w:rPr>
                      <w:rFonts w:hint="eastAsia"/>
                    </w:rPr>
                    <w:t>2022.9.5 取得环评批复，批文号：自贸钦审批环〔2022〕34 号</w:t>
                  </w:r>
                </w:p>
              </w:tc>
              <w:tc>
                <w:tcPr>
                  <w:tcW w:w="1134" w:type="dxa"/>
                  <w:vAlign w:val="center"/>
                </w:tcPr>
                <w:p w14:paraId="28871FFF">
                  <w:pPr>
                    <w:pStyle w:val="42"/>
                  </w:pPr>
                  <w:r>
                    <w:rPr>
                      <w:rFonts w:hint="eastAsia"/>
                    </w:rPr>
                    <w:t>已建成</w:t>
                  </w:r>
                </w:p>
              </w:tc>
              <w:tc>
                <w:tcPr>
                  <w:tcW w:w="1114" w:type="dxa"/>
                  <w:vAlign w:val="center"/>
                </w:tcPr>
                <w:p w14:paraId="62E3514D">
                  <w:pPr>
                    <w:pStyle w:val="42"/>
                  </w:pPr>
                  <w:r>
                    <w:rPr>
                      <w:rFonts w:hint="eastAsia"/>
                    </w:rPr>
                    <w:t>已验收</w:t>
                  </w:r>
                </w:p>
              </w:tc>
            </w:tr>
            <w:tr w14:paraId="7CF6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dxa"/>
                  <w:vAlign w:val="center"/>
                </w:tcPr>
                <w:p w14:paraId="7AFE2AD5">
                  <w:pPr>
                    <w:pStyle w:val="42"/>
                  </w:pPr>
                  <w:r>
                    <w:rPr>
                      <w:rFonts w:hint="eastAsia"/>
                    </w:rPr>
                    <w:t>4</w:t>
                  </w:r>
                </w:p>
              </w:tc>
              <w:tc>
                <w:tcPr>
                  <w:tcW w:w="1559" w:type="dxa"/>
                  <w:vAlign w:val="center"/>
                </w:tcPr>
                <w:p w14:paraId="03BE171B">
                  <w:pPr>
                    <w:pStyle w:val="42"/>
                  </w:pPr>
                  <w:r>
                    <w:rPr>
                      <w:rFonts w:hint="eastAsia"/>
                    </w:rPr>
                    <w:t>氮气管道工程-林德气体（广西）有限公司至广西新天德能源有限公司</w:t>
                  </w:r>
                </w:p>
              </w:tc>
              <w:tc>
                <w:tcPr>
                  <w:tcW w:w="2061" w:type="dxa"/>
                  <w:vAlign w:val="center"/>
                </w:tcPr>
                <w:p w14:paraId="2E8925AD">
                  <w:pPr>
                    <w:pStyle w:val="42"/>
                  </w:pPr>
                  <w:r>
                    <w:rPr>
                      <w:rFonts w:hint="eastAsia"/>
                    </w:rPr>
                    <w:t>新建一条林德气体（广西）有限公司到广西新天德能源有限公司的氮气管道，总长</w:t>
                  </w:r>
                  <w:r>
                    <w:rPr>
                      <w:rFonts w:hint="eastAsia"/>
                      <w:lang w:eastAsia="zh-CN"/>
                    </w:rPr>
                    <w:t>约</w:t>
                  </w:r>
                  <w:r>
                    <w:rPr>
                      <w:rFonts w:hint="eastAsia"/>
                    </w:rPr>
                    <w:t>1.6km，管径DN500/DN250</w:t>
                  </w:r>
                </w:p>
              </w:tc>
              <w:tc>
                <w:tcPr>
                  <w:tcW w:w="1766" w:type="dxa"/>
                  <w:vAlign w:val="center"/>
                </w:tcPr>
                <w:p w14:paraId="5E772088">
                  <w:pPr>
                    <w:pStyle w:val="42"/>
                  </w:pPr>
                  <w:r>
                    <w:rPr>
                      <w:rFonts w:hint="eastAsia"/>
                    </w:rPr>
                    <w:t>2023.9.19 取得环评批复，批文号：自贸钦审批环〔2023〕43 号</w:t>
                  </w:r>
                </w:p>
              </w:tc>
              <w:tc>
                <w:tcPr>
                  <w:tcW w:w="1134" w:type="dxa"/>
                  <w:vAlign w:val="center"/>
                </w:tcPr>
                <w:p w14:paraId="1B27F493">
                  <w:pPr>
                    <w:pStyle w:val="42"/>
                  </w:pPr>
                  <w:r>
                    <w:rPr>
                      <w:rFonts w:hint="eastAsia"/>
                    </w:rPr>
                    <w:t>已建成</w:t>
                  </w:r>
                </w:p>
              </w:tc>
              <w:tc>
                <w:tcPr>
                  <w:tcW w:w="1114" w:type="dxa"/>
                  <w:vAlign w:val="center"/>
                </w:tcPr>
                <w:p w14:paraId="66DE65D8">
                  <w:pPr>
                    <w:pStyle w:val="42"/>
                  </w:pPr>
                  <w:r>
                    <w:rPr>
                      <w:rFonts w:hint="eastAsia"/>
                    </w:rPr>
                    <w:t>已验收</w:t>
                  </w:r>
                </w:p>
              </w:tc>
            </w:tr>
          </w:tbl>
          <w:p w14:paraId="04ECA05F">
            <w:pPr>
              <w:pStyle w:val="41"/>
              <w:ind w:firstLine="480"/>
            </w:pPr>
          </w:p>
          <w:p w14:paraId="04D10101">
            <w:pPr>
              <w:pStyle w:val="41"/>
              <w:ind w:firstLine="482"/>
              <w:rPr>
                <w:b/>
                <w:bCs/>
              </w:rPr>
            </w:pPr>
            <w:r>
              <w:rPr>
                <w:rFonts w:hint="eastAsia"/>
                <w:b/>
                <w:bCs/>
              </w:rPr>
              <w:t>二、现有工程情况</w:t>
            </w:r>
          </w:p>
          <w:p w14:paraId="61204872">
            <w:pPr>
              <w:pStyle w:val="41"/>
              <w:ind w:firstLine="482"/>
              <w:rPr>
                <w:b/>
                <w:bCs/>
              </w:rPr>
            </w:pPr>
            <w:r>
              <w:rPr>
                <w:rFonts w:hint="eastAsia"/>
                <w:b/>
                <w:bCs/>
              </w:rPr>
              <w:t>1、现有工程组成</w:t>
            </w:r>
          </w:p>
          <w:p w14:paraId="2E882963">
            <w:pPr>
              <w:pStyle w:val="41"/>
              <w:ind w:firstLine="480"/>
            </w:pPr>
            <w:r>
              <w:rPr>
                <w:rFonts w:hint="eastAsia"/>
              </w:rPr>
              <w:t>①广西华谊能源化工配套空分项目</w:t>
            </w:r>
          </w:p>
          <w:p w14:paraId="38A88AFD">
            <w:pPr>
              <w:pStyle w:val="41"/>
              <w:numPr>
                <w:ilvl w:val="0"/>
                <w:numId w:val="7"/>
              </w:numPr>
              <w:spacing w:line="240" w:lineRule="auto"/>
              <w:ind w:firstLineChars="0"/>
              <w:jc w:val="center"/>
              <w:rPr>
                <w:b/>
                <w:bCs/>
                <w:sz w:val="21"/>
                <w:szCs w:val="21"/>
              </w:rPr>
            </w:pPr>
            <w:r>
              <w:rPr>
                <w:rFonts w:hint="eastAsia"/>
                <w:b/>
                <w:bCs/>
                <w:sz w:val="21"/>
                <w:szCs w:val="21"/>
              </w:rPr>
              <w:t>空分项目主要建设内容一览表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08"/>
              <w:gridCol w:w="1134"/>
              <w:gridCol w:w="4044"/>
              <w:gridCol w:w="1606"/>
            </w:tblGrid>
            <w:tr w14:paraId="2898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5" w:type="dxa"/>
                  <w:vAlign w:val="center"/>
                </w:tcPr>
                <w:p w14:paraId="34E8E573">
                  <w:pPr>
                    <w:pStyle w:val="42"/>
                    <w:rPr>
                      <w:b/>
                      <w:bCs/>
                    </w:rPr>
                  </w:pPr>
                  <w:r>
                    <w:rPr>
                      <w:rFonts w:hint="eastAsia"/>
                      <w:b/>
                      <w:bCs/>
                    </w:rPr>
                    <w:t>序号</w:t>
                  </w:r>
                </w:p>
              </w:tc>
              <w:tc>
                <w:tcPr>
                  <w:tcW w:w="708" w:type="dxa"/>
                  <w:vAlign w:val="center"/>
                </w:tcPr>
                <w:p w14:paraId="65B748F0">
                  <w:pPr>
                    <w:pStyle w:val="42"/>
                    <w:rPr>
                      <w:b/>
                      <w:bCs/>
                    </w:rPr>
                  </w:pPr>
                  <w:r>
                    <w:rPr>
                      <w:rFonts w:hint="eastAsia"/>
                      <w:b/>
                      <w:bCs/>
                    </w:rPr>
                    <w:t>项目类别</w:t>
                  </w:r>
                </w:p>
              </w:tc>
              <w:tc>
                <w:tcPr>
                  <w:tcW w:w="1134" w:type="dxa"/>
                  <w:vAlign w:val="center"/>
                </w:tcPr>
                <w:p w14:paraId="43760910">
                  <w:pPr>
                    <w:pStyle w:val="42"/>
                    <w:rPr>
                      <w:b/>
                      <w:bCs/>
                    </w:rPr>
                  </w:pPr>
                  <w:r>
                    <w:rPr>
                      <w:rFonts w:hint="eastAsia"/>
                      <w:b/>
                      <w:bCs/>
                    </w:rPr>
                    <w:t>单项工程名称</w:t>
                  </w:r>
                </w:p>
              </w:tc>
              <w:tc>
                <w:tcPr>
                  <w:tcW w:w="4044" w:type="dxa"/>
                  <w:vAlign w:val="center"/>
                </w:tcPr>
                <w:p w14:paraId="2246778B">
                  <w:pPr>
                    <w:pStyle w:val="42"/>
                    <w:rPr>
                      <w:b/>
                      <w:bCs/>
                    </w:rPr>
                  </w:pPr>
                  <w:r>
                    <w:rPr>
                      <w:rFonts w:hint="eastAsia"/>
                      <w:b/>
                      <w:bCs/>
                    </w:rPr>
                    <w:t>工程内容及设备</w:t>
                  </w:r>
                </w:p>
              </w:tc>
              <w:tc>
                <w:tcPr>
                  <w:tcW w:w="1606" w:type="dxa"/>
                  <w:vAlign w:val="center"/>
                </w:tcPr>
                <w:p w14:paraId="0464C2FA">
                  <w:pPr>
                    <w:pStyle w:val="42"/>
                    <w:rPr>
                      <w:b/>
                      <w:bCs/>
                    </w:rPr>
                  </w:pPr>
                  <w:r>
                    <w:rPr>
                      <w:rFonts w:hint="eastAsia"/>
                      <w:b/>
                      <w:bCs/>
                    </w:rPr>
                    <w:t>工程规模</w:t>
                  </w:r>
                </w:p>
              </w:tc>
            </w:tr>
            <w:tr w14:paraId="5C88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01AA7762">
                  <w:pPr>
                    <w:pStyle w:val="42"/>
                  </w:pPr>
                  <w:r>
                    <w:t>1</w:t>
                  </w:r>
                </w:p>
              </w:tc>
              <w:tc>
                <w:tcPr>
                  <w:tcW w:w="708" w:type="dxa"/>
                  <w:vMerge w:val="restart"/>
                  <w:vAlign w:val="center"/>
                </w:tcPr>
                <w:p w14:paraId="03B29278">
                  <w:pPr>
                    <w:pStyle w:val="42"/>
                  </w:pPr>
                  <w:r>
                    <w:rPr>
                      <w:rFonts w:hint="eastAsia"/>
                    </w:rPr>
                    <w:t>主体工程</w:t>
                  </w:r>
                </w:p>
              </w:tc>
              <w:tc>
                <w:tcPr>
                  <w:tcW w:w="1134" w:type="dxa"/>
                  <w:vAlign w:val="center"/>
                </w:tcPr>
                <w:p w14:paraId="74A9AAFC">
                  <w:pPr>
                    <w:pStyle w:val="42"/>
                  </w:pPr>
                  <w:r>
                    <w:rPr>
                      <w:rFonts w:hint="eastAsia"/>
                    </w:rPr>
                    <w:t>压缩机厂房1</w:t>
                  </w:r>
                </w:p>
              </w:tc>
              <w:tc>
                <w:tcPr>
                  <w:tcW w:w="4044" w:type="dxa"/>
                  <w:vAlign w:val="center"/>
                </w:tcPr>
                <w:p w14:paraId="2C116885">
                  <w:pPr>
                    <w:pStyle w:val="42"/>
                  </w:pPr>
                  <w:r>
                    <w:rPr>
                      <w:rFonts w:hint="eastAsia"/>
                    </w:rPr>
                    <w:t>单层，层高为26m，内部设置空压机、氮泵、冷水机组等。</w:t>
                  </w:r>
                </w:p>
              </w:tc>
              <w:tc>
                <w:tcPr>
                  <w:tcW w:w="1606" w:type="dxa"/>
                  <w:vAlign w:val="center"/>
                </w:tcPr>
                <w:p w14:paraId="32E37EEC">
                  <w:pPr>
                    <w:pStyle w:val="42"/>
                  </w:pPr>
                  <w:r>
                    <w:t>1668.42m</w:t>
                  </w:r>
                  <w:r>
                    <w:rPr>
                      <w:vertAlign w:val="superscript"/>
                    </w:rPr>
                    <w:t>2</w:t>
                  </w:r>
                </w:p>
              </w:tc>
            </w:tr>
            <w:tr w14:paraId="4C01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E83216E">
                  <w:pPr>
                    <w:pStyle w:val="42"/>
                  </w:pPr>
                </w:p>
              </w:tc>
              <w:tc>
                <w:tcPr>
                  <w:tcW w:w="708" w:type="dxa"/>
                  <w:vMerge w:val="continue"/>
                  <w:vAlign w:val="center"/>
                </w:tcPr>
                <w:p w14:paraId="57A63DBE">
                  <w:pPr>
                    <w:pStyle w:val="42"/>
                  </w:pPr>
                </w:p>
              </w:tc>
              <w:tc>
                <w:tcPr>
                  <w:tcW w:w="1134" w:type="dxa"/>
                  <w:vAlign w:val="center"/>
                </w:tcPr>
                <w:p w14:paraId="1F9B987D">
                  <w:pPr>
                    <w:pStyle w:val="42"/>
                  </w:pPr>
                  <w:r>
                    <w:rPr>
                      <w:rFonts w:hint="eastAsia"/>
                    </w:rPr>
                    <w:t>压缩机厂房2</w:t>
                  </w:r>
                </w:p>
              </w:tc>
              <w:tc>
                <w:tcPr>
                  <w:tcW w:w="4044" w:type="dxa"/>
                  <w:vAlign w:val="center"/>
                </w:tcPr>
                <w:p w14:paraId="2F35AD8E">
                  <w:pPr>
                    <w:pStyle w:val="42"/>
                  </w:pPr>
                  <w:r>
                    <w:rPr>
                      <w:rFonts w:hint="eastAsia"/>
                    </w:rPr>
                    <w:t>单层，层高为26m，内部设置空压机、氮泵、冷水机组等。</w:t>
                  </w:r>
                </w:p>
              </w:tc>
              <w:tc>
                <w:tcPr>
                  <w:tcW w:w="1606" w:type="dxa"/>
                  <w:vAlign w:val="center"/>
                </w:tcPr>
                <w:p w14:paraId="394FF8A1">
                  <w:pPr>
                    <w:pStyle w:val="42"/>
                  </w:pPr>
                  <w:r>
                    <w:t>1668.42m</w:t>
                  </w:r>
                  <w:r>
                    <w:rPr>
                      <w:vertAlign w:val="superscript"/>
                    </w:rPr>
                    <w:t>2</w:t>
                  </w:r>
                </w:p>
              </w:tc>
            </w:tr>
            <w:tr w14:paraId="1C40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33BB815">
                  <w:pPr>
                    <w:pStyle w:val="42"/>
                  </w:pPr>
                </w:p>
              </w:tc>
              <w:tc>
                <w:tcPr>
                  <w:tcW w:w="708" w:type="dxa"/>
                  <w:vMerge w:val="continue"/>
                  <w:vAlign w:val="center"/>
                </w:tcPr>
                <w:p w14:paraId="2511C2DD">
                  <w:pPr>
                    <w:pStyle w:val="42"/>
                  </w:pPr>
                </w:p>
              </w:tc>
              <w:tc>
                <w:tcPr>
                  <w:tcW w:w="1134" w:type="dxa"/>
                  <w:vAlign w:val="center"/>
                </w:tcPr>
                <w:p w14:paraId="356D6BD5">
                  <w:pPr>
                    <w:pStyle w:val="42"/>
                  </w:pPr>
                  <w:r>
                    <w:rPr>
                      <w:rFonts w:hint="eastAsia"/>
                    </w:rPr>
                    <w:t>压缩机厂房3</w:t>
                  </w:r>
                </w:p>
              </w:tc>
              <w:tc>
                <w:tcPr>
                  <w:tcW w:w="4044" w:type="dxa"/>
                  <w:vAlign w:val="center"/>
                </w:tcPr>
                <w:p w14:paraId="41CEA92A">
                  <w:pPr>
                    <w:pStyle w:val="42"/>
                  </w:pPr>
                  <w:r>
                    <w:rPr>
                      <w:rFonts w:hint="eastAsia"/>
                    </w:rPr>
                    <w:t>单层，层高为26m/12.5m，内部设置空压机、氮泵、冷水机组等。</w:t>
                  </w:r>
                </w:p>
              </w:tc>
              <w:tc>
                <w:tcPr>
                  <w:tcW w:w="1606" w:type="dxa"/>
                  <w:vAlign w:val="center"/>
                </w:tcPr>
                <w:p w14:paraId="303C817B">
                  <w:pPr>
                    <w:pStyle w:val="42"/>
                  </w:pPr>
                  <w:r>
                    <w:t>2059.02m</w:t>
                  </w:r>
                  <w:r>
                    <w:rPr>
                      <w:vertAlign w:val="superscript"/>
                    </w:rPr>
                    <w:t>2</w:t>
                  </w:r>
                </w:p>
              </w:tc>
            </w:tr>
            <w:tr w14:paraId="52FA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6356DE13">
                  <w:pPr>
                    <w:pStyle w:val="42"/>
                  </w:pPr>
                  <w:r>
                    <w:t>2</w:t>
                  </w:r>
                </w:p>
              </w:tc>
              <w:tc>
                <w:tcPr>
                  <w:tcW w:w="708" w:type="dxa"/>
                  <w:vMerge w:val="restart"/>
                  <w:vAlign w:val="center"/>
                </w:tcPr>
                <w:p w14:paraId="16926EC6">
                  <w:pPr>
                    <w:pStyle w:val="42"/>
                  </w:pPr>
                  <w:r>
                    <w:rPr>
                      <w:rFonts w:hint="eastAsia"/>
                    </w:rPr>
                    <w:t>配套工程</w:t>
                  </w:r>
                </w:p>
              </w:tc>
              <w:tc>
                <w:tcPr>
                  <w:tcW w:w="1134" w:type="dxa"/>
                  <w:vAlign w:val="center"/>
                </w:tcPr>
                <w:p w14:paraId="0AB05CAD">
                  <w:pPr>
                    <w:pStyle w:val="42"/>
                  </w:pPr>
                  <w:r>
                    <w:rPr>
                      <w:rFonts w:hint="eastAsia"/>
                    </w:rPr>
                    <w:t>办公楼及主控楼</w:t>
                  </w:r>
                </w:p>
              </w:tc>
              <w:tc>
                <w:tcPr>
                  <w:tcW w:w="4044" w:type="dxa"/>
                  <w:vAlign w:val="center"/>
                </w:tcPr>
                <w:p w14:paraId="2AE01BE9">
                  <w:pPr>
                    <w:pStyle w:val="42"/>
                  </w:pPr>
                  <w:r>
                    <w:rPr>
                      <w:rFonts w:hint="eastAsia"/>
                    </w:rPr>
                    <w:t>2层，层高为3.6m，设置办公室，卫生间，会议室等。</w:t>
                  </w:r>
                </w:p>
              </w:tc>
              <w:tc>
                <w:tcPr>
                  <w:tcW w:w="1606" w:type="dxa"/>
                  <w:vAlign w:val="center"/>
                </w:tcPr>
                <w:p w14:paraId="729B82EC">
                  <w:pPr>
                    <w:pStyle w:val="42"/>
                  </w:pPr>
                  <w:r>
                    <w:t>931.84m</w:t>
                  </w:r>
                  <w:r>
                    <w:rPr>
                      <w:vertAlign w:val="superscript"/>
                    </w:rPr>
                    <w:t>2</w:t>
                  </w:r>
                </w:p>
              </w:tc>
            </w:tr>
            <w:tr w14:paraId="5914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0987B78">
                  <w:pPr>
                    <w:pStyle w:val="42"/>
                  </w:pPr>
                </w:p>
              </w:tc>
              <w:tc>
                <w:tcPr>
                  <w:tcW w:w="708" w:type="dxa"/>
                  <w:vMerge w:val="continue"/>
                  <w:vAlign w:val="center"/>
                </w:tcPr>
                <w:p w14:paraId="24C5A015">
                  <w:pPr>
                    <w:pStyle w:val="42"/>
                  </w:pPr>
                </w:p>
              </w:tc>
              <w:tc>
                <w:tcPr>
                  <w:tcW w:w="1134" w:type="dxa"/>
                  <w:vAlign w:val="center"/>
                </w:tcPr>
                <w:p w14:paraId="4C9B1846">
                  <w:pPr>
                    <w:pStyle w:val="42"/>
                  </w:pPr>
                  <w:r>
                    <w:rPr>
                      <w:rFonts w:hint="eastAsia"/>
                    </w:rPr>
                    <w:t>备品及维修间</w:t>
                  </w:r>
                </w:p>
              </w:tc>
              <w:tc>
                <w:tcPr>
                  <w:tcW w:w="4044" w:type="dxa"/>
                  <w:vAlign w:val="center"/>
                </w:tcPr>
                <w:p w14:paraId="74FF1CAE">
                  <w:pPr>
                    <w:pStyle w:val="42"/>
                  </w:pPr>
                  <w:r>
                    <w:rPr>
                      <w:rFonts w:hint="eastAsia"/>
                    </w:rPr>
                    <w:t>单层，层高为5m，主要用于存放维修的装备。</w:t>
                  </w:r>
                </w:p>
              </w:tc>
              <w:tc>
                <w:tcPr>
                  <w:tcW w:w="1606" w:type="dxa"/>
                  <w:vAlign w:val="center"/>
                </w:tcPr>
                <w:p w14:paraId="79FC2496">
                  <w:pPr>
                    <w:pStyle w:val="42"/>
                  </w:pPr>
                  <w:r>
                    <w:rPr>
                      <w:rFonts w:hint="eastAsia"/>
                    </w:rPr>
                    <w:t>519.75 m</w:t>
                  </w:r>
                  <w:r>
                    <w:rPr>
                      <w:rFonts w:hint="eastAsia"/>
                      <w:vertAlign w:val="superscript"/>
                    </w:rPr>
                    <w:t>2</w:t>
                  </w:r>
                </w:p>
              </w:tc>
            </w:tr>
            <w:tr w14:paraId="6C36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3546431">
                  <w:pPr>
                    <w:pStyle w:val="42"/>
                  </w:pPr>
                </w:p>
              </w:tc>
              <w:tc>
                <w:tcPr>
                  <w:tcW w:w="708" w:type="dxa"/>
                  <w:vMerge w:val="continue"/>
                  <w:vAlign w:val="center"/>
                </w:tcPr>
                <w:p w14:paraId="579469D7">
                  <w:pPr>
                    <w:pStyle w:val="42"/>
                  </w:pPr>
                </w:p>
              </w:tc>
              <w:tc>
                <w:tcPr>
                  <w:tcW w:w="1134" w:type="dxa"/>
                  <w:vAlign w:val="center"/>
                </w:tcPr>
                <w:p w14:paraId="73AD463B">
                  <w:pPr>
                    <w:pStyle w:val="42"/>
                  </w:pPr>
                  <w:r>
                    <w:rPr>
                      <w:rFonts w:hint="eastAsia"/>
                    </w:rPr>
                    <w:t>固废储存间</w:t>
                  </w:r>
                </w:p>
              </w:tc>
              <w:tc>
                <w:tcPr>
                  <w:tcW w:w="4044" w:type="dxa"/>
                  <w:vAlign w:val="center"/>
                </w:tcPr>
                <w:p w14:paraId="596C3035">
                  <w:pPr>
                    <w:pStyle w:val="42"/>
                  </w:pPr>
                  <w:r>
                    <w:rPr>
                      <w:rFonts w:hint="eastAsia"/>
                    </w:rPr>
                    <w:t>单层，层高为3.5m，主要用于贮存一般工业固废，如废分子筛。</w:t>
                  </w:r>
                </w:p>
              </w:tc>
              <w:tc>
                <w:tcPr>
                  <w:tcW w:w="1606" w:type="dxa"/>
                  <w:vAlign w:val="center"/>
                </w:tcPr>
                <w:p w14:paraId="268234F3">
                  <w:pPr>
                    <w:pStyle w:val="42"/>
                  </w:pPr>
                  <w:r>
                    <w:t>46 m</w:t>
                  </w:r>
                  <w:r>
                    <w:rPr>
                      <w:vertAlign w:val="superscript"/>
                    </w:rPr>
                    <w:t>2</w:t>
                  </w:r>
                </w:p>
              </w:tc>
            </w:tr>
            <w:tr w14:paraId="15C3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40FBFAE">
                  <w:pPr>
                    <w:pStyle w:val="42"/>
                  </w:pPr>
                </w:p>
              </w:tc>
              <w:tc>
                <w:tcPr>
                  <w:tcW w:w="708" w:type="dxa"/>
                  <w:vMerge w:val="continue"/>
                  <w:vAlign w:val="center"/>
                </w:tcPr>
                <w:p w14:paraId="1B397285">
                  <w:pPr>
                    <w:pStyle w:val="42"/>
                  </w:pPr>
                </w:p>
              </w:tc>
              <w:tc>
                <w:tcPr>
                  <w:tcW w:w="1134" w:type="dxa"/>
                  <w:vAlign w:val="center"/>
                </w:tcPr>
                <w:p w14:paraId="05EB18FC">
                  <w:pPr>
                    <w:pStyle w:val="42"/>
                  </w:pPr>
                  <w:r>
                    <w:rPr>
                      <w:rFonts w:hint="eastAsia"/>
                    </w:rPr>
                    <w:t>润滑油储存间</w:t>
                  </w:r>
                </w:p>
              </w:tc>
              <w:tc>
                <w:tcPr>
                  <w:tcW w:w="4044" w:type="dxa"/>
                  <w:vAlign w:val="center"/>
                </w:tcPr>
                <w:p w14:paraId="272A25A9">
                  <w:pPr>
                    <w:pStyle w:val="42"/>
                  </w:pPr>
                  <w:r>
                    <w:rPr>
                      <w:rFonts w:hint="eastAsia"/>
                    </w:rPr>
                    <w:t>单层，层高为3.5m，按照危废暂存要求建设，主要用于贮存废机油。</w:t>
                  </w:r>
                </w:p>
              </w:tc>
              <w:tc>
                <w:tcPr>
                  <w:tcW w:w="1606" w:type="dxa"/>
                  <w:vAlign w:val="center"/>
                </w:tcPr>
                <w:p w14:paraId="16F37B05">
                  <w:pPr>
                    <w:pStyle w:val="42"/>
                  </w:pPr>
                  <w:r>
                    <w:t>126 m</w:t>
                  </w:r>
                  <w:r>
                    <w:rPr>
                      <w:vertAlign w:val="superscript"/>
                    </w:rPr>
                    <w:t>2</w:t>
                  </w:r>
                </w:p>
              </w:tc>
            </w:tr>
            <w:tr w14:paraId="43CE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7C6BAD5E">
                  <w:pPr>
                    <w:pStyle w:val="42"/>
                  </w:pPr>
                  <w:r>
                    <w:t>3</w:t>
                  </w:r>
                </w:p>
              </w:tc>
              <w:tc>
                <w:tcPr>
                  <w:tcW w:w="708" w:type="dxa"/>
                  <w:vMerge w:val="restart"/>
                  <w:vAlign w:val="center"/>
                </w:tcPr>
                <w:p w14:paraId="49E6F379">
                  <w:pPr>
                    <w:pStyle w:val="42"/>
                  </w:pPr>
                  <w:r>
                    <w:rPr>
                      <w:rFonts w:hint="eastAsia"/>
                    </w:rPr>
                    <w:t>公用工程</w:t>
                  </w:r>
                </w:p>
              </w:tc>
              <w:tc>
                <w:tcPr>
                  <w:tcW w:w="1134" w:type="dxa"/>
                  <w:vAlign w:val="center"/>
                </w:tcPr>
                <w:p w14:paraId="3C173A68">
                  <w:pPr>
                    <w:pStyle w:val="42"/>
                  </w:pPr>
                  <w:r>
                    <w:rPr>
                      <w:rFonts w:hint="eastAsia"/>
                    </w:rPr>
                    <w:t>给水</w:t>
                  </w:r>
                </w:p>
              </w:tc>
              <w:tc>
                <w:tcPr>
                  <w:tcW w:w="5650" w:type="dxa"/>
                  <w:gridSpan w:val="2"/>
                  <w:vAlign w:val="center"/>
                </w:tcPr>
                <w:p w14:paraId="62286C44">
                  <w:pPr>
                    <w:pStyle w:val="42"/>
                  </w:pPr>
                  <w:r>
                    <w:rPr>
                      <w:rFonts w:hint="eastAsia"/>
                    </w:rPr>
                    <w:t>本项目淡水总水量为140355864.6m</w:t>
                  </w:r>
                  <w:r>
                    <w:rPr>
                      <w:rFonts w:hint="eastAsia"/>
                      <w:vertAlign w:val="superscript"/>
                    </w:rPr>
                    <w:t>3</w:t>
                  </w:r>
                  <w:r>
                    <w:rPr>
                      <w:rFonts w:hint="eastAsia"/>
                    </w:rPr>
                    <w:t>/a，淡水新鲜水量为2547864.6m</w:t>
                  </w:r>
                  <w:r>
                    <w:rPr>
                      <w:rFonts w:hint="eastAsia"/>
                      <w:vertAlign w:val="superscript"/>
                    </w:rPr>
                    <w:t>3</w:t>
                  </w:r>
                  <w:r>
                    <w:rPr>
                      <w:rFonts w:hint="eastAsia"/>
                    </w:rPr>
                    <w:t>/a，淡水工业用水量为140355360m</w:t>
                  </w:r>
                  <w:r>
                    <w:rPr>
                      <w:rFonts w:hint="eastAsia"/>
                      <w:vertAlign w:val="superscript"/>
                    </w:rPr>
                    <w:t>3</w:t>
                  </w:r>
                  <w:r>
                    <w:rPr>
                      <w:rFonts w:hint="eastAsia"/>
                    </w:rPr>
                    <w:t>/a，生活用水为504.6m</w:t>
                  </w:r>
                  <w:r>
                    <w:rPr>
                      <w:rFonts w:hint="eastAsia"/>
                      <w:vertAlign w:val="superscript"/>
                    </w:rPr>
                    <w:t>3</w:t>
                  </w:r>
                  <w:r>
                    <w:rPr>
                      <w:rFonts w:hint="eastAsia"/>
                    </w:rPr>
                    <w:t>/a。工业用水由广西华谊能源化工有限公司供给，生活用水由国投钦电供给；海水用水由国投钦电供给；一次消防总用水量按648m</w:t>
                  </w:r>
                  <w:r>
                    <w:rPr>
                      <w:rFonts w:hint="eastAsia"/>
                      <w:vertAlign w:val="superscript"/>
                    </w:rPr>
                    <w:t>3</w:t>
                  </w:r>
                  <w:r>
                    <w:rPr>
                      <w:rFonts w:hint="eastAsia"/>
                    </w:rPr>
                    <w:t>计，</w:t>
                  </w:r>
                  <w:r>
                    <w:rPr>
                      <w:rFonts w:hint="eastAsia"/>
                      <w:lang w:eastAsia="zh-CN"/>
                    </w:rPr>
                    <w:t>室内外</w:t>
                  </w:r>
                  <w:r>
                    <w:rPr>
                      <w:rFonts w:hint="eastAsia"/>
                    </w:rPr>
                    <w:t>消防水量均由消防水池内储水经消防泵房加压后提供。消防水池有效容积为650m</w:t>
                  </w:r>
                  <w:r>
                    <w:rPr>
                      <w:rFonts w:hint="eastAsia"/>
                      <w:vertAlign w:val="superscript"/>
                    </w:rPr>
                    <w:t>3</w:t>
                  </w:r>
                  <w:r>
                    <w:rPr>
                      <w:rFonts w:hint="eastAsia"/>
                    </w:rPr>
                    <w:t>，消防用水补充水由广西华谊能源化工有限公司供给。</w:t>
                  </w:r>
                </w:p>
              </w:tc>
            </w:tr>
            <w:tr w14:paraId="3099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B91D2E0">
                  <w:pPr>
                    <w:pStyle w:val="42"/>
                  </w:pPr>
                </w:p>
              </w:tc>
              <w:tc>
                <w:tcPr>
                  <w:tcW w:w="708" w:type="dxa"/>
                  <w:vMerge w:val="continue"/>
                  <w:vAlign w:val="center"/>
                </w:tcPr>
                <w:p w14:paraId="0453B1EC">
                  <w:pPr>
                    <w:pStyle w:val="42"/>
                  </w:pPr>
                </w:p>
              </w:tc>
              <w:tc>
                <w:tcPr>
                  <w:tcW w:w="1134" w:type="dxa"/>
                  <w:vAlign w:val="center"/>
                </w:tcPr>
                <w:p w14:paraId="19DD5658">
                  <w:pPr>
                    <w:pStyle w:val="42"/>
                  </w:pPr>
                  <w:r>
                    <w:rPr>
                      <w:rFonts w:hint="eastAsia"/>
                    </w:rPr>
                    <w:t>排水</w:t>
                  </w:r>
                </w:p>
              </w:tc>
              <w:tc>
                <w:tcPr>
                  <w:tcW w:w="5650" w:type="dxa"/>
                  <w:gridSpan w:val="2"/>
                  <w:vAlign w:val="center"/>
                </w:tcPr>
                <w:p w14:paraId="5B463CDE">
                  <w:pPr>
                    <w:pStyle w:val="42"/>
                  </w:pPr>
                  <w:r>
                    <w:rPr>
                      <w:rFonts w:hint="eastAsia"/>
                    </w:rPr>
                    <w:t>本项目生活污水经化粪池处理后，排入国投钦电生活污水系统，处理达标后用于厂区绿化；循环废水排至国投钦电工业废水系统处理，处理达标后全部回用。</w:t>
                  </w:r>
                </w:p>
              </w:tc>
            </w:tr>
            <w:tr w14:paraId="40BD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D4F5D5E">
                  <w:pPr>
                    <w:pStyle w:val="42"/>
                  </w:pPr>
                </w:p>
              </w:tc>
              <w:tc>
                <w:tcPr>
                  <w:tcW w:w="708" w:type="dxa"/>
                  <w:vMerge w:val="continue"/>
                  <w:vAlign w:val="center"/>
                </w:tcPr>
                <w:p w14:paraId="08BD9D0B">
                  <w:pPr>
                    <w:pStyle w:val="42"/>
                  </w:pPr>
                </w:p>
              </w:tc>
              <w:tc>
                <w:tcPr>
                  <w:tcW w:w="1134" w:type="dxa"/>
                  <w:vAlign w:val="center"/>
                </w:tcPr>
                <w:p w14:paraId="6D3E63D1">
                  <w:pPr>
                    <w:pStyle w:val="42"/>
                  </w:pPr>
                  <w:r>
                    <w:rPr>
                      <w:rFonts w:hint="eastAsia"/>
                    </w:rPr>
                    <w:t>供电</w:t>
                  </w:r>
                </w:p>
              </w:tc>
              <w:tc>
                <w:tcPr>
                  <w:tcW w:w="5650" w:type="dxa"/>
                  <w:gridSpan w:val="2"/>
                  <w:vAlign w:val="center"/>
                </w:tcPr>
                <w:p w14:paraId="0D884B4E">
                  <w:pPr>
                    <w:pStyle w:val="42"/>
                  </w:pPr>
                  <w:r>
                    <w:rPr>
                      <w:rFonts w:hint="eastAsia"/>
                    </w:rPr>
                    <w:t>本项目年耗电量5833.8×10</w:t>
                  </w:r>
                  <w:r>
                    <w:rPr>
                      <w:rFonts w:hint="eastAsia"/>
                      <w:vertAlign w:val="superscript"/>
                    </w:rPr>
                    <w:t>4</w:t>
                  </w:r>
                  <w:r>
                    <w:rPr>
                      <w:rFonts w:hint="eastAsia"/>
                    </w:rPr>
                    <w:t>KWh/a，由国投钦电提供，供电线路送电能力满足本项目全部用电需求。</w:t>
                  </w:r>
                </w:p>
              </w:tc>
            </w:tr>
            <w:tr w14:paraId="750B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466C539D">
                  <w:pPr>
                    <w:pStyle w:val="42"/>
                  </w:pPr>
                </w:p>
              </w:tc>
              <w:tc>
                <w:tcPr>
                  <w:tcW w:w="708" w:type="dxa"/>
                  <w:vMerge w:val="continue"/>
                  <w:vAlign w:val="center"/>
                </w:tcPr>
                <w:p w14:paraId="44D08720">
                  <w:pPr>
                    <w:pStyle w:val="42"/>
                  </w:pPr>
                </w:p>
              </w:tc>
              <w:tc>
                <w:tcPr>
                  <w:tcW w:w="1134" w:type="dxa"/>
                  <w:vAlign w:val="center"/>
                </w:tcPr>
                <w:p w14:paraId="0EDCAF58">
                  <w:pPr>
                    <w:pStyle w:val="42"/>
                  </w:pPr>
                  <w:r>
                    <w:rPr>
                      <w:rFonts w:hint="eastAsia"/>
                    </w:rPr>
                    <w:t>供汽</w:t>
                  </w:r>
                </w:p>
              </w:tc>
              <w:tc>
                <w:tcPr>
                  <w:tcW w:w="5650" w:type="dxa"/>
                  <w:gridSpan w:val="2"/>
                  <w:vAlign w:val="center"/>
                </w:tcPr>
                <w:p w14:paraId="433F78D8">
                  <w:pPr>
                    <w:pStyle w:val="42"/>
                  </w:pPr>
                  <w:r>
                    <w:rPr>
                      <w:rFonts w:hint="eastAsia"/>
                    </w:rPr>
                    <w:t>蒸汽消耗量为3745799.64t/a</w:t>
                  </w:r>
                  <w:r>
                    <w:rPr>
                      <w:rFonts w:hint="eastAsia"/>
                      <w:lang w:eastAsia="zh-CN"/>
                    </w:rPr>
                    <w:t>，主</w:t>
                  </w:r>
                  <w:r>
                    <w:rPr>
                      <w:rFonts w:hint="eastAsia"/>
                    </w:rPr>
                    <w:t>要用于三套装置蒸汽透平机驱动和三套装置分子筛再生加热器间歇使用。由国投钦电蒸汽管网系统提供。</w:t>
                  </w:r>
                </w:p>
              </w:tc>
            </w:tr>
            <w:tr w14:paraId="1460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5EF5F2E2">
                  <w:pPr>
                    <w:pStyle w:val="42"/>
                  </w:pPr>
                  <w:r>
                    <w:t>4</w:t>
                  </w:r>
                </w:p>
              </w:tc>
              <w:tc>
                <w:tcPr>
                  <w:tcW w:w="708" w:type="dxa"/>
                  <w:vMerge w:val="restart"/>
                  <w:vAlign w:val="center"/>
                </w:tcPr>
                <w:p w14:paraId="1C73A265">
                  <w:pPr>
                    <w:pStyle w:val="42"/>
                  </w:pPr>
                  <w:r>
                    <w:rPr>
                      <w:rFonts w:hint="eastAsia"/>
                    </w:rPr>
                    <w:t>环保工程</w:t>
                  </w:r>
                </w:p>
              </w:tc>
              <w:tc>
                <w:tcPr>
                  <w:tcW w:w="1134" w:type="dxa"/>
                  <w:vMerge w:val="restart"/>
                  <w:vAlign w:val="center"/>
                </w:tcPr>
                <w:p w14:paraId="1B29AB73">
                  <w:pPr>
                    <w:pStyle w:val="42"/>
                  </w:pPr>
                  <w:r>
                    <w:rPr>
                      <w:rFonts w:hint="eastAsia"/>
                    </w:rPr>
                    <w:t>废水治理措施</w:t>
                  </w:r>
                </w:p>
              </w:tc>
              <w:tc>
                <w:tcPr>
                  <w:tcW w:w="5650" w:type="dxa"/>
                  <w:gridSpan w:val="2"/>
                  <w:vAlign w:val="center"/>
                </w:tcPr>
                <w:p w14:paraId="28A31B71">
                  <w:pPr>
                    <w:pStyle w:val="42"/>
                  </w:pPr>
                  <w:r>
                    <w:rPr>
                      <w:rFonts w:hint="eastAsia"/>
                    </w:rPr>
                    <w:t>空气冷凝水，作为循环冷却水系统补充水回用，不外排；生活污水经化粪池处理后，排入国投钦电生活污水系统，处理达标后用于厂区绿化；循环废水排至国投钦电工业废水系统处理，处理达标后全部回用。</w:t>
                  </w:r>
                </w:p>
              </w:tc>
            </w:tr>
            <w:tr w14:paraId="715D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74887AA">
                  <w:pPr>
                    <w:pStyle w:val="42"/>
                  </w:pPr>
                </w:p>
              </w:tc>
              <w:tc>
                <w:tcPr>
                  <w:tcW w:w="708" w:type="dxa"/>
                  <w:vMerge w:val="continue"/>
                  <w:vAlign w:val="center"/>
                </w:tcPr>
                <w:p w14:paraId="14896E8F">
                  <w:pPr>
                    <w:pStyle w:val="42"/>
                  </w:pPr>
                </w:p>
              </w:tc>
              <w:tc>
                <w:tcPr>
                  <w:tcW w:w="1134" w:type="dxa"/>
                  <w:vMerge w:val="continue"/>
                  <w:vAlign w:val="center"/>
                </w:tcPr>
                <w:p w14:paraId="776329B4">
                  <w:pPr>
                    <w:pStyle w:val="42"/>
                  </w:pPr>
                </w:p>
              </w:tc>
              <w:tc>
                <w:tcPr>
                  <w:tcW w:w="5650" w:type="dxa"/>
                  <w:gridSpan w:val="2"/>
                  <w:vAlign w:val="center"/>
                </w:tcPr>
                <w:p w14:paraId="3243E2B7">
                  <w:pPr>
                    <w:pStyle w:val="42"/>
                  </w:pPr>
                  <w:r>
                    <w:rPr>
                      <w:rFonts w:hint="eastAsia"/>
                    </w:rPr>
                    <w:t>本项目生活污水经化粪池处理后，排放至国投钦电生活污水系统。</w:t>
                  </w:r>
                </w:p>
              </w:tc>
            </w:tr>
            <w:tr w14:paraId="34B3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250309F3">
                  <w:pPr>
                    <w:pStyle w:val="42"/>
                  </w:pPr>
                </w:p>
              </w:tc>
              <w:tc>
                <w:tcPr>
                  <w:tcW w:w="708" w:type="dxa"/>
                  <w:vMerge w:val="continue"/>
                  <w:vAlign w:val="center"/>
                </w:tcPr>
                <w:p w14:paraId="00A163A8">
                  <w:pPr>
                    <w:pStyle w:val="42"/>
                  </w:pPr>
                </w:p>
              </w:tc>
              <w:tc>
                <w:tcPr>
                  <w:tcW w:w="1134" w:type="dxa"/>
                  <w:vAlign w:val="center"/>
                </w:tcPr>
                <w:p w14:paraId="4A78D63C">
                  <w:pPr>
                    <w:pStyle w:val="42"/>
                  </w:pPr>
                  <w:r>
                    <w:rPr>
                      <w:rFonts w:hint="eastAsia"/>
                    </w:rPr>
                    <w:t>废气治理措施</w:t>
                  </w:r>
                </w:p>
              </w:tc>
              <w:tc>
                <w:tcPr>
                  <w:tcW w:w="5650" w:type="dxa"/>
                  <w:gridSpan w:val="2"/>
                  <w:vAlign w:val="center"/>
                </w:tcPr>
                <w:p w14:paraId="18BF8A1A">
                  <w:pPr>
                    <w:pStyle w:val="42"/>
                  </w:pPr>
                  <w:r>
                    <w:rPr>
                      <w:rFonts w:hint="eastAsia"/>
                    </w:rPr>
                    <w:t>空气深冷分离</w:t>
                  </w:r>
                  <w:r>
                    <w:rPr>
                      <w:rFonts w:hint="eastAsia"/>
                      <w:lang w:eastAsia="zh-CN"/>
                    </w:rPr>
                    <w:t>产生</w:t>
                  </w:r>
                  <w:r>
                    <w:rPr>
                      <w:rFonts w:hint="eastAsia"/>
                    </w:rPr>
                    <w:t>的污氮，主要成分为氮气，对大气环境无污染，</w:t>
                  </w:r>
                  <w:r>
                    <w:rPr>
                      <w:rFonts w:hint="eastAsia"/>
                      <w:u w:val="single"/>
                    </w:rPr>
                    <w:t>经高空放空排入大气中。</w:t>
                  </w:r>
                </w:p>
              </w:tc>
            </w:tr>
            <w:tr w14:paraId="554D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645889D4">
                  <w:pPr>
                    <w:pStyle w:val="42"/>
                  </w:pPr>
                </w:p>
              </w:tc>
              <w:tc>
                <w:tcPr>
                  <w:tcW w:w="708" w:type="dxa"/>
                  <w:vMerge w:val="continue"/>
                  <w:vAlign w:val="center"/>
                </w:tcPr>
                <w:p w14:paraId="33AC6DF9">
                  <w:pPr>
                    <w:pStyle w:val="42"/>
                  </w:pPr>
                </w:p>
              </w:tc>
              <w:tc>
                <w:tcPr>
                  <w:tcW w:w="1134" w:type="dxa"/>
                  <w:vAlign w:val="center"/>
                </w:tcPr>
                <w:p w14:paraId="7903A8C5">
                  <w:pPr>
                    <w:pStyle w:val="42"/>
                  </w:pPr>
                  <w:r>
                    <w:rPr>
                      <w:rFonts w:hint="eastAsia"/>
                    </w:rPr>
                    <w:t>噪声治理措施</w:t>
                  </w:r>
                </w:p>
              </w:tc>
              <w:tc>
                <w:tcPr>
                  <w:tcW w:w="5650" w:type="dxa"/>
                  <w:gridSpan w:val="2"/>
                  <w:vAlign w:val="center"/>
                </w:tcPr>
                <w:p w14:paraId="1C6E7A11">
                  <w:pPr>
                    <w:pStyle w:val="42"/>
                  </w:pPr>
                  <w:r>
                    <w:rPr>
                      <w:rFonts w:hint="eastAsia"/>
                    </w:rPr>
                    <w:t>将设备设置在室内；对厂房进行吸声处理，设噪声墙和消声器；采用防震、减震等措施；选用低噪声设备。</w:t>
                  </w:r>
                </w:p>
              </w:tc>
            </w:tr>
            <w:tr w14:paraId="76D6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BF0844F">
                  <w:pPr>
                    <w:pStyle w:val="42"/>
                  </w:pPr>
                </w:p>
              </w:tc>
              <w:tc>
                <w:tcPr>
                  <w:tcW w:w="708" w:type="dxa"/>
                  <w:vMerge w:val="continue"/>
                  <w:vAlign w:val="center"/>
                </w:tcPr>
                <w:p w14:paraId="7510831E">
                  <w:pPr>
                    <w:pStyle w:val="42"/>
                  </w:pPr>
                </w:p>
              </w:tc>
              <w:tc>
                <w:tcPr>
                  <w:tcW w:w="1134" w:type="dxa"/>
                  <w:vAlign w:val="center"/>
                </w:tcPr>
                <w:p w14:paraId="15830D7D">
                  <w:pPr>
                    <w:pStyle w:val="42"/>
                  </w:pPr>
                  <w:r>
                    <w:rPr>
                      <w:rFonts w:hint="eastAsia"/>
                    </w:rPr>
                    <w:t>固废治理措施</w:t>
                  </w:r>
                </w:p>
              </w:tc>
              <w:tc>
                <w:tcPr>
                  <w:tcW w:w="5650" w:type="dxa"/>
                  <w:gridSpan w:val="2"/>
                  <w:vAlign w:val="center"/>
                </w:tcPr>
                <w:p w14:paraId="5FA923FD">
                  <w:pPr>
                    <w:pStyle w:val="42"/>
                  </w:pPr>
                  <w:r>
                    <w:rPr>
                      <w:rFonts w:hint="eastAsia"/>
                    </w:rPr>
                    <w:t>项目产生的固体废物为分子筛纯化系统更换下来的废分子筛、设备维修过程产生的废机油和生活垃圾。分子筛主要成分为氧化铝，用于吸附分子筛清除</w:t>
                  </w:r>
                  <w:r>
                    <w:rPr>
                      <w:rFonts w:hint="eastAsia"/>
                      <w:lang w:eastAsia="zh-CN"/>
                    </w:rPr>
                    <w:t>空气中的水分</w:t>
                  </w:r>
                  <w:r>
                    <w:rPr>
                      <w:rFonts w:hint="eastAsia"/>
                    </w:rPr>
                    <w:t>、二氧化碳、乙炔、丙烯和C4+碳氢化合物。吸附后的废分子筛不在危险废物名录中，属于一般工业固废，由原生产厂家回收再生；废机油则委托有资质的专业单位处理；厂区的生活垃圾则由园区环卫管理部门统一收集处置。</w:t>
                  </w:r>
                </w:p>
              </w:tc>
            </w:tr>
          </w:tbl>
          <w:p w14:paraId="1F26F2CB">
            <w:pPr>
              <w:pStyle w:val="41"/>
              <w:ind w:firstLine="480"/>
            </w:pPr>
          </w:p>
          <w:p w14:paraId="343D1091">
            <w:pPr>
              <w:pStyle w:val="41"/>
              <w:ind w:firstLine="480"/>
            </w:pPr>
            <w:r>
              <w:rPr>
                <w:rFonts w:hint="eastAsia"/>
              </w:rPr>
              <w:t>②普莱克斯（广西）气体有限公司钦州基地二期氮气供应项目</w:t>
            </w:r>
          </w:p>
          <w:p w14:paraId="25B154B5">
            <w:pPr>
              <w:pStyle w:val="41"/>
              <w:numPr>
                <w:ilvl w:val="0"/>
                <w:numId w:val="7"/>
              </w:numPr>
              <w:spacing w:line="240" w:lineRule="auto"/>
              <w:ind w:firstLineChars="0"/>
              <w:jc w:val="center"/>
              <w:rPr>
                <w:b/>
                <w:bCs/>
                <w:sz w:val="21"/>
                <w:szCs w:val="21"/>
              </w:rPr>
            </w:pPr>
            <w:r>
              <w:rPr>
                <w:rFonts w:hint="eastAsia"/>
                <w:b/>
                <w:bCs/>
                <w:sz w:val="21"/>
                <w:szCs w:val="21"/>
              </w:rPr>
              <w:t>二期氮气供应项目主要建设内容一览表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560"/>
              <w:gridCol w:w="5103"/>
              <w:gridCol w:w="688"/>
            </w:tblGrid>
            <w:tr w14:paraId="31D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76" w:type="dxa"/>
                  <w:vAlign w:val="center"/>
                </w:tcPr>
                <w:p w14:paraId="1F0B68EA">
                  <w:pPr>
                    <w:pStyle w:val="42"/>
                    <w:rPr>
                      <w:b/>
                      <w:bCs/>
                    </w:rPr>
                  </w:pPr>
                  <w:r>
                    <w:rPr>
                      <w:rFonts w:hint="eastAsia"/>
                      <w:b/>
                      <w:bCs/>
                    </w:rPr>
                    <w:t>类别</w:t>
                  </w:r>
                </w:p>
              </w:tc>
              <w:tc>
                <w:tcPr>
                  <w:tcW w:w="1560" w:type="dxa"/>
                  <w:vAlign w:val="center"/>
                </w:tcPr>
                <w:p w14:paraId="13C4A596">
                  <w:pPr>
                    <w:pStyle w:val="42"/>
                    <w:rPr>
                      <w:b/>
                      <w:bCs/>
                    </w:rPr>
                  </w:pPr>
                  <w:r>
                    <w:rPr>
                      <w:rFonts w:hint="eastAsia"/>
                      <w:b/>
                      <w:bCs/>
                    </w:rPr>
                    <w:t>名称</w:t>
                  </w:r>
                </w:p>
              </w:tc>
              <w:tc>
                <w:tcPr>
                  <w:tcW w:w="5103" w:type="dxa"/>
                  <w:vAlign w:val="center"/>
                </w:tcPr>
                <w:p w14:paraId="7A113764">
                  <w:pPr>
                    <w:pStyle w:val="42"/>
                    <w:rPr>
                      <w:b/>
                      <w:bCs/>
                    </w:rPr>
                  </w:pPr>
                  <w:r>
                    <w:rPr>
                      <w:rFonts w:hint="eastAsia"/>
                      <w:b/>
                      <w:bCs/>
                    </w:rPr>
                    <w:t>主要建设内容</w:t>
                  </w:r>
                </w:p>
              </w:tc>
              <w:tc>
                <w:tcPr>
                  <w:tcW w:w="688" w:type="dxa"/>
                  <w:vAlign w:val="center"/>
                </w:tcPr>
                <w:p w14:paraId="0186F79C">
                  <w:pPr>
                    <w:pStyle w:val="42"/>
                    <w:rPr>
                      <w:b/>
                      <w:bCs/>
                    </w:rPr>
                  </w:pPr>
                  <w:r>
                    <w:rPr>
                      <w:rFonts w:hint="eastAsia"/>
                      <w:b/>
                      <w:bCs/>
                    </w:rPr>
                    <w:t>备注</w:t>
                  </w:r>
                </w:p>
              </w:tc>
            </w:tr>
            <w:tr w14:paraId="4F88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724AB88B">
                  <w:pPr>
                    <w:pStyle w:val="42"/>
                  </w:pPr>
                  <w:r>
                    <w:rPr>
                      <w:rFonts w:hint="eastAsia"/>
                    </w:rPr>
                    <w:t>主体工程</w:t>
                  </w:r>
                </w:p>
              </w:tc>
              <w:tc>
                <w:tcPr>
                  <w:tcW w:w="1560" w:type="dxa"/>
                  <w:vAlign w:val="center"/>
                </w:tcPr>
                <w:p w14:paraId="3796ACF6">
                  <w:pPr>
                    <w:pStyle w:val="42"/>
                  </w:pPr>
                  <w:r>
                    <w:rPr>
                      <w:rFonts w:hint="eastAsia"/>
                    </w:rPr>
                    <w:t>线路工程</w:t>
                  </w:r>
                </w:p>
              </w:tc>
              <w:tc>
                <w:tcPr>
                  <w:tcW w:w="5103" w:type="dxa"/>
                  <w:vAlign w:val="center"/>
                </w:tcPr>
                <w:p w14:paraId="2A76305C">
                  <w:pPr>
                    <w:pStyle w:val="42"/>
                  </w:pPr>
                  <w:r>
                    <w:rPr>
                      <w:rFonts w:hint="eastAsia"/>
                    </w:rPr>
                    <w:t>项目管道最大流速为29793m</w:t>
                  </w:r>
                  <w:r>
                    <w:rPr>
                      <w:rFonts w:hint="eastAsia"/>
                      <w:vertAlign w:val="superscript"/>
                    </w:rPr>
                    <w:t>3</w:t>
                  </w:r>
                  <w:r>
                    <w:rPr>
                      <w:rFonts w:hint="eastAsia"/>
                    </w:rPr>
                    <w:t>/h，管径主要为DN500，管道待园区建设好管廊后架空敷设。管道总长度约5km，管道设计压力为1.5MPa。</w:t>
                  </w:r>
                </w:p>
              </w:tc>
              <w:tc>
                <w:tcPr>
                  <w:tcW w:w="688" w:type="dxa"/>
                  <w:vMerge w:val="restart"/>
                  <w:vAlign w:val="center"/>
                </w:tcPr>
                <w:p w14:paraId="132A0ED8">
                  <w:pPr>
                    <w:pStyle w:val="42"/>
                  </w:pPr>
                  <w:r>
                    <w:rPr>
                      <w:rFonts w:hint="eastAsia"/>
                    </w:rPr>
                    <w:t>新增</w:t>
                  </w:r>
                </w:p>
              </w:tc>
            </w:tr>
            <w:tr w14:paraId="429C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35D8BBEE">
                  <w:pPr>
                    <w:pStyle w:val="42"/>
                  </w:pPr>
                </w:p>
              </w:tc>
              <w:tc>
                <w:tcPr>
                  <w:tcW w:w="1560" w:type="dxa"/>
                  <w:vAlign w:val="center"/>
                </w:tcPr>
                <w:p w14:paraId="56AE77F2">
                  <w:pPr>
                    <w:pStyle w:val="42"/>
                  </w:pPr>
                  <w:r>
                    <w:rPr>
                      <w:rFonts w:hint="eastAsia"/>
                    </w:rPr>
                    <w:t>氮气压缩系统</w:t>
                  </w:r>
                </w:p>
              </w:tc>
              <w:tc>
                <w:tcPr>
                  <w:tcW w:w="5103" w:type="dxa"/>
                  <w:vAlign w:val="center"/>
                </w:tcPr>
                <w:p w14:paraId="7E3C5A9F">
                  <w:pPr>
                    <w:pStyle w:val="42"/>
                  </w:pPr>
                  <w:r>
                    <w:rPr>
                      <w:rFonts w:hint="eastAsia"/>
                    </w:rPr>
                    <w:t>拟建2台10000Nm</w:t>
                  </w:r>
                  <w:r>
                    <w:rPr>
                      <w:rFonts w:hint="eastAsia"/>
                      <w:vertAlign w:val="superscript"/>
                    </w:rPr>
                    <w:t>3</w:t>
                  </w:r>
                  <w:r>
                    <w:rPr>
                      <w:rFonts w:hint="eastAsia"/>
                    </w:rPr>
                    <w:t>/h氮气压缩机（一用一备）</w:t>
                  </w:r>
                </w:p>
              </w:tc>
              <w:tc>
                <w:tcPr>
                  <w:tcW w:w="688" w:type="dxa"/>
                  <w:vMerge w:val="continue"/>
                  <w:vAlign w:val="center"/>
                </w:tcPr>
                <w:p w14:paraId="6C6D928D">
                  <w:pPr>
                    <w:pStyle w:val="42"/>
                  </w:pPr>
                </w:p>
              </w:tc>
            </w:tr>
            <w:tr w14:paraId="1DE2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783B7462">
                  <w:pPr>
                    <w:pStyle w:val="42"/>
                  </w:pPr>
                  <w:r>
                    <w:rPr>
                      <w:rFonts w:hint="eastAsia"/>
                    </w:rPr>
                    <w:t>辅助工程</w:t>
                  </w:r>
                </w:p>
              </w:tc>
              <w:tc>
                <w:tcPr>
                  <w:tcW w:w="1560" w:type="dxa"/>
                  <w:vAlign w:val="center"/>
                </w:tcPr>
                <w:p w14:paraId="1BECBD41">
                  <w:pPr>
                    <w:pStyle w:val="42"/>
                  </w:pPr>
                  <w:r>
                    <w:rPr>
                      <w:rFonts w:hint="eastAsia"/>
                    </w:rPr>
                    <w:t>冷却水塔</w:t>
                  </w:r>
                </w:p>
              </w:tc>
              <w:tc>
                <w:tcPr>
                  <w:tcW w:w="5103" w:type="dxa"/>
                  <w:vAlign w:val="center"/>
                </w:tcPr>
                <w:p w14:paraId="64251E95">
                  <w:pPr>
                    <w:pStyle w:val="42"/>
                  </w:pPr>
                  <w:r>
                    <w:rPr>
                      <w:rFonts w:hint="eastAsia"/>
                    </w:rPr>
                    <w:t>新增一台冷却水塔。</w:t>
                  </w:r>
                </w:p>
              </w:tc>
              <w:tc>
                <w:tcPr>
                  <w:tcW w:w="688" w:type="dxa"/>
                  <w:vMerge w:val="restart"/>
                  <w:vAlign w:val="center"/>
                </w:tcPr>
                <w:p w14:paraId="7F132E44">
                  <w:pPr>
                    <w:pStyle w:val="42"/>
                  </w:pPr>
                  <w:r>
                    <w:rPr>
                      <w:rFonts w:hint="eastAsia"/>
                    </w:rPr>
                    <w:t>新增</w:t>
                  </w:r>
                </w:p>
              </w:tc>
            </w:tr>
            <w:tr w14:paraId="5CD5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2220824B">
                  <w:pPr>
                    <w:pStyle w:val="42"/>
                  </w:pPr>
                </w:p>
              </w:tc>
              <w:tc>
                <w:tcPr>
                  <w:tcW w:w="1560" w:type="dxa"/>
                  <w:vAlign w:val="center"/>
                </w:tcPr>
                <w:p w14:paraId="5433367C">
                  <w:pPr>
                    <w:pStyle w:val="42"/>
                  </w:pPr>
                  <w:r>
                    <w:rPr>
                      <w:rFonts w:hint="eastAsia"/>
                    </w:rPr>
                    <w:t>液体后备系统</w:t>
                  </w:r>
                </w:p>
              </w:tc>
              <w:tc>
                <w:tcPr>
                  <w:tcW w:w="5103" w:type="dxa"/>
                  <w:vAlign w:val="center"/>
                </w:tcPr>
                <w:p w14:paraId="4BBE1893">
                  <w:pPr>
                    <w:pStyle w:val="42"/>
                  </w:pPr>
                  <w:r>
                    <w:rPr>
                      <w:rFonts w:hint="eastAsia"/>
                    </w:rPr>
                    <w:t>1000m</w:t>
                  </w:r>
                  <w:r>
                    <w:rPr>
                      <w:rFonts w:hint="eastAsia"/>
                      <w:vertAlign w:val="superscript"/>
                    </w:rPr>
                    <w:t>3</w:t>
                  </w:r>
                  <w:r>
                    <w:rPr>
                      <w:rFonts w:hint="eastAsia"/>
                    </w:rPr>
                    <w:t>低压液氮储罐1台、液氮后备泵2台、80m</w:t>
                  </w:r>
                  <w:r>
                    <w:rPr>
                      <w:rFonts w:hint="eastAsia"/>
                      <w:vertAlign w:val="superscript"/>
                    </w:rPr>
                    <w:t>3</w:t>
                  </w:r>
                  <w:r>
                    <w:rPr>
                      <w:rFonts w:hint="eastAsia"/>
                    </w:rPr>
                    <w:t>液氮中压储罐1台、氮气水浴式汽化器1台。</w:t>
                  </w:r>
                </w:p>
              </w:tc>
              <w:tc>
                <w:tcPr>
                  <w:tcW w:w="688" w:type="dxa"/>
                  <w:vMerge w:val="continue"/>
                  <w:vAlign w:val="center"/>
                </w:tcPr>
                <w:p w14:paraId="56C19DF6">
                  <w:pPr>
                    <w:pStyle w:val="42"/>
                  </w:pPr>
                </w:p>
              </w:tc>
            </w:tr>
            <w:tr w14:paraId="408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108EB3AB">
                  <w:pPr>
                    <w:pStyle w:val="42"/>
                  </w:pPr>
                  <w:r>
                    <w:rPr>
                      <w:rFonts w:hint="eastAsia"/>
                    </w:rPr>
                    <w:t>公用工程</w:t>
                  </w:r>
                </w:p>
              </w:tc>
              <w:tc>
                <w:tcPr>
                  <w:tcW w:w="1560" w:type="dxa"/>
                  <w:vAlign w:val="center"/>
                </w:tcPr>
                <w:p w14:paraId="4D8F6696">
                  <w:pPr>
                    <w:pStyle w:val="42"/>
                  </w:pPr>
                  <w:r>
                    <w:rPr>
                      <w:rFonts w:hint="eastAsia"/>
                    </w:rPr>
                    <w:t>供水</w:t>
                  </w:r>
                </w:p>
              </w:tc>
              <w:tc>
                <w:tcPr>
                  <w:tcW w:w="5103" w:type="dxa"/>
                  <w:vAlign w:val="center"/>
                </w:tcPr>
                <w:p w14:paraId="115F5C91">
                  <w:pPr>
                    <w:pStyle w:val="42"/>
                  </w:pPr>
                  <w:r>
                    <w:rPr>
                      <w:rFonts w:hint="eastAsia"/>
                    </w:rPr>
                    <w:t>国投钦电管网系统</w:t>
                  </w:r>
                </w:p>
              </w:tc>
              <w:tc>
                <w:tcPr>
                  <w:tcW w:w="688" w:type="dxa"/>
                  <w:vAlign w:val="center"/>
                </w:tcPr>
                <w:p w14:paraId="126ED283">
                  <w:pPr>
                    <w:pStyle w:val="42"/>
                  </w:pPr>
                </w:p>
              </w:tc>
            </w:tr>
            <w:tr w14:paraId="69E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3BF76FA6">
                  <w:pPr>
                    <w:pStyle w:val="42"/>
                  </w:pPr>
                </w:p>
              </w:tc>
              <w:tc>
                <w:tcPr>
                  <w:tcW w:w="1560" w:type="dxa"/>
                  <w:vAlign w:val="center"/>
                </w:tcPr>
                <w:p w14:paraId="1E8301AF">
                  <w:pPr>
                    <w:pStyle w:val="42"/>
                  </w:pPr>
                  <w:r>
                    <w:rPr>
                      <w:rFonts w:hint="eastAsia"/>
                    </w:rPr>
                    <w:t>排水</w:t>
                  </w:r>
                </w:p>
              </w:tc>
              <w:tc>
                <w:tcPr>
                  <w:tcW w:w="5103" w:type="dxa"/>
                  <w:vAlign w:val="center"/>
                </w:tcPr>
                <w:p w14:paraId="22E449E7">
                  <w:pPr>
                    <w:pStyle w:val="42"/>
                  </w:pPr>
                  <w:r>
                    <w:rPr>
                      <w:rFonts w:hint="eastAsia"/>
                    </w:rPr>
                    <w:t>项目无生活废水产生，员工为空分项目原有员工，不增加劳动定员。生产废水先排入广西华谊能源化工配套空分项目生产污水池进行暂存，后排入广西华谊能源化工配套空分项目管网，经管网排入天宜污水处理厂一期处理。处理达标后，近期近岸排放，远期依托园区深海排放管道于钦州湾金鼓江深海排放区排放。</w:t>
                  </w:r>
                </w:p>
              </w:tc>
              <w:tc>
                <w:tcPr>
                  <w:tcW w:w="688" w:type="dxa"/>
                  <w:vAlign w:val="center"/>
                </w:tcPr>
                <w:p w14:paraId="2AF3E6A8">
                  <w:pPr>
                    <w:pStyle w:val="42"/>
                  </w:pPr>
                </w:p>
              </w:tc>
            </w:tr>
            <w:tr w14:paraId="1D2B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7C9B3572">
                  <w:pPr>
                    <w:pStyle w:val="42"/>
                  </w:pPr>
                </w:p>
              </w:tc>
              <w:tc>
                <w:tcPr>
                  <w:tcW w:w="1560" w:type="dxa"/>
                  <w:vAlign w:val="center"/>
                </w:tcPr>
                <w:p w14:paraId="695E4F92">
                  <w:pPr>
                    <w:pStyle w:val="42"/>
                  </w:pPr>
                  <w:r>
                    <w:rPr>
                      <w:rFonts w:hint="eastAsia"/>
                    </w:rPr>
                    <w:t>供电</w:t>
                  </w:r>
                </w:p>
              </w:tc>
              <w:tc>
                <w:tcPr>
                  <w:tcW w:w="5103" w:type="dxa"/>
                  <w:vAlign w:val="center"/>
                </w:tcPr>
                <w:p w14:paraId="621F894D">
                  <w:pPr>
                    <w:pStyle w:val="42"/>
                  </w:pPr>
                  <w:r>
                    <w:rPr>
                      <w:rFonts w:hint="eastAsia"/>
                    </w:rPr>
                    <w:t>由广西华谊提供，供电线路送电能力满足本项目全部电需求。</w:t>
                  </w:r>
                </w:p>
              </w:tc>
              <w:tc>
                <w:tcPr>
                  <w:tcW w:w="688" w:type="dxa"/>
                  <w:vAlign w:val="center"/>
                </w:tcPr>
                <w:p w14:paraId="6EE33313">
                  <w:pPr>
                    <w:pStyle w:val="42"/>
                  </w:pPr>
                </w:p>
              </w:tc>
            </w:tr>
            <w:tr w14:paraId="69F6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222FD349">
                  <w:pPr>
                    <w:pStyle w:val="42"/>
                  </w:pPr>
                </w:p>
              </w:tc>
              <w:tc>
                <w:tcPr>
                  <w:tcW w:w="1560" w:type="dxa"/>
                  <w:vAlign w:val="center"/>
                </w:tcPr>
                <w:p w14:paraId="1FC95351">
                  <w:pPr>
                    <w:pStyle w:val="42"/>
                  </w:pPr>
                  <w:r>
                    <w:rPr>
                      <w:rFonts w:hint="eastAsia"/>
                    </w:rPr>
                    <w:t>供气</w:t>
                  </w:r>
                </w:p>
              </w:tc>
              <w:tc>
                <w:tcPr>
                  <w:tcW w:w="5103" w:type="dxa"/>
                  <w:vAlign w:val="center"/>
                </w:tcPr>
                <w:p w14:paraId="098DFBF5">
                  <w:pPr>
                    <w:pStyle w:val="42"/>
                  </w:pPr>
                  <w:r>
                    <w:rPr>
                      <w:rFonts w:hint="eastAsia"/>
                    </w:rPr>
                    <w:t>由国投钦电蒸汽管网系统提供。</w:t>
                  </w:r>
                </w:p>
              </w:tc>
              <w:tc>
                <w:tcPr>
                  <w:tcW w:w="688" w:type="dxa"/>
                  <w:vAlign w:val="center"/>
                </w:tcPr>
                <w:p w14:paraId="27079BF4">
                  <w:pPr>
                    <w:pStyle w:val="42"/>
                  </w:pPr>
                </w:p>
              </w:tc>
            </w:tr>
            <w:tr w14:paraId="46D8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37F483D7">
                  <w:pPr>
                    <w:pStyle w:val="42"/>
                  </w:pPr>
                  <w:r>
                    <w:rPr>
                      <w:rFonts w:hint="eastAsia"/>
                    </w:rPr>
                    <w:t>环保工程</w:t>
                  </w:r>
                </w:p>
              </w:tc>
              <w:tc>
                <w:tcPr>
                  <w:tcW w:w="1560" w:type="dxa"/>
                  <w:vAlign w:val="center"/>
                </w:tcPr>
                <w:p w14:paraId="3A72A9B2">
                  <w:pPr>
                    <w:pStyle w:val="42"/>
                  </w:pPr>
                  <w:r>
                    <w:rPr>
                      <w:rFonts w:hint="eastAsia"/>
                    </w:rPr>
                    <w:t>废气</w:t>
                  </w:r>
                </w:p>
              </w:tc>
              <w:tc>
                <w:tcPr>
                  <w:tcW w:w="5103" w:type="dxa"/>
                  <w:vAlign w:val="center"/>
                </w:tcPr>
                <w:p w14:paraId="5BE4DC4B">
                  <w:pPr>
                    <w:pStyle w:val="42"/>
                  </w:pPr>
                  <w:r>
                    <w:rPr>
                      <w:rFonts w:hint="eastAsia"/>
                    </w:rPr>
                    <w:t>项目运营期无废气产生。</w:t>
                  </w:r>
                </w:p>
              </w:tc>
              <w:tc>
                <w:tcPr>
                  <w:tcW w:w="688" w:type="dxa"/>
                  <w:vAlign w:val="center"/>
                </w:tcPr>
                <w:p w14:paraId="75E3FFC9">
                  <w:pPr>
                    <w:pStyle w:val="42"/>
                  </w:pPr>
                </w:p>
              </w:tc>
            </w:tr>
            <w:tr w14:paraId="79B7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0372041D">
                  <w:pPr>
                    <w:pStyle w:val="42"/>
                  </w:pPr>
                </w:p>
              </w:tc>
              <w:tc>
                <w:tcPr>
                  <w:tcW w:w="1560" w:type="dxa"/>
                  <w:vAlign w:val="center"/>
                </w:tcPr>
                <w:p w14:paraId="481471D9">
                  <w:pPr>
                    <w:pStyle w:val="42"/>
                  </w:pPr>
                  <w:r>
                    <w:rPr>
                      <w:rFonts w:hint="eastAsia"/>
                    </w:rPr>
                    <w:t>废水</w:t>
                  </w:r>
                </w:p>
              </w:tc>
              <w:tc>
                <w:tcPr>
                  <w:tcW w:w="5103" w:type="dxa"/>
                  <w:vAlign w:val="center"/>
                </w:tcPr>
                <w:p w14:paraId="53607D34">
                  <w:pPr>
                    <w:pStyle w:val="42"/>
                  </w:pPr>
                  <w:r>
                    <w:rPr>
                      <w:rFonts w:hint="eastAsia"/>
                    </w:rPr>
                    <w:t>无新增生活污水，生产废水先排入广西华谊能源化工配套空分项目生产污水池进行暂存，后排入广西华谊能源化工配套空分项目管网，经管网排入天宜污水处理厂一期处理。处理达标后，近期近岸排放，远期依托园区深海排放管道于钦州湾金鼓江深海排放区排放</w:t>
                  </w:r>
                </w:p>
              </w:tc>
              <w:tc>
                <w:tcPr>
                  <w:tcW w:w="688" w:type="dxa"/>
                  <w:vAlign w:val="center"/>
                </w:tcPr>
                <w:p w14:paraId="37B018E5">
                  <w:pPr>
                    <w:pStyle w:val="42"/>
                  </w:pPr>
                </w:p>
              </w:tc>
            </w:tr>
            <w:tr w14:paraId="7705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1DB30569">
                  <w:pPr>
                    <w:pStyle w:val="42"/>
                  </w:pPr>
                </w:p>
              </w:tc>
              <w:tc>
                <w:tcPr>
                  <w:tcW w:w="1560" w:type="dxa"/>
                  <w:vAlign w:val="center"/>
                </w:tcPr>
                <w:p w14:paraId="77E3469D">
                  <w:pPr>
                    <w:pStyle w:val="42"/>
                  </w:pPr>
                  <w:r>
                    <w:rPr>
                      <w:rFonts w:hint="eastAsia"/>
                    </w:rPr>
                    <w:t>噪声</w:t>
                  </w:r>
                </w:p>
              </w:tc>
              <w:tc>
                <w:tcPr>
                  <w:tcW w:w="5103" w:type="dxa"/>
                  <w:vAlign w:val="center"/>
                </w:tcPr>
                <w:p w14:paraId="6518DB16">
                  <w:pPr>
                    <w:pStyle w:val="42"/>
                  </w:pPr>
                  <w:r>
                    <w:rPr>
                      <w:rFonts w:hint="eastAsia"/>
                    </w:rPr>
                    <w:t>采取优选低噪声设备、基础减震、合理布置、距离衰减、四周绿化等措施。</w:t>
                  </w:r>
                </w:p>
              </w:tc>
              <w:tc>
                <w:tcPr>
                  <w:tcW w:w="688" w:type="dxa"/>
                  <w:vAlign w:val="center"/>
                </w:tcPr>
                <w:p w14:paraId="0599C41F">
                  <w:pPr>
                    <w:pStyle w:val="42"/>
                  </w:pPr>
                </w:p>
              </w:tc>
            </w:tr>
            <w:tr w14:paraId="6141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2A0C2ACF">
                  <w:pPr>
                    <w:pStyle w:val="42"/>
                  </w:pPr>
                </w:p>
              </w:tc>
              <w:tc>
                <w:tcPr>
                  <w:tcW w:w="1560" w:type="dxa"/>
                  <w:vAlign w:val="center"/>
                </w:tcPr>
                <w:p w14:paraId="2FD31533">
                  <w:pPr>
                    <w:pStyle w:val="42"/>
                  </w:pPr>
                  <w:r>
                    <w:rPr>
                      <w:rFonts w:hint="eastAsia"/>
                    </w:rPr>
                    <w:t>固废</w:t>
                  </w:r>
                </w:p>
              </w:tc>
              <w:tc>
                <w:tcPr>
                  <w:tcW w:w="5103" w:type="dxa"/>
                  <w:vAlign w:val="center"/>
                </w:tcPr>
                <w:p w14:paraId="4FE122BD">
                  <w:pPr>
                    <w:pStyle w:val="42"/>
                  </w:pPr>
                  <w:r>
                    <w:rPr>
                      <w:rFonts w:hint="eastAsia"/>
                    </w:rPr>
                    <w:t>项目运营期无固废产生，不增加劳动定员，无生活垃圾产生</w:t>
                  </w:r>
                </w:p>
              </w:tc>
              <w:tc>
                <w:tcPr>
                  <w:tcW w:w="688" w:type="dxa"/>
                  <w:vAlign w:val="center"/>
                </w:tcPr>
                <w:p w14:paraId="0AFE8501">
                  <w:pPr>
                    <w:pStyle w:val="42"/>
                  </w:pPr>
                </w:p>
              </w:tc>
            </w:tr>
          </w:tbl>
          <w:p w14:paraId="1CF86190">
            <w:pPr>
              <w:pStyle w:val="41"/>
              <w:ind w:firstLine="480"/>
            </w:pPr>
          </w:p>
          <w:p w14:paraId="7FC3980B">
            <w:pPr>
              <w:pStyle w:val="41"/>
              <w:ind w:firstLine="480"/>
            </w:pPr>
            <w:r>
              <w:rPr>
                <w:rFonts w:hint="eastAsia"/>
              </w:rPr>
              <w:t>③普莱克斯（广西）气体有限公司年产6426吨贫氪氙液氧项目</w:t>
            </w:r>
          </w:p>
          <w:p w14:paraId="0DACC9D2">
            <w:pPr>
              <w:pStyle w:val="41"/>
              <w:numPr>
                <w:ilvl w:val="0"/>
                <w:numId w:val="7"/>
              </w:numPr>
              <w:spacing w:line="240" w:lineRule="auto"/>
              <w:ind w:firstLineChars="0"/>
              <w:jc w:val="center"/>
              <w:rPr>
                <w:b/>
                <w:bCs/>
                <w:sz w:val="21"/>
                <w:szCs w:val="21"/>
              </w:rPr>
            </w:pPr>
            <w:r>
              <w:rPr>
                <w:rFonts w:hint="eastAsia"/>
                <w:b/>
                <w:bCs/>
                <w:sz w:val="21"/>
                <w:szCs w:val="21"/>
              </w:rPr>
              <w:t>贫氪氙液氧项目主要建设内容一览表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34"/>
              <w:gridCol w:w="4068"/>
              <w:gridCol w:w="2007"/>
            </w:tblGrid>
            <w:tr w14:paraId="0D36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18" w:type="dxa"/>
                  <w:vAlign w:val="center"/>
                </w:tcPr>
                <w:p w14:paraId="38C73F74">
                  <w:pPr>
                    <w:pStyle w:val="42"/>
                    <w:rPr>
                      <w:b/>
                      <w:bCs/>
                    </w:rPr>
                  </w:pPr>
                  <w:r>
                    <w:rPr>
                      <w:rFonts w:hint="eastAsia"/>
                      <w:b/>
                      <w:bCs/>
                    </w:rPr>
                    <w:t>项目组成</w:t>
                  </w:r>
                </w:p>
              </w:tc>
              <w:tc>
                <w:tcPr>
                  <w:tcW w:w="1134" w:type="dxa"/>
                  <w:vAlign w:val="center"/>
                </w:tcPr>
                <w:p w14:paraId="4EDA0787">
                  <w:pPr>
                    <w:pStyle w:val="42"/>
                    <w:rPr>
                      <w:b/>
                      <w:bCs/>
                    </w:rPr>
                  </w:pPr>
                  <w:r>
                    <w:rPr>
                      <w:rFonts w:hint="eastAsia"/>
                      <w:b/>
                      <w:bCs/>
                    </w:rPr>
                    <w:t>名称</w:t>
                  </w:r>
                </w:p>
              </w:tc>
              <w:tc>
                <w:tcPr>
                  <w:tcW w:w="4068" w:type="dxa"/>
                  <w:vAlign w:val="center"/>
                </w:tcPr>
                <w:p w14:paraId="1D5F9D56">
                  <w:pPr>
                    <w:pStyle w:val="42"/>
                    <w:rPr>
                      <w:b/>
                      <w:bCs/>
                    </w:rPr>
                  </w:pPr>
                  <w:r>
                    <w:rPr>
                      <w:rFonts w:hint="eastAsia"/>
                      <w:b/>
                      <w:bCs/>
                    </w:rPr>
                    <w:t>建设内容</w:t>
                  </w:r>
                </w:p>
              </w:tc>
              <w:tc>
                <w:tcPr>
                  <w:tcW w:w="2007" w:type="dxa"/>
                  <w:vAlign w:val="center"/>
                </w:tcPr>
                <w:p w14:paraId="7823B72B">
                  <w:pPr>
                    <w:pStyle w:val="42"/>
                    <w:rPr>
                      <w:b/>
                      <w:bCs/>
                    </w:rPr>
                  </w:pPr>
                  <w:r>
                    <w:rPr>
                      <w:rFonts w:hint="eastAsia"/>
                      <w:b/>
                      <w:bCs/>
                    </w:rPr>
                    <w:t>备注</w:t>
                  </w:r>
                </w:p>
              </w:tc>
            </w:tr>
            <w:tr w14:paraId="76AA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0D174433">
                  <w:pPr>
                    <w:pStyle w:val="42"/>
                  </w:pPr>
                  <w:r>
                    <w:rPr>
                      <w:rFonts w:hint="eastAsia"/>
                    </w:rPr>
                    <w:t>主体工程</w:t>
                  </w:r>
                </w:p>
              </w:tc>
              <w:tc>
                <w:tcPr>
                  <w:tcW w:w="1134" w:type="dxa"/>
                  <w:vAlign w:val="center"/>
                </w:tcPr>
                <w:p w14:paraId="50A00988">
                  <w:pPr>
                    <w:pStyle w:val="42"/>
                  </w:pPr>
                  <w:r>
                    <w:rPr>
                      <w:rFonts w:hint="eastAsia"/>
                    </w:rPr>
                    <w:t>氪氙提取系统</w:t>
                  </w:r>
                </w:p>
              </w:tc>
              <w:tc>
                <w:tcPr>
                  <w:tcW w:w="4068" w:type="dxa"/>
                  <w:vAlign w:val="center"/>
                </w:tcPr>
                <w:p w14:paraId="269A784E">
                  <w:pPr>
                    <w:pStyle w:val="42"/>
                  </w:pPr>
                  <w:r>
                    <w:rPr>
                      <w:rFonts w:hint="eastAsia"/>
                    </w:rPr>
                    <w:t>位于厂区西面。包括贫氪氙液氧提纯冷箱3套，分别放置于3套空分装置旁，同上增加1个 MCC+仪表集装箱。</w:t>
                  </w:r>
                </w:p>
              </w:tc>
              <w:tc>
                <w:tcPr>
                  <w:tcW w:w="2007" w:type="dxa"/>
                  <w:vAlign w:val="center"/>
                </w:tcPr>
                <w:p w14:paraId="0F061045">
                  <w:pPr>
                    <w:pStyle w:val="42"/>
                  </w:pPr>
                  <w:r>
                    <w:rPr>
                      <w:rFonts w:hint="eastAsia"/>
                    </w:rPr>
                    <w:t>新增</w:t>
                  </w:r>
                </w:p>
              </w:tc>
            </w:tr>
            <w:tr w14:paraId="5ACB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15B6BF57">
                  <w:pPr>
                    <w:pStyle w:val="42"/>
                  </w:pPr>
                  <w:r>
                    <w:rPr>
                      <w:rFonts w:hint="eastAsia"/>
                    </w:rPr>
                    <w:t>储运工程</w:t>
                  </w:r>
                </w:p>
              </w:tc>
              <w:tc>
                <w:tcPr>
                  <w:tcW w:w="1134" w:type="dxa"/>
                  <w:vAlign w:val="center"/>
                </w:tcPr>
                <w:p w14:paraId="1ED72E2C">
                  <w:pPr>
                    <w:pStyle w:val="42"/>
                  </w:pPr>
                  <w:r>
                    <w:rPr>
                      <w:rFonts w:hint="eastAsia"/>
                    </w:rPr>
                    <w:t>氪氙储罐</w:t>
                  </w:r>
                </w:p>
              </w:tc>
              <w:tc>
                <w:tcPr>
                  <w:tcW w:w="4068" w:type="dxa"/>
                  <w:vAlign w:val="center"/>
                </w:tcPr>
                <w:p w14:paraId="4012FEFD">
                  <w:pPr>
                    <w:pStyle w:val="42"/>
                  </w:pPr>
                  <w:r>
                    <w:rPr>
                      <w:rFonts w:hint="eastAsia"/>
                    </w:rPr>
                    <w:t>新建贫氪氙液氧产品储罐3个，分别设置在3套空分装置冷箱下方，单个容积为50m</w:t>
                  </w:r>
                  <w:r>
                    <w:rPr>
                      <w:rFonts w:hint="eastAsia"/>
                      <w:vertAlign w:val="superscript"/>
                    </w:rPr>
                    <w:t>3</w:t>
                  </w:r>
                </w:p>
              </w:tc>
              <w:tc>
                <w:tcPr>
                  <w:tcW w:w="2007" w:type="dxa"/>
                  <w:vAlign w:val="center"/>
                </w:tcPr>
                <w:p w14:paraId="33CD01CF">
                  <w:pPr>
                    <w:pStyle w:val="42"/>
                  </w:pPr>
                </w:p>
              </w:tc>
            </w:tr>
            <w:tr w14:paraId="6CED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3F1C1C37">
                  <w:pPr>
                    <w:pStyle w:val="42"/>
                  </w:pPr>
                  <w:r>
                    <w:rPr>
                      <w:rFonts w:hint="eastAsia"/>
                    </w:rPr>
                    <w:t>公辅工程</w:t>
                  </w:r>
                </w:p>
              </w:tc>
              <w:tc>
                <w:tcPr>
                  <w:tcW w:w="1134" w:type="dxa"/>
                  <w:vAlign w:val="center"/>
                </w:tcPr>
                <w:p w14:paraId="347336DC">
                  <w:pPr>
                    <w:pStyle w:val="42"/>
                  </w:pPr>
                  <w:r>
                    <w:rPr>
                      <w:rFonts w:hint="eastAsia"/>
                    </w:rPr>
                    <w:t>给水系统</w:t>
                  </w:r>
                </w:p>
              </w:tc>
              <w:tc>
                <w:tcPr>
                  <w:tcW w:w="4068" w:type="dxa"/>
                  <w:vAlign w:val="center"/>
                </w:tcPr>
                <w:p w14:paraId="430C5756">
                  <w:pPr>
                    <w:pStyle w:val="42"/>
                  </w:pPr>
                  <w:r>
                    <w:rPr>
                      <w:rFonts w:hint="eastAsia"/>
                    </w:rPr>
                    <w:t>①本项目给水工程包括生活给水系统、消防给水系统。生活水由国投钦州发电有限公司供给；消防水系统依托一期空分项目建设的消防水系统。</w:t>
                  </w:r>
                </w:p>
              </w:tc>
              <w:tc>
                <w:tcPr>
                  <w:tcW w:w="2007" w:type="dxa"/>
                  <w:vAlign w:val="center"/>
                </w:tcPr>
                <w:p w14:paraId="4B7F47AC">
                  <w:pPr>
                    <w:pStyle w:val="42"/>
                  </w:pPr>
                  <w:r>
                    <w:rPr>
                      <w:rFonts w:hint="eastAsia"/>
                    </w:rPr>
                    <w:t>依托一期空分项目</w:t>
                  </w:r>
                </w:p>
              </w:tc>
            </w:tr>
            <w:tr w14:paraId="1935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6B46A04E">
                  <w:pPr>
                    <w:pStyle w:val="42"/>
                  </w:pPr>
                </w:p>
              </w:tc>
              <w:tc>
                <w:tcPr>
                  <w:tcW w:w="1134" w:type="dxa"/>
                  <w:vAlign w:val="center"/>
                </w:tcPr>
                <w:p w14:paraId="0F80BFC2">
                  <w:pPr>
                    <w:pStyle w:val="42"/>
                  </w:pPr>
                  <w:r>
                    <w:rPr>
                      <w:rFonts w:hint="eastAsia"/>
                    </w:rPr>
                    <w:t>排水系统</w:t>
                  </w:r>
                </w:p>
              </w:tc>
              <w:tc>
                <w:tcPr>
                  <w:tcW w:w="4068" w:type="dxa"/>
                  <w:vAlign w:val="center"/>
                </w:tcPr>
                <w:p w14:paraId="59492CD9">
                  <w:pPr>
                    <w:pStyle w:val="42"/>
                  </w:pPr>
                  <w:r>
                    <w:rPr>
                      <w:rFonts w:hint="eastAsia"/>
                    </w:rPr>
                    <w:t>①无生产废水</w:t>
                  </w:r>
                </w:p>
                <w:p w14:paraId="674A6396">
                  <w:pPr>
                    <w:pStyle w:val="42"/>
                  </w:pPr>
                  <w:r>
                    <w:rPr>
                      <w:rFonts w:hint="eastAsia"/>
                    </w:rPr>
                    <w:t>②项目生活污水经厂内化粪池处理后，排入国投钦电发电厂生活污水处理系统处理。</w:t>
                  </w:r>
                </w:p>
              </w:tc>
              <w:tc>
                <w:tcPr>
                  <w:tcW w:w="2007" w:type="dxa"/>
                  <w:vAlign w:val="center"/>
                </w:tcPr>
                <w:p w14:paraId="2BDB5AC5">
                  <w:pPr>
                    <w:pStyle w:val="42"/>
                  </w:pPr>
                  <w:r>
                    <w:rPr>
                      <w:rFonts w:hint="eastAsia"/>
                    </w:rPr>
                    <w:t>依托国投钦电发电厂生活污水处理系统</w:t>
                  </w:r>
                </w:p>
              </w:tc>
            </w:tr>
            <w:tr w14:paraId="0B4E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45B4A917">
                  <w:pPr>
                    <w:pStyle w:val="42"/>
                  </w:pPr>
                </w:p>
              </w:tc>
              <w:tc>
                <w:tcPr>
                  <w:tcW w:w="1134" w:type="dxa"/>
                  <w:vAlign w:val="center"/>
                </w:tcPr>
                <w:p w14:paraId="3EC7A608">
                  <w:pPr>
                    <w:pStyle w:val="42"/>
                  </w:pPr>
                  <w:r>
                    <w:rPr>
                      <w:rFonts w:hint="eastAsia"/>
                    </w:rPr>
                    <w:t>供电系统</w:t>
                  </w:r>
                </w:p>
              </w:tc>
              <w:tc>
                <w:tcPr>
                  <w:tcW w:w="4068" w:type="dxa"/>
                  <w:vAlign w:val="center"/>
                </w:tcPr>
                <w:p w14:paraId="0C39501C">
                  <w:pPr>
                    <w:pStyle w:val="42"/>
                  </w:pPr>
                  <w:r>
                    <w:rPr>
                      <w:rFonts w:hint="eastAsia"/>
                    </w:rPr>
                    <w:t>由广西华谊提供，供电线路送电能力满足本项目全部电需求。</w:t>
                  </w:r>
                </w:p>
              </w:tc>
              <w:tc>
                <w:tcPr>
                  <w:tcW w:w="2007" w:type="dxa"/>
                  <w:vAlign w:val="center"/>
                </w:tcPr>
                <w:p w14:paraId="0DC2F56D">
                  <w:pPr>
                    <w:pStyle w:val="42"/>
                  </w:pPr>
                  <w:r>
                    <w:rPr>
                      <w:rFonts w:hint="eastAsia"/>
                    </w:rPr>
                    <w:t>依托华谊</w:t>
                  </w:r>
                </w:p>
              </w:tc>
            </w:tr>
            <w:tr w14:paraId="6173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4D49BC8A">
                  <w:pPr>
                    <w:pStyle w:val="42"/>
                  </w:pPr>
                </w:p>
              </w:tc>
              <w:tc>
                <w:tcPr>
                  <w:tcW w:w="1134" w:type="dxa"/>
                  <w:vAlign w:val="center"/>
                </w:tcPr>
                <w:p w14:paraId="20D2C73C">
                  <w:pPr>
                    <w:pStyle w:val="42"/>
                  </w:pPr>
                  <w:r>
                    <w:rPr>
                      <w:rFonts w:hint="eastAsia"/>
                    </w:rPr>
                    <w:t>供气</w:t>
                  </w:r>
                </w:p>
              </w:tc>
              <w:tc>
                <w:tcPr>
                  <w:tcW w:w="4068" w:type="dxa"/>
                  <w:vAlign w:val="center"/>
                </w:tcPr>
                <w:p w14:paraId="51321F1D">
                  <w:pPr>
                    <w:pStyle w:val="42"/>
                  </w:pPr>
                  <w:r>
                    <w:rPr>
                      <w:rFonts w:hint="eastAsia"/>
                    </w:rPr>
                    <w:t>本项目原料空气、低压氮气、仪表空气依托一期空分项目供应，用于贫氪氙提取系统。</w:t>
                  </w:r>
                </w:p>
              </w:tc>
              <w:tc>
                <w:tcPr>
                  <w:tcW w:w="2007" w:type="dxa"/>
                  <w:vAlign w:val="center"/>
                </w:tcPr>
                <w:p w14:paraId="0AE07EF8">
                  <w:pPr>
                    <w:pStyle w:val="42"/>
                  </w:pPr>
                  <w:r>
                    <w:rPr>
                      <w:rFonts w:hint="eastAsia"/>
                    </w:rPr>
                    <w:t>依托一期空分项目</w:t>
                  </w:r>
                </w:p>
              </w:tc>
            </w:tr>
            <w:tr w14:paraId="205C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2C8D8741">
                  <w:pPr>
                    <w:pStyle w:val="42"/>
                  </w:pPr>
                  <w:r>
                    <w:rPr>
                      <w:rFonts w:hint="eastAsia"/>
                    </w:rPr>
                    <w:t>环保工程</w:t>
                  </w:r>
                </w:p>
              </w:tc>
              <w:tc>
                <w:tcPr>
                  <w:tcW w:w="1134" w:type="dxa"/>
                  <w:vAlign w:val="center"/>
                </w:tcPr>
                <w:p w14:paraId="4C8AA06E">
                  <w:pPr>
                    <w:pStyle w:val="42"/>
                  </w:pPr>
                  <w:r>
                    <w:rPr>
                      <w:rFonts w:hint="eastAsia"/>
                    </w:rPr>
                    <w:t>废气措施</w:t>
                  </w:r>
                </w:p>
              </w:tc>
              <w:tc>
                <w:tcPr>
                  <w:tcW w:w="4068" w:type="dxa"/>
                  <w:vAlign w:val="center"/>
                </w:tcPr>
                <w:p w14:paraId="7D39714D">
                  <w:pPr>
                    <w:pStyle w:val="42"/>
                  </w:pPr>
                  <w:r>
                    <w:rPr>
                      <w:rFonts w:hint="eastAsia"/>
                    </w:rPr>
                    <w:t>项目运营期无废气产生。</w:t>
                  </w:r>
                </w:p>
              </w:tc>
              <w:tc>
                <w:tcPr>
                  <w:tcW w:w="2007" w:type="dxa"/>
                  <w:vAlign w:val="center"/>
                </w:tcPr>
                <w:p w14:paraId="1FBC92E8">
                  <w:pPr>
                    <w:pStyle w:val="42"/>
                  </w:pPr>
                </w:p>
              </w:tc>
            </w:tr>
            <w:tr w14:paraId="0FA1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1A6EA42F">
                  <w:pPr>
                    <w:pStyle w:val="42"/>
                  </w:pPr>
                </w:p>
              </w:tc>
              <w:tc>
                <w:tcPr>
                  <w:tcW w:w="1134" w:type="dxa"/>
                  <w:vAlign w:val="center"/>
                </w:tcPr>
                <w:p w14:paraId="219D4FB4">
                  <w:pPr>
                    <w:pStyle w:val="42"/>
                  </w:pPr>
                  <w:r>
                    <w:rPr>
                      <w:rFonts w:hint="eastAsia"/>
                    </w:rPr>
                    <w:t>废水措施</w:t>
                  </w:r>
                </w:p>
              </w:tc>
              <w:tc>
                <w:tcPr>
                  <w:tcW w:w="4068" w:type="dxa"/>
                  <w:vAlign w:val="center"/>
                </w:tcPr>
                <w:p w14:paraId="2B0781CF">
                  <w:pPr>
                    <w:pStyle w:val="42"/>
                  </w:pPr>
                  <w:r>
                    <w:rPr>
                      <w:rFonts w:hint="eastAsia"/>
                    </w:rPr>
                    <w:t>本项目无生产废水，生活污水近期经化粪池处理后，排入国投钦电发电厂生活污水处理系统处理。</w:t>
                  </w:r>
                </w:p>
              </w:tc>
              <w:tc>
                <w:tcPr>
                  <w:tcW w:w="2007" w:type="dxa"/>
                  <w:vAlign w:val="center"/>
                </w:tcPr>
                <w:p w14:paraId="5A0BBEBC">
                  <w:pPr>
                    <w:pStyle w:val="42"/>
                  </w:pPr>
                </w:p>
              </w:tc>
            </w:tr>
            <w:tr w14:paraId="77DD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323B76CA">
                  <w:pPr>
                    <w:pStyle w:val="42"/>
                  </w:pPr>
                </w:p>
              </w:tc>
              <w:tc>
                <w:tcPr>
                  <w:tcW w:w="1134" w:type="dxa"/>
                  <w:vAlign w:val="center"/>
                </w:tcPr>
                <w:p w14:paraId="2E48FF19">
                  <w:pPr>
                    <w:pStyle w:val="42"/>
                  </w:pPr>
                  <w:r>
                    <w:rPr>
                      <w:rFonts w:hint="eastAsia"/>
                    </w:rPr>
                    <w:t>固废措施</w:t>
                  </w:r>
                </w:p>
              </w:tc>
              <w:tc>
                <w:tcPr>
                  <w:tcW w:w="4068" w:type="dxa"/>
                  <w:vAlign w:val="center"/>
                </w:tcPr>
                <w:p w14:paraId="416F2225">
                  <w:pPr>
                    <w:pStyle w:val="42"/>
                  </w:pPr>
                  <w:r>
                    <w:rPr>
                      <w:rFonts w:hint="eastAsia"/>
                    </w:rPr>
                    <w:t>本项目废吸附剂由厂家回收，生活垃圾由环卫部门集中收集后统一处理。</w:t>
                  </w:r>
                </w:p>
              </w:tc>
              <w:tc>
                <w:tcPr>
                  <w:tcW w:w="2007" w:type="dxa"/>
                  <w:vAlign w:val="center"/>
                </w:tcPr>
                <w:p w14:paraId="5F7DCAE5">
                  <w:pPr>
                    <w:pStyle w:val="42"/>
                  </w:pPr>
                </w:p>
              </w:tc>
            </w:tr>
            <w:tr w14:paraId="7083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14:paraId="09220176">
                  <w:pPr>
                    <w:pStyle w:val="42"/>
                  </w:pPr>
                </w:p>
              </w:tc>
              <w:tc>
                <w:tcPr>
                  <w:tcW w:w="1134" w:type="dxa"/>
                  <w:vAlign w:val="center"/>
                </w:tcPr>
                <w:p w14:paraId="789EC76F">
                  <w:pPr>
                    <w:pStyle w:val="42"/>
                  </w:pPr>
                  <w:r>
                    <w:rPr>
                      <w:rFonts w:hint="eastAsia"/>
                    </w:rPr>
                    <w:t>风险措施</w:t>
                  </w:r>
                </w:p>
              </w:tc>
              <w:tc>
                <w:tcPr>
                  <w:tcW w:w="4068" w:type="dxa"/>
                  <w:vAlign w:val="center"/>
                </w:tcPr>
                <w:p w14:paraId="7E55D6AC">
                  <w:pPr>
                    <w:pStyle w:val="42"/>
                  </w:pPr>
                  <w:r>
                    <w:rPr>
                      <w:rFonts w:hint="eastAsia"/>
                    </w:rPr>
                    <w:t>依托一期空分项目事故应急池，容积650m</w:t>
                  </w:r>
                  <w:r>
                    <w:rPr>
                      <w:rFonts w:hint="eastAsia"/>
                      <w:vertAlign w:val="superscript"/>
                    </w:rPr>
                    <w:t>3</w:t>
                  </w:r>
                  <w:r>
                    <w:rPr>
                      <w:rFonts w:hint="eastAsia"/>
                    </w:rPr>
                    <w:t>，收集事故废水。</w:t>
                  </w:r>
                </w:p>
              </w:tc>
              <w:tc>
                <w:tcPr>
                  <w:tcW w:w="2007" w:type="dxa"/>
                  <w:vAlign w:val="center"/>
                </w:tcPr>
                <w:p w14:paraId="3E196D4F">
                  <w:pPr>
                    <w:pStyle w:val="42"/>
                  </w:pPr>
                  <w:r>
                    <w:rPr>
                      <w:rFonts w:hint="eastAsia"/>
                    </w:rPr>
                    <w:t>依托一期空分项目</w:t>
                  </w:r>
                </w:p>
              </w:tc>
            </w:tr>
          </w:tbl>
          <w:p w14:paraId="78557D0B">
            <w:pPr>
              <w:pStyle w:val="41"/>
              <w:ind w:firstLine="480"/>
            </w:pPr>
          </w:p>
          <w:p w14:paraId="02AAFDD2">
            <w:pPr>
              <w:pStyle w:val="41"/>
              <w:ind w:firstLine="480"/>
            </w:pPr>
            <w:r>
              <w:rPr>
                <w:rFonts w:hint="eastAsia"/>
              </w:rPr>
              <w:t>④氮气管道工程-林德气体（广西）有限公司至广西新天德能源有限公司</w:t>
            </w:r>
          </w:p>
          <w:p w14:paraId="74D80746">
            <w:pPr>
              <w:pStyle w:val="41"/>
              <w:numPr>
                <w:ilvl w:val="0"/>
                <w:numId w:val="7"/>
              </w:numPr>
              <w:spacing w:line="240" w:lineRule="auto"/>
              <w:ind w:firstLineChars="0"/>
              <w:jc w:val="center"/>
              <w:rPr>
                <w:b/>
                <w:bCs/>
                <w:sz w:val="21"/>
                <w:szCs w:val="21"/>
              </w:rPr>
            </w:pPr>
            <w:r>
              <w:rPr>
                <w:rFonts w:hint="eastAsia"/>
                <w:b/>
                <w:bCs/>
                <w:sz w:val="21"/>
                <w:szCs w:val="21"/>
              </w:rPr>
              <w:t>氮气管道工程主要建设内容一览表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843"/>
              <w:gridCol w:w="4941"/>
            </w:tblGrid>
            <w:tr w14:paraId="5338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3" w:type="dxa"/>
                  <w:vAlign w:val="center"/>
                </w:tcPr>
                <w:p w14:paraId="1E9C0C29">
                  <w:pPr>
                    <w:pStyle w:val="42"/>
                    <w:rPr>
                      <w:b/>
                      <w:bCs/>
                    </w:rPr>
                  </w:pPr>
                  <w:r>
                    <w:rPr>
                      <w:rFonts w:hint="eastAsia"/>
                      <w:b/>
                      <w:bCs/>
                    </w:rPr>
                    <w:t>工程类别</w:t>
                  </w:r>
                </w:p>
              </w:tc>
              <w:tc>
                <w:tcPr>
                  <w:tcW w:w="1843" w:type="dxa"/>
                  <w:vAlign w:val="center"/>
                </w:tcPr>
                <w:p w14:paraId="638B3185">
                  <w:pPr>
                    <w:pStyle w:val="42"/>
                    <w:rPr>
                      <w:b/>
                      <w:bCs/>
                    </w:rPr>
                  </w:pPr>
                  <w:r>
                    <w:rPr>
                      <w:rFonts w:hint="eastAsia"/>
                      <w:b/>
                      <w:bCs/>
                    </w:rPr>
                    <w:t>名称</w:t>
                  </w:r>
                </w:p>
              </w:tc>
              <w:tc>
                <w:tcPr>
                  <w:tcW w:w="4941" w:type="dxa"/>
                  <w:vAlign w:val="center"/>
                </w:tcPr>
                <w:p w14:paraId="6DF7B718">
                  <w:pPr>
                    <w:pStyle w:val="42"/>
                    <w:rPr>
                      <w:b/>
                      <w:bCs/>
                    </w:rPr>
                  </w:pPr>
                  <w:r>
                    <w:rPr>
                      <w:rFonts w:hint="eastAsia"/>
                      <w:b/>
                      <w:bCs/>
                    </w:rPr>
                    <w:t>主要工程内容</w:t>
                  </w:r>
                </w:p>
              </w:tc>
            </w:tr>
            <w:tr w14:paraId="268B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29C891D4">
                  <w:pPr>
                    <w:pStyle w:val="42"/>
                  </w:pPr>
                  <w:r>
                    <w:rPr>
                      <w:rFonts w:hint="eastAsia"/>
                    </w:rPr>
                    <w:t>主体工程</w:t>
                  </w:r>
                </w:p>
              </w:tc>
              <w:tc>
                <w:tcPr>
                  <w:tcW w:w="1843" w:type="dxa"/>
                  <w:vAlign w:val="center"/>
                </w:tcPr>
                <w:p w14:paraId="0E8F311C">
                  <w:pPr>
                    <w:pStyle w:val="42"/>
                  </w:pPr>
                  <w:r>
                    <w:rPr>
                      <w:rFonts w:hint="eastAsia"/>
                    </w:rPr>
                    <w:t>线路工程</w:t>
                  </w:r>
                </w:p>
              </w:tc>
              <w:tc>
                <w:tcPr>
                  <w:tcW w:w="4941" w:type="dxa"/>
                  <w:vAlign w:val="center"/>
                </w:tcPr>
                <w:p w14:paraId="265BB067">
                  <w:pPr>
                    <w:pStyle w:val="42"/>
                  </w:pPr>
                  <w:r>
                    <w:rPr>
                      <w:rFonts w:hint="eastAsia"/>
                    </w:rPr>
                    <w:t>管长1.6km，DN500长度约600m，氮气输送量60000Nm</w:t>
                  </w:r>
                  <w:r>
                    <w:rPr>
                      <w:rFonts w:hint="eastAsia"/>
                      <w:vertAlign w:val="superscript"/>
                    </w:rPr>
                    <w:t>3</w:t>
                  </w:r>
                  <w:r>
                    <w:rPr>
                      <w:rFonts w:hint="eastAsia"/>
                    </w:rPr>
                    <w:t>/h；DN250长度约1km，氮气输送量10000Nm</w:t>
                  </w:r>
                  <w:r>
                    <w:rPr>
                      <w:rFonts w:hint="eastAsia"/>
                      <w:vertAlign w:val="superscript"/>
                    </w:rPr>
                    <w:t>3</w:t>
                  </w:r>
                  <w:r>
                    <w:rPr>
                      <w:rFonts w:hint="eastAsia"/>
                    </w:rPr>
                    <w:t>/h。年输气量为8.76×10</w:t>
                  </w:r>
                  <w:r>
                    <w:rPr>
                      <w:rFonts w:hint="eastAsia"/>
                      <w:vertAlign w:val="superscript"/>
                    </w:rPr>
                    <w:t>7</w:t>
                  </w:r>
                  <w:r>
                    <w:rPr>
                      <w:rFonts w:hint="eastAsia"/>
                    </w:rPr>
                    <w:t>Nm</w:t>
                  </w:r>
                  <w:r>
                    <w:rPr>
                      <w:rFonts w:hint="eastAsia"/>
                      <w:vertAlign w:val="superscript"/>
                    </w:rPr>
                    <w:t>3</w:t>
                  </w:r>
                  <w:r>
                    <w:rPr>
                      <w:rFonts w:hint="eastAsia"/>
                    </w:rPr>
                    <w:t>。</w:t>
                  </w:r>
                </w:p>
              </w:tc>
            </w:tr>
            <w:tr w14:paraId="4E4A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4251F67D">
                  <w:pPr>
                    <w:pStyle w:val="42"/>
                  </w:pPr>
                  <w:r>
                    <w:rPr>
                      <w:rFonts w:hint="eastAsia"/>
                    </w:rPr>
                    <w:t>辅助工程</w:t>
                  </w:r>
                </w:p>
              </w:tc>
              <w:tc>
                <w:tcPr>
                  <w:tcW w:w="1843" w:type="dxa"/>
                  <w:vAlign w:val="center"/>
                </w:tcPr>
                <w:p w14:paraId="5D6A02C2">
                  <w:pPr>
                    <w:pStyle w:val="42"/>
                  </w:pPr>
                  <w:r>
                    <w:rPr>
                      <w:rFonts w:hint="eastAsia"/>
                    </w:rPr>
                    <w:t>计量、调压阀组</w:t>
                  </w:r>
                </w:p>
              </w:tc>
              <w:tc>
                <w:tcPr>
                  <w:tcW w:w="4941" w:type="dxa"/>
                  <w:vAlign w:val="center"/>
                </w:tcPr>
                <w:p w14:paraId="46F8B527">
                  <w:pPr>
                    <w:pStyle w:val="42"/>
                  </w:pPr>
                  <w:r>
                    <w:rPr>
                      <w:rFonts w:hint="eastAsia"/>
                    </w:rPr>
                    <w:t>用于计量氮气使用量即控制气体压力，设置在管道末端，用于调节气体压力进入企业管道</w:t>
                  </w:r>
                </w:p>
              </w:tc>
            </w:tr>
            <w:tr w14:paraId="46D7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restart"/>
                  <w:vAlign w:val="center"/>
                </w:tcPr>
                <w:p w14:paraId="17BDD5D3">
                  <w:pPr>
                    <w:pStyle w:val="42"/>
                  </w:pPr>
                  <w:r>
                    <w:rPr>
                      <w:rFonts w:hint="eastAsia"/>
                    </w:rPr>
                    <w:t>公用工程</w:t>
                  </w:r>
                </w:p>
              </w:tc>
              <w:tc>
                <w:tcPr>
                  <w:tcW w:w="1843" w:type="dxa"/>
                  <w:vAlign w:val="center"/>
                </w:tcPr>
                <w:p w14:paraId="68C0CB54">
                  <w:pPr>
                    <w:pStyle w:val="42"/>
                  </w:pPr>
                  <w:r>
                    <w:rPr>
                      <w:rFonts w:hint="eastAsia"/>
                    </w:rPr>
                    <w:t>给排水</w:t>
                  </w:r>
                </w:p>
              </w:tc>
              <w:tc>
                <w:tcPr>
                  <w:tcW w:w="4941" w:type="dxa"/>
                  <w:vAlign w:val="center"/>
                </w:tcPr>
                <w:p w14:paraId="474540E3">
                  <w:pPr>
                    <w:pStyle w:val="42"/>
                  </w:pPr>
                  <w:r>
                    <w:rPr>
                      <w:rFonts w:hint="eastAsia"/>
                    </w:rPr>
                    <w:t>不涉及新增用水</w:t>
                  </w:r>
                </w:p>
              </w:tc>
            </w:tr>
            <w:tr w14:paraId="1F82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475EB4BD">
                  <w:pPr>
                    <w:pStyle w:val="42"/>
                  </w:pPr>
                </w:p>
              </w:tc>
              <w:tc>
                <w:tcPr>
                  <w:tcW w:w="1843" w:type="dxa"/>
                  <w:vAlign w:val="center"/>
                </w:tcPr>
                <w:p w14:paraId="17488FD4">
                  <w:pPr>
                    <w:pStyle w:val="42"/>
                  </w:pPr>
                  <w:r>
                    <w:rPr>
                      <w:rFonts w:hint="eastAsia"/>
                    </w:rPr>
                    <w:t>供电</w:t>
                  </w:r>
                </w:p>
              </w:tc>
              <w:tc>
                <w:tcPr>
                  <w:tcW w:w="4941" w:type="dxa"/>
                  <w:vAlign w:val="center"/>
                </w:tcPr>
                <w:p w14:paraId="55C27156">
                  <w:pPr>
                    <w:pStyle w:val="42"/>
                  </w:pPr>
                  <w:r>
                    <w:rPr>
                      <w:rFonts w:hint="eastAsia"/>
                    </w:rPr>
                    <w:t>园区供电</w:t>
                  </w:r>
                </w:p>
              </w:tc>
            </w:tr>
            <w:tr w14:paraId="261C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restart"/>
                  <w:vAlign w:val="center"/>
                </w:tcPr>
                <w:p w14:paraId="774D3C46">
                  <w:pPr>
                    <w:pStyle w:val="42"/>
                  </w:pPr>
                  <w:r>
                    <w:rPr>
                      <w:rFonts w:hint="eastAsia"/>
                    </w:rPr>
                    <w:t>环保工程</w:t>
                  </w:r>
                </w:p>
              </w:tc>
              <w:tc>
                <w:tcPr>
                  <w:tcW w:w="1843" w:type="dxa"/>
                  <w:vAlign w:val="center"/>
                </w:tcPr>
                <w:p w14:paraId="690E34E0">
                  <w:pPr>
                    <w:pStyle w:val="42"/>
                  </w:pPr>
                  <w:r>
                    <w:rPr>
                      <w:rFonts w:hint="eastAsia"/>
                    </w:rPr>
                    <w:t>废气</w:t>
                  </w:r>
                </w:p>
              </w:tc>
              <w:tc>
                <w:tcPr>
                  <w:tcW w:w="4941" w:type="dxa"/>
                  <w:vAlign w:val="center"/>
                </w:tcPr>
                <w:p w14:paraId="610F617F">
                  <w:pPr>
                    <w:pStyle w:val="42"/>
                  </w:pPr>
                  <w:r>
                    <w:rPr>
                      <w:rFonts w:hint="eastAsia"/>
                    </w:rPr>
                    <w:t>施工期间采取防尘措施，运营期无废气产生</w:t>
                  </w:r>
                </w:p>
              </w:tc>
            </w:tr>
            <w:tr w14:paraId="468E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207B4762">
                  <w:pPr>
                    <w:pStyle w:val="42"/>
                  </w:pPr>
                </w:p>
              </w:tc>
              <w:tc>
                <w:tcPr>
                  <w:tcW w:w="1843" w:type="dxa"/>
                  <w:vAlign w:val="center"/>
                </w:tcPr>
                <w:p w14:paraId="346E3127">
                  <w:pPr>
                    <w:pStyle w:val="42"/>
                  </w:pPr>
                  <w:r>
                    <w:rPr>
                      <w:rFonts w:hint="eastAsia"/>
                    </w:rPr>
                    <w:t>废水</w:t>
                  </w:r>
                </w:p>
              </w:tc>
              <w:tc>
                <w:tcPr>
                  <w:tcW w:w="4941" w:type="dxa"/>
                  <w:vAlign w:val="center"/>
                </w:tcPr>
                <w:p w14:paraId="026061A4">
                  <w:pPr>
                    <w:pStyle w:val="42"/>
                  </w:pPr>
                  <w:r>
                    <w:rPr>
                      <w:rFonts w:hint="eastAsia"/>
                    </w:rPr>
                    <w:t>施工运营期均无废水产生</w:t>
                  </w:r>
                </w:p>
              </w:tc>
            </w:tr>
            <w:tr w14:paraId="252D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62089A4E">
                  <w:pPr>
                    <w:pStyle w:val="42"/>
                  </w:pPr>
                </w:p>
              </w:tc>
              <w:tc>
                <w:tcPr>
                  <w:tcW w:w="1843" w:type="dxa"/>
                  <w:vAlign w:val="center"/>
                </w:tcPr>
                <w:p w14:paraId="7F148E27">
                  <w:pPr>
                    <w:pStyle w:val="42"/>
                  </w:pPr>
                  <w:r>
                    <w:rPr>
                      <w:rFonts w:hint="eastAsia"/>
                    </w:rPr>
                    <w:t>噪声</w:t>
                  </w:r>
                </w:p>
              </w:tc>
              <w:tc>
                <w:tcPr>
                  <w:tcW w:w="4941" w:type="dxa"/>
                  <w:vAlign w:val="center"/>
                </w:tcPr>
                <w:p w14:paraId="529E7CFB">
                  <w:pPr>
                    <w:pStyle w:val="42"/>
                  </w:pPr>
                  <w:r>
                    <w:rPr>
                      <w:rFonts w:hint="eastAsia"/>
                    </w:rPr>
                    <w:t>施工期采用低噪声机械，施工区域设围挡，控制作业时间，减震等。运营期无噪声产生</w:t>
                  </w:r>
                </w:p>
              </w:tc>
            </w:tr>
            <w:tr w14:paraId="09C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5F3EC0E2">
                  <w:pPr>
                    <w:pStyle w:val="42"/>
                  </w:pPr>
                </w:p>
              </w:tc>
              <w:tc>
                <w:tcPr>
                  <w:tcW w:w="1843" w:type="dxa"/>
                  <w:vAlign w:val="center"/>
                </w:tcPr>
                <w:p w14:paraId="057A86C8">
                  <w:pPr>
                    <w:pStyle w:val="42"/>
                  </w:pPr>
                  <w:r>
                    <w:rPr>
                      <w:rFonts w:hint="eastAsia"/>
                    </w:rPr>
                    <w:t>固废</w:t>
                  </w:r>
                </w:p>
              </w:tc>
              <w:tc>
                <w:tcPr>
                  <w:tcW w:w="4941" w:type="dxa"/>
                  <w:vAlign w:val="center"/>
                </w:tcPr>
                <w:p w14:paraId="4891509E">
                  <w:pPr>
                    <w:pStyle w:val="42"/>
                  </w:pPr>
                  <w:r>
                    <w:rPr>
                      <w:rFonts w:hint="eastAsia"/>
                    </w:rPr>
                    <w:t>施工土石方、安装废物，运营期无</w:t>
                  </w:r>
                </w:p>
              </w:tc>
            </w:tr>
          </w:tbl>
          <w:p w14:paraId="53EEE374">
            <w:pPr>
              <w:pStyle w:val="41"/>
              <w:ind w:firstLine="480"/>
            </w:pPr>
          </w:p>
          <w:p w14:paraId="2A050F28">
            <w:pPr>
              <w:pStyle w:val="41"/>
              <w:ind w:firstLine="482"/>
              <w:rPr>
                <w:b/>
                <w:bCs/>
                <w:sz w:val="21"/>
                <w:szCs w:val="21"/>
              </w:rPr>
            </w:pPr>
            <w:r>
              <w:rPr>
                <w:rFonts w:hint="eastAsia"/>
                <w:b/>
                <w:bCs/>
              </w:rPr>
              <w:t>2、</w:t>
            </w:r>
          </w:p>
          <w:p w14:paraId="43202C45">
            <w:pPr>
              <w:pStyle w:val="41"/>
              <w:ind w:firstLine="480"/>
            </w:pPr>
            <w:r>
              <w:rPr>
                <w:rFonts w:hint="eastAsia"/>
              </w:rPr>
              <w:t>（涉密删除）</w:t>
            </w:r>
          </w:p>
          <w:p w14:paraId="444F1A9F">
            <w:pPr>
              <w:pStyle w:val="41"/>
              <w:ind w:firstLine="482"/>
              <w:rPr>
                <w:b/>
                <w:bCs/>
              </w:rPr>
            </w:pPr>
            <w:r>
              <w:rPr>
                <w:rFonts w:hint="eastAsia"/>
                <w:b/>
                <w:bCs/>
              </w:rPr>
              <w:t>三、现有工程污染物排放达标情况</w:t>
            </w:r>
          </w:p>
          <w:p w14:paraId="5A2129B5">
            <w:pPr>
              <w:pStyle w:val="41"/>
              <w:ind w:firstLine="482"/>
              <w:rPr>
                <w:b/>
                <w:bCs/>
              </w:rPr>
            </w:pPr>
            <w:r>
              <w:rPr>
                <w:rFonts w:hint="eastAsia"/>
                <w:b/>
                <w:bCs/>
              </w:rPr>
              <w:t>①广西华谊能源化工配套空分项目</w:t>
            </w:r>
          </w:p>
          <w:p w14:paraId="4549EAA8">
            <w:pPr>
              <w:pStyle w:val="41"/>
              <w:ind w:firstLine="480"/>
            </w:pPr>
            <w:r>
              <w:rPr>
                <w:rFonts w:hint="eastAsia"/>
              </w:rPr>
              <w:t>（1）废气</w:t>
            </w:r>
          </w:p>
          <w:p w14:paraId="3FBC0A12">
            <w:pPr>
              <w:pStyle w:val="41"/>
              <w:ind w:firstLine="480"/>
            </w:pPr>
            <w:r>
              <w:rPr>
                <w:rFonts w:hint="eastAsia"/>
              </w:rPr>
              <w:t>运营期项目废气主要来自空气精馏系统和分子筛吸附器再生产生的污氮，主要成分是氮气、氧气、惰性气体和水分，不含有害成分，对环境无污染 ，经消声后高空放空排入大气中。</w:t>
            </w:r>
          </w:p>
          <w:p w14:paraId="2BDB229E">
            <w:pPr>
              <w:pStyle w:val="41"/>
              <w:ind w:firstLine="480"/>
            </w:pPr>
            <w:r>
              <w:rPr>
                <w:rFonts w:hint="eastAsia"/>
              </w:rPr>
              <w:t>（2）废水</w:t>
            </w:r>
          </w:p>
          <w:p w14:paraId="10CBC538">
            <w:pPr>
              <w:pStyle w:val="41"/>
              <w:ind w:firstLine="480"/>
            </w:pPr>
            <w:r>
              <w:rPr>
                <w:rFonts w:hint="eastAsia"/>
              </w:rPr>
              <w:t>运营期产生的废水主要为循环废水和生活污水。生活污水排放量为1.16 m</w:t>
            </w:r>
            <w:r>
              <w:rPr>
                <w:rFonts w:hint="eastAsia"/>
                <w:vertAlign w:val="superscript"/>
              </w:rPr>
              <w:t>3</w:t>
            </w:r>
            <w:r>
              <w:rPr>
                <w:rFonts w:hint="eastAsia"/>
              </w:rPr>
              <w:t>/d，依托国投钦州发电厂生活处理系统进一步处理。循环水排放量为29 m</w:t>
            </w:r>
            <w:r>
              <w:rPr>
                <w:rFonts w:hint="eastAsia"/>
                <w:vertAlign w:val="superscript"/>
              </w:rPr>
              <w:t>3</w:t>
            </w:r>
            <w:r>
              <w:rPr>
                <w:rFonts w:hint="eastAsia"/>
              </w:rPr>
              <w:t>/h，废水先排入广西华谊能源化工配套空分项目生产污水池进行暂存，后排入广西华谊能源化工配套空分项目管网，经管网排入天宜污水处理厂一期处理，处理达标后近期近岸排放，远期</w:t>
            </w:r>
            <w:r>
              <w:rPr>
                <w:rFonts w:hint="eastAsia"/>
                <w:lang w:eastAsia="zh-CN"/>
              </w:rPr>
              <w:t>依托</w:t>
            </w:r>
            <w:r>
              <w:rPr>
                <w:rFonts w:hint="eastAsia"/>
              </w:rPr>
              <w:t>园区深海排放管道于钦州湾金鼓江深海排放区排放。</w:t>
            </w:r>
          </w:p>
          <w:p w14:paraId="7459A332">
            <w:pPr>
              <w:pStyle w:val="41"/>
              <w:ind w:firstLine="480"/>
            </w:pPr>
            <w:r>
              <w:rPr>
                <w:rFonts w:hint="eastAsia"/>
              </w:rPr>
              <w:t>根据《广西华谊能源化工配套空分项目竣工环境保护验收监测报告表》，2021年8月24日至8月25日，对空分项目废水排放进行验收监测。验收监测期间循环冷却水排水的pH值、悬浮物、化学需氧量的浓度平均值符合《污水综合排放标准》（GB 8978-1996）三级标准限值的要求，氨氮、水温无限值要求，不</w:t>
            </w:r>
            <w:r>
              <w:rPr>
                <w:rFonts w:hint="eastAsia"/>
                <w:lang w:eastAsia="zh-CN"/>
              </w:rPr>
              <w:t>作</w:t>
            </w:r>
            <w:r>
              <w:rPr>
                <w:rFonts w:hint="eastAsia"/>
              </w:rPr>
              <w:t>评价。循环冷却水排水的pH值、悬浮物、化学需氧量、氨氮的浓度平均值满足华谊公司污水纳管要求，水温无限值要求，不</w:t>
            </w:r>
            <w:r>
              <w:rPr>
                <w:rFonts w:hint="eastAsia"/>
                <w:lang w:eastAsia="zh-CN"/>
              </w:rPr>
              <w:t>作</w:t>
            </w:r>
            <w:r>
              <w:rPr>
                <w:rFonts w:hint="eastAsia"/>
              </w:rPr>
              <w:t>评价。</w:t>
            </w:r>
          </w:p>
          <w:p w14:paraId="2DD6BBA9">
            <w:pPr>
              <w:pStyle w:val="41"/>
              <w:ind w:firstLine="480"/>
            </w:pPr>
            <w:r>
              <w:rPr>
                <w:rFonts w:hint="eastAsia"/>
              </w:rPr>
              <w:t>（3）噪声</w:t>
            </w:r>
          </w:p>
          <w:p w14:paraId="21EA1E09">
            <w:pPr>
              <w:pStyle w:val="41"/>
              <w:ind w:firstLine="480"/>
            </w:pPr>
            <w:r>
              <w:rPr>
                <w:rFonts w:hint="eastAsia"/>
              </w:rPr>
              <w:t>噪声主要来源于空压机、膨胀机、汽轮机等设备，噪声源强在80～115dB(A)之间。采用的主要污染防治措施为基础减震、安装减震垫，设置隔声间、安装消声器，设置隔声屏障（围墙与绿化等）等措施。</w:t>
            </w:r>
          </w:p>
          <w:p w14:paraId="2D8EF85E">
            <w:pPr>
              <w:pStyle w:val="41"/>
              <w:ind w:firstLine="480"/>
            </w:pPr>
            <w:r>
              <w:rPr>
                <w:rFonts w:hint="eastAsia"/>
              </w:rPr>
              <w:t>根据《广西华谊能源化工配套空分项目竣工环境保护验收监测报告表》，验收监测期间，依据《环境噪声监测技术规范 噪声测量值修正》（HJ 706-2014）对噪声测量值进行修正后，厂界噪声达标情况无法评价；将验收期间厂界噪声监测结果与投产前的厂界噪声背景值监测结果进行比较，两者差异不大，说明项目厂界受周边企业噪声影响较大，且厂界与环境敏感点的距离较远，厂界噪声对周边敏感点无影响。</w:t>
            </w:r>
          </w:p>
          <w:p w14:paraId="60DAF15C">
            <w:pPr>
              <w:pStyle w:val="41"/>
              <w:ind w:firstLine="480"/>
            </w:pPr>
            <w:r>
              <w:rPr>
                <w:rFonts w:hint="eastAsia"/>
              </w:rPr>
              <w:t>（4）固废</w:t>
            </w:r>
          </w:p>
          <w:p w14:paraId="4A6A2DA3">
            <w:pPr>
              <w:pStyle w:val="41"/>
              <w:ind w:firstLine="480"/>
            </w:pPr>
            <w:r>
              <w:rPr>
                <w:rFonts w:hint="eastAsia"/>
              </w:rPr>
              <w:t>根据《广西华谊能源化工配套空分项目竣工环境保护验收监测报告表》，空分项目固体废物产生及处置情况见下表。</w:t>
            </w:r>
          </w:p>
          <w:p w14:paraId="6665B089">
            <w:pPr>
              <w:pStyle w:val="41"/>
              <w:numPr>
                <w:ilvl w:val="0"/>
                <w:numId w:val="7"/>
              </w:numPr>
              <w:spacing w:line="240" w:lineRule="auto"/>
              <w:ind w:firstLineChars="0"/>
              <w:jc w:val="center"/>
              <w:rPr>
                <w:b/>
                <w:bCs/>
                <w:sz w:val="21"/>
                <w:szCs w:val="21"/>
              </w:rPr>
            </w:pPr>
            <w:r>
              <w:rPr>
                <w:rFonts w:hint="eastAsia"/>
                <w:b/>
                <w:bCs/>
                <w:sz w:val="21"/>
                <w:szCs w:val="21"/>
              </w:rPr>
              <w:t>空分项目固废产生及处置情况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007"/>
              <w:gridCol w:w="2007"/>
              <w:gridCol w:w="2007"/>
            </w:tblGrid>
            <w:tr w14:paraId="5A60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06" w:type="dxa"/>
                  <w:vAlign w:val="center"/>
                </w:tcPr>
                <w:p w14:paraId="66326E4E">
                  <w:pPr>
                    <w:pStyle w:val="42"/>
                    <w:rPr>
                      <w:b/>
                      <w:bCs/>
                    </w:rPr>
                  </w:pPr>
                  <w:r>
                    <w:rPr>
                      <w:rFonts w:hint="eastAsia"/>
                      <w:b/>
                      <w:bCs/>
                    </w:rPr>
                    <w:t>固体废物名称</w:t>
                  </w:r>
                </w:p>
              </w:tc>
              <w:tc>
                <w:tcPr>
                  <w:tcW w:w="2007" w:type="dxa"/>
                  <w:vAlign w:val="center"/>
                </w:tcPr>
                <w:p w14:paraId="37BE8DD0">
                  <w:pPr>
                    <w:pStyle w:val="42"/>
                    <w:rPr>
                      <w:b/>
                      <w:bCs/>
                    </w:rPr>
                  </w:pPr>
                  <w:r>
                    <w:rPr>
                      <w:rFonts w:hint="eastAsia"/>
                      <w:b/>
                      <w:bCs/>
                    </w:rPr>
                    <w:t>产生量（t/a）</w:t>
                  </w:r>
                </w:p>
              </w:tc>
              <w:tc>
                <w:tcPr>
                  <w:tcW w:w="2007" w:type="dxa"/>
                  <w:vAlign w:val="center"/>
                </w:tcPr>
                <w:p w14:paraId="2453387C">
                  <w:pPr>
                    <w:pStyle w:val="42"/>
                    <w:rPr>
                      <w:b/>
                      <w:bCs/>
                    </w:rPr>
                  </w:pPr>
                  <w:r>
                    <w:rPr>
                      <w:rFonts w:hint="eastAsia"/>
                      <w:b/>
                      <w:bCs/>
                    </w:rPr>
                    <w:t>类别</w:t>
                  </w:r>
                </w:p>
              </w:tc>
              <w:tc>
                <w:tcPr>
                  <w:tcW w:w="2007" w:type="dxa"/>
                  <w:vAlign w:val="center"/>
                </w:tcPr>
                <w:p w14:paraId="27AAB14F">
                  <w:pPr>
                    <w:pStyle w:val="42"/>
                    <w:rPr>
                      <w:b/>
                      <w:bCs/>
                    </w:rPr>
                  </w:pPr>
                  <w:r>
                    <w:rPr>
                      <w:rFonts w:hint="eastAsia"/>
                      <w:b/>
                      <w:bCs/>
                    </w:rPr>
                    <w:t>处置情况</w:t>
                  </w:r>
                </w:p>
              </w:tc>
            </w:tr>
            <w:tr w14:paraId="0DAF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vAlign w:val="center"/>
                </w:tcPr>
                <w:p w14:paraId="52E62B98">
                  <w:pPr>
                    <w:pStyle w:val="42"/>
                  </w:pPr>
                  <w:r>
                    <w:rPr>
                      <w:rFonts w:hint="eastAsia"/>
                    </w:rPr>
                    <w:t>废分子筛</w:t>
                  </w:r>
                </w:p>
              </w:tc>
              <w:tc>
                <w:tcPr>
                  <w:tcW w:w="2007" w:type="dxa"/>
                  <w:vAlign w:val="center"/>
                </w:tcPr>
                <w:p w14:paraId="63233BA3">
                  <w:pPr>
                    <w:pStyle w:val="42"/>
                  </w:pPr>
                  <w:r>
                    <w:t>35</w:t>
                  </w:r>
                </w:p>
              </w:tc>
              <w:tc>
                <w:tcPr>
                  <w:tcW w:w="2007" w:type="dxa"/>
                  <w:vAlign w:val="center"/>
                </w:tcPr>
                <w:p w14:paraId="59B3B8C0">
                  <w:pPr>
                    <w:pStyle w:val="42"/>
                  </w:pPr>
                  <w:r>
                    <w:rPr>
                      <w:rFonts w:hint="eastAsia"/>
                    </w:rPr>
                    <w:t>一般固废</w:t>
                  </w:r>
                </w:p>
              </w:tc>
              <w:tc>
                <w:tcPr>
                  <w:tcW w:w="2007" w:type="dxa"/>
                  <w:vAlign w:val="center"/>
                </w:tcPr>
                <w:p w14:paraId="5EC3841A">
                  <w:pPr>
                    <w:pStyle w:val="42"/>
                  </w:pPr>
                  <w:r>
                    <w:rPr>
                      <w:rFonts w:hint="eastAsia"/>
                    </w:rPr>
                    <w:t>返回原厂处理</w:t>
                  </w:r>
                </w:p>
              </w:tc>
            </w:tr>
            <w:tr w14:paraId="7E10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vAlign w:val="center"/>
                </w:tcPr>
                <w:p w14:paraId="2930012D">
                  <w:pPr>
                    <w:pStyle w:val="42"/>
                  </w:pPr>
                  <w:r>
                    <w:rPr>
                      <w:rFonts w:hint="eastAsia"/>
                    </w:rPr>
                    <w:t>废机油</w:t>
                  </w:r>
                </w:p>
              </w:tc>
              <w:tc>
                <w:tcPr>
                  <w:tcW w:w="2007" w:type="dxa"/>
                  <w:vAlign w:val="center"/>
                </w:tcPr>
                <w:p w14:paraId="31A9DB6A">
                  <w:pPr>
                    <w:pStyle w:val="42"/>
                  </w:pPr>
                  <w:r>
                    <w:t>12</w:t>
                  </w:r>
                </w:p>
              </w:tc>
              <w:tc>
                <w:tcPr>
                  <w:tcW w:w="2007" w:type="dxa"/>
                  <w:vAlign w:val="center"/>
                </w:tcPr>
                <w:p w14:paraId="5C533099">
                  <w:pPr>
                    <w:pStyle w:val="42"/>
                  </w:pPr>
                  <w:r>
                    <w:rPr>
                      <w:rFonts w:hint="eastAsia"/>
                    </w:rPr>
                    <w:t>危险废物</w:t>
                  </w:r>
                </w:p>
              </w:tc>
              <w:tc>
                <w:tcPr>
                  <w:tcW w:w="2007" w:type="dxa"/>
                  <w:vMerge w:val="restart"/>
                  <w:vAlign w:val="center"/>
                </w:tcPr>
                <w:p w14:paraId="7E7C352B">
                  <w:pPr>
                    <w:pStyle w:val="42"/>
                  </w:pPr>
                  <w:r>
                    <w:rPr>
                      <w:rFonts w:hint="eastAsia"/>
                    </w:rPr>
                    <w:t>委托有资质的单位处理</w:t>
                  </w:r>
                </w:p>
              </w:tc>
            </w:tr>
            <w:tr w14:paraId="64F5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vAlign w:val="center"/>
                </w:tcPr>
                <w:p w14:paraId="639A63F3">
                  <w:pPr>
                    <w:pStyle w:val="42"/>
                  </w:pPr>
                  <w:r>
                    <w:rPr>
                      <w:rFonts w:hint="eastAsia"/>
                    </w:rPr>
                    <w:t>含油抹布、废料</w:t>
                  </w:r>
                </w:p>
              </w:tc>
              <w:tc>
                <w:tcPr>
                  <w:tcW w:w="2007" w:type="dxa"/>
                  <w:vAlign w:val="center"/>
                </w:tcPr>
                <w:p w14:paraId="34F94AB4">
                  <w:pPr>
                    <w:pStyle w:val="42"/>
                  </w:pPr>
                  <w:r>
                    <w:t>4</w:t>
                  </w:r>
                </w:p>
              </w:tc>
              <w:tc>
                <w:tcPr>
                  <w:tcW w:w="2007" w:type="dxa"/>
                  <w:vAlign w:val="center"/>
                </w:tcPr>
                <w:p w14:paraId="5AB3A4AB">
                  <w:pPr>
                    <w:pStyle w:val="42"/>
                  </w:pPr>
                  <w:r>
                    <w:rPr>
                      <w:rFonts w:hint="eastAsia"/>
                    </w:rPr>
                    <w:t>危险废物</w:t>
                  </w:r>
                </w:p>
              </w:tc>
              <w:tc>
                <w:tcPr>
                  <w:tcW w:w="2007" w:type="dxa"/>
                  <w:vMerge w:val="continue"/>
                  <w:vAlign w:val="center"/>
                </w:tcPr>
                <w:p w14:paraId="38C126B0">
                  <w:pPr>
                    <w:pStyle w:val="42"/>
                  </w:pPr>
                </w:p>
              </w:tc>
            </w:tr>
            <w:tr w14:paraId="0392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vAlign w:val="center"/>
                </w:tcPr>
                <w:p w14:paraId="4C05A0F1">
                  <w:pPr>
                    <w:pStyle w:val="42"/>
                  </w:pPr>
                  <w:r>
                    <w:rPr>
                      <w:rFonts w:hint="eastAsia"/>
                    </w:rPr>
                    <w:t>废药剂桶、废油桶</w:t>
                  </w:r>
                </w:p>
              </w:tc>
              <w:tc>
                <w:tcPr>
                  <w:tcW w:w="2007" w:type="dxa"/>
                  <w:vAlign w:val="center"/>
                </w:tcPr>
                <w:p w14:paraId="0EFC1452">
                  <w:pPr>
                    <w:pStyle w:val="42"/>
                  </w:pPr>
                  <w:r>
                    <w:t>10</w:t>
                  </w:r>
                </w:p>
              </w:tc>
              <w:tc>
                <w:tcPr>
                  <w:tcW w:w="2007" w:type="dxa"/>
                  <w:vAlign w:val="center"/>
                </w:tcPr>
                <w:p w14:paraId="77A44E4D">
                  <w:pPr>
                    <w:pStyle w:val="42"/>
                  </w:pPr>
                  <w:r>
                    <w:rPr>
                      <w:rFonts w:hint="eastAsia"/>
                    </w:rPr>
                    <w:t>危险废物</w:t>
                  </w:r>
                </w:p>
              </w:tc>
              <w:tc>
                <w:tcPr>
                  <w:tcW w:w="2007" w:type="dxa"/>
                  <w:vMerge w:val="continue"/>
                  <w:vAlign w:val="center"/>
                </w:tcPr>
                <w:p w14:paraId="755CC8DF">
                  <w:pPr>
                    <w:pStyle w:val="42"/>
                  </w:pPr>
                </w:p>
              </w:tc>
            </w:tr>
            <w:tr w14:paraId="6BD5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6" w:type="dxa"/>
                  <w:vAlign w:val="center"/>
                </w:tcPr>
                <w:p w14:paraId="384A2549">
                  <w:pPr>
                    <w:pStyle w:val="42"/>
                  </w:pPr>
                  <w:r>
                    <w:rPr>
                      <w:rFonts w:hint="eastAsia"/>
                    </w:rPr>
                    <w:t>实验室废弃物</w:t>
                  </w:r>
                </w:p>
              </w:tc>
              <w:tc>
                <w:tcPr>
                  <w:tcW w:w="2007" w:type="dxa"/>
                  <w:vAlign w:val="center"/>
                </w:tcPr>
                <w:p w14:paraId="0F85354B">
                  <w:pPr>
                    <w:pStyle w:val="42"/>
                  </w:pPr>
                  <w:r>
                    <w:t>0.01</w:t>
                  </w:r>
                </w:p>
              </w:tc>
              <w:tc>
                <w:tcPr>
                  <w:tcW w:w="2007" w:type="dxa"/>
                  <w:vAlign w:val="center"/>
                </w:tcPr>
                <w:p w14:paraId="045A3493">
                  <w:pPr>
                    <w:pStyle w:val="42"/>
                  </w:pPr>
                  <w:r>
                    <w:rPr>
                      <w:rFonts w:hint="eastAsia"/>
                    </w:rPr>
                    <w:t>危险废物</w:t>
                  </w:r>
                </w:p>
              </w:tc>
              <w:tc>
                <w:tcPr>
                  <w:tcW w:w="2007" w:type="dxa"/>
                  <w:vMerge w:val="continue"/>
                  <w:vAlign w:val="center"/>
                </w:tcPr>
                <w:p w14:paraId="139F92F8">
                  <w:pPr>
                    <w:pStyle w:val="42"/>
                  </w:pPr>
                </w:p>
              </w:tc>
            </w:tr>
            <w:tr w14:paraId="331A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06" w:type="dxa"/>
                  <w:vAlign w:val="center"/>
                </w:tcPr>
                <w:p w14:paraId="0797A3EC">
                  <w:pPr>
                    <w:pStyle w:val="42"/>
                  </w:pPr>
                  <w:r>
                    <w:rPr>
                      <w:rFonts w:hint="eastAsia"/>
                    </w:rPr>
                    <w:t>员工生活垃圾</w:t>
                  </w:r>
                </w:p>
              </w:tc>
              <w:tc>
                <w:tcPr>
                  <w:tcW w:w="2007" w:type="dxa"/>
                  <w:vAlign w:val="center"/>
                </w:tcPr>
                <w:p w14:paraId="5F784DE7">
                  <w:pPr>
                    <w:pStyle w:val="42"/>
                  </w:pPr>
                  <w:r>
                    <w:t>8.07</w:t>
                  </w:r>
                </w:p>
              </w:tc>
              <w:tc>
                <w:tcPr>
                  <w:tcW w:w="2007" w:type="dxa"/>
                  <w:vAlign w:val="center"/>
                </w:tcPr>
                <w:p w14:paraId="25518776">
                  <w:pPr>
                    <w:pStyle w:val="42"/>
                  </w:pPr>
                  <w:r>
                    <w:t>/</w:t>
                  </w:r>
                </w:p>
              </w:tc>
              <w:tc>
                <w:tcPr>
                  <w:tcW w:w="2007" w:type="dxa"/>
                  <w:vAlign w:val="center"/>
                </w:tcPr>
                <w:p w14:paraId="43C68CF6">
                  <w:pPr>
                    <w:pStyle w:val="42"/>
                  </w:pPr>
                  <w:r>
                    <w:rPr>
                      <w:rFonts w:hint="eastAsia"/>
                    </w:rPr>
                    <w:t>环卫部门收集处理统一运往垃圾填埋场</w:t>
                  </w:r>
                </w:p>
              </w:tc>
            </w:tr>
          </w:tbl>
          <w:p w14:paraId="2014ECD4">
            <w:pPr>
              <w:pStyle w:val="41"/>
              <w:ind w:firstLine="480"/>
            </w:pPr>
          </w:p>
          <w:p w14:paraId="5DCE53E3">
            <w:pPr>
              <w:pStyle w:val="41"/>
              <w:ind w:firstLine="482"/>
              <w:rPr>
                <w:b/>
                <w:bCs/>
              </w:rPr>
            </w:pPr>
            <w:r>
              <w:rPr>
                <w:rFonts w:hint="eastAsia"/>
                <w:b/>
                <w:bCs/>
              </w:rPr>
              <w:t>②普莱克斯（广西）气体有限公司钦州基地二期氮气供应项目</w:t>
            </w:r>
          </w:p>
          <w:p w14:paraId="4F750142">
            <w:pPr>
              <w:pStyle w:val="41"/>
              <w:ind w:firstLine="480"/>
            </w:pPr>
            <w:r>
              <w:rPr>
                <w:rFonts w:hint="eastAsia"/>
              </w:rPr>
              <w:t>（1）废气</w:t>
            </w:r>
          </w:p>
          <w:p w14:paraId="56BE19FE">
            <w:pPr>
              <w:pStyle w:val="41"/>
              <w:ind w:firstLine="480"/>
            </w:pPr>
            <w:r>
              <w:rPr>
                <w:rFonts w:hint="eastAsia"/>
              </w:rPr>
              <w:t>运营期管道输送的氮气为密闭输送，正常运行时无氮气排放，只有事故状态时会有一定的氮气放散到大气中，氮气不会对周围大气环境产生影响。</w:t>
            </w:r>
          </w:p>
          <w:p w14:paraId="55F7F705">
            <w:pPr>
              <w:pStyle w:val="41"/>
              <w:ind w:firstLine="480"/>
            </w:pPr>
            <w:r>
              <w:rPr>
                <w:rFonts w:hint="eastAsia"/>
              </w:rPr>
              <w:t>（2）废水</w:t>
            </w:r>
          </w:p>
          <w:p w14:paraId="24CC5B2D">
            <w:pPr>
              <w:pStyle w:val="41"/>
              <w:ind w:firstLine="480"/>
            </w:pPr>
            <w:r>
              <w:rPr>
                <w:rFonts w:hint="eastAsia"/>
              </w:rPr>
              <w:t>运营期生产废水包括循环冷却水废水（产生量1.15m</w:t>
            </w:r>
            <w:r>
              <w:rPr>
                <w:rFonts w:hint="eastAsia"/>
                <w:vertAlign w:val="superscript"/>
              </w:rPr>
              <w:t>3</w:t>
            </w:r>
            <w:r>
              <w:rPr>
                <w:rFonts w:hint="eastAsia"/>
              </w:rPr>
              <w:t>/h）、蒸汽冷凝水（产生量约2m</w:t>
            </w:r>
            <w:r>
              <w:rPr>
                <w:rFonts w:hint="eastAsia"/>
                <w:vertAlign w:val="superscript"/>
              </w:rPr>
              <w:t>3</w:t>
            </w:r>
            <w:r>
              <w:rPr>
                <w:rFonts w:hint="eastAsia"/>
              </w:rPr>
              <w:t>/d），生产废水先排入广西华谊能源化工配套空分项目生产污水池进行暂存，后排入空分项目厂区管网，经管网排入天宜污水处理厂一期处理。处理达标后，近期近岸排放，远期依托园区深海排放管道于钦州湾金鼓江深海排放区排放。无增加劳动定员，故无新增生活废水。</w:t>
            </w:r>
          </w:p>
          <w:p w14:paraId="4ED29773">
            <w:pPr>
              <w:pStyle w:val="41"/>
              <w:ind w:firstLine="480"/>
            </w:pPr>
            <w:r>
              <w:rPr>
                <w:rFonts w:hint="eastAsia"/>
              </w:rPr>
              <w:t>根据《普莱克斯（广西）气体有限公司钦州基地二期氮气供应项目竣工环境保护验收调查表》，二期氮气供应项目验收期间，循环冷却废水的pH 值、化学需氧量、五日生化需氧量、氨氮、悬浮物、总氮、总磷的监测结果均符合天宜污水处理厂一期污水纳管水质标准限值的要求。</w:t>
            </w:r>
          </w:p>
          <w:p w14:paraId="00090946">
            <w:pPr>
              <w:pStyle w:val="41"/>
              <w:ind w:firstLine="480"/>
            </w:pPr>
            <w:r>
              <w:rPr>
                <w:rFonts w:hint="eastAsia"/>
              </w:rPr>
              <w:t>（3）噪声</w:t>
            </w:r>
          </w:p>
          <w:p w14:paraId="75B56485">
            <w:pPr>
              <w:pStyle w:val="41"/>
              <w:ind w:firstLine="480"/>
            </w:pPr>
            <w:r>
              <w:rPr>
                <w:rFonts w:hint="eastAsia"/>
              </w:rPr>
              <w:t>主要噪声源来自生产工艺系统和公用工程及辅助设施设备，如氮压机、冷却塔、泵等，噪声源在70～90dB（A）之间；氮压机安装在隔音罩内。采用的主要污染防治措施为基础减震、安装消声器，厂房隔声等。</w:t>
            </w:r>
          </w:p>
          <w:p w14:paraId="4ADE34F5">
            <w:pPr>
              <w:pStyle w:val="41"/>
              <w:ind w:firstLine="480"/>
            </w:pPr>
            <w:r>
              <w:rPr>
                <w:rFonts w:hint="eastAsia"/>
              </w:rPr>
              <w:t>根据《普莱克斯（广西）气体有限公司钦州基地二期氮气供应项目竣工环境保护验收调查表》，验收监测期间，依据《环境噪声监测技术规范 噪声测量值修正》（HJ 706-2014）对噪声测量值进行修正后，厂界噪声达标情况无法评价；将验收期间厂界噪声监测结果与投产前的厂界噪声背景值监测结果进行比较，两者差异不大，说明项目厂界受周边企业噪声影响较大，且厂界与环境敏感点的距离较远，厂界噪声对周边敏感点无影响。</w:t>
            </w:r>
          </w:p>
          <w:p w14:paraId="49A27F2F">
            <w:pPr>
              <w:pStyle w:val="41"/>
              <w:ind w:firstLine="480"/>
            </w:pPr>
            <w:r>
              <w:rPr>
                <w:rFonts w:hint="eastAsia"/>
              </w:rPr>
              <w:t>（4）固废</w:t>
            </w:r>
          </w:p>
          <w:p w14:paraId="79F6024A">
            <w:pPr>
              <w:pStyle w:val="41"/>
              <w:ind w:firstLine="480"/>
            </w:pPr>
            <w:r>
              <w:rPr>
                <w:rFonts w:hint="eastAsia"/>
              </w:rPr>
              <w:t>根据《普莱克斯（广西）气体有限公司钦州基地二期氮气供应项目竣工环境保护验收调查表》，二期氮气供应项目正常运行情况下，机械维护过程中产生废机油、含油抹布约0.5t/a，运营期不增加劳动定员，不新增生活垃圾。废机油、含油抹贮存于危废暂存间，定期委托威立雅环保科技（钦州）有限公司处理。</w:t>
            </w:r>
          </w:p>
          <w:p w14:paraId="6DC2D760">
            <w:pPr>
              <w:pStyle w:val="41"/>
              <w:ind w:firstLine="482"/>
              <w:rPr>
                <w:b/>
                <w:bCs/>
              </w:rPr>
            </w:pPr>
            <w:r>
              <w:rPr>
                <w:rFonts w:hint="eastAsia"/>
                <w:b/>
                <w:bCs/>
              </w:rPr>
              <w:t>③普莱克斯（广西）气体有限公司年产6426吨贫氪氙液氧项目</w:t>
            </w:r>
          </w:p>
          <w:p w14:paraId="66CD7FE0">
            <w:pPr>
              <w:pStyle w:val="41"/>
              <w:ind w:firstLine="480"/>
            </w:pPr>
            <w:r>
              <w:rPr>
                <w:rFonts w:hint="eastAsia"/>
              </w:rPr>
              <w:t>（1）废气</w:t>
            </w:r>
          </w:p>
          <w:p w14:paraId="74AF93E8">
            <w:pPr>
              <w:pStyle w:val="41"/>
              <w:ind w:firstLine="480"/>
            </w:pPr>
            <w:r>
              <w:rPr>
                <w:rFonts w:hint="eastAsia"/>
              </w:rPr>
              <w:t>贫氪氙液氧项目吸附器再生过程排放废气主要成分是二氧化碳、氧化亚氮，排放量较小，对周围空气环境影响不大。</w:t>
            </w:r>
          </w:p>
          <w:p w14:paraId="0ECA1BD4">
            <w:pPr>
              <w:pStyle w:val="41"/>
              <w:ind w:firstLine="480"/>
            </w:pPr>
            <w:r>
              <w:rPr>
                <w:rFonts w:hint="eastAsia"/>
              </w:rPr>
              <w:t>（2）废水</w:t>
            </w:r>
          </w:p>
          <w:p w14:paraId="7A9A40E5">
            <w:pPr>
              <w:pStyle w:val="41"/>
              <w:ind w:firstLine="480"/>
            </w:pPr>
            <w:r>
              <w:rPr>
                <w:rFonts w:hint="eastAsia"/>
              </w:rPr>
              <w:t>废水为生活污水，无生产废水。新增生活污水量约</w:t>
            </w:r>
            <w:r>
              <w:t>0.08</w:t>
            </w:r>
            <w:r>
              <w:rPr>
                <w:rFonts w:hint="eastAsia"/>
              </w:rPr>
              <w:t>m</w:t>
            </w:r>
            <w:r>
              <w:rPr>
                <w:rFonts w:hint="eastAsia"/>
                <w:vertAlign w:val="superscript"/>
              </w:rPr>
              <w:t>3</w:t>
            </w:r>
            <w:r>
              <w:rPr>
                <w:rFonts w:hint="eastAsia"/>
              </w:rPr>
              <w:t>/d，经厂内化粪池处理后，排入国投钦电生活污水处理系统处理。</w:t>
            </w:r>
          </w:p>
          <w:p w14:paraId="0AB889D4">
            <w:pPr>
              <w:pStyle w:val="41"/>
              <w:ind w:firstLine="480"/>
            </w:pPr>
            <w:r>
              <w:rPr>
                <w:rFonts w:hint="eastAsia"/>
              </w:rPr>
              <w:t>（3）噪声</w:t>
            </w:r>
          </w:p>
          <w:p w14:paraId="648C4E93">
            <w:pPr>
              <w:pStyle w:val="41"/>
              <w:ind w:firstLine="480"/>
            </w:pPr>
            <w:r>
              <w:rPr>
                <w:rFonts w:hint="eastAsia"/>
              </w:rPr>
              <w:t>项目无压缩机、风机、泵等高噪声源，主要设备为贫氪氙液氧精馏塔、蒸发再沸器、吸附器。根据建设单位实际生产经验，这些设备在生产过程中噪音很小，产生的噪声对项目所在区域声环境影响不大。</w:t>
            </w:r>
          </w:p>
          <w:p w14:paraId="75AF3EF5">
            <w:pPr>
              <w:pStyle w:val="41"/>
              <w:ind w:firstLine="480"/>
            </w:pPr>
            <w:r>
              <w:rPr>
                <w:rFonts w:hint="eastAsia"/>
              </w:rPr>
              <w:t>根据《年产6426吨贫氪氙液氧项目竣工环境保护验收监测报告表》，贫氪氙液氧项目验收期间，所在厂区东、南、西、北面厂界噪声均能满足《工业企业厂界环境噪声排放标准》（GB12348-2008）3类标准限值。</w:t>
            </w:r>
          </w:p>
          <w:p w14:paraId="5F0F29E0">
            <w:pPr>
              <w:pStyle w:val="41"/>
              <w:ind w:firstLine="480"/>
            </w:pPr>
            <w:r>
              <w:rPr>
                <w:rFonts w:hint="eastAsia"/>
              </w:rPr>
              <w:t>（4）固废</w:t>
            </w:r>
          </w:p>
          <w:p w14:paraId="63C64D5D">
            <w:pPr>
              <w:pStyle w:val="41"/>
              <w:ind w:firstLine="480"/>
            </w:pPr>
            <w:r>
              <w:rPr>
                <w:rFonts w:hint="eastAsia"/>
              </w:rPr>
              <w:t>项目在营运过程中产生的固体废弃物主要为废吸附剂和生活垃圾。吸附器使用的吸附剂成分为硅胶，主要是吸附原料液氧中的二氧化碳和氧化亚氮等杂质，属于一般固废。吸附剂用量为2.38t ，使用寿命为十年，到期需更换。因附着的均为空气中的杂质、水分以及其他空气中的成分，不含有毒有害物质，更换后由厂家回收。新增生活垃圾产生量约为0.37t/a，由环卫部门集中收集后统一处理，对环境影响不大。</w:t>
            </w:r>
          </w:p>
          <w:p w14:paraId="4992E491">
            <w:pPr>
              <w:pStyle w:val="41"/>
              <w:ind w:firstLine="482"/>
              <w:rPr>
                <w:b/>
                <w:bCs/>
              </w:rPr>
            </w:pPr>
            <w:r>
              <w:rPr>
                <w:rFonts w:hint="eastAsia"/>
                <w:b/>
                <w:bCs/>
              </w:rPr>
              <w:t>④氮气管道工程-林德气体（广西）有限公司至广西新天德能源有限公司</w:t>
            </w:r>
          </w:p>
          <w:p w14:paraId="23576B37">
            <w:pPr>
              <w:pStyle w:val="41"/>
              <w:ind w:firstLine="480"/>
            </w:pPr>
            <w:r>
              <w:rPr>
                <w:rFonts w:hint="eastAsia"/>
              </w:rPr>
              <w:t>（1）废气</w:t>
            </w:r>
          </w:p>
          <w:p w14:paraId="6BB8DCF8">
            <w:pPr>
              <w:pStyle w:val="41"/>
              <w:ind w:firstLine="480"/>
            </w:pPr>
            <w:r>
              <w:rPr>
                <w:rFonts w:hint="eastAsia"/>
              </w:rPr>
              <w:t>项目运营期实行专管专用，正常工况下无废气排放。</w:t>
            </w:r>
          </w:p>
          <w:p w14:paraId="2E01F494">
            <w:pPr>
              <w:pStyle w:val="41"/>
              <w:ind w:firstLine="480"/>
            </w:pPr>
            <w:r>
              <w:rPr>
                <w:rFonts w:hint="eastAsia"/>
              </w:rPr>
              <w:t>（2）废水</w:t>
            </w:r>
          </w:p>
          <w:p w14:paraId="1C10AD8E">
            <w:pPr>
              <w:pStyle w:val="41"/>
              <w:ind w:firstLine="480"/>
            </w:pPr>
            <w:r>
              <w:rPr>
                <w:rFonts w:hint="eastAsia"/>
              </w:rPr>
              <w:t>项目运营期无废水排放，正常工况下氮气运输不会对地表水环境产生影响。</w:t>
            </w:r>
          </w:p>
          <w:p w14:paraId="46DEE79E">
            <w:pPr>
              <w:pStyle w:val="41"/>
              <w:ind w:firstLine="480"/>
            </w:pPr>
            <w:r>
              <w:rPr>
                <w:rFonts w:hint="eastAsia"/>
              </w:rPr>
              <w:t>（3）噪声</w:t>
            </w:r>
          </w:p>
          <w:p w14:paraId="706879BA">
            <w:pPr>
              <w:pStyle w:val="41"/>
              <w:ind w:firstLine="480"/>
            </w:pPr>
            <w:r>
              <w:rPr>
                <w:rFonts w:hint="eastAsia"/>
              </w:rPr>
              <w:t>项目管线为全密闭管线，运营期正常工况下无噪声排放，故对周边声环境影响较小。</w:t>
            </w:r>
          </w:p>
          <w:p w14:paraId="7312D2E6">
            <w:pPr>
              <w:pStyle w:val="41"/>
              <w:ind w:firstLine="480"/>
            </w:pPr>
            <w:r>
              <w:rPr>
                <w:rFonts w:hint="eastAsia"/>
              </w:rPr>
              <w:t>（4）固废</w:t>
            </w:r>
          </w:p>
          <w:p w14:paraId="3431A4FC">
            <w:pPr>
              <w:pStyle w:val="41"/>
              <w:ind w:firstLine="480"/>
            </w:pPr>
            <w:r>
              <w:rPr>
                <w:rFonts w:hint="eastAsia"/>
              </w:rPr>
              <w:t>项目运营期正常工况下无固体废物排放。</w:t>
            </w:r>
          </w:p>
          <w:p w14:paraId="6F9332E2">
            <w:pPr>
              <w:pStyle w:val="41"/>
              <w:ind w:firstLine="482"/>
              <w:rPr>
                <w:b/>
                <w:bCs/>
              </w:rPr>
            </w:pPr>
            <w:r>
              <w:rPr>
                <w:rFonts w:hint="eastAsia"/>
                <w:b/>
                <w:bCs/>
              </w:rPr>
              <w:t>四、本项目建成后全厂情况</w:t>
            </w:r>
          </w:p>
          <w:p w14:paraId="7D13F20C">
            <w:pPr>
              <w:pStyle w:val="41"/>
              <w:ind w:firstLine="480"/>
            </w:pPr>
            <w:r>
              <w:rPr>
                <w:rFonts w:hint="eastAsia"/>
              </w:rPr>
              <w:t>本项目建成后全厂工程建设情况如下表所示。</w:t>
            </w:r>
          </w:p>
          <w:p w14:paraId="0139B092">
            <w:pPr>
              <w:pStyle w:val="41"/>
              <w:numPr>
                <w:ilvl w:val="0"/>
                <w:numId w:val="7"/>
              </w:numPr>
              <w:spacing w:line="240" w:lineRule="auto"/>
              <w:ind w:firstLineChars="0"/>
              <w:jc w:val="center"/>
              <w:rPr>
                <w:b/>
                <w:bCs/>
                <w:sz w:val="21"/>
                <w:szCs w:val="21"/>
              </w:rPr>
            </w:pPr>
            <w:r>
              <w:rPr>
                <w:rFonts w:hint="eastAsia"/>
                <w:b/>
                <w:bCs/>
                <w:sz w:val="21"/>
                <w:szCs w:val="21"/>
              </w:rPr>
              <w:t>本项目建成后全厂主要建设内容一览表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708"/>
              <w:gridCol w:w="1134"/>
              <w:gridCol w:w="4395"/>
              <w:gridCol w:w="1255"/>
            </w:tblGrid>
            <w:tr w14:paraId="7930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5" w:type="dxa"/>
                  <w:vAlign w:val="center"/>
                </w:tcPr>
                <w:p w14:paraId="1D378E68">
                  <w:pPr>
                    <w:pStyle w:val="42"/>
                    <w:rPr>
                      <w:b/>
                      <w:bCs/>
                    </w:rPr>
                  </w:pPr>
                  <w:r>
                    <w:rPr>
                      <w:rFonts w:hint="eastAsia"/>
                      <w:b/>
                      <w:bCs/>
                    </w:rPr>
                    <w:t>序号</w:t>
                  </w:r>
                </w:p>
              </w:tc>
              <w:tc>
                <w:tcPr>
                  <w:tcW w:w="708" w:type="dxa"/>
                  <w:vAlign w:val="center"/>
                </w:tcPr>
                <w:p w14:paraId="775EFC8D">
                  <w:pPr>
                    <w:pStyle w:val="42"/>
                    <w:rPr>
                      <w:b/>
                      <w:bCs/>
                    </w:rPr>
                  </w:pPr>
                  <w:r>
                    <w:rPr>
                      <w:rFonts w:hint="eastAsia"/>
                      <w:b/>
                      <w:bCs/>
                    </w:rPr>
                    <w:t>项目类别</w:t>
                  </w:r>
                </w:p>
              </w:tc>
              <w:tc>
                <w:tcPr>
                  <w:tcW w:w="1134" w:type="dxa"/>
                  <w:vAlign w:val="center"/>
                </w:tcPr>
                <w:p w14:paraId="120BB196">
                  <w:pPr>
                    <w:pStyle w:val="42"/>
                    <w:rPr>
                      <w:b/>
                      <w:bCs/>
                    </w:rPr>
                  </w:pPr>
                  <w:r>
                    <w:rPr>
                      <w:rFonts w:hint="eastAsia"/>
                      <w:b/>
                      <w:bCs/>
                    </w:rPr>
                    <w:t>单项工程名称</w:t>
                  </w:r>
                </w:p>
              </w:tc>
              <w:tc>
                <w:tcPr>
                  <w:tcW w:w="4395" w:type="dxa"/>
                  <w:vAlign w:val="center"/>
                </w:tcPr>
                <w:p w14:paraId="65A88934">
                  <w:pPr>
                    <w:pStyle w:val="42"/>
                    <w:rPr>
                      <w:b/>
                      <w:bCs/>
                    </w:rPr>
                  </w:pPr>
                  <w:r>
                    <w:rPr>
                      <w:rFonts w:hint="eastAsia"/>
                      <w:b/>
                      <w:bCs/>
                    </w:rPr>
                    <w:t>工程内容及设备</w:t>
                  </w:r>
                </w:p>
              </w:tc>
              <w:tc>
                <w:tcPr>
                  <w:tcW w:w="1255" w:type="dxa"/>
                  <w:vAlign w:val="center"/>
                </w:tcPr>
                <w:p w14:paraId="0DA47532">
                  <w:pPr>
                    <w:pStyle w:val="42"/>
                    <w:rPr>
                      <w:b/>
                      <w:bCs/>
                    </w:rPr>
                  </w:pPr>
                  <w:r>
                    <w:rPr>
                      <w:rFonts w:hint="eastAsia"/>
                      <w:b/>
                      <w:bCs/>
                    </w:rPr>
                    <w:t>工程规模</w:t>
                  </w:r>
                </w:p>
              </w:tc>
            </w:tr>
            <w:tr w14:paraId="4BB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5F94E8F8">
                  <w:pPr>
                    <w:pStyle w:val="42"/>
                  </w:pPr>
                  <w:r>
                    <w:t>1</w:t>
                  </w:r>
                </w:p>
              </w:tc>
              <w:tc>
                <w:tcPr>
                  <w:tcW w:w="708" w:type="dxa"/>
                  <w:vMerge w:val="restart"/>
                  <w:vAlign w:val="center"/>
                </w:tcPr>
                <w:p w14:paraId="6EBA536C">
                  <w:pPr>
                    <w:pStyle w:val="42"/>
                  </w:pPr>
                  <w:r>
                    <w:rPr>
                      <w:rFonts w:hint="eastAsia"/>
                    </w:rPr>
                    <w:t>主体工程</w:t>
                  </w:r>
                </w:p>
              </w:tc>
              <w:tc>
                <w:tcPr>
                  <w:tcW w:w="1134" w:type="dxa"/>
                  <w:vAlign w:val="center"/>
                </w:tcPr>
                <w:p w14:paraId="7D1F548F">
                  <w:pPr>
                    <w:pStyle w:val="42"/>
                  </w:pPr>
                  <w:r>
                    <w:rPr>
                      <w:rFonts w:hint="eastAsia"/>
                    </w:rPr>
                    <w:t>压缩机厂房1</w:t>
                  </w:r>
                </w:p>
              </w:tc>
              <w:tc>
                <w:tcPr>
                  <w:tcW w:w="4395" w:type="dxa"/>
                  <w:vAlign w:val="center"/>
                </w:tcPr>
                <w:p w14:paraId="35FBFBBE">
                  <w:pPr>
                    <w:pStyle w:val="42"/>
                  </w:pPr>
                  <w:r>
                    <w:rPr>
                      <w:rFonts w:hint="eastAsia"/>
                    </w:rPr>
                    <w:t>单层，层高为26m，内部设置空压机、氮泵、冷水机组等。</w:t>
                  </w:r>
                </w:p>
              </w:tc>
              <w:tc>
                <w:tcPr>
                  <w:tcW w:w="1255" w:type="dxa"/>
                  <w:vAlign w:val="center"/>
                </w:tcPr>
                <w:p w14:paraId="1EF5835D">
                  <w:pPr>
                    <w:pStyle w:val="42"/>
                  </w:pPr>
                  <w:r>
                    <w:t>1668.42m</w:t>
                  </w:r>
                  <w:r>
                    <w:rPr>
                      <w:vertAlign w:val="superscript"/>
                    </w:rPr>
                    <w:t>2</w:t>
                  </w:r>
                </w:p>
              </w:tc>
            </w:tr>
            <w:tr w14:paraId="57E0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37DAF235">
                  <w:pPr>
                    <w:pStyle w:val="42"/>
                  </w:pPr>
                </w:p>
              </w:tc>
              <w:tc>
                <w:tcPr>
                  <w:tcW w:w="708" w:type="dxa"/>
                  <w:vMerge w:val="continue"/>
                  <w:vAlign w:val="center"/>
                </w:tcPr>
                <w:p w14:paraId="658AB0F8">
                  <w:pPr>
                    <w:pStyle w:val="42"/>
                  </w:pPr>
                </w:p>
              </w:tc>
              <w:tc>
                <w:tcPr>
                  <w:tcW w:w="1134" w:type="dxa"/>
                  <w:vAlign w:val="center"/>
                </w:tcPr>
                <w:p w14:paraId="14B41282">
                  <w:pPr>
                    <w:pStyle w:val="42"/>
                  </w:pPr>
                  <w:r>
                    <w:rPr>
                      <w:rFonts w:hint="eastAsia"/>
                    </w:rPr>
                    <w:t>压缩机厂房2</w:t>
                  </w:r>
                </w:p>
              </w:tc>
              <w:tc>
                <w:tcPr>
                  <w:tcW w:w="4395" w:type="dxa"/>
                  <w:vAlign w:val="center"/>
                </w:tcPr>
                <w:p w14:paraId="5B36B4BB">
                  <w:pPr>
                    <w:pStyle w:val="42"/>
                  </w:pPr>
                  <w:r>
                    <w:rPr>
                      <w:rFonts w:hint="eastAsia"/>
                    </w:rPr>
                    <w:t>单层，层高为26m，内部设置空压机、氮泵、冷水机组等。</w:t>
                  </w:r>
                </w:p>
              </w:tc>
              <w:tc>
                <w:tcPr>
                  <w:tcW w:w="1255" w:type="dxa"/>
                  <w:vAlign w:val="center"/>
                </w:tcPr>
                <w:p w14:paraId="5CC049EA">
                  <w:pPr>
                    <w:pStyle w:val="42"/>
                  </w:pPr>
                  <w:r>
                    <w:t>1668.42m</w:t>
                  </w:r>
                  <w:r>
                    <w:rPr>
                      <w:vertAlign w:val="superscript"/>
                    </w:rPr>
                    <w:t>2</w:t>
                  </w:r>
                </w:p>
              </w:tc>
            </w:tr>
            <w:tr w14:paraId="6EA5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C1ADC5E">
                  <w:pPr>
                    <w:pStyle w:val="42"/>
                  </w:pPr>
                </w:p>
              </w:tc>
              <w:tc>
                <w:tcPr>
                  <w:tcW w:w="708" w:type="dxa"/>
                  <w:vMerge w:val="continue"/>
                  <w:vAlign w:val="center"/>
                </w:tcPr>
                <w:p w14:paraId="0D84EF19">
                  <w:pPr>
                    <w:pStyle w:val="42"/>
                  </w:pPr>
                </w:p>
              </w:tc>
              <w:tc>
                <w:tcPr>
                  <w:tcW w:w="1134" w:type="dxa"/>
                  <w:vAlign w:val="center"/>
                </w:tcPr>
                <w:p w14:paraId="3FD5499B">
                  <w:pPr>
                    <w:pStyle w:val="42"/>
                  </w:pPr>
                  <w:r>
                    <w:rPr>
                      <w:rFonts w:hint="eastAsia"/>
                    </w:rPr>
                    <w:t>压缩机厂房3</w:t>
                  </w:r>
                </w:p>
              </w:tc>
              <w:tc>
                <w:tcPr>
                  <w:tcW w:w="4395" w:type="dxa"/>
                  <w:vAlign w:val="center"/>
                </w:tcPr>
                <w:p w14:paraId="747589A2">
                  <w:pPr>
                    <w:pStyle w:val="42"/>
                  </w:pPr>
                  <w:r>
                    <w:rPr>
                      <w:rFonts w:hint="eastAsia"/>
                    </w:rPr>
                    <w:t>单层，层高为26m/12.5m，内部设置空压机、氮泵、冷水机组等。</w:t>
                  </w:r>
                </w:p>
              </w:tc>
              <w:tc>
                <w:tcPr>
                  <w:tcW w:w="1255" w:type="dxa"/>
                  <w:vAlign w:val="center"/>
                </w:tcPr>
                <w:p w14:paraId="5C2E133F">
                  <w:pPr>
                    <w:pStyle w:val="42"/>
                  </w:pPr>
                  <w:r>
                    <w:t>2059.02m</w:t>
                  </w:r>
                  <w:r>
                    <w:rPr>
                      <w:vertAlign w:val="superscript"/>
                    </w:rPr>
                    <w:t>2</w:t>
                  </w:r>
                </w:p>
              </w:tc>
            </w:tr>
            <w:tr w14:paraId="12A6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3BEEF3D">
                  <w:pPr>
                    <w:pStyle w:val="42"/>
                  </w:pPr>
                </w:p>
              </w:tc>
              <w:tc>
                <w:tcPr>
                  <w:tcW w:w="708" w:type="dxa"/>
                  <w:vMerge w:val="continue"/>
                  <w:vAlign w:val="center"/>
                </w:tcPr>
                <w:p w14:paraId="5EECE561">
                  <w:pPr>
                    <w:pStyle w:val="42"/>
                  </w:pPr>
                </w:p>
              </w:tc>
              <w:tc>
                <w:tcPr>
                  <w:tcW w:w="1134" w:type="dxa"/>
                  <w:vMerge w:val="restart"/>
                  <w:vAlign w:val="center"/>
                </w:tcPr>
                <w:p w14:paraId="41289B7F">
                  <w:pPr>
                    <w:pStyle w:val="42"/>
                  </w:pPr>
                  <w:r>
                    <w:rPr>
                      <w:rFonts w:hint="eastAsia"/>
                    </w:rPr>
                    <w:t>线路工程</w:t>
                  </w:r>
                </w:p>
              </w:tc>
              <w:tc>
                <w:tcPr>
                  <w:tcW w:w="4395" w:type="dxa"/>
                  <w:vAlign w:val="center"/>
                </w:tcPr>
                <w:p w14:paraId="4DE22822">
                  <w:pPr>
                    <w:pStyle w:val="42"/>
                  </w:pPr>
                  <w:r>
                    <w:rPr>
                      <w:rFonts w:hint="eastAsia"/>
                    </w:rPr>
                    <w:t>管道最大流速为29793m</w:t>
                  </w:r>
                  <w:r>
                    <w:rPr>
                      <w:rFonts w:hint="eastAsia"/>
                      <w:vertAlign w:val="superscript"/>
                    </w:rPr>
                    <w:t>3</w:t>
                  </w:r>
                  <w:r>
                    <w:rPr>
                      <w:rFonts w:hint="eastAsia"/>
                    </w:rPr>
                    <w:t>/h，管径主要为DN500，管道待园区建设好管廊后架空敷设。管道总长度约5km，管道设计压力为1.5MPa。</w:t>
                  </w:r>
                </w:p>
              </w:tc>
              <w:tc>
                <w:tcPr>
                  <w:tcW w:w="1255" w:type="dxa"/>
                  <w:vAlign w:val="center"/>
                </w:tcPr>
                <w:p w14:paraId="782A87C0">
                  <w:pPr>
                    <w:pStyle w:val="42"/>
                  </w:pPr>
                  <w:r>
                    <w:rPr>
                      <w:rFonts w:hint="eastAsia"/>
                    </w:rPr>
                    <w:t>/</w:t>
                  </w:r>
                </w:p>
              </w:tc>
            </w:tr>
            <w:tr w14:paraId="1D1C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22BC88A2">
                  <w:pPr>
                    <w:pStyle w:val="42"/>
                  </w:pPr>
                </w:p>
              </w:tc>
              <w:tc>
                <w:tcPr>
                  <w:tcW w:w="708" w:type="dxa"/>
                  <w:vMerge w:val="continue"/>
                  <w:vAlign w:val="center"/>
                </w:tcPr>
                <w:p w14:paraId="35D27B21">
                  <w:pPr>
                    <w:pStyle w:val="42"/>
                  </w:pPr>
                </w:p>
              </w:tc>
              <w:tc>
                <w:tcPr>
                  <w:tcW w:w="1134" w:type="dxa"/>
                  <w:vMerge w:val="continue"/>
                  <w:vAlign w:val="center"/>
                </w:tcPr>
                <w:p w14:paraId="66CA7761">
                  <w:pPr>
                    <w:pStyle w:val="42"/>
                  </w:pPr>
                </w:p>
              </w:tc>
              <w:tc>
                <w:tcPr>
                  <w:tcW w:w="4395" w:type="dxa"/>
                  <w:vAlign w:val="center"/>
                </w:tcPr>
                <w:p w14:paraId="0052AEA4">
                  <w:pPr>
                    <w:pStyle w:val="42"/>
                  </w:pPr>
                  <w:r>
                    <w:rPr>
                      <w:rFonts w:hint="eastAsia"/>
                    </w:rPr>
                    <w:t>管长1.6km，DN500长度约600m，氮气输送量60000Nm</w:t>
                  </w:r>
                  <w:r>
                    <w:rPr>
                      <w:rFonts w:hint="eastAsia"/>
                      <w:vertAlign w:val="superscript"/>
                    </w:rPr>
                    <w:t>3</w:t>
                  </w:r>
                  <w:r>
                    <w:rPr>
                      <w:rFonts w:hint="eastAsia"/>
                    </w:rPr>
                    <w:t>/h；DN250长度约1km，氮气输送量10000Nm</w:t>
                  </w:r>
                  <w:r>
                    <w:rPr>
                      <w:rFonts w:hint="eastAsia"/>
                      <w:vertAlign w:val="superscript"/>
                    </w:rPr>
                    <w:t>3</w:t>
                  </w:r>
                  <w:r>
                    <w:rPr>
                      <w:rFonts w:hint="eastAsia"/>
                    </w:rPr>
                    <w:t>/h。年输气量为8.76×10</w:t>
                  </w:r>
                  <w:r>
                    <w:rPr>
                      <w:rFonts w:hint="eastAsia"/>
                      <w:vertAlign w:val="superscript"/>
                    </w:rPr>
                    <w:t>7</w:t>
                  </w:r>
                  <w:r>
                    <w:rPr>
                      <w:rFonts w:hint="eastAsia"/>
                    </w:rPr>
                    <w:t>Nm</w:t>
                  </w:r>
                  <w:r>
                    <w:rPr>
                      <w:rFonts w:hint="eastAsia"/>
                      <w:vertAlign w:val="superscript"/>
                    </w:rPr>
                    <w:t>3</w:t>
                  </w:r>
                  <w:r>
                    <w:rPr>
                      <w:rFonts w:hint="eastAsia"/>
                    </w:rPr>
                    <w:t>。</w:t>
                  </w:r>
                </w:p>
              </w:tc>
              <w:tc>
                <w:tcPr>
                  <w:tcW w:w="1255" w:type="dxa"/>
                  <w:vAlign w:val="center"/>
                </w:tcPr>
                <w:p w14:paraId="7F027A5A">
                  <w:pPr>
                    <w:pStyle w:val="42"/>
                  </w:pPr>
                  <w:r>
                    <w:rPr>
                      <w:rFonts w:hint="eastAsia"/>
                    </w:rPr>
                    <w:t>/</w:t>
                  </w:r>
                </w:p>
              </w:tc>
            </w:tr>
            <w:tr w14:paraId="0D39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6A73D2F">
                  <w:pPr>
                    <w:pStyle w:val="42"/>
                  </w:pPr>
                </w:p>
              </w:tc>
              <w:tc>
                <w:tcPr>
                  <w:tcW w:w="708" w:type="dxa"/>
                  <w:vMerge w:val="continue"/>
                  <w:vAlign w:val="center"/>
                </w:tcPr>
                <w:p w14:paraId="08E33CBF">
                  <w:pPr>
                    <w:pStyle w:val="42"/>
                  </w:pPr>
                </w:p>
              </w:tc>
              <w:tc>
                <w:tcPr>
                  <w:tcW w:w="1134" w:type="dxa"/>
                  <w:vMerge w:val="continue"/>
                  <w:vAlign w:val="center"/>
                </w:tcPr>
                <w:p w14:paraId="109E2ADB">
                  <w:pPr>
                    <w:pStyle w:val="42"/>
                  </w:pPr>
                </w:p>
              </w:tc>
              <w:tc>
                <w:tcPr>
                  <w:tcW w:w="4395" w:type="dxa"/>
                  <w:vAlign w:val="center"/>
                </w:tcPr>
                <w:p w14:paraId="1EDEC144">
                  <w:pPr>
                    <w:pStyle w:val="42"/>
                  </w:pPr>
                  <w:r>
                    <w:rPr>
                      <w:rFonts w:hint="eastAsia"/>
                    </w:rPr>
                    <w:t>厂区外架设管径DN500的氮气输送管线，长度7.5km</w:t>
                  </w:r>
                </w:p>
              </w:tc>
              <w:tc>
                <w:tcPr>
                  <w:tcW w:w="1255" w:type="dxa"/>
                  <w:vAlign w:val="center"/>
                </w:tcPr>
                <w:p w14:paraId="62A91FE6">
                  <w:pPr>
                    <w:pStyle w:val="42"/>
                  </w:pPr>
                  <w:r>
                    <w:rPr>
                      <w:rFonts w:hint="eastAsia"/>
                    </w:rPr>
                    <w:t>/</w:t>
                  </w:r>
                </w:p>
              </w:tc>
            </w:tr>
            <w:tr w14:paraId="4BDE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67D0729">
                  <w:pPr>
                    <w:pStyle w:val="42"/>
                  </w:pPr>
                </w:p>
              </w:tc>
              <w:tc>
                <w:tcPr>
                  <w:tcW w:w="708" w:type="dxa"/>
                  <w:vMerge w:val="continue"/>
                  <w:vAlign w:val="center"/>
                </w:tcPr>
                <w:p w14:paraId="3588A4A2">
                  <w:pPr>
                    <w:pStyle w:val="42"/>
                  </w:pPr>
                </w:p>
              </w:tc>
              <w:tc>
                <w:tcPr>
                  <w:tcW w:w="1134" w:type="dxa"/>
                  <w:vMerge w:val="restart"/>
                  <w:vAlign w:val="center"/>
                </w:tcPr>
                <w:p w14:paraId="5620B4B1">
                  <w:pPr>
                    <w:pStyle w:val="42"/>
                  </w:pPr>
                  <w:r>
                    <w:rPr>
                      <w:rFonts w:hint="eastAsia"/>
                    </w:rPr>
                    <w:t>氮气压缩系统</w:t>
                  </w:r>
                </w:p>
              </w:tc>
              <w:tc>
                <w:tcPr>
                  <w:tcW w:w="4395" w:type="dxa"/>
                  <w:vAlign w:val="center"/>
                </w:tcPr>
                <w:p w14:paraId="3FC0BBF9">
                  <w:pPr>
                    <w:pStyle w:val="42"/>
                  </w:pPr>
                  <w:r>
                    <w:rPr>
                      <w:rFonts w:hint="eastAsia"/>
                    </w:rPr>
                    <w:t>拟建2台10000Nm</w:t>
                  </w:r>
                  <w:r>
                    <w:rPr>
                      <w:rFonts w:hint="eastAsia"/>
                      <w:vertAlign w:val="superscript"/>
                    </w:rPr>
                    <w:t>3</w:t>
                  </w:r>
                  <w:r>
                    <w:rPr>
                      <w:rFonts w:hint="eastAsia"/>
                    </w:rPr>
                    <w:t>/h氮气压缩机（一用一备）</w:t>
                  </w:r>
                </w:p>
              </w:tc>
              <w:tc>
                <w:tcPr>
                  <w:tcW w:w="1255" w:type="dxa"/>
                  <w:vAlign w:val="center"/>
                </w:tcPr>
                <w:p w14:paraId="5FF818D8">
                  <w:pPr>
                    <w:pStyle w:val="42"/>
                  </w:pPr>
                  <w:r>
                    <w:rPr>
                      <w:rFonts w:hint="eastAsia"/>
                    </w:rPr>
                    <w:t>/</w:t>
                  </w:r>
                </w:p>
              </w:tc>
            </w:tr>
            <w:tr w14:paraId="58BA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205B0A34">
                  <w:pPr>
                    <w:pStyle w:val="42"/>
                  </w:pPr>
                </w:p>
              </w:tc>
              <w:tc>
                <w:tcPr>
                  <w:tcW w:w="708" w:type="dxa"/>
                  <w:vMerge w:val="continue"/>
                  <w:vAlign w:val="center"/>
                </w:tcPr>
                <w:p w14:paraId="5FA338DE">
                  <w:pPr>
                    <w:pStyle w:val="42"/>
                  </w:pPr>
                </w:p>
              </w:tc>
              <w:tc>
                <w:tcPr>
                  <w:tcW w:w="1134" w:type="dxa"/>
                  <w:vMerge w:val="continue"/>
                  <w:vAlign w:val="center"/>
                </w:tcPr>
                <w:p w14:paraId="13C97D89">
                  <w:pPr>
                    <w:pStyle w:val="42"/>
                  </w:pPr>
                </w:p>
              </w:tc>
              <w:tc>
                <w:tcPr>
                  <w:tcW w:w="4395" w:type="dxa"/>
                  <w:vAlign w:val="center"/>
                </w:tcPr>
                <w:p w14:paraId="33E19EED">
                  <w:pPr>
                    <w:pStyle w:val="42"/>
                  </w:pPr>
                  <w:r>
                    <w:rPr>
                      <w:rFonts w:hint="eastAsia"/>
                    </w:rPr>
                    <w:t>2套，单套规格为20000Nm</w:t>
                  </w:r>
                  <w:r>
                    <w:rPr>
                      <w:rFonts w:hint="eastAsia"/>
                      <w:vertAlign w:val="superscript"/>
                    </w:rPr>
                    <w:t>3</w:t>
                  </w:r>
                  <w:r>
                    <w:rPr>
                      <w:rFonts w:hint="eastAsia"/>
                    </w:rPr>
                    <w:t>/h</w:t>
                  </w:r>
                </w:p>
              </w:tc>
              <w:tc>
                <w:tcPr>
                  <w:tcW w:w="1255" w:type="dxa"/>
                  <w:vAlign w:val="center"/>
                </w:tcPr>
                <w:p w14:paraId="719ABFBD">
                  <w:pPr>
                    <w:pStyle w:val="42"/>
                  </w:pPr>
                  <w:r>
                    <w:rPr>
                      <w:rFonts w:hint="eastAsia"/>
                    </w:rPr>
                    <w:t>/</w:t>
                  </w:r>
                </w:p>
              </w:tc>
            </w:tr>
            <w:tr w14:paraId="69BE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BA96A96">
                  <w:pPr>
                    <w:pStyle w:val="42"/>
                  </w:pPr>
                </w:p>
              </w:tc>
              <w:tc>
                <w:tcPr>
                  <w:tcW w:w="708" w:type="dxa"/>
                  <w:vMerge w:val="continue"/>
                  <w:vAlign w:val="center"/>
                </w:tcPr>
                <w:p w14:paraId="7D6AC3AC">
                  <w:pPr>
                    <w:pStyle w:val="42"/>
                  </w:pPr>
                </w:p>
              </w:tc>
              <w:tc>
                <w:tcPr>
                  <w:tcW w:w="1134" w:type="dxa"/>
                  <w:vAlign w:val="center"/>
                </w:tcPr>
                <w:p w14:paraId="03E18CC2">
                  <w:pPr>
                    <w:pStyle w:val="42"/>
                  </w:pPr>
                  <w:r>
                    <w:rPr>
                      <w:rFonts w:hint="eastAsia"/>
                    </w:rPr>
                    <w:t>氪氙提取系统</w:t>
                  </w:r>
                </w:p>
              </w:tc>
              <w:tc>
                <w:tcPr>
                  <w:tcW w:w="4395" w:type="dxa"/>
                  <w:vAlign w:val="center"/>
                </w:tcPr>
                <w:p w14:paraId="7EE197E9">
                  <w:pPr>
                    <w:pStyle w:val="42"/>
                  </w:pPr>
                  <w:r>
                    <w:rPr>
                      <w:rFonts w:hint="eastAsia"/>
                    </w:rPr>
                    <w:t>位于厂区西面。包括贫氪氙液氧提纯冷箱3套，分别放置于3套空分装置旁，同上增加1个 MCC+仪表集装箱。</w:t>
                  </w:r>
                </w:p>
              </w:tc>
              <w:tc>
                <w:tcPr>
                  <w:tcW w:w="1255" w:type="dxa"/>
                  <w:vAlign w:val="center"/>
                </w:tcPr>
                <w:p w14:paraId="2F8DB0A5">
                  <w:pPr>
                    <w:pStyle w:val="42"/>
                  </w:pPr>
                  <w:r>
                    <w:rPr>
                      <w:rFonts w:hint="eastAsia"/>
                    </w:rPr>
                    <w:t>/</w:t>
                  </w:r>
                </w:p>
              </w:tc>
            </w:tr>
            <w:tr w14:paraId="33CB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49460A32">
                  <w:pPr>
                    <w:pStyle w:val="42"/>
                  </w:pPr>
                  <w:r>
                    <w:rPr>
                      <w:rFonts w:hint="eastAsia"/>
                    </w:rPr>
                    <w:t>2</w:t>
                  </w:r>
                </w:p>
              </w:tc>
              <w:tc>
                <w:tcPr>
                  <w:tcW w:w="708" w:type="dxa"/>
                  <w:vMerge w:val="restart"/>
                  <w:vAlign w:val="center"/>
                </w:tcPr>
                <w:p w14:paraId="1F01F775">
                  <w:pPr>
                    <w:pStyle w:val="42"/>
                  </w:pPr>
                  <w:r>
                    <w:rPr>
                      <w:rFonts w:hint="eastAsia"/>
                    </w:rPr>
                    <w:t>辅助工程</w:t>
                  </w:r>
                </w:p>
              </w:tc>
              <w:tc>
                <w:tcPr>
                  <w:tcW w:w="1134" w:type="dxa"/>
                  <w:vMerge w:val="restart"/>
                  <w:vAlign w:val="center"/>
                </w:tcPr>
                <w:p w14:paraId="297F0E6F">
                  <w:pPr>
                    <w:pStyle w:val="42"/>
                  </w:pPr>
                  <w:r>
                    <w:rPr>
                      <w:rFonts w:hint="eastAsia"/>
                    </w:rPr>
                    <w:t>冷却循环水系统</w:t>
                  </w:r>
                </w:p>
              </w:tc>
              <w:tc>
                <w:tcPr>
                  <w:tcW w:w="4395" w:type="dxa"/>
                  <w:vAlign w:val="center"/>
                </w:tcPr>
                <w:p w14:paraId="0A598461">
                  <w:pPr>
                    <w:pStyle w:val="42"/>
                  </w:pPr>
                  <w:r>
                    <w:rPr>
                      <w:rFonts w:hint="eastAsia"/>
                    </w:rPr>
                    <w:t>新增一台冷却水塔。</w:t>
                  </w:r>
                </w:p>
              </w:tc>
              <w:tc>
                <w:tcPr>
                  <w:tcW w:w="1255" w:type="dxa"/>
                  <w:vAlign w:val="center"/>
                </w:tcPr>
                <w:p w14:paraId="27383EBA">
                  <w:pPr>
                    <w:pStyle w:val="42"/>
                  </w:pPr>
                  <w:r>
                    <w:rPr>
                      <w:rFonts w:hint="eastAsia"/>
                    </w:rPr>
                    <w:t>/</w:t>
                  </w:r>
                </w:p>
              </w:tc>
            </w:tr>
            <w:tr w14:paraId="6787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5E2411D">
                  <w:pPr>
                    <w:pStyle w:val="42"/>
                  </w:pPr>
                </w:p>
              </w:tc>
              <w:tc>
                <w:tcPr>
                  <w:tcW w:w="708" w:type="dxa"/>
                  <w:vMerge w:val="continue"/>
                  <w:vAlign w:val="center"/>
                </w:tcPr>
                <w:p w14:paraId="23E8BD18">
                  <w:pPr>
                    <w:pStyle w:val="42"/>
                  </w:pPr>
                </w:p>
              </w:tc>
              <w:tc>
                <w:tcPr>
                  <w:tcW w:w="1134" w:type="dxa"/>
                  <w:vMerge w:val="continue"/>
                  <w:vAlign w:val="center"/>
                </w:tcPr>
                <w:p w14:paraId="32AB071A">
                  <w:pPr>
                    <w:pStyle w:val="42"/>
                  </w:pPr>
                </w:p>
              </w:tc>
              <w:tc>
                <w:tcPr>
                  <w:tcW w:w="4395" w:type="dxa"/>
                  <w:vAlign w:val="center"/>
                </w:tcPr>
                <w:p w14:paraId="663C51ED">
                  <w:pPr>
                    <w:pStyle w:val="42"/>
                  </w:pPr>
                  <w:r>
                    <w:rPr>
                      <w:rFonts w:hint="eastAsia"/>
                    </w:rPr>
                    <w:t>1套，设计流量700m</w:t>
                  </w:r>
                  <w:r>
                    <w:rPr>
                      <w:rFonts w:hint="eastAsia"/>
                      <w:vertAlign w:val="superscript"/>
                    </w:rPr>
                    <w:t>3</w:t>
                  </w:r>
                  <w:r>
                    <w:rPr>
                      <w:rFonts w:hint="eastAsia"/>
                    </w:rPr>
                    <w:t>/h</w:t>
                  </w:r>
                </w:p>
              </w:tc>
              <w:tc>
                <w:tcPr>
                  <w:tcW w:w="1255" w:type="dxa"/>
                  <w:vAlign w:val="center"/>
                </w:tcPr>
                <w:p w14:paraId="331FD700">
                  <w:pPr>
                    <w:pStyle w:val="42"/>
                  </w:pPr>
                  <w:r>
                    <w:rPr>
                      <w:rFonts w:hint="eastAsia"/>
                    </w:rPr>
                    <w:t>/</w:t>
                  </w:r>
                </w:p>
              </w:tc>
            </w:tr>
            <w:tr w14:paraId="7807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65F6ABB5">
                  <w:pPr>
                    <w:pStyle w:val="42"/>
                  </w:pPr>
                </w:p>
              </w:tc>
              <w:tc>
                <w:tcPr>
                  <w:tcW w:w="708" w:type="dxa"/>
                  <w:vMerge w:val="continue"/>
                  <w:vAlign w:val="center"/>
                </w:tcPr>
                <w:p w14:paraId="432622EF">
                  <w:pPr>
                    <w:pStyle w:val="42"/>
                  </w:pPr>
                </w:p>
              </w:tc>
              <w:tc>
                <w:tcPr>
                  <w:tcW w:w="1134" w:type="dxa"/>
                  <w:vMerge w:val="restart"/>
                  <w:vAlign w:val="center"/>
                </w:tcPr>
                <w:p w14:paraId="2916FF0C">
                  <w:pPr>
                    <w:pStyle w:val="42"/>
                  </w:pPr>
                  <w:r>
                    <w:rPr>
                      <w:rFonts w:hint="eastAsia"/>
                    </w:rPr>
                    <w:t>液体后备系统</w:t>
                  </w:r>
                </w:p>
              </w:tc>
              <w:tc>
                <w:tcPr>
                  <w:tcW w:w="4395" w:type="dxa"/>
                  <w:vAlign w:val="center"/>
                </w:tcPr>
                <w:p w14:paraId="72432920">
                  <w:pPr>
                    <w:pStyle w:val="42"/>
                  </w:pPr>
                  <w:r>
                    <w:rPr>
                      <w:rFonts w:hint="eastAsia"/>
                    </w:rPr>
                    <w:t>1000m</w:t>
                  </w:r>
                  <w:r>
                    <w:rPr>
                      <w:rFonts w:hint="eastAsia"/>
                      <w:vertAlign w:val="superscript"/>
                    </w:rPr>
                    <w:t>3</w:t>
                  </w:r>
                  <w:r>
                    <w:rPr>
                      <w:rFonts w:hint="eastAsia"/>
                    </w:rPr>
                    <w:t>低压液氮储罐1台、液氮后备泵2台、80m</w:t>
                  </w:r>
                  <w:r>
                    <w:rPr>
                      <w:rFonts w:hint="eastAsia"/>
                      <w:vertAlign w:val="superscript"/>
                    </w:rPr>
                    <w:t>3</w:t>
                  </w:r>
                  <w:r>
                    <w:rPr>
                      <w:rFonts w:hint="eastAsia"/>
                    </w:rPr>
                    <w:t>液氮中压储罐1台、氮气水浴式汽化器1台。</w:t>
                  </w:r>
                </w:p>
              </w:tc>
              <w:tc>
                <w:tcPr>
                  <w:tcW w:w="1255" w:type="dxa"/>
                  <w:vAlign w:val="center"/>
                </w:tcPr>
                <w:p w14:paraId="158DB28E">
                  <w:pPr>
                    <w:pStyle w:val="42"/>
                  </w:pPr>
                  <w:r>
                    <w:rPr>
                      <w:rFonts w:hint="eastAsia"/>
                    </w:rPr>
                    <w:t>/</w:t>
                  </w:r>
                </w:p>
              </w:tc>
            </w:tr>
            <w:tr w14:paraId="77F4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8262A8D">
                  <w:pPr>
                    <w:pStyle w:val="42"/>
                  </w:pPr>
                </w:p>
              </w:tc>
              <w:tc>
                <w:tcPr>
                  <w:tcW w:w="708" w:type="dxa"/>
                  <w:vMerge w:val="continue"/>
                  <w:vAlign w:val="center"/>
                </w:tcPr>
                <w:p w14:paraId="4B3B5856">
                  <w:pPr>
                    <w:pStyle w:val="42"/>
                  </w:pPr>
                </w:p>
              </w:tc>
              <w:tc>
                <w:tcPr>
                  <w:tcW w:w="1134" w:type="dxa"/>
                  <w:vMerge w:val="continue"/>
                  <w:vAlign w:val="center"/>
                </w:tcPr>
                <w:p w14:paraId="3EB8B169">
                  <w:pPr>
                    <w:pStyle w:val="42"/>
                  </w:pPr>
                </w:p>
              </w:tc>
              <w:tc>
                <w:tcPr>
                  <w:tcW w:w="4395" w:type="dxa"/>
                  <w:vAlign w:val="center"/>
                </w:tcPr>
                <w:p w14:paraId="4E7ADEA3">
                  <w:pPr>
                    <w:pStyle w:val="42"/>
                  </w:pPr>
                  <w:r>
                    <w:rPr>
                      <w:rFonts w:hint="eastAsia"/>
                    </w:rPr>
                    <w:t>80m</w:t>
                  </w:r>
                  <w:r>
                    <w:rPr>
                      <w:rFonts w:hint="eastAsia"/>
                      <w:vertAlign w:val="superscript"/>
                    </w:rPr>
                    <w:t>3</w:t>
                  </w:r>
                  <w:r>
                    <w:rPr>
                      <w:rFonts w:hint="eastAsia"/>
                    </w:rPr>
                    <w:t>中压液氮储罐1台，1000m</w:t>
                  </w:r>
                  <w:r>
                    <w:rPr>
                      <w:rFonts w:hint="eastAsia"/>
                      <w:vertAlign w:val="superscript"/>
                    </w:rPr>
                    <w:t>3</w:t>
                  </w:r>
                  <w:r>
                    <w:rPr>
                      <w:rFonts w:hint="eastAsia"/>
                    </w:rPr>
                    <w:t>液氮储罐1台，液氮气化器1台（蒸汽加热式，30000Nm</w:t>
                  </w:r>
                  <w:r>
                    <w:rPr>
                      <w:rFonts w:hint="eastAsia"/>
                      <w:vertAlign w:val="superscript"/>
                    </w:rPr>
                    <w:t>3</w:t>
                  </w:r>
                  <w:r>
                    <w:rPr>
                      <w:rFonts w:hint="eastAsia"/>
                    </w:rPr>
                    <w:t>/h），液氮泵2台（流量：50m</w:t>
                  </w:r>
                  <w:r>
                    <w:rPr>
                      <w:rFonts w:hint="eastAsia"/>
                      <w:vertAlign w:val="superscript"/>
                    </w:rPr>
                    <w:t>3</w:t>
                  </w:r>
                  <w:r>
                    <w:rPr>
                      <w:rFonts w:hint="eastAsia"/>
                    </w:rPr>
                    <w:t>/h，扬程：30m）</w:t>
                  </w:r>
                </w:p>
              </w:tc>
              <w:tc>
                <w:tcPr>
                  <w:tcW w:w="1255" w:type="dxa"/>
                  <w:vAlign w:val="center"/>
                </w:tcPr>
                <w:p w14:paraId="5ABBF6B8">
                  <w:pPr>
                    <w:pStyle w:val="42"/>
                  </w:pPr>
                  <w:r>
                    <w:rPr>
                      <w:rFonts w:hint="eastAsia"/>
                    </w:rPr>
                    <w:t>/</w:t>
                  </w:r>
                </w:p>
              </w:tc>
            </w:tr>
            <w:tr w14:paraId="6EA9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6525EC4">
                  <w:pPr>
                    <w:pStyle w:val="42"/>
                  </w:pPr>
                </w:p>
              </w:tc>
              <w:tc>
                <w:tcPr>
                  <w:tcW w:w="708" w:type="dxa"/>
                  <w:vMerge w:val="continue"/>
                  <w:vAlign w:val="center"/>
                </w:tcPr>
                <w:p w14:paraId="210A372F">
                  <w:pPr>
                    <w:pStyle w:val="42"/>
                  </w:pPr>
                </w:p>
              </w:tc>
              <w:tc>
                <w:tcPr>
                  <w:tcW w:w="1134" w:type="dxa"/>
                  <w:vAlign w:val="center"/>
                </w:tcPr>
                <w:p w14:paraId="1FF3BF79">
                  <w:pPr>
                    <w:pStyle w:val="42"/>
                  </w:pPr>
                  <w:r>
                    <w:rPr>
                      <w:rFonts w:hint="eastAsia"/>
                    </w:rPr>
                    <w:t>氪氙储罐</w:t>
                  </w:r>
                </w:p>
              </w:tc>
              <w:tc>
                <w:tcPr>
                  <w:tcW w:w="4395" w:type="dxa"/>
                  <w:vAlign w:val="center"/>
                </w:tcPr>
                <w:p w14:paraId="65053DAD">
                  <w:pPr>
                    <w:pStyle w:val="42"/>
                  </w:pPr>
                  <w:r>
                    <w:rPr>
                      <w:rFonts w:hint="eastAsia"/>
                    </w:rPr>
                    <w:t>新建贫氪氙液氧产品储罐3个，分别设置在3套空分装置冷箱下方，单个容积为50m</w:t>
                  </w:r>
                  <w:r>
                    <w:rPr>
                      <w:rFonts w:hint="eastAsia"/>
                      <w:vertAlign w:val="superscript"/>
                    </w:rPr>
                    <w:t>3</w:t>
                  </w:r>
                </w:p>
              </w:tc>
              <w:tc>
                <w:tcPr>
                  <w:tcW w:w="1255" w:type="dxa"/>
                  <w:vAlign w:val="center"/>
                </w:tcPr>
                <w:p w14:paraId="151C02F2">
                  <w:pPr>
                    <w:pStyle w:val="42"/>
                  </w:pPr>
                  <w:r>
                    <w:rPr>
                      <w:rFonts w:hint="eastAsia"/>
                    </w:rPr>
                    <w:t>/</w:t>
                  </w:r>
                </w:p>
              </w:tc>
            </w:tr>
            <w:tr w14:paraId="62A1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1B8FBF7">
                  <w:pPr>
                    <w:pStyle w:val="42"/>
                  </w:pPr>
                </w:p>
              </w:tc>
              <w:tc>
                <w:tcPr>
                  <w:tcW w:w="708" w:type="dxa"/>
                  <w:vMerge w:val="continue"/>
                  <w:vAlign w:val="center"/>
                </w:tcPr>
                <w:p w14:paraId="30A6EE4D">
                  <w:pPr>
                    <w:pStyle w:val="42"/>
                  </w:pPr>
                </w:p>
              </w:tc>
              <w:tc>
                <w:tcPr>
                  <w:tcW w:w="1134" w:type="dxa"/>
                  <w:vAlign w:val="center"/>
                </w:tcPr>
                <w:p w14:paraId="0F10C2F7">
                  <w:pPr>
                    <w:pStyle w:val="42"/>
                  </w:pPr>
                  <w:r>
                    <w:rPr>
                      <w:rFonts w:hint="eastAsia"/>
                    </w:rPr>
                    <w:t>计量、调压阀组</w:t>
                  </w:r>
                </w:p>
              </w:tc>
              <w:tc>
                <w:tcPr>
                  <w:tcW w:w="4395" w:type="dxa"/>
                  <w:vAlign w:val="center"/>
                </w:tcPr>
                <w:p w14:paraId="111430AF">
                  <w:pPr>
                    <w:pStyle w:val="42"/>
                  </w:pPr>
                  <w:r>
                    <w:rPr>
                      <w:rFonts w:hint="eastAsia"/>
                    </w:rPr>
                    <w:t>用于计量氮气使用量即控制气体压力，设置在管道末端，用于调节气体压力进入企业管道</w:t>
                  </w:r>
                </w:p>
              </w:tc>
              <w:tc>
                <w:tcPr>
                  <w:tcW w:w="1255" w:type="dxa"/>
                  <w:vAlign w:val="center"/>
                </w:tcPr>
                <w:p w14:paraId="4E9C70D5">
                  <w:pPr>
                    <w:pStyle w:val="42"/>
                  </w:pPr>
                  <w:r>
                    <w:rPr>
                      <w:rFonts w:hint="eastAsia"/>
                    </w:rPr>
                    <w:t>/</w:t>
                  </w:r>
                </w:p>
              </w:tc>
            </w:tr>
            <w:tr w14:paraId="112A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659C6837">
                  <w:pPr>
                    <w:pStyle w:val="42"/>
                  </w:pPr>
                </w:p>
              </w:tc>
              <w:tc>
                <w:tcPr>
                  <w:tcW w:w="708" w:type="dxa"/>
                  <w:vMerge w:val="continue"/>
                  <w:vAlign w:val="center"/>
                </w:tcPr>
                <w:p w14:paraId="3C56EA63">
                  <w:pPr>
                    <w:pStyle w:val="42"/>
                  </w:pPr>
                </w:p>
              </w:tc>
              <w:tc>
                <w:tcPr>
                  <w:tcW w:w="1134" w:type="dxa"/>
                  <w:vAlign w:val="center"/>
                </w:tcPr>
                <w:p w14:paraId="6D6A9AB9">
                  <w:pPr>
                    <w:pStyle w:val="42"/>
                  </w:pPr>
                  <w:r>
                    <w:rPr>
                      <w:rFonts w:hint="eastAsia"/>
                    </w:rPr>
                    <w:t>电力变压器系统</w:t>
                  </w:r>
                </w:p>
              </w:tc>
              <w:tc>
                <w:tcPr>
                  <w:tcW w:w="4395" w:type="dxa"/>
                  <w:vAlign w:val="center"/>
                </w:tcPr>
                <w:p w14:paraId="2DBEA557">
                  <w:pPr>
                    <w:pStyle w:val="42"/>
                  </w:pPr>
                  <w:r>
                    <w:rPr>
                      <w:rFonts w:hint="eastAsia"/>
                    </w:rPr>
                    <w:t>2套，25000KVA，电压等级35kV/10kV</w:t>
                  </w:r>
                </w:p>
              </w:tc>
              <w:tc>
                <w:tcPr>
                  <w:tcW w:w="1255" w:type="dxa"/>
                  <w:vAlign w:val="center"/>
                </w:tcPr>
                <w:p w14:paraId="05D9D772">
                  <w:pPr>
                    <w:pStyle w:val="42"/>
                  </w:pPr>
                  <w:r>
                    <w:rPr>
                      <w:rFonts w:hint="eastAsia"/>
                    </w:rPr>
                    <w:t>/</w:t>
                  </w:r>
                </w:p>
              </w:tc>
            </w:tr>
            <w:tr w14:paraId="42D0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35C31002">
                  <w:pPr>
                    <w:pStyle w:val="42"/>
                  </w:pPr>
                  <w:r>
                    <w:rPr>
                      <w:rFonts w:hint="eastAsia"/>
                    </w:rPr>
                    <w:t>3</w:t>
                  </w:r>
                </w:p>
              </w:tc>
              <w:tc>
                <w:tcPr>
                  <w:tcW w:w="708" w:type="dxa"/>
                  <w:vMerge w:val="restart"/>
                  <w:vAlign w:val="center"/>
                </w:tcPr>
                <w:p w14:paraId="1749F9F1">
                  <w:pPr>
                    <w:pStyle w:val="42"/>
                  </w:pPr>
                  <w:r>
                    <w:rPr>
                      <w:rFonts w:hint="eastAsia"/>
                    </w:rPr>
                    <w:t>配套工程</w:t>
                  </w:r>
                </w:p>
              </w:tc>
              <w:tc>
                <w:tcPr>
                  <w:tcW w:w="1134" w:type="dxa"/>
                  <w:vAlign w:val="center"/>
                </w:tcPr>
                <w:p w14:paraId="0C064488">
                  <w:pPr>
                    <w:pStyle w:val="42"/>
                  </w:pPr>
                  <w:r>
                    <w:rPr>
                      <w:rFonts w:hint="eastAsia"/>
                    </w:rPr>
                    <w:t>办公楼及主控楼</w:t>
                  </w:r>
                </w:p>
              </w:tc>
              <w:tc>
                <w:tcPr>
                  <w:tcW w:w="4395" w:type="dxa"/>
                  <w:vAlign w:val="center"/>
                </w:tcPr>
                <w:p w14:paraId="677FCECD">
                  <w:pPr>
                    <w:pStyle w:val="42"/>
                  </w:pPr>
                  <w:r>
                    <w:rPr>
                      <w:rFonts w:hint="eastAsia"/>
                    </w:rPr>
                    <w:t>2层，层高为3.6m，设置办公室，卫生间，会议室等。</w:t>
                  </w:r>
                </w:p>
              </w:tc>
              <w:tc>
                <w:tcPr>
                  <w:tcW w:w="1255" w:type="dxa"/>
                  <w:vAlign w:val="center"/>
                </w:tcPr>
                <w:p w14:paraId="2D2D6D8F">
                  <w:pPr>
                    <w:pStyle w:val="42"/>
                  </w:pPr>
                  <w:r>
                    <w:t>931.84m</w:t>
                  </w:r>
                  <w:r>
                    <w:rPr>
                      <w:vertAlign w:val="superscript"/>
                    </w:rPr>
                    <w:t>2</w:t>
                  </w:r>
                </w:p>
              </w:tc>
            </w:tr>
            <w:tr w14:paraId="1023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F6F7808">
                  <w:pPr>
                    <w:pStyle w:val="42"/>
                  </w:pPr>
                </w:p>
              </w:tc>
              <w:tc>
                <w:tcPr>
                  <w:tcW w:w="708" w:type="dxa"/>
                  <w:vMerge w:val="continue"/>
                  <w:vAlign w:val="center"/>
                </w:tcPr>
                <w:p w14:paraId="525CB35B">
                  <w:pPr>
                    <w:pStyle w:val="42"/>
                  </w:pPr>
                </w:p>
              </w:tc>
              <w:tc>
                <w:tcPr>
                  <w:tcW w:w="1134" w:type="dxa"/>
                  <w:vAlign w:val="center"/>
                </w:tcPr>
                <w:p w14:paraId="49598BD7">
                  <w:pPr>
                    <w:pStyle w:val="42"/>
                  </w:pPr>
                  <w:r>
                    <w:rPr>
                      <w:rFonts w:hint="eastAsia"/>
                    </w:rPr>
                    <w:t>备品及维修间</w:t>
                  </w:r>
                </w:p>
              </w:tc>
              <w:tc>
                <w:tcPr>
                  <w:tcW w:w="4395" w:type="dxa"/>
                  <w:vAlign w:val="center"/>
                </w:tcPr>
                <w:p w14:paraId="0B569286">
                  <w:pPr>
                    <w:pStyle w:val="42"/>
                  </w:pPr>
                  <w:r>
                    <w:rPr>
                      <w:rFonts w:hint="eastAsia"/>
                    </w:rPr>
                    <w:t>单层，层高为5m，主要用于存放维修的装备。</w:t>
                  </w:r>
                </w:p>
              </w:tc>
              <w:tc>
                <w:tcPr>
                  <w:tcW w:w="1255" w:type="dxa"/>
                  <w:vAlign w:val="center"/>
                </w:tcPr>
                <w:p w14:paraId="133FC2E0">
                  <w:pPr>
                    <w:pStyle w:val="42"/>
                  </w:pPr>
                  <w:r>
                    <w:rPr>
                      <w:rFonts w:hint="eastAsia"/>
                    </w:rPr>
                    <w:t>519.75 m</w:t>
                  </w:r>
                  <w:r>
                    <w:rPr>
                      <w:rFonts w:hint="eastAsia"/>
                      <w:vertAlign w:val="superscript"/>
                    </w:rPr>
                    <w:t>2</w:t>
                  </w:r>
                </w:p>
              </w:tc>
            </w:tr>
            <w:tr w14:paraId="4B88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44D3B496">
                  <w:pPr>
                    <w:pStyle w:val="42"/>
                  </w:pPr>
                </w:p>
              </w:tc>
              <w:tc>
                <w:tcPr>
                  <w:tcW w:w="708" w:type="dxa"/>
                  <w:vMerge w:val="continue"/>
                  <w:vAlign w:val="center"/>
                </w:tcPr>
                <w:p w14:paraId="08C3AD05">
                  <w:pPr>
                    <w:pStyle w:val="42"/>
                  </w:pPr>
                </w:p>
              </w:tc>
              <w:tc>
                <w:tcPr>
                  <w:tcW w:w="1134" w:type="dxa"/>
                  <w:vAlign w:val="center"/>
                </w:tcPr>
                <w:p w14:paraId="55D15A14">
                  <w:pPr>
                    <w:pStyle w:val="42"/>
                  </w:pPr>
                  <w:r>
                    <w:rPr>
                      <w:rFonts w:hint="eastAsia"/>
                    </w:rPr>
                    <w:t>固废储存间</w:t>
                  </w:r>
                </w:p>
              </w:tc>
              <w:tc>
                <w:tcPr>
                  <w:tcW w:w="4395" w:type="dxa"/>
                  <w:vAlign w:val="center"/>
                </w:tcPr>
                <w:p w14:paraId="5B79931F">
                  <w:pPr>
                    <w:pStyle w:val="42"/>
                  </w:pPr>
                  <w:r>
                    <w:rPr>
                      <w:rFonts w:hint="eastAsia"/>
                    </w:rPr>
                    <w:t>单层，砖混结构，层高为3.5m，面积约 46m</w:t>
                  </w:r>
                  <w:r>
                    <w:rPr>
                      <w:rFonts w:hint="eastAsia"/>
                      <w:vertAlign w:val="superscript"/>
                    </w:rPr>
                    <w:t>2</w:t>
                  </w:r>
                  <w:r>
                    <w:rPr>
                      <w:rFonts w:hint="eastAsia"/>
                    </w:rPr>
                    <w:t>按照危废暂存要求建设防渗漏地坪，作为危废暂存间使用，用于贮存废机油、危险废物、废油桶、实验室废弃物。废分子筛由原厂家更换后直接回收利用，不在厂内暂存。</w:t>
                  </w:r>
                </w:p>
              </w:tc>
              <w:tc>
                <w:tcPr>
                  <w:tcW w:w="1255" w:type="dxa"/>
                  <w:vAlign w:val="center"/>
                </w:tcPr>
                <w:p w14:paraId="620DEEA4">
                  <w:pPr>
                    <w:pStyle w:val="42"/>
                  </w:pPr>
                  <w:r>
                    <w:t>46 m</w:t>
                  </w:r>
                  <w:r>
                    <w:rPr>
                      <w:vertAlign w:val="superscript"/>
                    </w:rPr>
                    <w:t>2</w:t>
                  </w:r>
                </w:p>
              </w:tc>
            </w:tr>
            <w:tr w14:paraId="415A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606090D2">
                  <w:pPr>
                    <w:pStyle w:val="42"/>
                  </w:pPr>
                </w:p>
              </w:tc>
              <w:tc>
                <w:tcPr>
                  <w:tcW w:w="708" w:type="dxa"/>
                  <w:vMerge w:val="continue"/>
                  <w:vAlign w:val="center"/>
                </w:tcPr>
                <w:p w14:paraId="73A0C138">
                  <w:pPr>
                    <w:pStyle w:val="42"/>
                  </w:pPr>
                </w:p>
              </w:tc>
              <w:tc>
                <w:tcPr>
                  <w:tcW w:w="1134" w:type="dxa"/>
                  <w:vAlign w:val="center"/>
                </w:tcPr>
                <w:p w14:paraId="792187FD">
                  <w:pPr>
                    <w:pStyle w:val="42"/>
                  </w:pPr>
                  <w:r>
                    <w:rPr>
                      <w:rFonts w:hint="eastAsia"/>
                    </w:rPr>
                    <w:t>润滑油储存间</w:t>
                  </w:r>
                </w:p>
              </w:tc>
              <w:tc>
                <w:tcPr>
                  <w:tcW w:w="4395" w:type="dxa"/>
                  <w:vAlign w:val="center"/>
                </w:tcPr>
                <w:p w14:paraId="166ADE7D">
                  <w:pPr>
                    <w:pStyle w:val="42"/>
                  </w:pPr>
                  <w:r>
                    <w:rPr>
                      <w:rFonts w:hint="eastAsia"/>
                    </w:rPr>
                    <w:t>单层，砖混结构，层高为3.5m，占地面积为126 m</w:t>
                  </w:r>
                  <w:r>
                    <w:rPr>
                      <w:rFonts w:hint="eastAsia"/>
                      <w:vertAlign w:val="superscript"/>
                    </w:rPr>
                    <w:t>2</w:t>
                  </w:r>
                  <w:r>
                    <w:rPr>
                      <w:rFonts w:hint="eastAsia"/>
                    </w:rPr>
                    <w:t>用于贮存润滑油，废机油贮存与危废暂存间。</w:t>
                  </w:r>
                </w:p>
              </w:tc>
              <w:tc>
                <w:tcPr>
                  <w:tcW w:w="1255" w:type="dxa"/>
                  <w:vAlign w:val="center"/>
                </w:tcPr>
                <w:p w14:paraId="1CE61257">
                  <w:pPr>
                    <w:pStyle w:val="42"/>
                  </w:pPr>
                  <w:r>
                    <w:t>126 m</w:t>
                  </w:r>
                  <w:r>
                    <w:rPr>
                      <w:vertAlign w:val="superscript"/>
                    </w:rPr>
                    <w:t>2</w:t>
                  </w:r>
                </w:p>
              </w:tc>
            </w:tr>
            <w:tr w14:paraId="3EAD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42E979D2">
                  <w:pPr>
                    <w:pStyle w:val="42"/>
                  </w:pPr>
                  <w:r>
                    <w:rPr>
                      <w:rFonts w:hint="eastAsia"/>
                    </w:rPr>
                    <w:t>4</w:t>
                  </w:r>
                </w:p>
              </w:tc>
              <w:tc>
                <w:tcPr>
                  <w:tcW w:w="708" w:type="dxa"/>
                  <w:vMerge w:val="restart"/>
                  <w:vAlign w:val="center"/>
                </w:tcPr>
                <w:p w14:paraId="11F35525">
                  <w:pPr>
                    <w:pStyle w:val="42"/>
                  </w:pPr>
                  <w:r>
                    <w:rPr>
                      <w:rFonts w:hint="eastAsia"/>
                    </w:rPr>
                    <w:t>公用工程</w:t>
                  </w:r>
                </w:p>
              </w:tc>
              <w:tc>
                <w:tcPr>
                  <w:tcW w:w="1134" w:type="dxa"/>
                  <w:vAlign w:val="center"/>
                </w:tcPr>
                <w:p w14:paraId="3F16167A">
                  <w:pPr>
                    <w:pStyle w:val="42"/>
                  </w:pPr>
                  <w:r>
                    <w:rPr>
                      <w:rFonts w:hint="eastAsia"/>
                    </w:rPr>
                    <w:t>给水</w:t>
                  </w:r>
                </w:p>
              </w:tc>
              <w:tc>
                <w:tcPr>
                  <w:tcW w:w="5650" w:type="dxa"/>
                  <w:gridSpan w:val="2"/>
                  <w:vAlign w:val="center"/>
                </w:tcPr>
                <w:p w14:paraId="4D691C56">
                  <w:pPr>
                    <w:pStyle w:val="42"/>
                    <w:jc w:val="both"/>
                  </w:pPr>
                  <w:r>
                    <w:rPr>
                      <w:rFonts w:hint="eastAsia"/>
                    </w:rPr>
                    <w:t>工业用水由广西华谊能源化工有限公司供给，</w:t>
                  </w:r>
                </w:p>
                <w:p w14:paraId="5470FD29">
                  <w:pPr>
                    <w:pStyle w:val="42"/>
                    <w:jc w:val="both"/>
                  </w:pPr>
                  <w:r>
                    <w:rPr>
                      <w:rFonts w:hint="eastAsia"/>
                    </w:rPr>
                    <w:t>生活用水由国投钦电供给；</w:t>
                  </w:r>
                </w:p>
                <w:p w14:paraId="0DACF9A5">
                  <w:pPr>
                    <w:pStyle w:val="42"/>
                    <w:jc w:val="both"/>
                  </w:pPr>
                  <w:r>
                    <w:rPr>
                      <w:rFonts w:hint="eastAsia"/>
                    </w:rPr>
                    <w:t>海水用水由国投钦电供给；</w:t>
                  </w:r>
                </w:p>
                <w:p w14:paraId="3FF1EA0F">
                  <w:pPr>
                    <w:pStyle w:val="42"/>
                    <w:jc w:val="both"/>
                  </w:pPr>
                  <w:r>
                    <w:rPr>
                      <w:rFonts w:hint="eastAsia"/>
                    </w:rPr>
                    <w:t>一次消防总用水量按648m</w:t>
                  </w:r>
                  <w:r>
                    <w:rPr>
                      <w:rFonts w:hint="eastAsia"/>
                      <w:vertAlign w:val="superscript"/>
                    </w:rPr>
                    <w:t>3</w:t>
                  </w:r>
                  <w:r>
                    <w:rPr>
                      <w:rFonts w:hint="eastAsia"/>
                    </w:rPr>
                    <w:t>计，</w:t>
                  </w:r>
                  <w:r>
                    <w:rPr>
                      <w:rFonts w:hint="eastAsia"/>
                      <w:lang w:eastAsia="zh-CN"/>
                    </w:rPr>
                    <w:t>室内外</w:t>
                  </w:r>
                  <w:r>
                    <w:rPr>
                      <w:rFonts w:hint="eastAsia"/>
                    </w:rPr>
                    <w:t>消防水量均由消防水池内储水经消防泵房加压后提供。消防水池有效容积为650m</w:t>
                  </w:r>
                  <w:r>
                    <w:rPr>
                      <w:rFonts w:hint="eastAsia"/>
                      <w:vertAlign w:val="superscript"/>
                    </w:rPr>
                    <w:t>3</w:t>
                  </w:r>
                  <w:r>
                    <w:rPr>
                      <w:rFonts w:hint="eastAsia"/>
                    </w:rPr>
                    <w:t>，消防用水补充水由广西华谊能源化工有限公司供给。</w:t>
                  </w:r>
                </w:p>
              </w:tc>
            </w:tr>
            <w:tr w14:paraId="001D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3CB82BC">
                  <w:pPr>
                    <w:pStyle w:val="42"/>
                  </w:pPr>
                </w:p>
              </w:tc>
              <w:tc>
                <w:tcPr>
                  <w:tcW w:w="708" w:type="dxa"/>
                  <w:vMerge w:val="continue"/>
                  <w:vAlign w:val="center"/>
                </w:tcPr>
                <w:p w14:paraId="01633460">
                  <w:pPr>
                    <w:pStyle w:val="42"/>
                  </w:pPr>
                </w:p>
              </w:tc>
              <w:tc>
                <w:tcPr>
                  <w:tcW w:w="1134" w:type="dxa"/>
                  <w:vAlign w:val="center"/>
                </w:tcPr>
                <w:p w14:paraId="55DD04B1">
                  <w:pPr>
                    <w:pStyle w:val="42"/>
                  </w:pPr>
                  <w:r>
                    <w:rPr>
                      <w:rFonts w:hint="eastAsia"/>
                    </w:rPr>
                    <w:t>排水</w:t>
                  </w:r>
                </w:p>
              </w:tc>
              <w:tc>
                <w:tcPr>
                  <w:tcW w:w="5650" w:type="dxa"/>
                  <w:gridSpan w:val="2"/>
                  <w:vAlign w:val="center"/>
                </w:tcPr>
                <w:p w14:paraId="1B09CE86">
                  <w:pPr>
                    <w:pStyle w:val="42"/>
                    <w:jc w:val="both"/>
                  </w:pPr>
                  <w:r>
                    <w:rPr>
                      <w:rFonts w:hint="eastAsia"/>
                    </w:rPr>
                    <w:t>生活污水经化粪池处理后，排入国投钦电发电厂生活污水系统，处理达标后用于厂区绿化；</w:t>
                  </w:r>
                </w:p>
                <w:p w14:paraId="6244AFE9">
                  <w:pPr>
                    <w:pStyle w:val="42"/>
                    <w:jc w:val="both"/>
                  </w:pPr>
                  <w:r>
                    <w:rPr>
                      <w:rFonts w:hint="eastAsia"/>
                    </w:rPr>
                    <w:t>循环废水先排入广西华谊能源化工配套空分项目生产污水池进行暂存，后排入广西华谊能源化工配套空分项目管网，经管网排入天宜污水处理厂一期处理。处理达标后，近期近岸排放，远期依托园区深海排放管道于金鼓江污水深海排放区排放。</w:t>
                  </w:r>
                </w:p>
              </w:tc>
            </w:tr>
            <w:tr w14:paraId="2226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05804A5F">
                  <w:pPr>
                    <w:pStyle w:val="42"/>
                  </w:pPr>
                </w:p>
              </w:tc>
              <w:tc>
                <w:tcPr>
                  <w:tcW w:w="708" w:type="dxa"/>
                  <w:vMerge w:val="continue"/>
                  <w:vAlign w:val="center"/>
                </w:tcPr>
                <w:p w14:paraId="25B1D271">
                  <w:pPr>
                    <w:pStyle w:val="42"/>
                  </w:pPr>
                </w:p>
              </w:tc>
              <w:tc>
                <w:tcPr>
                  <w:tcW w:w="1134" w:type="dxa"/>
                  <w:vAlign w:val="center"/>
                </w:tcPr>
                <w:p w14:paraId="31E2F62E">
                  <w:pPr>
                    <w:pStyle w:val="42"/>
                  </w:pPr>
                  <w:r>
                    <w:rPr>
                      <w:rFonts w:hint="eastAsia"/>
                    </w:rPr>
                    <w:t>供电</w:t>
                  </w:r>
                </w:p>
              </w:tc>
              <w:tc>
                <w:tcPr>
                  <w:tcW w:w="5650" w:type="dxa"/>
                  <w:gridSpan w:val="2"/>
                  <w:vAlign w:val="center"/>
                </w:tcPr>
                <w:p w14:paraId="6B0B0E0D">
                  <w:pPr>
                    <w:pStyle w:val="42"/>
                  </w:pPr>
                  <w:r>
                    <w:rPr>
                      <w:rFonts w:hint="eastAsia"/>
                    </w:rPr>
                    <w:t>由广西华谊提供，供电线路送电能力满足本项目全部电需求。</w:t>
                  </w:r>
                </w:p>
              </w:tc>
            </w:tr>
            <w:tr w14:paraId="5A1E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499C06DA">
                  <w:pPr>
                    <w:pStyle w:val="42"/>
                  </w:pPr>
                </w:p>
              </w:tc>
              <w:tc>
                <w:tcPr>
                  <w:tcW w:w="708" w:type="dxa"/>
                  <w:vMerge w:val="continue"/>
                  <w:vAlign w:val="center"/>
                </w:tcPr>
                <w:p w14:paraId="01BFA2EE">
                  <w:pPr>
                    <w:pStyle w:val="42"/>
                  </w:pPr>
                </w:p>
              </w:tc>
              <w:tc>
                <w:tcPr>
                  <w:tcW w:w="1134" w:type="dxa"/>
                  <w:vMerge w:val="restart"/>
                  <w:vAlign w:val="center"/>
                </w:tcPr>
                <w:p w14:paraId="2FDA2DBF">
                  <w:pPr>
                    <w:pStyle w:val="42"/>
                  </w:pPr>
                  <w:r>
                    <w:rPr>
                      <w:rFonts w:hint="eastAsia"/>
                    </w:rPr>
                    <w:t>供气</w:t>
                  </w:r>
                </w:p>
              </w:tc>
              <w:tc>
                <w:tcPr>
                  <w:tcW w:w="5650" w:type="dxa"/>
                  <w:gridSpan w:val="2"/>
                  <w:vAlign w:val="center"/>
                </w:tcPr>
                <w:p w14:paraId="6019D573">
                  <w:pPr>
                    <w:pStyle w:val="42"/>
                  </w:pPr>
                  <w:r>
                    <w:rPr>
                      <w:rFonts w:hint="eastAsia"/>
                    </w:rPr>
                    <w:t>蒸汽由国投钦电蒸汽管网系统提供。</w:t>
                  </w:r>
                </w:p>
              </w:tc>
            </w:tr>
            <w:tr w14:paraId="7868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EDBB002">
                  <w:pPr>
                    <w:pStyle w:val="42"/>
                  </w:pPr>
                </w:p>
              </w:tc>
              <w:tc>
                <w:tcPr>
                  <w:tcW w:w="708" w:type="dxa"/>
                  <w:vMerge w:val="continue"/>
                  <w:vAlign w:val="center"/>
                </w:tcPr>
                <w:p w14:paraId="2CFC1BE3">
                  <w:pPr>
                    <w:pStyle w:val="42"/>
                  </w:pPr>
                </w:p>
              </w:tc>
              <w:tc>
                <w:tcPr>
                  <w:tcW w:w="1134" w:type="dxa"/>
                  <w:vMerge w:val="continue"/>
                  <w:vAlign w:val="center"/>
                </w:tcPr>
                <w:p w14:paraId="5EC6A12A">
                  <w:pPr>
                    <w:pStyle w:val="42"/>
                  </w:pPr>
                </w:p>
              </w:tc>
              <w:tc>
                <w:tcPr>
                  <w:tcW w:w="5650" w:type="dxa"/>
                  <w:gridSpan w:val="2"/>
                  <w:vAlign w:val="center"/>
                </w:tcPr>
                <w:p w14:paraId="0521AFF6">
                  <w:pPr>
                    <w:pStyle w:val="42"/>
                  </w:pPr>
                  <w:r>
                    <w:rPr>
                      <w:rFonts w:hint="eastAsia"/>
                    </w:rPr>
                    <w:t>原料空气、低压氮气、仪表空气依托一期空分项目供应，用于贫氪氙提取系统。</w:t>
                  </w:r>
                </w:p>
              </w:tc>
            </w:tr>
            <w:tr w14:paraId="1B64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restart"/>
                  <w:vAlign w:val="center"/>
                </w:tcPr>
                <w:p w14:paraId="5072CD46">
                  <w:pPr>
                    <w:pStyle w:val="42"/>
                  </w:pPr>
                  <w:r>
                    <w:rPr>
                      <w:rFonts w:hint="eastAsia"/>
                    </w:rPr>
                    <w:t>5</w:t>
                  </w:r>
                </w:p>
              </w:tc>
              <w:tc>
                <w:tcPr>
                  <w:tcW w:w="708" w:type="dxa"/>
                  <w:vMerge w:val="restart"/>
                  <w:vAlign w:val="center"/>
                </w:tcPr>
                <w:p w14:paraId="5F39E3C0">
                  <w:pPr>
                    <w:pStyle w:val="42"/>
                  </w:pPr>
                  <w:r>
                    <w:rPr>
                      <w:rFonts w:hint="eastAsia"/>
                    </w:rPr>
                    <w:t>环保工程</w:t>
                  </w:r>
                </w:p>
              </w:tc>
              <w:tc>
                <w:tcPr>
                  <w:tcW w:w="1134" w:type="dxa"/>
                  <w:vMerge w:val="restart"/>
                  <w:vAlign w:val="center"/>
                </w:tcPr>
                <w:p w14:paraId="4AE3171D">
                  <w:pPr>
                    <w:pStyle w:val="42"/>
                  </w:pPr>
                  <w:r>
                    <w:rPr>
                      <w:rFonts w:hint="eastAsia"/>
                    </w:rPr>
                    <w:t>废水治理措施</w:t>
                  </w:r>
                </w:p>
              </w:tc>
              <w:tc>
                <w:tcPr>
                  <w:tcW w:w="5650" w:type="dxa"/>
                  <w:gridSpan w:val="2"/>
                  <w:vAlign w:val="center"/>
                </w:tcPr>
                <w:p w14:paraId="04FA8FA0">
                  <w:pPr>
                    <w:pStyle w:val="42"/>
                  </w:pPr>
                  <w:r>
                    <w:rPr>
                      <w:rFonts w:hint="eastAsia"/>
                    </w:rPr>
                    <w:t>空气冷凝水，作为循环冷却水系统补充水回用，不外排；循环废水排至国投钦电工业废水系统处理，处理达标后全部回用。</w:t>
                  </w:r>
                </w:p>
              </w:tc>
            </w:tr>
            <w:tr w14:paraId="7704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FCDD5F7">
                  <w:pPr>
                    <w:pStyle w:val="42"/>
                  </w:pPr>
                </w:p>
              </w:tc>
              <w:tc>
                <w:tcPr>
                  <w:tcW w:w="708" w:type="dxa"/>
                  <w:vMerge w:val="continue"/>
                  <w:vAlign w:val="center"/>
                </w:tcPr>
                <w:p w14:paraId="16966490">
                  <w:pPr>
                    <w:pStyle w:val="42"/>
                  </w:pPr>
                </w:p>
              </w:tc>
              <w:tc>
                <w:tcPr>
                  <w:tcW w:w="1134" w:type="dxa"/>
                  <w:vMerge w:val="continue"/>
                  <w:vAlign w:val="center"/>
                </w:tcPr>
                <w:p w14:paraId="229C974B">
                  <w:pPr>
                    <w:pStyle w:val="42"/>
                  </w:pPr>
                </w:p>
              </w:tc>
              <w:tc>
                <w:tcPr>
                  <w:tcW w:w="5650" w:type="dxa"/>
                  <w:gridSpan w:val="2"/>
                  <w:vAlign w:val="center"/>
                </w:tcPr>
                <w:p w14:paraId="6C64EDD0">
                  <w:pPr>
                    <w:pStyle w:val="42"/>
                  </w:pPr>
                  <w:r>
                    <w:rPr>
                      <w:rFonts w:hint="eastAsia"/>
                    </w:rPr>
                    <w:t>生活污水经厂区内化粪池处理后，排入国投钦电发电厂生活污水处理系统处理。</w:t>
                  </w:r>
                </w:p>
              </w:tc>
            </w:tr>
            <w:tr w14:paraId="2463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768D4A74">
                  <w:pPr>
                    <w:pStyle w:val="42"/>
                  </w:pPr>
                </w:p>
              </w:tc>
              <w:tc>
                <w:tcPr>
                  <w:tcW w:w="708" w:type="dxa"/>
                  <w:vMerge w:val="continue"/>
                  <w:vAlign w:val="center"/>
                </w:tcPr>
                <w:p w14:paraId="256E2A6B">
                  <w:pPr>
                    <w:pStyle w:val="42"/>
                  </w:pPr>
                </w:p>
              </w:tc>
              <w:tc>
                <w:tcPr>
                  <w:tcW w:w="1134" w:type="dxa"/>
                  <w:vMerge w:val="continue"/>
                  <w:vAlign w:val="center"/>
                </w:tcPr>
                <w:p w14:paraId="0E5E2277">
                  <w:pPr>
                    <w:pStyle w:val="42"/>
                  </w:pPr>
                </w:p>
              </w:tc>
              <w:tc>
                <w:tcPr>
                  <w:tcW w:w="5650" w:type="dxa"/>
                  <w:gridSpan w:val="2"/>
                  <w:vAlign w:val="center"/>
                </w:tcPr>
                <w:p w14:paraId="4C5CEFAB">
                  <w:pPr>
                    <w:pStyle w:val="42"/>
                  </w:pPr>
                  <w:r>
                    <w:rPr>
                      <w:rFonts w:hint="eastAsia"/>
                    </w:rPr>
                    <w:t>循环废水先排入广西华谊能源化工配套空分项目生产污水池进行暂存，后排入广西华谊能源化工配套空分项目管网，经管网排入天宜污水处理厂一期处理。处理达标后，近期近岸排放，远期依托园区深海排放管道于金鼓江污水深海排放区排放</w:t>
                  </w:r>
                </w:p>
              </w:tc>
            </w:tr>
            <w:tr w14:paraId="4A27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1C2BD13">
                  <w:pPr>
                    <w:pStyle w:val="42"/>
                  </w:pPr>
                </w:p>
              </w:tc>
              <w:tc>
                <w:tcPr>
                  <w:tcW w:w="708" w:type="dxa"/>
                  <w:vMerge w:val="continue"/>
                  <w:vAlign w:val="center"/>
                </w:tcPr>
                <w:p w14:paraId="76DC4436">
                  <w:pPr>
                    <w:pStyle w:val="42"/>
                  </w:pPr>
                </w:p>
              </w:tc>
              <w:tc>
                <w:tcPr>
                  <w:tcW w:w="1134" w:type="dxa"/>
                  <w:vAlign w:val="center"/>
                </w:tcPr>
                <w:p w14:paraId="7B31C24D">
                  <w:pPr>
                    <w:pStyle w:val="42"/>
                  </w:pPr>
                  <w:r>
                    <w:rPr>
                      <w:rFonts w:hint="eastAsia"/>
                    </w:rPr>
                    <w:t>废气治理措施</w:t>
                  </w:r>
                </w:p>
              </w:tc>
              <w:tc>
                <w:tcPr>
                  <w:tcW w:w="5650" w:type="dxa"/>
                  <w:gridSpan w:val="2"/>
                  <w:vAlign w:val="center"/>
                </w:tcPr>
                <w:p w14:paraId="3EF7F963">
                  <w:pPr>
                    <w:pStyle w:val="42"/>
                  </w:pPr>
                  <w:r>
                    <w:rPr>
                      <w:rFonts w:hint="eastAsia"/>
                    </w:rPr>
                    <w:t>空气深冷分离生产的污氮，主要成分为氮气，对大气环境无污染，经过消声后高空放空排入大气中。</w:t>
                  </w:r>
                </w:p>
              </w:tc>
            </w:tr>
            <w:tr w14:paraId="698B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589F5CD2">
                  <w:pPr>
                    <w:pStyle w:val="42"/>
                  </w:pPr>
                </w:p>
              </w:tc>
              <w:tc>
                <w:tcPr>
                  <w:tcW w:w="708" w:type="dxa"/>
                  <w:vMerge w:val="continue"/>
                  <w:vAlign w:val="center"/>
                </w:tcPr>
                <w:p w14:paraId="74B8C52B">
                  <w:pPr>
                    <w:pStyle w:val="42"/>
                  </w:pPr>
                </w:p>
              </w:tc>
              <w:tc>
                <w:tcPr>
                  <w:tcW w:w="1134" w:type="dxa"/>
                  <w:vAlign w:val="center"/>
                </w:tcPr>
                <w:p w14:paraId="6F70FD80">
                  <w:pPr>
                    <w:pStyle w:val="42"/>
                  </w:pPr>
                  <w:r>
                    <w:rPr>
                      <w:rFonts w:hint="eastAsia"/>
                    </w:rPr>
                    <w:t>噪声治理措施</w:t>
                  </w:r>
                </w:p>
              </w:tc>
              <w:tc>
                <w:tcPr>
                  <w:tcW w:w="5650" w:type="dxa"/>
                  <w:gridSpan w:val="2"/>
                  <w:vAlign w:val="center"/>
                </w:tcPr>
                <w:p w14:paraId="5CBA1381">
                  <w:pPr>
                    <w:pStyle w:val="42"/>
                  </w:pPr>
                  <w:r>
                    <w:rPr>
                      <w:rFonts w:hint="eastAsia"/>
                    </w:rPr>
                    <w:t>将设备设置在室内；对厂房进行吸声处理，设噪声墙和消声器；采用防震、减震等措施；选用低噪声设备等。</w:t>
                  </w:r>
                </w:p>
              </w:tc>
            </w:tr>
            <w:tr w14:paraId="165F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Merge w:val="continue"/>
                  <w:vAlign w:val="center"/>
                </w:tcPr>
                <w:p w14:paraId="1B58C333">
                  <w:pPr>
                    <w:pStyle w:val="42"/>
                  </w:pPr>
                </w:p>
              </w:tc>
              <w:tc>
                <w:tcPr>
                  <w:tcW w:w="708" w:type="dxa"/>
                  <w:vMerge w:val="continue"/>
                  <w:vAlign w:val="center"/>
                </w:tcPr>
                <w:p w14:paraId="374530A7">
                  <w:pPr>
                    <w:pStyle w:val="42"/>
                  </w:pPr>
                </w:p>
              </w:tc>
              <w:tc>
                <w:tcPr>
                  <w:tcW w:w="1134" w:type="dxa"/>
                  <w:vAlign w:val="center"/>
                </w:tcPr>
                <w:p w14:paraId="74684830">
                  <w:pPr>
                    <w:pStyle w:val="42"/>
                  </w:pPr>
                  <w:r>
                    <w:rPr>
                      <w:rFonts w:hint="eastAsia"/>
                    </w:rPr>
                    <w:t>固废治理措施</w:t>
                  </w:r>
                </w:p>
              </w:tc>
              <w:tc>
                <w:tcPr>
                  <w:tcW w:w="5650" w:type="dxa"/>
                  <w:gridSpan w:val="2"/>
                  <w:vAlign w:val="center"/>
                </w:tcPr>
                <w:p w14:paraId="5FA64B41">
                  <w:pPr>
                    <w:pStyle w:val="42"/>
                  </w:pPr>
                  <w:r>
                    <w:rPr>
                      <w:rFonts w:hint="eastAsia"/>
                    </w:rPr>
                    <w:t>废分子筛由原生产厂家回收再生；</w:t>
                  </w:r>
                </w:p>
                <w:p w14:paraId="09A1D329">
                  <w:pPr>
                    <w:pStyle w:val="42"/>
                  </w:pPr>
                  <w:r>
                    <w:rPr>
                      <w:rFonts w:hint="eastAsia"/>
                    </w:rPr>
                    <w:t>废机油则委托有资质的专业单位处理；</w:t>
                  </w:r>
                </w:p>
                <w:p w14:paraId="202E7781">
                  <w:pPr>
                    <w:pStyle w:val="42"/>
                  </w:pPr>
                  <w:r>
                    <w:rPr>
                      <w:rFonts w:hint="eastAsia"/>
                    </w:rPr>
                    <w:t>废吸附剂由厂家回收；</w:t>
                  </w:r>
                </w:p>
                <w:p w14:paraId="31AB5EC4">
                  <w:pPr>
                    <w:pStyle w:val="42"/>
                  </w:pPr>
                  <w:r>
                    <w:rPr>
                      <w:rFonts w:hint="eastAsia"/>
                    </w:rPr>
                    <w:t>厂区的生活垃圾由园区环卫管理部门统一收集处置。</w:t>
                  </w:r>
                </w:p>
              </w:tc>
            </w:tr>
          </w:tbl>
          <w:p w14:paraId="5F980B2A">
            <w:pPr>
              <w:pStyle w:val="41"/>
              <w:ind w:firstLine="480"/>
            </w:pPr>
          </w:p>
          <w:p w14:paraId="66F12E83">
            <w:pPr>
              <w:pStyle w:val="41"/>
              <w:ind w:firstLine="480"/>
            </w:pPr>
            <w:r>
              <w:rPr>
                <w:rFonts w:hint="eastAsia"/>
              </w:rPr>
              <w:t>本项目建成后全厂排污情况如下表所示</w:t>
            </w:r>
          </w:p>
          <w:p w14:paraId="4D9232C7">
            <w:pPr>
              <w:pStyle w:val="41"/>
              <w:numPr>
                <w:ilvl w:val="0"/>
                <w:numId w:val="7"/>
              </w:numPr>
              <w:spacing w:line="240" w:lineRule="auto"/>
              <w:ind w:firstLineChars="0"/>
              <w:jc w:val="center"/>
              <w:rPr>
                <w:b/>
                <w:bCs/>
                <w:sz w:val="21"/>
                <w:szCs w:val="21"/>
              </w:rPr>
            </w:pPr>
            <w:r>
              <w:rPr>
                <w:rFonts w:hint="eastAsia"/>
                <w:b/>
                <w:bCs/>
                <w:sz w:val="21"/>
                <w:szCs w:val="21"/>
              </w:rPr>
              <w:t>本项目建成后全厂污染物排放情况一览表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77"/>
              <w:gridCol w:w="1389"/>
              <w:gridCol w:w="1140"/>
              <w:gridCol w:w="979"/>
              <w:gridCol w:w="1389"/>
              <w:gridCol w:w="1245"/>
            </w:tblGrid>
            <w:tr w14:paraId="740A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6" w:type="dxa"/>
                  <w:vAlign w:val="center"/>
                </w:tcPr>
                <w:p w14:paraId="7CB2D84D">
                  <w:pPr>
                    <w:pStyle w:val="42"/>
                    <w:rPr>
                      <w:b/>
                      <w:bCs/>
                    </w:rPr>
                  </w:pPr>
                  <w:r>
                    <w:rPr>
                      <w:rFonts w:hint="eastAsia"/>
                      <w:b/>
                      <w:bCs/>
                    </w:rPr>
                    <w:t>类别</w:t>
                  </w:r>
                </w:p>
              </w:tc>
              <w:tc>
                <w:tcPr>
                  <w:tcW w:w="1146" w:type="dxa"/>
                  <w:vAlign w:val="center"/>
                </w:tcPr>
                <w:p w14:paraId="74210445">
                  <w:pPr>
                    <w:pStyle w:val="42"/>
                    <w:rPr>
                      <w:b/>
                      <w:bCs/>
                    </w:rPr>
                  </w:pPr>
                  <w:r>
                    <w:rPr>
                      <w:rFonts w:hint="eastAsia"/>
                      <w:b/>
                      <w:bCs/>
                    </w:rPr>
                    <w:t>污染源/污染物</w:t>
                  </w:r>
                </w:p>
              </w:tc>
              <w:tc>
                <w:tcPr>
                  <w:tcW w:w="1147" w:type="dxa"/>
                  <w:vAlign w:val="center"/>
                </w:tcPr>
                <w:p w14:paraId="31ADC679">
                  <w:pPr>
                    <w:pStyle w:val="42"/>
                    <w:rPr>
                      <w:b/>
                      <w:bCs/>
                    </w:rPr>
                  </w:pPr>
                  <w:r>
                    <w:rPr>
                      <w:rFonts w:hint="eastAsia"/>
                      <w:b/>
                      <w:bCs/>
                    </w:rPr>
                    <w:t>现有工程排放量</w:t>
                  </w:r>
                </w:p>
              </w:tc>
              <w:tc>
                <w:tcPr>
                  <w:tcW w:w="1147" w:type="dxa"/>
                  <w:vAlign w:val="center"/>
                </w:tcPr>
                <w:p w14:paraId="72A3F016">
                  <w:pPr>
                    <w:pStyle w:val="42"/>
                    <w:rPr>
                      <w:b/>
                      <w:bCs/>
                    </w:rPr>
                  </w:pPr>
                  <w:r>
                    <w:rPr>
                      <w:rFonts w:hint="eastAsia"/>
                      <w:b/>
                      <w:bCs/>
                    </w:rPr>
                    <w:t>本项目排放量</w:t>
                  </w:r>
                </w:p>
              </w:tc>
              <w:tc>
                <w:tcPr>
                  <w:tcW w:w="1147" w:type="dxa"/>
                  <w:vAlign w:val="center"/>
                </w:tcPr>
                <w:p w14:paraId="163E7DEC">
                  <w:pPr>
                    <w:pStyle w:val="42"/>
                    <w:rPr>
                      <w:b/>
                      <w:bCs/>
                    </w:rPr>
                  </w:pPr>
                  <w:r>
                    <w:rPr>
                      <w:rFonts w:hint="eastAsia"/>
                      <w:b/>
                      <w:bCs/>
                    </w:rPr>
                    <w:t>“以新带老”削减量</w:t>
                  </w:r>
                </w:p>
              </w:tc>
              <w:tc>
                <w:tcPr>
                  <w:tcW w:w="1147" w:type="dxa"/>
                  <w:vAlign w:val="center"/>
                </w:tcPr>
                <w:p w14:paraId="76717902">
                  <w:pPr>
                    <w:pStyle w:val="42"/>
                    <w:rPr>
                      <w:b/>
                      <w:bCs/>
                    </w:rPr>
                  </w:pPr>
                  <w:r>
                    <w:rPr>
                      <w:rFonts w:hint="eastAsia"/>
                      <w:b/>
                      <w:bCs/>
                    </w:rPr>
                    <w:t>本项目建成后全厂总排放量</w:t>
                  </w:r>
                </w:p>
              </w:tc>
              <w:tc>
                <w:tcPr>
                  <w:tcW w:w="1147" w:type="dxa"/>
                  <w:vAlign w:val="center"/>
                </w:tcPr>
                <w:p w14:paraId="7A3C3D5B">
                  <w:pPr>
                    <w:pStyle w:val="42"/>
                    <w:rPr>
                      <w:b/>
                      <w:bCs/>
                    </w:rPr>
                  </w:pPr>
                  <w:r>
                    <w:rPr>
                      <w:rFonts w:hint="eastAsia"/>
                      <w:b/>
                      <w:bCs/>
                    </w:rPr>
                    <w:t>增减量变化</w:t>
                  </w:r>
                </w:p>
              </w:tc>
            </w:tr>
            <w:tr w14:paraId="55E8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14:paraId="5BA18B3A">
                  <w:pPr>
                    <w:pStyle w:val="42"/>
                  </w:pPr>
                  <w:r>
                    <w:rPr>
                      <w:rFonts w:hint="eastAsia"/>
                    </w:rPr>
                    <w:t>废气</w:t>
                  </w:r>
                </w:p>
              </w:tc>
              <w:tc>
                <w:tcPr>
                  <w:tcW w:w="1146" w:type="dxa"/>
                  <w:vAlign w:val="center"/>
                </w:tcPr>
                <w:p w14:paraId="5F670C9B">
                  <w:pPr>
                    <w:pStyle w:val="42"/>
                  </w:pPr>
                  <w:r>
                    <w:rPr>
                      <w:rFonts w:hint="eastAsia"/>
                    </w:rPr>
                    <w:t>/</w:t>
                  </w:r>
                </w:p>
              </w:tc>
              <w:tc>
                <w:tcPr>
                  <w:tcW w:w="1147" w:type="dxa"/>
                  <w:vAlign w:val="center"/>
                </w:tcPr>
                <w:p w14:paraId="0F5B7CAA">
                  <w:pPr>
                    <w:pStyle w:val="42"/>
                  </w:pPr>
                  <w:r>
                    <w:rPr>
                      <w:rFonts w:hint="eastAsia"/>
                    </w:rPr>
                    <w:t>/</w:t>
                  </w:r>
                </w:p>
              </w:tc>
              <w:tc>
                <w:tcPr>
                  <w:tcW w:w="1147" w:type="dxa"/>
                  <w:vAlign w:val="center"/>
                </w:tcPr>
                <w:p w14:paraId="43CA3DE1">
                  <w:pPr>
                    <w:pStyle w:val="42"/>
                  </w:pPr>
                  <w:r>
                    <w:rPr>
                      <w:rFonts w:hint="eastAsia"/>
                    </w:rPr>
                    <w:t>/</w:t>
                  </w:r>
                </w:p>
              </w:tc>
              <w:tc>
                <w:tcPr>
                  <w:tcW w:w="1147" w:type="dxa"/>
                  <w:vAlign w:val="center"/>
                </w:tcPr>
                <w:p w14:paraId="40B4BC73">
                  <w:pPr>
                    <w:pStyle w:val="42"/>
                  </w:pPr>
                  <w:r>
                    <w:rPr>
                      <w:rFonts w:hint="eastAsia"/>
                    </w:rPr>
                    <w:t>/</w:t>
                  </w:r>
                </w:p>
              </w:tc>
              <w:tc>
                <w:tcPr>
                  <w:tcW w:w="1147" w:type="dxa"/>
                  <w:vAlign w:val="center"/>
                </w:tcPr>
                <w:p w14:paraId="70AE6E34">
                  <w:pPr>
                    <w:pStyle w:val="42"/>
                  </w:pPr>
                  <w:r>
                    <w:rPr>
                      <w:rFonts w:hint="eastAsia"/>
                    </w:rPr>
                    <w:t>/</w:t>
                  </w:r>
                </w:p>
              </w:tc>
              <w:tc>
                <w:tcPr>
                  <w:tcW w:w="1147" w:type="dxa"/>
                  <w:vAlign w:val="center"/>
                </w:tcPr>
                <w:p w14:paraId="6EC6A657">
                  <w:pPr>
                    <w:pStyle w:val="42"/>
                  </w:pPr>
                  <w:r>
                    <w:rPr>
                      <w:rFonts w:hint="eastAsia"/>
                    </w:rPr>
                    <w:t>/</w:t>
                  </w:r>
                </w:p>
              </w:tc>
            </w:tr>
            <w:tr w14:paraId="381E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restart"/>
                  <w:vAlign w:val="center"/>
                </w:tcPr>
                <w:p w14:paraId="4D2CF591">
                  <w:pPr>
                    <w:pStyle w:val="42"/>
                  </w:pPr>
                  <w:r>
                    <w:rPr>
                      <w:rFonts w:hint="eastAsia"/>
                    </w:rPr>
                    <w:t>废水</w:t>
                  </w:r>
                </w:p>
              </w:tc>
              <w:tc>
                <w:tcPr>
                  <w:tcW w:w="1146" w:type="dxa"/>
                  <w:vAlign w:val="center"/>
                </w:tcPr>
                <w:p w14:paraId="50D59C55">
                  <w:pPr>
                    <w:pStyle w:val="42"/>
                  </w:pPr>
                  <w:r>
                    <w:rPr>
                      <w:rFonts w:hint="eastAsia"/>
                    </w:rPr>
                    <w:t>生产废水</w:t>
                  </w:r>
                </w:p>
              </w:tc>
              <w:tc>
                <w:tcPr>
                  <w:tcW w:w="1147" w:type="dxa"/>
                  <w:vAlign w:val="center"/>
                </w:tcPr>
                <w:p w14:paraId="2DDB4EDC">
                  <w:pPr>
                    <w:pStyle w:val="42"/>
                  </w:pPr>
                  <w:r>
                    <w:rPr>
                      <w:rFonts w:hint="eastAsia"/>
                    </w:rPr>
                    <w:t>452240.1m</w:t>
                  </w:r>
                  <w:r>
                    <w:rPr>
                      <w:rFonts w:hint="eastAsia"/>
                      <w:vertAlign w:val="superscript"/>
                    </w:rPr>
                    <w:t>3</w:t>
                  </w:r>
                  <w:r>
                    <w:rPr>
                      <w:rFonts w:hint="eastAsia"/>
                    </w:rPr>
                    <w:t>/a</w:t>
                  </w:r>
                </w:p>
              </w:tc>
              <w:tc>
                <w:tcPr>
                  <w:tcW w:w="1147" w:type="dxa"/>
                  <w:vAlign w:val="center"/>
                </w:tcPr>
                <w:p w14:paraId="516D0990">
                  <w:pPr>
                    <w:pStyle w:val="42"/>
                  </w:pPr>
                  <w:r>
                    <w:rPr>
                      <w:rFonts w:hint="eastAsia"/>
                    </w:rPr>
                    <w:t>22512m</w:t>
                  </w:r>
                  <w:r>
                    <w:rPr>
                      <w:rFonts w:hint="eastAsia"/>
                      <w:vertAlign w:val="superscript"/>
                    </w:rPr>
                    <w:t>3</w:t>
                  </w:r>
                  <w:r>
                    <w:rPr>
                      <w:rFonts w:hint="eastAsia"/>
                    </w:rPr>
                    <w:t>/a</w:t>
                  </w:r>
                </w:p>
              </w:tc>
              <w:tc>
                <w:tcPr>
                  <w:tcW w:w="1147" w:type="dxa"/>
                  <w:vAlign w:val="center"/>
                </w:tcPr>
                <w:p w14:paraId="5F14C9A1">
                  <w:pPr>
                    <w:pStyle w:val="42"/>
                  </w:pPr>
                  <w:r>
                    <w:rPr>
                      <w:rFonts w:hint="eastAsia"/>
                    </w:rPr>
                    <w:t>0</w:t>
                  </w:r>
                </w:p>
              </w:tc>
              <w:tc>
                <w:tcPr>
                  <w:tcW w:w="1147" w:type="dxa"/>
                  <w:vAlign w:val="center"/>
                </w:tcPr>
                <w:p w14:paraId="3B880A0B">
                  <w:pPr>
                    <w:pStyle w:val="42"/>
                  </w:pPr>
                  <w:r>
                    <w:rPr>
                      <w:rFonts w:hint="eastAsia"/>
                    </w:rPr>
                    <w:t>474752.1m</w:t>
                  </w:r>
                  <w:r>
                    <w:rPr>
                      <w:rFonts w:hint="eastAsia"/>
                      <w:vertAlign w:val="superscript"/>
                    </w:rPr>
                    <w:t>3</w:t>
                  </w:r>
                  <w:r>
                    <w:rPr>
                      <w:rFonts w:hint="eastAsia"/>
                    </w:rPr>
                    <w:t>/a</w:t>
                  </w:r>
                </w:p>
              </w:tc>
              <w:tc>
                <w:tcPr>
                  <w:tcW w:w="1147" w:type="dxa"/>
                  <w:vAlign w:val="center"/>
                </w:tcPr>
                <w:p w14:paraId="6CF618B1">
                  <w:pPr>
                    <w:pStyle w:val="42"/>
                  </w:pPr>
                  <w:r>
                    <w:rPr>
                      <w:rFonts w:hint="eastAsia"/>
                    </w:rPr>
                    <w:t>+22512m</w:t>
                  </w:r>
                  <w:r>
                    <w:rPr>
                      <w:rFonts w:hint="eastAsia"/>
                      <w:vertAlign w:val="superscript"/>
                    </w:rPr>
                    <w:t>3</w:t>
                  </w:r>
                  <w:r>
                    <w:rPr>
                      <w:rFonts w:hint="eastAsia"/>
                    </w:rPr>
                    <w:t>/a</w:t>
                  </w:r>
                </w:p>
              </w:tc>
            </w:tr>
            <w:tr w14:paraId="7B22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792BA53C">
                  <w:pPr>
                    <w:pStyle w:val="42"/>
                  </w:pPr>
                </w:p>
              </w:tc>
              <w:tc>
                <w:tcPr>
                  <w:tcW w:w="1146" w:type="dxa"/>
                  <w:vAlign w:val="center"/>
                </w:tcPr>
                <w:p w14:paraId="1A6EDC0C">
                  <w:pPr>
                    <w:pStyle w:val="42"/>
                  </w:pPr>
                  <w:r>
                    <w:rPr>
                      <w:rFonts w:hint="eastAsia"/>
                    </w:rPr>
                    <w:t>生活污水</w:t>
                  </w:r>
                </w:p>
              </w:tc>
              <w:tc>
                <w:tcPr>
                  <w:tcW w:w="1147" w:type="dxa"/>
                  <w:vAlign w:val="center"/>
                </w:tcPr>
                <w:p w14:paraId="29FC658B">
                  <w:pPr>
                    <w:pStyle w:val="42"/>
                  </w:pPr>
                  <w:r>
                    <w:rPr>
                      <w:rFonts w:hint="eastAsia"/>
                    </w:rPr>
                    <w:t>532.38m</w:t>
                  </w:r>
                  <w:r>
                    <w:rPr>
                      <w:rFonts w:hint="eastAsia"/>
                      <w:vertAlign w:val="superscript"/>
                    </w:rPr>
                    <w:t>3</w:t>
                  </w:r>
                  <w:r>
                    <w:rPr>
                      <w:rFonts w:hint="eastAsia"/>
                    </w:rPr>
                    <w:t>/a</w:t>
                  </w:r>
                </w:p>
              </w:tc>
              <w:tc>
                <w:tcPr>
                  <w:tcW w:w="1147" w:type="dxa"/>
                  <w:vAlign w:val="center"/>
                </w:tcPr>
                <w:p w14:paraId="52D04D47">
                  <w:pPr>
                    <w:pStyle w:val="42"/>
                  </w:pPr>
                  <w:r>
                    <w:rPr>
                      <w:rFonts w:hint="eastAsia"/>
                    </w:rPr>
                    <w:t>140 m</w:t>
                  </w:r>
                  <w:r>
                    <w:rPr>
                      <w:rFonts w:hint="eastAsia"/>
                      <w:vertAlign w:val="superscript"/>
                    </w:rPr>
                    <w:t>3</w:t>
                  </w:r>
                  <w:r>
                    <w:rPr>
                      <w:rFonts w:hint="eastAsia"/>
                    </w:rPr>
                    <w:t>/a</w:t>
                  </w:r>
                </w:p>
              </w:tc>
              <w:tc>
                <w:tcPr>
                  <w:tcW w:w="1147" w:type="dxa"/>
                  <w:vAlign w:val="center"/>
                </w:tcPr>
                <w:p w14:paraId="1C317716">
                  <w:pPr>
                    <w:pStyle w:val="42"/>
                  </w:pPr>
                  <w:r>
                    <w:rPr>
                      <w:rFonts w:hint="eastAsia"/>
                    </w:rPr>
                    <w:t>0</w:t>
                  </w:r>
                </w:p>
              </w:tc>
              <w:tc>
                <w:tcPr>
                  <w:tcW w:w="1147" w:type="dxa"/>
                  <w:vAlign w:val="center"/>
                </w:tcPr>
                <w:p w14:paraId="30B235C0">
                  <w:pPr>
                    <w:pStyle w:val="42"/>
                  </w:pPr>
                  <w:r>
                    <w:rPr>
                      <w:rFonts w:hint="eastAsia"/>
                    </w:rPr>
                    <w:t>672.38m</w:t>
                  </w:r>
                  <w:r>
                    <w:rPr>
                      <w:rFonts w:hint="eastAsia"/>
                      <w:vertAlign w:val="superscript"/>
                    </w:rPr>
                    <w:t>3</w:t>
                  </w:r>
                  <w:r>
                    <w:rPr>
                      <w:rFonts w:hint="eastAsia"/>
                    </w:rPr>
                    <w:t>/a</w:t>
                  </w:r>
                </w:p>
              </w:tc>
              <w:tc>
                <w:tcPr>
                  <w:tcW w:w="1147" w:type="dxa"/>
                  <w:vAlign w:val="center"/>
                </w:tcPr>
                <w:p w14:paraId="3FC4C76A">
                  <w:pPr>
                    <w:pStyle w:val="42"/>
                  </w:pPr>
                  <w:r>
                    <w:rPr>
                      <w:rFonts w:hint="eastAsia"/>
                    </w:rPr>
                    <w:t>+140 m</w:t>
                  </w:r>
                  <w:r>
                    <w:rPr>
                      <w:rFonts w:hint="eastAsia"/>
                      <w:vertAlign w:val="superscript"/>
                    </w:rPr>
                    <w:t>3</w:t>
                  </w:r>
                  <w:r>
                    <w:rPr>
                      <w:rFonts w:hint="eastAsia"/>
                    </w:rPr>
                    <w:t>/a</w:t>
                  </w:r>
                </w:p>
              </w:tc>
            </w:tr>
            <w:tr w14:paraId="57E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restart"/>
                  <w:vAlign w:val="center"/>
                </w:tcPr>
                <w:p w14:paraId="0876632C">
                  <w:pPr>
                    <w:pStyle w:val="42"/>
                  </w:pPr>
                  <w:r>
                    <w:rPr>
                      <w:rFonts w:hint="eastAsia"/>
                    </w:rPr>
                    <w:t>固废</w:t>
                  </w:r>
                </w:p>
              </w:tc>
              <w:tc>
                <w:tcPr>
                  <w:tcW w:w="1146" w:type="dxa"/>
                  <w:vAlign w:val="center"/>
                </w:tcPr>
                <w:p w14:paraId="40C7527F">
                  <w:pPr>
                    <w:pStyle w:val="42"/>
                  </w:pPr>
                  <w:r>
                    <w:rPr>
                      <w:rFonts w:hint="eastAsia"/>
                    </w:rPr>
                    <w:t>废分子筛</w:t>
                  </w:r>
                </w:p>
              </w:tc>
              <w:tc>
                <w:tcPr>
                  <w:tcW w:w="1147" w:type="dxa"/>
                  <w:vAlign w:val="center"/>
                </w:tcPr>
                <w:p w14:paraId="39B49EDD">
                  <w:pPr>
                    <w:pStyle w:val="42"/>
                  </w:pPr>
                  <w:r>
                    <w:rPr>
                      <w:rFonts w:hint="eastAsia"/>
                    </w:rPr>
                    <w:t>35t/a</w:t>
                  </w:r>
                </w:p>
              </w:tc>
              <w:tc>
                <w:tcPr>
                  <w:tcW w:w="1147" w:type="dxa"/>
                  <w:vAlign w:val="center"/>
                </w:tcPr>
                <w:p w14:paraId="613F5E1F">
                  <w:pPr>
                    <w:pStyle w:val="42"/>
                  </w:pPr>
                  <w:r>
                    <w:rPr>
                      <w:rFonts w:hint="eastAsia"/>
                    </w:rPr>
                    <w:t>/</w:t>
                  </w:r>
                </w:p>
              </w:tc>
              <w:tc>
                <w:tcPr>
                  <w:tcW w:w="1147" w:type="dxa"/>
                  <w:vAlign w:val="center"/>
                </w:tcPr>
                <w:p w14:paraId="570AC34C">
                  <w:pPr>
                    <w:pStyle w:val="42"/>
                  </w:pPr>
                  <w:r>
                    <w:rPr>
                      <w:rFonts w:hint="eastAsia"/>
                    </w:rPr>
                    <w:t>0</w:t>
                  </w:r>
                </w:p>
              </w:tc>
              <w:tc>
                <w:tcPr>
                  <w:tcW w:w="1147" w:type="dxa"/>
                  <w:vAlign w:val="center"/>
                </w:tcPr>
                <w:p w14:paraId="52F313FF">
                  <w:pPr>
                    <w:pStyle w:val="42"/>
                  </w:pPr>
                  <w:r>
                    <w:rPr>
                      <w:rFonts w:hint="eastAsia"/>
                    </w:rPr>
                    <w:t>35t/a</w:t>
                  </w:r>
                </w:p>
              </w:tc>
              <w:tc>
                <w:tcPr>
                  <w:tcW w:w="1147" w:type="dxa"/>
                  <w:vAlign w:val="center"/>
                </w:tcPr>
                <w:p w14:paraId="52531239">
                  <w:pPr>
                    <w:pStyle w:val="42"/>
                  </w:pPr>
                  <w:r>
                    <w:rPr>
                      <w:rFonts w:hint="eastAsia"/>
                    </w:rPr>
                    <w:t>+0</w:t>
                  </w:r>
                </w:p>
              </w:tc>
            </w:tr>
            <w:tr w14:paraId="0CD3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07E598A2">
                  <w:pPr>
                    <w:pStyle w:val="42"/>
                  </w:pPr>
                </w:p>
              </w:tc>
              <w:tc>
                <w:tcPr>
                  <w:tcW w:w="1146" w:type="dxa"/>
                  <w:vAlign w:val="center"/>
                </w:tcPr>
                <w:p w14:paraId="0E1D3960">
                  <w:pPr>
                    <w:pStyle w:val="42"/>
                  </w:pPr>
                  <w:r>
                    <w:rPr>
                      <w:rFonts w:hint="eastAsia"/>
                    </w:rPr>
                    <w:t>废机油</w:t>
                  </w:r>
                </w:p>
              </w:tc>
              <w:tc>
                <w:tcPr>
                  <w:tcW w:w="1147" w:type="dxa"/>
                  <w:vAlign w:val="center"/>
                </w:tcPr>
                <w:p w14:paraId="122EC609">
                  <w:pPr>
                    <w:pStyle w:val="42"/>
                  </w:pPr>
                  <w:r>
                    <w:rPr>
                      <w:rFonts w:hint="eastAsia"/>
                    </w:rPr>
                    <w:t>12t/a</w:t>
                  </w:r>
                </w:p>
              </w:tc>
              <w:tc>
                <w:tcPr>
                  <w:tcW w:w="1147" w:type="dxa"/>
                  <w:vAlign w:val="center"/>
                </w:tcPr>
                <w:p w14:paraId="276FF68D">
                  <w:pPr>
                    <w:pStyle w:val="42"/>
                  </w:pPr>
                  <w:r>
                    <w:rPr>
                      <w:rFonts w:hint="eastAsia"/>
                    </w:rPr>
                    <w:t>2t/a</w:t>
                  </w:r>
                </w:p>
              </w:tc>
              <w:tc>
                <w:tcPr>
                  <w:tcW w:w="1147" w:type="dxa"/>
                  <w:vAlign w:val="center"/>
                </w:tcPr>
                <w:p w14:paraId="0D524A4E">
                  <w:pPr>
                    <w:pStyle w:val="42"/>
                  </w:pPr>
                  <w:r>
                    <w:rPr>
                      <w:rFonts w:hint="eastAsia"/>
                    </w:rPr>
                    <w:t>0</w:t>
                  </w:r>
                </w:p>
              </w:tc>
              <w:tc>
                <w:tcPr>
                  <w:tcW w:w="1147" w:type="dxa"/>
                  <w:vAlign w:val="center"/>
                </w:tcPr>
                <w:p w14:paraId="28F945F7">
                  <w:pPr>
                    <w:pStyle w:val="42"/>
                  </w:pPr>
                  <w:r>
                    <w:rPr>
                      <w:rFonts w:hint="eastAsia"/>
                    </w:rPr>
                    <w:t>14t/a</w:t>
                  </w:r>
                </w:p>
              </w:tc>
              <w:tc>
                <w:tcPr>
                  <w:tcW w:w="1147" w:type="dxa"/>
                  <w:vAlign w:val="center"/>
                </w:tcPr>
                <w:p w14:paraId="7DFDCDF9">
                  <w:pPr>
                    <w:pStyle w:val="42"/>
                  </w:pPr>
                  <w:r>
                    <w:rPr>
                      <w:rFonts w:hint="eastAsia"/>
                    </w:rPr>
                    <w:t>+2t/a</w:t>
                  </w:r>
                </w:p>
              </w:tc>
            </w:tr>
            <w:tr w14:paraId="0521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329EB925">
                  <w:pPr>
                    <w:pStyle w:val="42"/>
                  </w:pPr>
                </w:p>
              </w:tc>
              <w:tc>
                <w:tcPr>
                  <w:tcW w:w="1146" w:type="dxa"/>
                  <w:vAlign w:val="center"/>
                </w:tcPr>
                <w:p w14:paraId="0E318C1F">
                  <w:pPr>
                    <w:pStyle w:val="42"/>
                  </w:pPr>
                  <w:r>
                    <w:rPr>
                      <w:rFonts w:hint="eastAsia"/>
                    </w:rPr>
                    <w:t>含油抹布、废料</w:t>
                  </w:r>
                </w:p>
              </w:tc>
              <w:tc>
                <w:tcPr>
                  <w:tcW w:w="1147" w:type="dxa"/>
                  <w:vAlign w:val="center"/>
                </w:tcPr>
                <w:p w14:paraId="1DD94646">
                  <w:pPr>
                    <w:pStyle w:val="42"/>
                  </w:pPr>
                  <w:r>
                    <w:rPr>
                      <w:rFonts w:hint="eastAsia"/>
                    </w:rPr>
                    <w:t>4t/a</w:t>
                  </w:r>
                </w:p>
              </w:tc>
              <w:tc>
                <w:tcPr>
                  <w:tcW w:w="1147" w:type="dxa"/>
                  <w:vAlign w:val="center"/>
                </w:tcPr>
                <w:p w14:paraId="3369AA12">
                  <w:pPr>
                    <w:pStyle w:val="42"/>
                  </w:pPr>
                  <w:r>
                    <w:rPr>
                      <w:rFonts w:hint="eastAsia"/>
                    </w:rPr>
                    <w:t>/</w:t>
                  </w:r>
                </w:p>
              </w:tc>
              <w:tc>
                <w:tcPr>
                  <w:tcW w:w="1147" w:type="dxa"/>
                  <w:vAlign w:val="center"/>
                </w:tcPr>
                <w:p w14:paraId="77AE48AE">
                  <w:pPr>
                    <w:pStyle w:val="42"/>
                  </w:pPr>
                  <w:r>
                    <w:rPr>
                      <w:rFonts w:hint="eastAsia"/>
                    </w:rPr>
                    <w:t>0</w:t>
                  </w:r>
                </w:p>
              </w:tc>
              <w:tc>
                <w:tcPr>
                  <w:tcW w:w="1147" w:type="dxa"/>
                  <w:vAlign w:val="center"/>
                </w:tcPr>
                <w:p w14:paraId="74273ABC">
                  <w:pPr>
                    <w:pStyle w:val="42"/>
                  </w:pPr>
                  <w:r>
                    <w:rPr>
                      <w:rFonts w:hint="eastAsia"/>
                    </w:rPr>
                    <w:t>4t/a</w:t>
                  </w:r>
                </w:p>
              </w:tc>
              <w:tc>
                <w:tcPr>
                  <w:tcW w:w="1147" w:type="dxa"/>
                  <w:vAlign w:val="center"/>
                </w:tcPr>
                <w:p w14:paraId="2005447F">
                  <w:pPr>
                    <w:pStyle w:val="42"/>
                  </w:pPr>
                  <w:r>
                    <w:rPr>
                      <w:rFonts w:hint="eastAsia"/>
                    </w:rPr>
                    <w:t>+0</w:t>
                  </w:r>
                </w:p>
              </w:tc>
            </w:tr>
            <w:tr w14:paraId="0103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709B167F">
                  <w:pPr>
                    <w:pStyle w:val="42"/>
                  </w:pPr>
                </w:p>
              </w:tc>
              <w:tc>
                <w:tcPr>
                  <w:tcW w:w="1146" w:type="dxa"/>
                  <w:vAlign w:val="center"/>
                </w:tcPr>
                <w:p w14:paraId="08BAEE37">
                  <w:pPr>
                    <w:pStyle w:val="42"/>
                  </w:pPr>
                  <w:r>
                    <w:rPr>
                      <w:rFonts w:hint="eastAsia"/>
                    </w:rPr>
                    <w:t>废药剂桶、废油桶</w:t>
                  </w:r>
                </w:p>
              </w:tc>
              <w:tc>
                <w:tcPr>
                  <w:tcW w:w="1147" w:type="dxa"/>
                  <w:vAlign w:val="center"/>
                </w:tcPr>
                <w:p w14:paraId="06517300">
                  <w:pPr>
                    <w:pStyle w:val="42"/>
                  </w:pPr>
                  <w:r>
                    <w:rPr>
                      <w:rFonts w:hint="eastAsia"/>
                    </w:rPr>
                    <w:t>10t/a</w:t>
                  </w:r>
                </w:p>
              </w:tc>
              <w:tc>
                <w:tcPr>
                  <w:tcW w:w="1147" w:type="dxa"/>
                  <w:vAlign w:val="center"/>
                </w:tcPr>
                <w:p w14:paraId="7DB57142">
                  <w:pPr>
                    <w:pStyle w:val="42"/>
                  </w:pPr>
                  <w:r>
                    <w:rPr>
                      <w:rFonts w:hint="eastAsia"/>
                    </w:rPr>
                    <w:t>/</w:t>
                  </w:r>
                </w:p>
              </w:tc>
              <w:tc>
                <w:tcPr>
                  <w:tcW w:w="1147" w:type="dxa"/>
                  <w:vAlign w:val="center"/>
                </w:tcPr>
                <w:p w14:paraId="34C6DBE6">
                  <w:pPr>
                    <w:pStyle w:val="42"/>
                  </w:pPr>
                  <w:r>
                    <w:rPr>
                      <w:rFonts w:hint="eastAsia"/>
                    </w:rPr>
                    <w:t>0</w:t>
                  </w:r>
                </w:p>
              </w:tc>
              <w:tc>
                <w:tcPr>
                  <w:tcW w:w="1147" w:type="dxa"/>
                  <w:vAlign w:val="center"/>
                </w:tcPr>
                <w:p w14:paraId="4BEEE830">
                  <w:pPr>
                    <w:pStyle w:val="42"/>
                  </w:pPr>
                  <w:r>
                    <w:rPr>
                      <w:rFonts w:hint="eastAsia"/>
                    </w:rPr>
                    <w:t>10t/a</w:t>
                  </w:r>
                </w:p>
              </w:tc>
              <w:tc>
                <w:tcPr>
                  <w:tcW w:w="1147" w:type="dxa"/>
                  <w:vAlign w:val="center"/>
                </w:tcPr>
                <w:p w14:paraId="274E46EA">
                  <w:pPr>
                    <w:pStyle w:val="42"/>
                  </w:pPr>
                  <w:r>
                    <w:rPr>
                      <w:rFonts w:hint="eastAsia"/>
                    </w:rPr>
                    <w:t>+0</w:t>
                  </w:r>
                </w:p>
              </w:tc>
            </w:tr>
            <w:tr w14:paraId="7261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77661AA8">
                  <w:pPr>
                    <w:pStyle w:val="42"/>
                  </w:pPr>
                </w:p>
              </w:tc>
              <w:tc>
                <w:tcPr>
                  <w:tcW w:w="1146" w:type="dxa"/>
                  <w:vAlign w:val="center"/>
                </w:tcPr>
                <w:p w14:paraId="2319A289">
                  <w:pPr>
                    <w:pStyle w:val="42"/>
                  </w:pPr>
                  <w:r>
                    <w:rPr>
                      <w:rFonts w:hint="eastAsia"/>
                    </w:rPr>
                    <w:t>实验室废弃物</w:t>
                  </w:r>
                </w:p>
              </w:tc>
              <w:tc>
                <w:tcPr>
                  <w:tcW w:w="1147" w:type="dxa"/>
                  <w:vAlign w:val="center"/>
                </w:tcPr>
                <w:p w14:paraId="297D1865">
                  <w:pPr>
                    <w:pStyle w:val="42"/>
                  </w:pPr>
                  <w:r>
                    <w:rPr>
                      <w:rFonts w:hint="eastAsia"/>
                    </w:rPr>
                    <w:t>0.01t/a</w:t>
                  </w:r>
                </w:p>
              </w:tc>
              <w:tc>
                <w:tcPr>
                  <w:tcW w:w="1147" w:type="dxa"/>
                  <w:vAlign w:val="center"/>
                </w:tcPr>
                <w:p w14:paraId="3F1D9E21">
                  <w:pPr>
                    <w:pStyle w:val="42"/>
                  </w:pPr>
                  <w:r>
                    <w:rPr>
                      <w:rFonts w:hint="eastAsia"/>
                    </w:rPr>
                    <w:t>/</w:t>
                  </w:r>
                </w:p>
              </w:tc>
              <w:tc>
                <w:tcPr>
                  <w:tcW w:w="1147" w:type="dxa"/>
                  <w:vAlign w:val="center"/>
                </w:tcPr>
                <w:p w14:paraId="6E481DBE">
                  <w:pPr>
                    <w:pStyle w:val="42"/>
                  </w:pPr>
                  <w:r>
                    <w:rPr>
                      <w:rFonts w:hint="eastAsia"/>
                    </w:rPr>
                    <w:t>0</w:t>
                  </w:r>
                </w:p>
              </w:tc>
              <w:tc>
                <w:tcPr>
                  <w:tcW w:w="1147" w:type="dxa"/>
                  <w:vAlign w:val="center"/>
                </w:tcPr>
                <w:p w14:paraId="5FAA0658">
                  <w:pPr>
                    <w:pStyle w:val="42"/>
                  </w:pPr>
                  <w:r>
                    <w:rPr>
                      <w:rFonts w:hint="eastAsia"/>
                    </w:rPr>
                    <w:t>0.01t/a</w:t>
                  </w:r>
                </w:p>
              </w:tc>
              <w:tc>
                <w:tcPr>
                  <w:tcW w:w="1147" w:type="dxa"/>
                  <w:vAlign w:val="center"/>
                </w:tcPr>
                <w:p w14:paraId="18C255C8">
                  <w:pPr>
                    <w:pStyle w:val="42"/>
                  </w:pPr>
                  <w:r>
                    <w:rPr>
                      <w:rFonts w:hint="eastAsia"/>
                    </w:rPr>
                    <w:t>+0</w:t>
                  </w:r>
                </w:p>
              </w:tc>
            </w:tr>
            <w:tr w14:paraId="4D4C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25FCA5AB">
                  <w:pPr>
                    <w:pStyle w:val="42"/>
                  </w:pPr>
                </w:p>
              </w:tc>
              <w:tc>
                <w:tcPr>
                  <w:tcW w:w="1146" w:type="dxa"/>
                  <w:vAlign w:val="center"/>
                </w:tcPr>
                <w:p w14:paraId="686C5BD3">
                  <w:pPr>
                    <w:pStyle w:val="42"/>
                  </w:pPr>
                  <w:r>
                    <w:rPr>
                      <w:rFonts w:hint="eastAsia"/>
                    </w:rPr>
                    <w:t>废吸附剂</w:t>
                  </w:r>
                </w:p>
              </w:tc>
              <w:tc>
                <w:tcPr>
                  <w:tcW w:w="1147" w:type="dxa"/>
                  <w:vAlign w:val="center"/>
                </w:tcPr>
                <w:p w14:paraId="200B8B2A">
                  <w:pPr>
                    <w:pStyle w:val="42"/>
                  </w:pPr>
                  <w:r>
                    <w:rPr>
                      <w:rFonts w:hint="eastAsia"/>
                    </w:rPr>
                    <w:t>2.38t/10a</w:t>
                  </w:r>
                </w:p>
              </w:tc>
              <w:tc>
                <w:tcPr>
                  <w:tcW w:w="1147" w:type="dxa"/>
                  <w:vAlign w:val="center"/>
                </w:tcPr>
                <w:p w14:paraId="75E6981B">
                  <w:pPr>
                    <w:pStyle w:val="42"/>
                  </w:pPr>
                  <w:r>
                    <w:rPr>
                      <w:rFonts w:hint="eastAsia"/>
                    </w:rPr>
                    <w:t>/</w:t>
                  </w:r>
                </w:p>
              </w:tc>
              <w:tc>
                <w:tcPr>
                  <w:tcW w:w="1147" w:type="dxa"/>
                  <w:vAlign w:val="center"/>
                </w:tcPr>
                <w:p w14:paraId="2A663973">
                  <w:pPr>
                    <w:pStyle w:val="42"/>
                  </w:pPr>
                  <w:r>
                    <w:rPr>
                      <w:rFonts w:hint="eastAsia"/>
                    </w:rPr>
                    <w:t>0</w:t>
                  </w:r>
                </w:p>
              </w:tc>
              <w:tc>
                <w:tcPr>
                  <w:tcW w:w="1147" w:type="dxa"/>
                  <w:vAlign w:val="center"/>
                </w:tcPr>
                <w:p w14:paraId="2EB6AB26">
                  <w:pPr>
                    <w:pStyle w:val="42"/>
                  </w:pPr>
                  <w:r>
                    <w:rPr>
                      <w:rFonts w:hint="eastAsia"/>
                    </w:rPr>
                    <w:t>2.38t/10a</w:t>
                  </w:r>
                </w:p>
              </w:tc>
              <w:tc>
                <w:tcPr>
                  <w:tcW w:w="1147" w:type="dxa"/>
                  <w:vAlign w:val="center"/>
                </w:tcPr>
                <w:p w14:paraId="30D09763">
                  <w:pPr>
                    <w:pStyle w:val="42"/>
                  </w:pPr>
                  <w:r>
                    <w:rPr>
                      <w:rFonts w:hint="eastAsia"/>
                    </w:rPr>
                    <w:t>+0</w:t>
                  </w:r>
                </w:p>
              </w:tc>
            </w:tr>
            <w:tr w14:paraId="7782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14:paraId="0D110B87">
                  <w:pPr>
                    <w:pStyle w:val="42"/>
                  </w:pPr>
                </w:p>
              </w:tc>
              <w:tc>
                <w:tcPr>
                  <w:tcW w:w="1146" w:type="dxa"/>
                  <w:vAlign w:val="center"/>
                </w:tcPr>
                <w:p w14:paraId="61F3F4B6">
                  <w:pPr>
                    <w:pStyle w:val="42"/>
                  </w:pPr>
                  <w:r>
                    <w:rPr>
                      <w:rFonts w:hint="eastAsia"/>
                    </w:rPr>
                    <w:t>生活垃圾</w:t>
                  </w:r>
                </w:p>
              </w:tc>
              <w:tc>
                <w:tcPr>
                  <w:tcW w:w="1147" w:type="dxa"/>
                  <w:vAlign w:val="center"/>
                </w:tcPr>
                <w:p w14:paraId="66FFCC92">
                  <w:pPr>
                    <w:pStyle w:val="42"/>
                  </w:pPr>
                  <w:r>
                    <w:rPr>
                      <w:rFonts w:hint="eastAsia"/>
                    </w:rPr>
                    <w:t>8.44t/a</w:t>
                  </w:r>
                </w:p>
              </w:tc>
              <w:tc>
                <w:tcPr>
                  <w:tcW w:w="1147" w:type="dxa"/>
                  <w:vAlign w:val="center"/>
                </w:tcPr>
                <w:p w14:paraId="7E57F0CD">
                  <w:pPr>
                    <w:pStyle w:val="42"/>
                  </w:pPr>
                  <w:r>
                    <w:rPr>
                      <w:rFonts w:hint="eastAsia"/>
                    </w:rPr>
                    <w:t>1.75t/a</w:t>
                  </w:r>
                </w:p>
              </w:tc>
              <w:tc>
                <w:tcPr>
                  <w:tcW w:w="1147" w:type="dxa"/>
                  <w:vAlign w:val="center"/>
                </w:tcPr>
                <w:p w14:paraId="0EBDDAAB">
                  <w:pPr>
                    <w:pStyle w:val="42"/>
                  </w:pPr>
                  <w:r>
                    <w:rPr>
                      <w:rFonts w:hint="eastAsia"/>
                    </w:rPr>
                    <w:t>0</w:t>
                  </w:r>
                </w:p>
              </w:tc>
              <w:tc>
                <w:tcPr>
                  <w:tcW w:w="1147" w:type="dxa"/>
                  <w:vAlign w:val="center"/>
                </w:tcPr>
                <w:p w14:paraId="247A7EB5">
                  <w:pPr>
                    <w:pStyle w:val="42"/>
                  </w:pPr>
                  <w:r>
                    <w:rPr>
                      <w:rFonts w:hint="eastAsia"/>
                    </w:rPr>
                    <w:t>10.19t/a</w:t>
                  </w:r>
                </w:p>
              </w:tc>
              <w:tc>
                <w:tcPr>
                  <w:tcW w:w="1147" w:type="dxa"/>
                  <w:vAlign w:val="center"/>
                </w:tcPr>
                <w:p w14:paraId="0A5B9C28">
                  <w:pPr>
                    <w:pStyle w:val="42"/>
                  </w:pPr>
                  <w:r>
                    <w:rPr>
                      <w:rFonts w:hint="eastAsia"/>
                    </w:rPr>
                    <w:t>+1.75t/a</w:t>
                  </w:r>
                </w:p>
              </w:tc>
            </w:tr>
          </w:tbl>
          <w:p w14:paraId="5E9F8CEF">
            <w:pPr>
              <w:pStyle w:val="41"/>
              <w:ind w:firstLine="480"/>
            </w:pPr>
          </w:p>
          <w:p w14:paraId="29EE89A9">
            <w:pPr>
              <w:pStyle w:val="41"/>
              <w:ind w:firstLine="482"/>
              <w:rPr>
                <w:b/>
                <w:bCs/>
                <w:u w:val="single"/>
              </w:rPr>
            </w:pPr>
            <w:r>
              <w:rPr>
                <w:rFonts w:hint="eastAsia"/>
                <w:b/>
                <w:bCs/>
                <w:u w:val="single"/>
              </w:rPr>
              <w:t>五、现有项目存在环境问题</w:t>
            </w:r>
          </w:p>
          <w:p w14:paraId="446640C1">
            <w:pPr>
              <w:pStyle w:val="41"/>
              <w:ind w:firstLine="480"/>
              <w:rPr>
                <w:u w:val="single"/>
              </w:rPr>
            </w:pPr>
            <w:r>
              <w:rPr>
                <w:rFonts w:hint="eastAsia"/>
                <w:u w:val="single"/>
              </w:rPr>
              <w:t>现有工程自投入使用以来，相关环保设施运行稳定，无污染事件发生，也未收到环保投诉。现场踏勘期间，未发现现有工程遗留环境问题。</w:t>
            </w:r>
          </w:p>
          <w:p w14:paraId="3F23F442">
            <w:pPr>
              <w:pStyle w:val="41"/>
              <w:ind w:firstLine="480"/>
            </w:pPr>
          </w:p>
        </w:tc>
      </w:tr>
      <w:tr w14:paraId="2ED7D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vAlign w:val="center"/>
          </w:tcPr>
          <w:p w14:paraId="7B153507">
            <w:pPr>
              <w:adjustRightInd w:val="0"/>
              <w:snapToGrid w:val="0"/>
              <w:jc w:val="center"/>
              <w:rPr>
                <w:rFonts w:hint="eastAsia" w:ascii="宋体" w:hAnsi="宋体" w:cs="宋体"/>
                <w:kern w:val="0"/>
                <w:sz w:val="24"/>
              </w:rPr>
            </w:pPr>
            <w:r>
              <w:rPr>
                <w:rFonts w:hint="eastAsia" w:ascii="宋体" w:hAnsi="宋体" w:cs="宋体"/>
                <w:kern w:val="0"/>
                <w:sz w:val="24"/>
              </w:rPr>
              <w:t>生态环境保护目标</w:t>
            </w:r>
          </w:p>
        </w:tc>
        <w:tc>
          <w:tcPr>
            <w:tcW w:w="8253" w:type="dxa"/>
          </w:tcPr>
          <w:p w14:paraId="77A04C3E">
            <w:pPr>
              <w:pStyle w:val="41"/>
              <w:ind w:firstLine="480"/>
            </w:pPr>
            <w:r>
              <w:rPr>
                <w:rFonts w:hint="eastAsia"/>
              </w:rPr>
              <w:t>本项目运营期无废气排放，项目所在厂区外500m范围内无敏感点分布，200m范围内无声环境保护目标分布，管道正常运行期间无废气、废水、固体废物排放，因此，本项目无环境空气、声环境保护目标。本项目所在厂区、管道沿线不涉及自然保护区、森林公园、风景名胜区、世界文化自然遗产、地质公园、饮用水水源保护区等特殊生态敏感区，未发现珍</w:t>
            </w:r>
            <w:r>
              <w:rPr>
                <w:rFonts w:hint="eastAsia"/>
                <w:lang w:eastAsia="zh-CN"/>
              </w:rPr>
              <w:t>稀</w:t>
            </w:r>
            <w:r>
              <w:rPr>
                <w:rFonts w:hint="eastAsia"/>
              </w:rPr>
              <w:t>动植物等生态环境保护目标分布。</w:t>
            </w:r>
          </w:p>
          <w:p w14:paraId="5B99ECB8">
            <w:pPr>
              <w:pStyle w:val="41"/>
              <w:ind w:firstLine="480"/>
              <w:rPr>
                <w:u w:val="single"/>
              </w:rPr>
            </w:pPr>
            <w:r>
              <w:rPr>
                <w:rFonts w:hint="eastAsia"/>
                <w:u w:val="single"/>
              </w:rPr>
              <w:t>项目新建氮气输送管道沿线现状分布有旧村、南港村等部分民房，旧村的部分民房位于华谊钦州化工新材料一体化基地30万吨/年烧碱、40万吨/年聚氯乙烯项目设置的1km卫生防护距离内，南港村及新港村位于中国石油广西石化公司炼化一体化转型升级项目设置的580m大气防护距离内，上述村庄民房计划搬迁，考虑到搬迁计划的实施通常具有滞后性，故将新建氮气输送管道沿线分布的居民点作为本次评价的环境保护目标。搬迁完成后，项目的实施对上述村庄的影响随之消失。</w:t>
            </w:r>
          </w:p>
          <w:p w14:paraId="3B1B34F9">
            <w:pPr>
              <w:pStyle w:val="41"/>
              <w:numPr>
                <w:ilvl w:val="0"/>
                <w:numId w:val="7"/>
              </w:numPr>
              <w:spacing w:line="240" w:lineRule="auto"/>
              <w:ind w:firstLineChars="0"/>
              <w:jc w:val="center"/>
              <w:rPr>
                <w:b/>
                <w:bCs/>
                <w:sz w:val="21"/>
                <w:szCs w:val="21"/>
                <w:u w:val="single"/>
              </w:rPr>
            </w:pPr>
            <w:r>
              <w:rPr>
                <w:rFonts w:hint="eastAsia"/>
                <w:b/>
                <w:bCs/>
                <w:sz w:val="21"/>
                <w:szCs w:val="21"/>
                <w:u w:val="single"/>
              </w:rPr>
              <w:t>项目环境保护目标分布情况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134"/>
              <w:gridCol w:w="1701"/>
              <w:gridCol w:w="3119"/>
              <w:gridCol w:w="1332"/>
            </w:tblGrid>
            <w:tr w14:paraId="72BE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36" w:type="dxa"/>
                  <w:vAlign w:val="center"/>
                </w:tcPr>
                <w:p w14:paraId="1DCBFE0A">
                  <w:pPr>
                    <w:pStyle w:val="42"/>
                    <w:rPr>
                      <w:b/>
                      <w:bCs/>
                      <w:u w:val="single"/>
                    </w:rPr>
                  </w:pPr>
                  <w:r>
                    <w:rPr>
                      <w:rFonts w:hint="eastAsia"/>
                      <w:b/>
                      <w:bCs/>
                      <w:u w:val="single"/>
                    </w:rPr>
                    <w:t>序号</w:t>
                  </w:r>
                </w:p>
              </w:tc>
              <w:tc>
                <w:tcPr>
                  <w:tcW w:w="1134" w:type="dxa"/>
                  <w:vAlign w:val="center"/>
                </w:tcPr>
                <w:p w14:paraId="35DD8759">
                  <w:pPr>
                    <w:pStyle w:val="42"/>
                    <w:rPr>
                      <w:b/>
                      <w:bCs/>
                      <w:u w:val="single"/>
                    </w:rPr>
                  </w:pPr>
                  <w:r>
                    <w:rPr>
                      <w:rFonts w:hint="eastAsia"/>
                      <w:b/>
                      <w:bCs/>
                      <w:u w:val="single"/>
                    </w:rPr>
                    <w:t>保护目标</w:t>
                  </w:r>
                </w:p>
              </w:tc>
              <w:tc>
                <w:tcPr>
                  <w:tcW w:w="1701" w:type="dxa"/>
                  <w:vAlign w:val="center"/>
                </w:tcPr>
                <w:p w14:paraId="0E9E2046">
                  <w:pPr>
                    <w:pStyle w:val="42"/>
                    <w:rPr>
                      <w:b/>
                      <w:bCs/>
                      <w:u w:val="single"/>
                    </w:rPr>
                  </w:pPr>
                  <w:r>
                    <w:rPr>
                      <w:rFonts w:hint="eastAsia"/>
                      <w:b/>
                      <w:bCs/>
                      <w:u w:val="single"/>
                    </w:rPr>
                    <w:t>与项目位置关系</w:t>
                  </w:r>
                </w:p>
              </w:tc>
              <w:tc>
                <w:tcPr>
                  <w:tcW w:w="3119" w:type="dxa"/>
                  <w:vAlign w:val="center"/>
                </w:tcPr>
                <w:p w14:paraId="6348E715">
                  <w:pPr>
                    <w:pStyle w:val="42"/>
                    <w:rPr>
                      <w:b/>
                      <w:bCs/>
                      <w:u w:val="single"/>
                    </w:rPr>
                  </w:pPr>
                  <w:r>
                    <w:rPr>
                      <w:rFonts w:hint="eastAsia"/>
                      <w:b/>
                      <w:bCs/>
                      <w:u w:val="single"/>
                    </w:rPr>
                    <w:t>环境保护目标特征</w:t>
                  </w:r>
                </w:p>
              </w:tc>
              <w:tc>
                <w:tcPr>
                  <w:tcW w:w="1332" w:type="dxa"/>
                  <w:vAlign w:val="center"/>
                </w:tcPr>
                <w:p w14:paraId="7ED5FFAB">
                  <w:pPr>
                    <w:pStyle w:val="42"/>
                    <w:rPr>
                      <w:b/>
                      <w:bCs/>
                      <w:u w:val="single"/>
                    </w:rPr>
                  </w:pPr>
                  <w:r>
                    <w:rPr>
                      <w:rFonts w:hint="eastAsia"/>
                      <w:b/>
                      <w:bCs/>
                      <w:u w:val="single"/>
                    </w:rPr>
                    <w:t>保护内容</w:t>
                  </w:r>
                </w:p>
              </w:tc>
            </w:tr>
            <w:tr w14:paraId="0232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9434C3B">
                  <w:pPr>
                    <w:pStyle w:val="42"/>
                    <w:rPr>
                      <w:u w:val="single"/>
                    </w:rPr>
                  </w:pPr>
                  <w:r>
                    <w:rPr>
                      <w:rFonts w:hint="eastAsia"/>
                      <w:u w:val="single"/>
                    </w:rPr>
                    <w:t>1</w:t>
                  </w:r>
                </w:p>
              </w:tc>
              <w:tc>
                <w:tcPr>
                  <w:tcW w:w="1134" w:type="dxa"/>
                  <w:vAlign w:val="center"/>
                </w:tcPr>
                <w:p w14:paraId="75D01945">
                  <w:pPr>
                    <w:pStyle w:val="42"/>
                    <w:rPr>
                      <w:u w:val="single"/>
                    </w:rPr>
                  </w:pPr>
                  <w:r>
                    <w:rPr>
                      <w:rFonts w:hint="eastAsia"/>
                      <w:u w:val="single"/>
                    </w:rPr>
                    <w:t>旧村（部分民房）</w:t>
                  </w:r>
                </w:p>
              </w:tc>
              <w:tc>
                <w:tcPr>
                  <w:tcW w:w="1701" w:type="dxa"/>
                  <w:vAlign w:val="center"/>
                </w:tcPr>
                <w:p w14:paraId="4B6661DA">
                  <w:pPr>
                    <w:pStyle w:val="42"/>
                    <w:rPr>
                      <w:u w:val="single"/>
                    </w:rPr>
                  </w:pPr>
                  <w:r>
                    <w:rPr>
                      <w:rFonts w:hint="eastAsia"/>
                      <w:u w:val="single"/>
                    </w:rPr>
                    <w:t>项目管线东面，最近处约20m</w:t>
                  </w:r>
                </w:p>
              </w:tc>
              <w:tc>
                <w:tcPr>
                  <w:tcW w:w="3119" w:type="dxa"/>
                  <w:vAlign w:val="center"/>
                </w:tcPr>
                <w:p w14:paraId="31C4D6B7">
                  <w:pPr>
                    <w:pStyle w:val="42"/>
                    <w:rPr>
                      <w:u w:val="single"/>
                    </w:rPr>
                  </w:pPr>
                  <w:r>
                    <w:rPr>
                      <w:rFonts w:hint="eastAsia"/>
                      <w:u w:val="single"/>
                    </w:rPr>
                    <w:t>南港大道及金鼓大街交界处居民点，约37户，约168人，拟搬迁。</w:t>
                  </w:r>
                </w:p>
              </w:tc>
              <w:tc>
                <w:tcPr>
                  <w:tcW w:w="1332" w:type="dxa"/>
                  <w:vMerge w:val="restart"/>
                  <w:vAlign w:val="center"/>
                </w:tcPr>
                <w:p w14:paraId="676E013F">
                  <w:pPr>
                    <w:pStyle w:val="42"/>
                    <w:rPr>
                      <w:u w:val="single"/>
                    </w:rPr>
                  </w:pPr>
                  <w:r>
                    <w:rPr>
                      <w:rFonts w:hint="eastAsia"/>
                      <w:u w:val="single"/>
                    </w:rPr>
                    <w:t>空气环境、声环境</w:t>
                  </w:r>
                </w:p>
              </w:tc>
            </w:tr>
            <w:tr w14:paraId="034D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E4D85BD">
                  <w:pPr>
                    <w:pStyle w:val="42"/>
                    <w:rPr>
                      <w:u w:val="single"/>
                    </w:rPr>
                  </w:pPr>
                  <w:r>
                    <w:rPr>
                      <w:rFonts w:hint="eastAsia"/>
                      <w:u w:val="single"/>
                    </w:rPr>
                    <w:t>2</w:t>
                  </w:r>
                </w:p>
              </w:tc>
              <w:tc>
                <w:tcPr>
                  <w:tcW w:w="1134" w:type="dxa"/>
                  <w:vAlign w:val="center"/>
                </w:tcPr>
                <w:p w14:paraId="2F1088E4">
                  <w:pPr>
                    <w:pStyle w:val="42"/>
                    <w:rPr>
                      <w:u w:val="single"/>
                    </w:rPr>
                  </w:pPr>
                  <w:r>
                    <w:rPr>
                      <w:rFonts w:hint="eastAsia"/>
                      <w:u w:val="single"/>
                    </w:rPr>
                    <w:t>南港村（部分民房）</w:t>
                  </w:r>
                </w:p>
              </w:tc>
              <w:tc>
                <w:tcPr>
                  <w:tcW w:w="1701" w:type="dxa"/>
                  <w:vAlign w:val="center"/>
                </w:tcPr>
                <w:p w14:paraId="28606C85">
                  <w:pPr>
                    <w:pStyle w:val="42"/>
                    <w:rPr>
                      <w:u w:val="single"/>
                    </w:rPr>
                  </w:pPr>
                  <w:r>
                    <w:rPr>
                      <w:rFonts w:hint="eastAsia"/>
                      <w:u w:val="single"/>
                    </w:rPr>
                    <w:t>项目管线西面，最近处约100m</w:t>
                  </w:r>
                </w:p>
              </w:tc>
              <w:tc>
                <w:tcPr>
                  <w:tcW w:w="3119" w:type="dxa"/>
                  <w:vAlign w:val="center"/>
                </w:tcPr>
                <w:p w14:paraId="162FEE0E">
                  <w:pPr>
                    <w:pStyle w:val="42"/>
                    <w:rPr>
                      <w:u w:val="single"/>
                    </w:rPr>
                  </w:pPr>
                  <w:r>
                    <w:rPr>
                      <w:rFonts w:hint="eastAsia"/>
                      <w:u w:val="single"/>
                    </w:rPr>
                    <w:t>金鼓大街以北，南港大道以西处居民点，约16户，约76人，拟搬迁。</w:t>
                  </w:r>
                </w:p>
              </w:tc>
              <w:tc>
                <w:tcPr>
                  <w:tcW w:w="1332" w:type="dxa"/>
                  <w:vMerge w:val="continue"/>
                  <w:vAlign w:val="center"/>
                </w:tcPr>
                <w:p w14:paraId="47CC4A5B">
                  <w:pPr>
                    <w:pStyle w:val="42"/>
                    <w:rPr>
                      <w:u w:val="single"/>
                    </w:rPr>
                  </w:pPr>
                </w:p>
              </w:tc>
            </w:tr>
            <w:tr w14:paraId="111E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48642491">
                  <w:pPr>
                    <w:pStyle w:val="42"/>
                    <w:rPr>
                      <w:u w:val="single"/>
                    </w:rPr>
                  </w:pPr>
                  <w:r>
                    <w:rPr>
                      <w:rFonts w:hint="eastAsia"/>
                      <w:u w:val="single"/>
                    </w:rPr>
                    <w:t>3</w:t>
                  </w:r>
                </w:p>
              </w:tc>
              <w:tc>
                <w:tcPr>
                  <w:tcW w:w="1134" w:type="dxa"/>
                  <w:vAlign w:val="center"/>
                </w:tcPr>
                <w:p w14:paraId="44DB9D81">
                  <w:pPr>
                    <w:pStyle w:val="42"/>
                    <w:rPr>
                      <w:u w:val="single"/>
                    </w:rPr>
                  </w:pPr>
                  <w:r>
                    <w:rPr>
                      <w:rFonts w:hint="eastAsia"/>
                      <w:u w:val="single"/>
                    </w:rPr>
                    <w:t>新港村</w:t>
                  </w:r>
                </w:p>
              </w:tc>
              <w:tc>
                <w:tcPr>
                  <w:tcW w:w="1701" w:type="dxa"/>
                  <w:vAlign w:val="center"/>
                </w:tcPr>
                <w:p w14:paraId="38362BA4">
                  <w:pPr>
                    <w:pStyle w:val="42"/>
                    <w:rPr>
                      <w:u w:val="single"/>
                    </w:rPr>
                  </w:pPr>
                  <w:r>
                    <w:rPr>
                      <w:rFonts w:hint="eastAsia"/>
                      <w:u w:val="single"/>
                    </w:rPr>
                    <w:t>项目管线北面，最近处约90m</w:t>
                  </w:r>
                </w:p>
              </w:tc>
              <w:tc>
                <w:tcPr>
                  <w:tcW w:w="3119" w:type="dxa"/>
                  <w:vAlign w:val="center"/>
                </w:tcPr>
                <w:p w14:paraId="1134FAE3">
                  <w:pPr>
                    <w:pStyle w:val="42"/>
                    <w:rPr>
                      <w:u w:val="single"/>
                    </w:rPr>
                  </w:pPr>
                  <w:r>
                    <w:rPr>
                      <w:rFonts w:hint="eastAsia"/>
                      <w:u w:val="single"/>
                    </w:rPr>
                    <w:t>国投钦州第二发电有限公司北面居民点，约36户，约284人，拟搬迁。</w:t>
                  </w:r>
                </w:p>
              </w:tc>
              <w:tc>
                <w:tcPr>
                  <w:tcW w:w="1332" w:type="dxa"/>
                  <w:vMerge w:val="continue"/>
                  <w:vAlign w:val="center"/>
                </w:tcPr>
                <w:p w14:paraId="388994CE">
                  <w:pPr>
                    <w:pStyle w:val="42"/>
                    <w:rPr>
                      <w:u w:val="single"/>
                    </w:rPr>
                  </w:pPr>
                </w:p>
              </w:tc>
            </w:tr>
          </w:tbl>
          <w:p w14:paraId="5A59C23E">
            <w:pPr>
              <w:pStyle w:val="41"/>
              <w:ind w:firstLine="480"/>
            </w:pPr>
          </w:p>
          <w:p w14:paraId="407DA2B5">
            <w:pPr>
              <w:pStyle w:val="41"/>
              <w:ind w:firstLine="480"/>
            </w:pPr>
          </w:p>
        </w:tc>
      </w:tr>
      <w:tr w14:paraId="57574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14:paraId="2AB78A8E">
            <w:pPr>
              <w:adjustRightInd w:val="0"/>
              <w:snapToGrid w:val="0"/>
              <w:jc w:val="center"/>
              <w:rPr>
                <w:rFonts w:hint="eastAsia" w:ascii="宋体" w:hAnsi="宋体" w:cs="宋体"/>
                <w:kern w:val="0"/>
                <w:sz w:val="24"/>
              </w:rPr>
            </w:pPr>
            <w:r>
              <w:rPr>
                <w:rFonts w:hint="eastAsia" w:ascii="宋体" w:hAnsi="宋体" w:cs="宋体"/>
                <w:kern w:val="0"/>
                <w:sz w:val="24"/>
              </w:rPr>
              <w:t>评价</w:t>
            </w:r>
          </w:p>
          <w:p w14:paraId="5E4B272D">
            <w:pPr>
              <w:adjustRightInd w:val="0"/>
              <w:snapToGrid w:val="0"/>
              <w:jc w:val="center"/>
              <w:rPr>
                <w:rFonts w:hint="eastAsia" w:ascii="宋体" w:hAnsi="宋体" w:cs="宋体"/>
                <w:kern w:val="0"/>
                <w:sz w:val="24"/>
              </w:rPr>
            </w:pPr>
            <w:r>
              <w:rPr>
                <w:rFonts w:hint="eastAsia" w:ascii="宋体" w:hAnsi="宋体" w:cs="宋体"/>
                <w:kern w:val="0"/>
                <w:sz w:val="24"/>
              </w:rPr>
              <w:t>标准</w:t>
            </w:r>
          </w:p>
        </w:tc>
        <w:tc>
          <w:tcPr>
            <w:tcW w:w="8253" w:type="dxa"/>
          </w:tcPr>
          <w:p w14:paraId="042ACF08">
            <w:pPr>
              <w:pStyle w:val="41"/>
              <w:ind w:firstLine="482" w:firstLineChars="0"/>
              <w:rPr>
                <w:b/>
                <w:bCs/>
              </w:rPr>
            </w:pPr>
            <w:r>
              <w:rPr>
                <w:rFonts w:hint="eastAsia"/>
                <w:b/>
                <w:bCs/>
              </w:rPr>
              <w:t>一、环境质量标准</w:t>
            </w:r>
          </w:p>
          <w:p w14:paraId="795505AC">
            <w:pPr>
              <w:pStyle w:val="41"/>
              <w:ind w:firstLine="482" w:firstLineChars="0"/>
            </w:pPr>
            <w:r>
              <w:rPr>
                <w:rFonts w:hint="eastAsia"/>
              </w:rPr>
              <w:t>（</w:t>
            </w:r>
            <w:r>
              <w:t>1</w:t>
            </w:r>
            <w:r>
              <w:rPr>
                <w:rFonts w:hint="eastAsia"/>
              </w:rPr>
              <w:t>）环境空气质量标准</w:t>
            </w:r>
          </w:p>
          <w:p w14:paraId="4DC79849">
            <w:pPr>
              <w:pStyle w:val="41"/>
              <w:ind w:firstLine="480"/>
            </w:pPr>
            <w:r>
              <w:rPr>
                <w:rFonts w:hint="eastAsia"/>
              </w:rPr>
              <w:t>项目所在地空气质量功能区为二类区，基本污染物</w:t>
            </w:r>
            <w:r>
              <w:t>SO</w:t>
            </w:r>
            <w:r>
              <w:rPr>
                <w:vertAlign w:val="subscript"/>
              </w:rPr>
              <w:t>2</w:t>
            </w:r>
            <w:r>
              <w:rPr>
                <w:rFonts w:hint="eastAsia"/>
              </w:rPr>
              <w:t>、</w:t>
            </w:r>
            <w:r>
              <w:t>NO</w:t>
            </w:r>
            <w:r>
              <w:rPr>
                <w:vertAlign w:val="subscript"/>
              </w:rPr>
              <w:t>2</w:t>
            </w:r>
            <w:r>
              <w:rPr>
                <w:rFonts w:hint="eastAsia"/>
              </w:rPr>
              <w:t>、</w:t>
            </w:r>
            <w:r>
              <w:t>O</w:t>
            </w:r>
            <w:r>
              <w:rPr>
                <w:vertAlign w:val="subscript"/>
              </w:rPr>
              <w:t>3</w:t>
            </w:r>
            <w:r>
              <w:rPr>
                <w:rFonts w:hint="eastAsia"/>
              </w:rPr>
              <w:t>、</w:t>
            </w:r>
            <w:r>
              <w:t>CO</w:t>
            </w:r>
            <w:r>
              <w:rPr>
                <w:rFonts w:hint="eastAsia"/>
              </w:rPr>
              <w:t>、</w:t>
            </w:r>
            <w:r>
              <w:t>PM</w:t>
            </w:r>
            <w:r>
              <w:rPr>
                <w:vertAlign w:val="subscript"/>
              </w:rPr>
              <w:t>10</w:t>
            </w:r>
            <w:r>
              <w:rPr>
                <w:rFonts w:hint="eastAsia"/>
              </w:rPr>
              <w:t>和</w:t>
            </w:r>
            <w:r>
              <w:t>PM</w:t>
            </w:r>
            <w:r>
              <w:rPr>
                <w:vertAlign w:val="subscript"/>
              </w:rPr>
              <w:t>2.5</w:t>
            </w:r>
            <w:r>
              <w:rPr>
                <w:rFonts w:hint="eastAsia"/>
              </w:rPr>
              <w:t>采用《环境空气质量标准》（</w:t>
            </w:r>
            <w:r>
              <w:t>GB 3095-2012</w:t>
            </w:r>
            <w:r>
              <w:rPr>
                <w:rFonts w:hint="eastAsia"/>
              </w:rPr>
              <w:t>）二级标准。</w:t>
            </w:r>
          </w:p>
          <w:p w14:paraId="7D2A0BA5">
            <w:pPr>
              <w:pStyle w:val="41"/>
              <w:numPr>
                <w:ilvl w:val="0"/>
                <w:numId w:val="7"/>
              </w:numPr>
              <w:spacing w:line="240" w:lineRule="auto"/>
              <w:ind w:firstLineChars="0"/>
              <w:jc w:val="center"/>
              <w:rPr>
                <w:b/>
                <w:bCs/>
                <w:sz w:val="21"/>
                <w:szCs w:val="21"/>
              </w:rPr>
            </w:pPr>
            <w:r>
              <w:rPr>
                <w:rFonts w:hint="eastAsia"/>
                <w:b/>
                <w:bCs/>
                <w:sz w:val="21"/>
                <w:szCs w:val="21"/>
              </w:rPr>
              <w:t>《环境空气质量标准》（GB3095-2012）（摘录）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418"/>
              <w:gridCol w:w="2409"/>
              <w:gridCol w:w="2127"/>
              <w:gridCol w:w="1250"/>
            </w:tblGrid>
            <w:tr w14:paraId="3BF5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14:paraId="510DC50E">
                  <w:pPr>
                    <w:pStyle w:val="42"/>
                    <w:rPr>
                      <w:b/>
                      <w:bCs/>
                    </w:rPr>
                  </w:pPr>
                  <w:r>
                    <w:rPr>
                      <w:rFonts w:hint="eastAsia"/>
                      <w:b/>
                      <w:bCs/>
                    </w:rPr>
                    <w:t>序号</w:t>
                  </w:r>
                </w:p>
              </w:tc>
              <w:tc>
                <w:tcPr>
                  <w:tcW w:w="1418" w:type="dxa"/>
                  <w:vAlign w:val="center"/>
                </w:tcPr>
                <w:p w14:paraId="184D9DB4">
                  <w:pPr>
                    <w:pStyle w:val="42"/>
                    <w:rPr>
                      <w:b/>
                      <w:bCs/>
                    </w:rPr>
                  </w:pPr>
                  <w:r>
                    <w:rPr>
                      <w:rFonts w:hint="eastAsia"/>
                      <w:b/>
                      <w:bCs/>
                    </w:rPr>
                    <w:t>污染物项目</w:t>
                  </w:r>
                </w:p>
              </w:tc>
              <w:tc>
                <w:tcPr>
                  <w:tcW w:w="2409" w:type="dxa"/>
                  <w:vAlign w:val="center"/>
                </w:tcPr>
                <w:p w14:paraId="74A7C047">
                  <w:pPr>
                    <w:pStyle w:val="42"/>
                    <w:rPr>
                      <w:b/>
                      <w:bCs/>
                    </w:rPr>
                  </w:pPr>
                  <w:r>
                    <w:rPr>
                      <w:rFonts w:hint="eastAsia"/>
                      <w:b/>
                      <w:bCs/>
                    </w:rPr>
                    <w:t>平均时间</w:t>
                  </w:r>
                </w:p>
              </w:tc>
              <w:tc>
                <w:tcPr>
                  <w:tcW w:w="2127" w:type="dxa"/>
                  <w:vAlign w:val="center"/>
                </w:tcPr>
                <w:p w14:paraId="62886558">
                  <w:pPr>
                    <w:pStyle w:val="42"/>
                    <w:rPr>
                      <w:b/>
                      <w:bCs/>
                    </w:rPr>
                  </w:pPr>
                  <w:r>
                    <w:rPr>
                      <w:rFonts w:hint="eastAsia"/>
                      <w:b/>
                      <w:bCs/>
                    </w:rPr>
                    <w:t>浓度限值（二级）</w:t>
                  </w:r>
                </w:p>
              </w:tc>
              <w:tc>
                <w:tcPr>
                  <w:tcW w:w="1250" w:type="dxa"/>
                  <w:vAlign w:val="center"/>
                </w:tcPr>
                <w:p w14:paraId="25A4BD0F">
                  <w:pPr>
                    <w:pStyle w:val="42"/>
                    <w:rPr>
                      <w:b/>
                      <w:bCs/>
                    </w:rPr>
                  </w:pPr>
                  <w:r>
                    <w:rPr>
                      <w:rFonts w:hint="eastAsia"/>
                      <w:b/>
                      <w:bCs/>
                    </w:rPr>
                    <w:t>单位</w:t>
                  </w:r>
                </w:p>
              </w:tc>
            </w:tr>
            <w:tr w14:paraId="206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59C7751F">
                  <w:pPr>
                    <w:pStyle w:val="42"/>
                  </w:pPr>
                  <w:r>
                    <w:rPr>
                      <w:rFonts w:hint="eastAsia"/>
                    </w:rPr>
                    <w:t>1</w:t>
                  </w:r>
                </w:p>
              </w:tc>
              <w:tc>
                <w:tcPr>
                  <w:tcW w:w="1418" w:type="dxa"/>
                  <w:vMerge w:val="restart"/>
                  <w:vAlign w:val="center"/>
                </w:tcPr>
                <w:p w14:paraId="53E4FFBA">
                  <w:pPr>
                    <w:pStyle w:val="42"/>
                  </w:pPr>
                  <w:r>
                    <w:rPr>
                      <w:rFonts w:hint="eastAsia"/>
                    </w:rPr>
                    <w:t>SO</w:t>
                  </w:r>
                  <w:r>
                    <w:rPr>
                      <w:rFonts w:hint="eastAsia"/>
                      <w:vertAlign w:val="subscript"/>
                    </w:rPr>
                    <w:t>2</w:t>
                  </w:r>
                </w:p>
              </w:tc>
              <w:tc>
                <w:tcPr>
                  <w:tcW w:w="2409" w:type="dxa"/>
                  <w:vAlign w:val="center"/>
                </w:tcPr>
                <w:p w14:paraId="133357C4">
                  <w:pPr>
                    <w:pStyle w:val="42"/>
                  </w:pPr>
                  <w:r>
                    <w:rPr>
                      <w:rFonts w:hint="eastAsia"/>
                    </w:rPr>
                    <w:t>年平均</w:t>
                  </w:r>
                </w:p>
              </w:tc>
              <w:tc>
                <w:tcPr>
                  <w:tcW w:w="2127" w:type="dxa"/>
                  <w:vAlign w:val="center"/>
                </w:tcPr>
                <w:p w14:paraId="33BAC1D6">
                  <w:pPr>
                    <w:pStyle w:val="42"/>
                  </w:pPr>
                  <w:r>
                    <w:rPr>
                      <w:rFonts w:hint="eastAsia"/>
                    </w:rPr>
                    <w:t>60</w:t>
                  </w:r>
                </w:p>
              </w:tc>
              <w:tc>
                <w:tcPr>
                  <w:tcW w:w="1250" w:type="dxa"/>
                  <w:vMerge w:val="restart"/>
                  <w:vAlign w:val="center"/>
                </w:tcPr>
                <w:p w14:paraId="1EAAFB19">
                  <w:pPr>
                    <w:pStyle w:val="42"/>
                  </w:pPr>
                  <w:r>
                    <w:t>μg/m</w:t>
                  </w:r>
                  <w:r>
                    <w:rPr>
                      <w:vertAlign w:val="superscript"/>
                    </w:rPr>
                    <w:t>3</w:t>
                  </w:r>
                </w:p>
              </w:tc>
            </w:tr>
            <w:tr w14:paraId="0618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761CD68A">
                  <w:pPr>
                    <w:pStyle w:val="42"/>
                  </w:pPr>
                </w:p>
              </w:tc>
              <w:tc>
                <w:tcPr>
                  <w:tcW w:w="1418" w:type="dxa"/>
                  <w:vMerge w:val="continue"/>
                  <w:vAlign w:val="center"/>
                </w:tcPr>
                <w:p w14:paraId="4B5F6A03">
                  <w:pPr>
                    <w:pStyle w:val="42"/>
                  </w:pPr>
                </w:p>
              </w:tc>
              <w:tc>
                <w:tcPr>
                  <w:tcW w:w="2409" w:type="dxa"/>
                  <w:vAlign w:val="center"/>
                </w:tcPr>
                <w:p w14:paraId="2672D4ED">
                  <w:pPr>
                    <w:pStyle w:val="42"/>
                  </w:pPr>
                  <w:r>
                    <w:rPr>
                      <w:rFonts w:hint="eastAsia"/>
                    </w:rPr>
                    <w:t>24小时平均</w:t>
                  </w:r>
                </w:p>
              </w:tc>
              <w:tc>
                <w:tcPr>
                  <w:tcW w:w="2127" w:type="dxa"/>
                  <w:vAlign w:val="center"/>
                </w:tcPr>
                <w:p w14:paraId="1E5F47CA">
                  <w:pPr>
                    <w:pStyle w:val="42"/>
                  </w:pPr>
                  <w:r>
                    <w:rPr>
                      <w:rFonts w:hint="eastAsia"/>
                    </w:rPr>
                    <w:t>150</w:t>
                  </w:r>
                </w:p>
              </w:tc>
              <w:tc>
                <w:tcPr>
                  <w:tcW w:w="1250" w:type="dxa"/>
                  <w:vMerge w:val="continue"/>
                  <w:vAlign w:val="center"/>
                </w:tcPr>
                <w:p w14:paraId="4851D2FE">
                  <w:pPr>
                    <w:pStyle w:val="42"/>
                  </w:pPr>
                </w:p>
              </w:tc>
            </w:tr>
            <w:tr w14:paraId="5D53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6C544E85">
                  <w:pPr>
                    <w:pStyle w:val="42"/>
                  </w:pPr>
                </w:p>
              </w:tc>
              <w:tc>
                <w:tcPr>
                  <w:tcW w:w="1418" w:type="dxa"/>
                  <w:vMerge w:val="continue"/>
                  <w:vAlign w:val="center"/>
                </w:tcPr>
                <w:p w14:paraId="795537DA">
                  <w:pPr>
                    <w:pStyle w:val="42"/>
                  </w:pPr>
                </w:p>
              </w:tc>
              <w:tc>
                <w:tcPr>
                  <w:tcW w:w="2409" w:type="dxa"/>
                  <w:vAlign w:val="center"/>
                </w:tcPr>
                <w:p w14:paraId="554CA9FE">
                  <w:pPr>
                    <w:pStyle w:val="42"/>
                  </w:pPr>
                  <w:r>
                    <w:rPr>
                      <w:rFonts w:hint="eastAsia"/>
                    </w:rPr>
                    <w:t>1小时平均</w:t>
                  </w:r>
                </w:p>
              </w:tc>
              <w:tc>
                <w:tcPr>
                  <w:tcW w:w="2127" w:type="dxa"/>
                  <w:vAlign w:val="center"/>
                </w:tcPr>
                <w:p w14:paraId="79226297">
                  <w:pPr>
                    <w:pStyle w:val="42"/>
                  </w:pPr>
                  <w:r>
                    <w:rPr>
                      <w:rFonts w:hint="eastAsia"/>
                    </w:rPr>
                    <w:t>500</w:t>
                  </w:r>
                </w:p>
              </w:tc>
              <w:tc>
                <w:tcPr>
                  <w:tcW w:w="1250" w:type="dxa"/>
                  <w:vMerge w:val="continue"/>
                  <w:vAlign w:val="center"/>
                </w:tcPr>
                <w:p w14:paraId="372D3B95">
                  <w:pPr>
                    <w:pStyle w:val="42"/>
                  </w:pPr>
                </w:p>
              </w:tc>
            </w:tr>
            <w:tr w14:paraId="4B43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restart"/>
                  <w:vAlign w:val="center"/>
                </w:tcPr>
                <w:p w14:paraId="6C15A3A0">
                  <w:pPr>
                    <w:pStyle w:val="42"/>
                  </w:pPr>
                  <w:r>
                    <w:rPr>
                      <w:rFonts w:hint="eastAsia"/>
                    </w:rPr>
                    <w:t>2</w:t>
                  </w:r>
                </w:p>
              </w:tc>
              <w:tc>
                <w:tcPr>
                  <w:tcW w:w="1418" w:type="dxa"/>
                  <w:vMerge w:val="restart"/>
                  <w:vAlign w:val="center"/>
                </w:tcPr>
                <w:p w14:paraId="15332019">
                  <w:pPr>
                    <w:pStyle w:val="42"/>
                  </w:pPr>
                  <w:r>
                    <w:rPr>
                      <w:rFonts w:hint="eastAsia"/>
                    </w:rPr>
                    <w:t>NO</w:t>
                  </w:r>
                  <w:r>
                    <w:rPr>
                      <w:rFonts w:hint="eastAsia"/>
                      <w:vertAlign w:val="subscript"/>
                    </w:rPr>
                    <w:t>2</w:t>
                  </w:r>
                </w:p>
              </w:tc>
              <w:tc>
                <w:tcPr>
                  <w:tcW w:w="2409" w:type="dxa"/>
                  <w:vAlign w:val="center"/>
                </w:tcPr>
                <w:p w14:paraId="65631301">
                  <w:pPr>
                    <w:pStyle w:val="42"/>
                  </w:pPr>
                  <w:r>
                    <w:rPr>
                      <w:rFonts w:hint="eastAsia"/>
                    </w:rPr>
                    <w:t>年平均</w:t>
                  </w:r>
                </w:p>
              </w:tc>
              <w:tc>
                <w:tcPr>
                  <w:tcW w:w="2127" w:type="dxa"/>
                  <w:vAlign w:val="center"/>
                </w:tcPr>
                <w:p w14:paraId="24DD08D9">
                  <w:pPr>
                    <w:pStyle w:val="42"/>
                  </w:pPr>
                  <w:r>
                    <w:rPr>
                      <w:rFonts w:hint="eastAsia"/>
                    </w:rPr>
                    <w:t>40</w:t>
                  </w:r>
                </w:p>
              </w:tc>
              <w:tc>
                <w:tcPr>
                  <w:tcW w:w="1250" w:type="dxa"/>
                  <w:vMerge w:val="continue"/>
                  <w:vAlign w:val="center"/>
                </w:tcPr>
                <w:p w14:paraId="4EA92D7F">
                  <w:pPr>
                    <w:pStyle w:val="42"/>
                  </w:pPr>
                </w:p>
              </w:tc>
            </w:tr>
            <w:tr w14:paraId="680F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6BD30AA8">
                  <w:pPr>
                    <w:pStyle w:val="42"/>
                  </w:pPr>
                </w:p>
              </w:tc>
              <w:tc>
                <w:tcPr>
                  <w:tcW w:w="1418" w:type="dxa"/>
                  <w:vMerge w:val="continue"/>
                  <w:vAlign w:val="center"/>
                </w:tcPr>
                <w:p w14:paraId="1A4CB8D5">
                  <w:pPr>
                    <w:pStyle w:val="42"/>
                  </w:pPr>
                </w:p>
              </w:tc>
              <w:tc>
                <w:tcPr>
                  <w:tcW w:w="2409" w:type="dxa"/>
                  <w:vAlign w:val="center"/>
                </w:tcPr>
                <w:p w14:paraId="0C5B8924">
                  <w:pPr>
                    <w:pStyle w:val="42"/>
                  </w:pPr>
                  <w:r>
                    <w:rPr>
                      <w:rFonts w:hint="eastAsia"/>
                    </w:rPr>
                    <w:t>24小时平均</w:t>
                  </w:r>
                </w:p>
              </w:tc>
              <w:tc>
                <w:tcPr>
                  <w:tcW w:w="2127" w:type="dxa"/>
                  <w:vAlign w:val="center"/>
                </w:tcPr>
                <w:p w14:paraId="2EA8E1AD">
                  <w:pPr>
                    <w:pStyle w:val="42"/>
                  </w:pPr>
                  <w:r>
                    <w:rPr>
                      <w:rFonts w:hint="eastAsia"/>
                    </w:rPr>
                    <w:t>80</w:t>
                  </w:r>
                </w:p>
              </w:tc>
              <w:tc>
                <w:tcPr>
                  <w:tcW w:w="1250" w:type="dxa"/>
                  <w:vMerge w:val="continue"/>
                  <w:vAlign w:val="center"/>
                </w:tcPr>
                <w:p w14:paraId="1FE67B26">
                  <w:pPr>
                    <w:pStyle w:val="42"/>
                  </w:pPr>
                </w:p>
              </w:tc>
            </w:tr>
            <w:tr w14:paraId="3581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25FFBA87">
                  <w:pPr>
                    <w:pStyle w:val="42"/>
                  </w:pPr>
                </w:p>
              </w:tc>
              <w:tc>
                <w:tcPr>
                  <w:tcW w:w="1418" w:type="dxa"/>
                  <w:vMerge w:val="continue"/>
                  <w:vAlign w:val="center"/>
                </w:tcPr>
                <w:p w14:paraId="5EA396EC">
                  <w:pPr>
                    <w:pStyle w:val="42"/>
                  </w:pPr>
                </w:p>
              </w:tc>
              <w:tc>
                <w:tcPr>
                  <w:tcW w:w="2409" w:type="dxa"/>
                  <w:vAlign w:val="center"/>
                </w:tcPr>
                <w:p w14:paraId="44E1B952">
                  <w:pPr>
                    <w:pStyle w:val="42"/>
                  </w:pPr>
                  <w:r>
                    <w:rPr>
                      <w:rFonts w:hint="eastAsia"/>
                    </w:rPr>
                    <w:t>1小时平均</w:t>
                  </w:r>
                </w:p>
              </w:tc>
              <w:tc>
                <w:tcPr>
                  <w:tcW w:w="2127" w:type="dxa"/>
                  <w:vAlign w:val="center"/>
                </w:tcPr>
                <w:p w14:paraId="228F539C">
                  <w:pPr>
                    <w:pStyle w:val="42"/>
                  </w:pPr>
                  <w:r>
                    <w:rPr>
                      <w:rFonts w:hint="eastAsia"/>
                    </w:rPr>
                    <w:t>200</w:t>
                  </w:r>
                </w:p>
              </w:tc>
              <w:tc>
                <w:tcPr>
                  <w:tcW w:w="1250" w:type="dxa"/>
                  <w:vMerge w:val="continue"/>
                  <w:vAlign w:val="center"/>
                </w:tcPr>
                <w:p w14:paraId="6F8752D3">
                  <w:pPr>
                    <w:pStyle w:val="42"/>
                  </w:pPr>
                </w:p>
              </w:tc>
            </w:tr>
            <w:tr w14:paraId="1C6E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3BF1C14F">
                  <w:pPr>
                    <w:pStyle w:val="42"/>
                  </w:pPr>
                  <w:r>
                    <w:rPr>
                      <w:rFonts w:hint="eastAsia"/>
                    </w:rPr>
                    <w:t>3</w:t>
                  </w:r>
                </w:p>
              </w:tc>
              <w:tc>
                <w:tcPr>
                  <w:tcW w:w="1418" w:type="dxa"/>
                  <w:vMerge w:val="restart"/>
                  <w:vAlign w:val="center"/>
                </w:tcPr>
                <w:p w14:paraId="4491D328">
                  <w:pPr>
                    <w:pStyle w:val="42"/>
                  </w:pPr>
                  <w:r>
                    <w:rPr>
                      <w:rFonts w:hint="eastAsia"/>
                    </w:rPr>
                    <w:t>CO</w:t>
                  </w:r>
                </w:p>
              </w:tc>
              <w:tc>
                <w:tcPr>
                  <w:tcW w:w="2409" w:type="dxa"/>
                  <w:vAlign w:val="center"/>
                </w:tcPr>
                <w:p w14:paraId="295E8F1B">
                  <w:pPr>
                    <w:pStyle w:val="42"/>
                  </w:pPr>
                  <w:r>
                    <w:rPr>
                      <w:rFonts w:hint="eastAsia"/>
                    </w:rPr>
                    <w:t>24小时平均</w:t>
                  </w:r>
                </w:p>
              </w:tc>
              <w:tc>
                <w:tcPr>
                  <w:tcW w:w="2127" w:type="dxa"/>
                  <w:vAlign w:val="center"/>
                </w:tcPr>
                <w:p w14:paraId="2BA4D607">
                  <w:pPr>
                    <w:pStyle w:val="42"/>
                  </w:pPr>
                  <w:r>
                    <w:rPr>
                      <w:rFonts w:hint="eastAsia"/>
                    </w:rPr>
                    <w:t>4</w:t>
                  </w:r>
                </w:p>
              </w:tc>
              <w:tc>
                <w:tcPr>
                  <w:tcW w:w="1250" w:type="dxa"/>
                  <w:vMerge w:val="restart"/>
                  <w:vAlign w:val="center"/>
                </w:tcPr>
                <w:p w14:paraId="6DB38E80">
                  <w:pPr>
                    <w:pStyle w:val="42"/>
                  </w:pPr>
                  <w:r>
                    <w:rPr>
                      <w:rFonts w:hint="eastAsia"/>
                    </w:rPr>
                    <w:t>mg/m</w:t>
                  </w:r>
                  <w:r>
                    <w:rPr>
                      <w:rFonts w:hint="eastAsia"/>
                      <w:vertAlign w:val="superscript"/>
                    </w:rPr>
                    <w:t>3</w:t>
                  </w:r>
                </w:p>
              </w:tc>
            </w:tr>
            <w:tr w14:paraId="1F52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5F0A2FE5">
                  <w:pPr>
                    <w:pStyle w:val="42"/>
                  </w:pPr>
                </w:p>
              </w:tc>
              <w:tc>
                <w:tcPr>
                  <w:tcW w:w="1418" w:type="dxa"/>
                  <w:vMerge w:val="continue"/>
                  <w:vAlign w:val="center"/>
                </w:tcPr>
                <w:p w14:paraId="24DC460D">
                  <w:pPr>
                    <w:pStyle w:val="42"/>
                  </w:pPr>
                </w:p>
              </w:tc>
              <w:tc>
                <w:tcPr>
                  <w:tcW w:w="2409" w:type="dxa"/>
                  <w:vAlign w:val="center"/>
                </w:tcPr>
                <w:p w14:paraId="31781CBE">
                  <w:pPr>
                    <w:pStyle w:val="42"/>
                  </w:pPr>
                  <w:r>
                    <w:rPr>
                      <w:rFonts w:hint="eastAsia"/>
                    </w:rPr>
                    <w:t>1小时平均</w:t>
                  </w:r>
                </w:p>
              </w:tc>
              <w:tc>
                <w:tcPr>
                  <w:tcW w:w="2127" w:type="dxa"/>
                  <w:vAlign w:val="center"/>
                </w:tcPr>
                <w:p w14:paraId="67F36B74">
                  <w:pPr>
                    <w:pStyle w:val="42"/>
                  </w:pPr>
                  <w:r>
                    <w:rPr>
                      <w:rFonts w:hint="eastAsia"/>
                    </w:rPr>
                    <w:t>10</w:t>
                  </w:r>
                </w:p>
              </w:tc>
              <w:tc>
                <w:tcPr>
                  <w:tcW w:w="1250" w:type="dxa"/>
                  <w:vMerge w:val="continue"/>
                  <w:vAlign w:val="center"/>
                </w:tcPr>
                <w:p w14:paraId="006E3775">
                  <w:pPr>
                    <w:pStyle w:val="42"/>
                  </w:pPr>
                </w:p>
              </w:tc>
            </w:tr>
            <w:tr w14:paraId="29A4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2EFD3967">
                  <w:pPr>
                    <w:pStyle w:val="42"/>
                  </w:pPr>
                  <w:r>
                    <w:rPr>
                      <w:rFonts w:hint="eastAsia"/>
                    </w:rPr>
                    <w:t>4</w:t>
                  </w:r>
                </w:p>
              </w:tc>
              <w:tc>
                <w:tcPr>
                  <w:tcW w:w="1418" w:type="dxa"/>
                  <w:vMerge w:val="restart"/>
                  <w:vAlign w:val="center"/>
                </w:tcPr>
                <w:p w14:paraId="438FF30E">
                  <w:pPr>
                    <w:pStyle w:val="42"/>
                  </w:pPr>
                  <w:r>
                    <w:rPr>
                      <w:rFonts w:hint="eastAsia"/>
                    </w:rPr>
                    <w:t>O</w:t>
                  </w:r>
                  <w:r>
                    <w:rPr>
                      <w:rFonts w:hint="eastAsia"/>
                      <w:vertAlign w:val="subscript"/>
                    </w:rPr>
                    <w:t>3</w:t>
                  </w:r>
                </w:p>
              </w:tc>
              <w:tc>
                <w:tcPr>
                  <w:tcW w:w="2409" w:type="dxa"/>
                  <w:vAlign w:val="center"/>
                </w:tcPr>
                <w:p w14:paraId="046C3EFD">
                  <w:pPr>
                    <w:pStyle w:val="42"/>
                  </w:pPr>
                  <w:r>
                    <w:rPr>
                      <w:rFonts w:hint="eastAsia"/>
                    </w:rPr>
                    <w:t>日最大8小时平均</w:t>
                  </w:r>
                </w:p>
              </w:tc>
              <w:tc>
                <w:tcPr>
                  <w:tcW w:w="2127" w:type="dxa"/>
                  <w:vAlign w:val="center"/>
                </w:tcPr>
                <w:p w14:paraId="47B91214">
                  <w:pPr>
                    <w:pStyle w:val="42"/>
                  </w:pPr>
                  <w:r>
                    <w:rPr>
                      <w:rFonts w:hint="eastAsia"/>
                    </w:rPr>
                    <w:t>160</w:t>
                  </w:r>
                </w:p>
              </w:tc>
              <w:tc>
                <w:tcPr>
                  <w:tcW w:w="1250" w:type="dxa"/>
                  <w:vMerge w:val="restart"/>
                  <w:vAlign w:val="center"/>
                </w:tcPr>
                <w:p w14:paraId="21F75C83">
                  <w:pPr>
                    <w:pStyle w:val="42"/>
                  </w:pPr>
                  <w:r>
                    <w:t>μg/m</w:t>
                  </w:r>
                  <w:r>
                    <w:rPr>
                      <w:vertAlign w:val="superscript"/>
                    </w:rPr>
                    <w:t>3</w:t>
                  </w:r>
                </w:p>
              </w:tc>
            </w:tr>
            <w:tr w14:paraId="0DED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352CE5B2">
                  <w:pPr>
                    <w:pStyle w:val="42"/>
                  </w:pPr>
                </w:p>
              </w:tc>
              <w:tc>
                <w:tcPr>
                  <w:tcW w:w="1418" w:type="dxa"/>
                  <w:vMerge w:val="continue"/>
                  <w:vAlign w:val="center"/>
                </w:tcPr>
                <w:p w14:paraId="1674B149">
                  <w:pPr>
                    <w:pStyle w:val="42"/>
                  </w:pPr>
                </w:p>
              </w:tc>
              <w:tc>
                <w:tcPr>
                  <w:tcW w:w="2409" w:type="dxa"/>
                  <w:vAlign w:val="center"/>
                </w:tcPr>
                <w:p w14:paraId="15C20C46">
                  <w:pPr>
                    <w:pStyle w:val="42"/>
                  </w:pPr>
                  <w:r>
                    <w:rPr>
                      <w:rFonts w:hint="eastAsia"/>
                    </w:rPr>
                    <w:t>1小时平均</w:t>
                  </w:r>
                </w:p>
              </w:tc>
              <w:tc>
                <w:tcPr>
                  <w:tcW w:w="2127" w:type="dxa"/>
                  <w:vAlign w:val="center"/>
                </w:tcPr>
                <w:p w14:paraId="505D893C">
                  <w:pPr>
                    <w:pStyle w:val="42"/>
                  </w:pPr>
                  <w:r>
                    <w:rPr>
                      <w:rFonts w:hint="eastAsia"/>
                    </w:rPr>
                    <w:t>200</w:t>
                  </w:r>
                </w:p>
              </w:tc>
              <w:tc>
                <w:tcPr>
                  <w:tcW w:w="1250" w:type="dxa"/>
                  <w:vMerge w:val="continue"/>
                  <w:vAlign w:val="center"/>
                </w:tcPr>
                <w:p w14:paraId="2F66984B">
                  <w:pPr>
                    <w:pStyle w:val="42"/>
                  </w:pPr>
                </w:p>
              </w:tc>
            </w:tr>
            <w:tr w14:paraId="40EA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5FB2E232">
                  <w:pPr>
                    <w:pStyle w:val="42"/>
                  </w:pPr>
                  <w:r>
                    <w:rPr>
                      <w:rFonts w:hint="eastAsia"/>
                    </w:rPr>
                    <w:t>5</w:t>
                  </w:r>
                </w:p>
              </w:tc>
              <w:tc>
                <w:tcPr>
                  <w:tcW w:w="1418" w:type="dxa"/>
                  <w:vMerge w:val="restart"/>
                  <w:vAlign w:val="center"/>
                </w:tcPr>
                <w:p w14:paraId="6C9C7705">
                  <w:pPr>
                    <w:pStyle w:val="42"/>
                  </w:pPr>
                  <w:r>
                    <w:rPr>
                      <w:rFonts w:hint="eastAsia"/>
                    </w:rPr>
                    <w:t>PM</w:t>
                  </w:r>
                  <w:r>
                    <w:rPr>
                      <w:rFonts w:hint="eastAsia"/>
                      <w:vertAlign w:val="subscript"/>
                    </w:rPr>
                    <w:t>10</w:t>
                  </w:r>
                </w:p>
              </w:tc>
              <w:tc>
                <w:tcPr>
                  <w:tcW w:w="2409" w:type="dxa"/>
                  <w:vAlign w:val="center"/>
                </w:tcPr>
                <w:p w14:paraId="498EF95F">
                  <w:pPr>
                    <w:pStyle w:val="42"/>
                  </w:pPr>
                  <w:r>
                    <w:rPr>
                      <w:rFonts w:hint="eastAsia"/>
                    </w:rPr>
                    <w:t>年平均</w:t>
                  </w:r>
                </w:p>
              </w:tc>
              <w:tc>
                <w:tcPr>
                  <w:tcW w:w="2127" w:type="dxa"/>
                  <w:vAlign w:val="center"/>
                </w:tcPr>
                <w:p w14:paraId="0D018369">
                  <w:pPr>
                    <w:pStyle w:val="42"/>
                  </w:pPr>
                  <w:r>
                    <w:rPr>
                      <w:rFonts w:hint="eastAsia"/>
                    </w:rPr>
                    <w:t>70</w:t>
                  </w:r>
                </w:p>
              </w:tc>
              <w:tc>
                <w:tcPr>
                  <w:tcW w:w="1250" w:type="dxa"/>
                  <w:vMerge w:val="continue"/>
                  <w:vAlign w:val="center"/>
                </w:tcPr>
                <w:p w14:paraId="0E1B1B14">
                  <w:pPr>
                    <w:pStyle w:val="42"/>
                  </w:pPr>
                </w:p>
              </w:tc>
            </w:tr>
            <w:tr w14:paraId="4AA2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14:paraId="01A80EDE">
                  <w:pPr>
                    <w:pStyle w:val="42"/>
                  </w:pPr>
                </w:p>
              </w:tc>
              <w:tc>
                <w:tcPr>
                  <w:tcW w:w="1418" w:type="dxa"/>
                  <w:vMerge w:val="continue"/>
                  <w:vAlign w:val="center"/>
                </w:tcPr>
                <w:p w14:paraId="274F1C10">
                  <w:pPr>
                    <w:pStyle w:val="42"/>
                  </w:pPr>
                </w:p>
              </w:tc>
              <w:tc>
                <w:tcPr>
                  <w:tcW w:w="2409" w:type="dxa"/>
                  <w:vAlign w:val="center"/>
                </w:tcPr>
                <w:p w14:paraId="20F45B3F">
                  <w:pPr>
                    <w:pStyle w:val="42"/>
                  </w:pPr>
                  <w:r>
                    <w:rPr>
                      <w:rFonts w:hint="eastAsia"/>
                    </w:rPr>
                    <w:t>24小时平均</w:t>
                  </w:r>
                </w:p>
              </w:tc>
              <w:tc>
                <w:tcPr>
                  <w:tcW w:w="2127" w:type="dxa"/>
                  <w:vAlign w:val="center"/>
                </w:tcPr>
                <w:p w14:paraId="595D3F2A">
                  <w:pPr>
                    <w:pStyle w:val="42"/>
                  </w:pPr>
                  <w:r>
                    <w:rPr>
                      <w:rFonts w:hint="eastAsia"/>
                    </w:rPr>
                    <w:t>150</w:t>
                  </w:r>
                </w:p>
              </w:tc>
              <w:tc>
                <w:tcPr>
                  <w:tcW w:w="1250" w:type="dxa"/>
                  <w:vMerge w:val="continue"/>
                  <w:vAlign w:val="center"/>
                </w:tcPr>
                <w:p w14:paraId="694D0416">
                  <w:pPr>
                    <w:pStyle w:val="42"/>
                  </w:pPr>
                </w:p>
              </w:tc>
            </w:tr>
            <w:tr w14:paraId="22F0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14:paraId="5E38CC6A">
                  <w:pPr>
                    <w:pStyle w:val="42"/>
                  </w:pPr>
                  <w:r>
                    <w:rPr>
                      <w:rFonts w:hint="eastAsia"/>
                    </w:rPr>
                    <w:t>6</w:t>
                  </w:r>
                </w:p>
              </w:tc>
              <w:tc>
                <w:tcPr>
                  <w:tcW w:w="1418" w:type="dxa"/>
                  <w:vMerge w:val="restart"/>
                  <w:vAlign w:val="center"/>
                </w:tcPr>
                <w:p w14:paraId="4406F44C">
                  <w:pPr>
                    <w:pStyle w:val="42"/>
                  </w:pPr>
                  <w:r>
                    <w:rPr>
                      <w:rFonts w:hint="eastAsia"/>
                    </w:rPr>
                    <w:t>PM</w:t>
                  </w:r>
                  <w:r>
                    <w:rPr>
                      <w:rFonts w:hint="eastAsia"/>
                      <w:vertAlign w:val="subscript"/>
                    </w:rPr>
                    <w:t>2.5</w:t>
                  </w:r>
                </w:p>
              </w:tc>
              <w:tc>
                <w:tcPr>
                  <w:tcW w:w="2409" w:type="dxa"/>
                  <w:vAlign w:val="center"/>
                </w:tcPr>
                <w:p w14:paraId="59D6CFC4">
                  <w:pPr>
                    <w:pStyle w:val="42"/>
                  </w:pPr>
                  <w:r>
                    <w:rPr>
                      <w:rFonts w:hint="eastAsia"/>
                    </w:rPr>
                    <w:t>年平均</w:t>
                  </w:r>
                </w:p>
              </w:tc>
              <w:tc>
                <w:tcPr>
                  <w:tcW w:w="2127" w:type="dxa"/>
                  <w:vAlign w:val="center"/>
                </w:tcPr>
                <w:p w14:paraId="20ED68F9">
                  <w:pPr>
                    <w:pStyle w:val="42"/>
                  </w:pPr>
                  <w:r>
                    <w:rPr>
                      <w:rFonts w:hint="eastAsia"/>
                    </w:rPr>
                    <w:t>35</w:t>
                  </w:r>
                </w:p>
              </w:tc>
              <w:tc>
                <w:tcPr>
                  <w:tcW w:w="1250" w:type="dxa"/>
                  <w:vMerge w:val="continue"/>
                  <w:vAlign w:val="center"/>
                </w:tcPr>
                <w:p w14:paraId="4EE0D8F8">
                  <w:pPr>
                    <w:pStyle w:val="42"/>
                  </w:pPr>
                </w:p>
              </w:tc>
            </w:tr>
            <w:tr w14:paraId="13A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14:paraId="01111781">
                  <w:pPr>
                    <w:pStyle w:val="42"/>
                  </w:pPr>
                </w:p>
              </w:tc>
              <w:tc>
                <w:tcPr>
                  <w:tcW w:w="1418" w:type="dxa"/>
                  <w:vMerge w:val="continue"/>
                  <w:vAlign w:val="center"/>
                </w:tcPr>
                <w:p w14:paraId="07BF728E">
                  <w:pPr>
                    <w:pStyle w:val="42"/>
                  </w:pPr>
                </w:p>
              </w:tc>
              <w:tc>
                <w:tcPr>
                  <w:tcW w:w="2409" w:type="dxa"/>
                  <w:vAlign w:val="center"/>
                </w:tcPr>
                <w:p w14:paraId="569A5806">
                  <w:pPr>
                    <w:pStyle w:val="42"/>
                  </w:pPr>
                  <w:r>
                    <w:rPr>
                      <w:rFonts w:hint="eastAsia"/>
                    </w:rPr>
                    <w:t>24小时平均</w:t>
                  </w:r>
                </w:p>
              </w:tc>
              <w:tc>
                <w:tcPr>
                  <w:tcW w:w="2127" w:type="dxa"/>
                  <w:vAlign w:val="center"/>
                </w:tcPr>
                <w:p w14:paraId="7A2FCA7C">
                  <w:pPr>
                    <w:pStyle w:val="42"/>
                  </w:pPr>
                  <w:r>
                    <w:rPr>
                      <w:rFonts w:hint="eastAsia"/>
                    </w:rPr>
                    <w:t>75</w:t>
                  </w:r>
                </w:p>
              </w:tc>
              <w:tc>
                <w:tcPr>
                  <w:tcW w:w="1250" w:type="dxa"/>
                  <w:vMerge w:val="continue"/>
                  <w:vAlign w:val="center"/>
                </w:tcPr>
                <w:p w14:paraId="1677F993">
                  <w:pPr>
                    <w:pStyle w:val="42"/>
                  </w:pPr>
                </w:p>
              </w:tc>
            </w:tr>
          </w:tbl>
          <w:p w14:paraId="1EDC807A">
            <w:pPr>
              <w:pStyle w:val="41"/>
              <w:ind w:firstLine="480"/>
            </w:pPr>
          </w:p>
          <w:p w14:paraId="0C3999EC">
            <w:pPr>
              <w:pStyle w:val="41"/>
              <w:ind w:firstLine="480"/>
            </w:pPr>
            <w:r>
              <w:rPr>
                <w:rFonts w:hint="eastAsia"/>
              </w:rPr>
              <w:t>（</w:t>
            </w:r>
            <w:r>
              <w:t>2</w:t>
            </w:r>
            <w:r>
              <w:rPr>
                <w:rFonts w:hint="eastAsia"/>
              </w:rPr>
              <w:t>）声环境质量标准</w:t>
            </w:r>
          </w:p>
          <w:p w14:paraId="18D29ECC">
            <w:pPr>
              <w:pStyle w:val="41"/>
              <w:ind w:firstLine="480"/>
            </w:pPr>
            <w:r>
              <w:rPr>
                <w:rFonts w:hint="eastAsia"/>
              </w:rPr>
              <w:t>本项目所在厂区外</w:t>
            </w:r>
            <w:r>
              <w:t>200m</w:t>
            </w:r>
            <w:r>
              <w:rPr>
                <w:rFonts w:hint="eastAsia"/>
              </w:rPr>
              <w:t>范围内无声环境敏感点，厂区周边区域声环境质量执行《声环境质量标准》（</w:t>
            </w:r>
            <w:r>
              <w:t>GB 3096-2008</w:t>
            </w:r>
            <w:r>
              <w:rPr>
                <w:rFonts w:hint="eastAsia"/>
              </w:rPr>
              <w:t>）</w:t>
            </w:r>
            <w:r>
              <w:t>3</w:t>
            </w:r>
            <w:r>
              <w:rPr>
                <w:rFonts w:hint="eastAsia"/>
              </w:rPr>
              <w:t>类标准，厂外氮气输送管线主要沿园区主干道铺设，主干道路两侧区域执行《声环境质量标准》（</w:t>
            </w:r>
            <w:r>
              <w:t>GB 3096-2008</w:t>
            </w:r>
            <w:r>
              <w:rPr>
                <w:rFonts w:hint="eastAsia"/>
              </w:rPr>
              <w:t>）</w:t>
            </w:r>
            <w:r>
              <w:t>4a</w:t>
            </w:r>
            <w:r>
              <w:rPr>
                <w:rFonts w:hint="eastAsia"/>
              </w:rPr>
              <w:t>类标准。</w:t>
            </w:r>
          </w:p>
          <w:p w14:paraId="6322A417">
            <w:pPr>
              <w:pStyle w:val="41"/>
              <w:numPr>
                <w:ilvl w:val="0"/>
                <w:numId w:val="7"/>
              </w:numPr>
              <w:spacing w:line="240" w:lineRule="auto"/>
              <w:ind w:firstLineChars="0"/>
              <w:jc w:val="center"/>
              <w:rPr>
                <w:b/>
                <w:bCs/>
                <w:sz w:val="21"/>
                <w:szCs w:val="21"/>
              </w:rPr>
            </w:pPr>
            <w:r>
              <w:rPr>
                <w:rFonts w:hint="eastAsia"/>
                <w:b/>
                <w:bCs/>
                <w:sz w:val="21"/>
                <w:szCs w:val="21"/>
              </w:rPr>
              <w:t>《声环境质量标准》（GB3096-2008）（摘录）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2674"/>
              <w:gridCol w:w="2674"/>
            </w:tblGrid>
            <w:tr w14:paraId="06BA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4" w:type="dxa"/>
                  <w:vMerge w:val="restart"/>
                  <w:vAlign w:val="center"/>
                </w:tcPr>
                <w:p w14:paraId="42FDF819">
                  <w:pPr>
                    <w:pStyle w:val="42"/>
                    <w:rPr>
                      <w:b/>
                      <w:bCs/>
                    </w:rPr>
                  </w:pPr>
                  <w:r>
                    <w:rPr>
                      <w:rFonts w:hint="eastAsia"/>
                      <w:b/>
                      <w:bCs/>
                    </w:rPr>
                    <w:t>声环境功能区类别</w:t>
                  </w:r>
                </w:p>
              </w:tc>
              <w:tc>
                <w:tcPr>
                  <w:tcW w:w="5348" w:type="dxa"/>
                  <w:gridSpan w:val="2"/>
                  <w:vAlign w:val="center"/>
                </w:tcPr>
                <w:p w14:paraId="2423A695">
                  <w:pPr>
                    <w:pStyle w:val="42"/>
                    <w:rPr>
                      <w:b/>
                      <w:bCs/>
                    </w:rPr>
                  </w:pPr>
                  <w:r>
                    <w:rPr>
                      <w:rFonts w:hint="eastAsia"/>
                      <w:b/>
                      <w:bCs/>
                    </w:rPr>
                    <w:t>时段</w:t>
                  </w:r>
                </w:p>
              </w:tc>
            </w:tr>
            <w:tr w14:paraId="2D9B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4" w:type="dxa"/>
                  <w:vMerge w:val="continue"/>
                  <w:vAlign w:val="center"/>
                </w:tcPr>
                <w:p w14:paraId="39979D43">
                  <w:pPr>
                    <w:pStyle w:val="42"/>
                    <w:rPr>
                      <w:b/>
                      <w:bCs/>
                    </w:rPr>
                  </w:pPr>
                </w:p>
              </w:tc>
              <w:tc>
                <w:tcPr>
                  <w:tcW w:w="2674" w:type="dxa"/>
                  <w:vAlign w:val="center"/>
                </w:tcPr>
                <w:p w14:paraId="0878D43B">
                  <w:pPr>
                    <w:pStyle w:val="42"/>
                    <w:rPr>
                      <w:b/>
                      <w:bCs/>
                    </w:rPr>
                  </w:pPr>
                  <w:r>
                    <w:rPr>
                      <w:rFonts w:hint="eastAsia"/>
                      <w:b/>
                      <w:bCs/>
                    </w:rPr>
                    <w:t>昼间</w:t>
                  </w:r>
                </w:p>
              </w:tc>
              <w:tc>
                <w:tcPr>
                  <w:tcW w:w="2674" w:type="dxa"/>
                  <w:vAlign w:val="center"/>
                </w:tcPr>
                <w:p w14:paraId="1E729A73">
                  <w:pPr>
                    <w:pStyle w:val="42"/>
                    <w:rPr>
                      <w:b/>
                      <w:bCs/>
                    </w:rPr>
                  </w:pPr>
                  <w:r>
                    <w:rPr>
                      <w:rFonts w:hint="eastAsia"/>
                      <w:b/>
                      <w:bCs/>
                    </w:rPr>
                    <w:t>夜间</w:t>
                  </w:r>
                </w:p>
              </w:tc>
            </w:tr>
            <w:tr w14:paraId="073F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14:paraId="547B79FA">
                  <w:pPr>
                    <w:pStyle w:val="42"/>
                  </w:pPr>
                  <w:r>
                    <w:rPr>
                      <w:rFonts w:hint="eastAsia"/>
                    </w:rPr>
                    <w:t>3类</w:t>
                  </w:r>
                </w:p>
              </w:tc>
              <w:tc>
                <w:tcPr>
                  <w:tcW w:w="2674" w:type="dxa"/>
                  <w:vAlign w:val="center"/>
                </w:tcPr>
                <w:p w14:paraId="20034D61">
                  <w:pPr>
                    <w:pStyle w:val="42"/>
                  </w:pPr>
                  <w:r>
                    <w:rPr>
                      <w:rFonts w:hint="eastAsia"/>
                    </w:rPr>
                    <w:t>65dB（A）</w:t>
                  </w:r>
                </w:p>
              </w:tc>
              <w:tc>
                <w:tcPr>
                  <w:tcW w:w="2674" w:type="dxa"/>
                  <w:vAlign w:val="center"/>
                </w:tcPr>
                <w:p w14:paraId="39BC48BF">
                  <w:pPr>
                    <w:pStyle w:val="42"/>
                  </w:pPr>
                  <w:r>
                    <w:rPr>
                      <w:rFonts w:hint="eastAsia"/>
                    </w:rPr>
                    <w:t>55dB（A）</w:t>
                  </w:r>
                </w:p>
              </w:tc>
            </w:tr>
            <w:tr w14:paraId="56E4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14:paraId="2EA8E4CA">
                  <w:pPr>
                    <w:pStyle w:val="42"/>
                  </w:pPr>
                  <w:r>
                    <w:rPr>
                      <w:rFonts w:hint="eastAsia"/>
                    </w:rPr>
                    <w:t>4a类</w:t>
                  </w:r>
                </w:p>
              </w:tc>
              <w:tc>
                <w:tcPr>
                  <w:tcW w:w="2674" w:type="dxa"/>
                  <w:vAlign w:val="center"/>
                </w:tcPr>
                <w:p w14:paraId="205DD3AE">
                  <w:pPr>
                    <w:pStyle w:val="42"/>
                  </w:pPr>
                  <w:r>
                    <w:rPr>
                      <w:rFonts w:hint="eastAsia"/>
                    </w:rPr>
                    <w:t>70dB（A）</w:t>
                  </w:r>
                </w:p>
              </w:tc>
              <w:tc>
                <w:tcPr>
                  <w:tcW w:w="2674" w:type="dxa"/>
                  <w:vAlign w:val="center"/>
                </w:tcPr>
                <w:p w14:paraId="4A8E79D3">
                  <w:pPr>
                    <w:pStyle w:val="42"/>
                  </w:pPr>
                  <w:r>
                    <w:rPr>
                      <w:rFonts w:hint="eastAsia"/>
                    </w:rPr>
                    <w:t>55dB（A）</w:t>
                  </w:r>
                </w:p>
              </w:tc>
            </w:tr>
          </w:tbl>
          <w:p w14:paraId="15829E5A">
            <w:pPr>
              <w:pStyle w:val="41"/>
              <w:ind w:firstLine="480"/>
            </w:pPr>
          </w:p>
          <w:p w14:paraId="4F01A0E3">
            <w:pPr>
              <w:pStyle w:val="41"/>
              <w:ind w:firstLine="480"/>
            </w:pPr>
            <w:r>
              <w:rPr>
                <w:rFonts w:hint="eastAsia"/>
              </w:rPr>
              <w:t>（</w:t>
            </w:r>
            <w:r>
              <w:t>3</w:t>
            </w:r>
            <w:r>
              <w:rPr>
                <w:rFonts w:hint="eastAsia"/>
              </w:rPr>
              <w:t>）地下水环境质量标准</w:t>
            </w:r>
          </w:p>
          <w:p w14:paraId="0C85F52B">
            <w:pPr>
              <w:pStyle w:val="41"/>
              <w:ind w:firstLine="480"/>
            </w:pPr>
            <w:r>
              <w:rPr>
                <w:rFonts w:hint="eastAsia"/>
              </w:rPr>
              <w:t>区域地下水环境执行《地下水质量标准》（</w:t>
            </w:r>
            <w:r>
              <w:t>GB/T 14848-2017</w:t>
            </w:r>
            <w:r>
              <w:rPr>
                <w:rFonts w:hint="eastAsia"/>
              </w:rPr>
              <w:t>）Ⅲ类标准。</w:t>
            </w:r>
          </w:p>
          <w:p w14:paraId="0A1B17CA">
            <w:pPr>
              <w:pStyle w:val="41"/>
              <w:numPr>
                <w:ilvl w:val="0"/>
                <w:numId w:val="7"/>
              </w:numPr>
              <w:spacing w:line="240" w:lineRule="auto"/>
              <w:ind w:firstLineChars="0"/>
              <w:jc w:val="center"/>
              <w:rPr>
                <w:b/>
                <w:bCs/>
                <w:sz w:val="21"/>
                <w:szCs w:val="21"/>
              </w:rPr>
            </w:pPr>
            <w:r>
              <w:rPr>
                <w:rFonts w:hint="eastAsia"/>
                <w:b/>
                <w:bCs/>
                <w:sz w:val="21"/>
                <w:szCs w:val="21"/>
              </w:rPr>
              <w:t>地下水环境质量标准（摘录，单位：</w:t>
            </w:r>
            <w:r>
              <w:rPr>
                <w:b/>
                <w:bCs/>
                <w:sz w:val="21"/>
                <w:szCs w:val="21"/>
              </w:rPr>
              <w:t>mg/L</w:t>
            </w:r>
            <w:r>
              <w:rPr>
                <w:rFonts w:hint="eastAsia"/>
                <w:b/>
                <w:bCs/>
                <w:sz w:val="21"/>
                <w:szCs w:val="21"/>
              </w:rPr>
              <w:t>，</w:t>
            </w:r>
            <w:r>
              <w:rPr>
                <w:b/>
                <w:bCs/>
                <w:sz w:val="21"/>
                <w:szCs w:val="21"/>
              </w:rPr>
              <w:t>pH</w:t>
            </w:r>
            <w:r>
              <w:rPr>
                <w:rFonts w:hint="eastAsia"/>
                <w:b/>
                <w:bCs/>
                <w:sz w:val="21"/>
                <w:szCs w:val="21"/>
              </w:rPr>
              <w:t>无量纲）</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4328"/>
              <w:gridCol w:w="2674"/>
            </w:tblGrid>
            <w:tr w14:paraId="0271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0" w:type="dxa"/>
                  <w:vAlign w:val="center"/>
                </w:tcPr>
                <w:p w14:paraId="4C6C5774">
                  <w:pPr>
                    <w:pStyle w:val="42"/>
                    <w:rPr>
                      <w:b/>
                      <w:bCs/>
                    </w:rPr>
                  </w:pPr>
                  <w:r>
                    <w:rPr>
                      <w:rFonts w:hint="eastAsia"/>
                      <w:b/>
                      <w:bCs/>
                    </w:rPr>
                    <w:t>序号</w:t>
                  </w:r>
                </w:p>
              </w:tc>
              <w:tc>
                <w:tcPr>
                  <w:tcW w:w="4328" w:type="dxa"/>
                  <w:vAlign w:val="center"/>
                </w:tcPr>
                <w:p w14:paraId="7363EA62">
                  <w:pPr>
                    <w:pStyle w:val="42"/>
                    <w:rPr>
                      <w:b/>
                      <w:bCs/>
                    </w:rPr>
                  </w:pPr>
                  <w:r>
                    <w:rPr>
                      <w:rFonts w:hint="eastAsia"/>
                      <w:b/>
                      <w:bCs/>
                    </w:rPr>
                    <w:t>项目</w:t>
                  </w:r>
                </w:p>
              </w:tc>
              <w:tc>
                <w:tcPr>
                  <w:tcW w:w="2674" w:type="dxa"/>
                  <w:vAlign w:val="center"/>
                </w:tcPr>
                <w:p w14:paraId="5B23AB5C">
                  <w:pPr>
                    <w:pStyle w:val="42"/>
                    <w:rPr>
                      <w:b/>
                      <w:bCs/>
                    </w:rPr>
                  </w:pPr>
                  <w:r>
                    <w:rPr>
                      <w:rFonts w:hint="eastAsia"/>
                      <w:b/>
                      <w:bCs/>
                    </w:rPr>
                    <w:t>Ⅲ类标准限值</w:t>
                  </w:r>
                </w:p>
              </w:tc>
            </w:tr>
            <w:tr w14:paraId="53B7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622D8AE3">
                  <w:pPr>
                    <w:pStyle w:val="42"/>
                  </w:pPr>
                  <w:r>
                    <w:t>1</w:t>
                  </w:r>
                </w:p>
              </w:tc>
              <w:tc>
                <w:tcPr>
                  <w:tcW w:w="4328" w:type="dxa"/>
                  <w:vAlign w:val="center"/>
                </w:tcPr>
                <w:p w14:paraId="08361D15">
                  <w:pPr>
                    <w:pStyle w:val="42"/>
                  </w:pPr>
                  <w:r>
                    <w:t>pH</w:t>
                  </w:r>
                  <w:r>
                    <w:rPr>
                      <w:rFonts w:hint="eastAsia"/>
                    </w:rPr>
                    <w:t>值</w:t>
                  </w:r>
                </w:p>
              </w:tc>
              <w:tc>
                <w:tcPr>
                  <w:tcW w:w="2674" w:type="dxa"/>
                  <w:vAlign w:val="center"/>
                </w:tcPr>
                <w:p w14:paraId="1F06675A">
                  <w:pPr>
                    <w:pStyle w:val="42"/>
                  </w:pPr>
                  <w:r>
                    <w:t>6.5</w:t>
                  </w:r>
                  <w:r>
                    <w:rPr>
                      <w:rFonts w:hint="eastAsia"/>
                    </w:rPr>
                    <w:t>≤</w:t>
                  </w:r>
                  <w:r>
                    <w:t>pH</w:t>
                  </w:r>
                  <w:r>
                    <w:rPr>
                      <w:rFonts w:hint="eastAsia"/>
                    </w:rPr>
                    <w:t>≤</w:t>
                  </w:r>
                  <w:r>
                    <w:t>8.5</w:t>
                  </w:r>
                </w:p>
              </w:tc>
            </w:tr>
            <w:tr w14:paraId="1BA0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48AB776B">
                  <w:pPr>
                    <w:pStyle w:val="42"/>
                  </w:pPr>
                  <w:r>
                    <w:t>2</w:t>
                  </w:r>
                </w:p>
              </w:tc>
              <w:tc>
                <w:tcPr>
                  <w:tcW w:w="4328" w:type="dxa"/>
                  <w:vAlign w:val="center"/>
                </w:tcPr>
                <w:p w14:paraId="75112C51">
                  <w:pPr>
                    <w:pStyle w:val="42"/>
                  </w:pPr>
                  <w:r>
                    <w:rPr>
                      <w:rFonts w:hint="eastAsia"/>
                    </w:rPr>
                    <w:t>氨氮（以</w:t>
                  </w:r>
                  <w:r>
                    <w:t xml:space="preserve">N </w:t>
                  </w:r>
                  <w:r>
                    <w:rPr>
                      <w:rFonts w:hint="eastAsia"/>
                    </w:rPr>
                    <w:t>计）</w:t>
                  </w:r>
                </w:p>
              </w:tc>
              <w:tc>
                <w:tcPr>
                  <w:tcW w:w="2674" w:type="dxa"/>
                  <w:vAlign w:val="center"/>
                </w:tcPr>
                <w:p w14:paraId="2EDE2792">
                  <w:pPr>
                    <w:pStyle w:val="42"/>
                  </w:pPr>
                  <w:r>
                    <w:rPr>
                      <w:rFonts w:hint="eastAsia"/>
                    </w:rPr>
                    <w:t>≤</w:t>
                  </w:r>
                  <w:r>
                    <w:t>0.5</w:t>
                  </w:r>
                </w:p>
              </w:tc>
            </w:tr>
            <w:tr w14:paraId="41A0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06DEF792">
                  <w:pPr>
                    <w:pStyle w:val="42"/>
                  </w:pPr>
                  <w:r>
                    <w:t>3</w:t>
                  </w:r>
                </w:p>
              </w:tc>
              <w:tc>
                <w:tcPr>
                  <w:tcW w:w="4328" w:type="dxa"/>
                  <w:vAlign w:val="center"/>
                </w:tcPr>
                <w:p w14:paraId="32CC4121">
                  <w:pPr>
                    <w:pStyle w:val="42"/>
                  </w:pPr>
                  <w:r>
                    <w:rPr>
                      <w:rFonts w:hint="eastAsia"/>
                    </w:rPr>
                    <w:t>硝酸盐（以</w:t>
                  </w:r>
                  <w:r>
                    <w:t xml:space="preserve">N </w:t>
                  </w:r>
                  <w:r>
                    <w:rPr>
                      <w:rFonts w:hint="eastAsia"/>
                    </w:rPr>
                    <w:t>计）</w:t>
                  </w:r>
                </w:p>
              </w:tc>
              <w:tc>
                <w:tcPr>
                  <w:tcW w:w="2674" w:type="dxa"/>
                  <w:vAlign w:val="center"/>
                </w:tcPr>
                <w:p w14:paraId="60EB6574">
                  <w:pPr>
                    <w:pStyle w:val="42"/>
                  </w:pPr>
                  <w:r>
                    <w:rPr>
                      <w:rFonts w:hint="eastAsia"/>
                    </w:rPr>
                    <w:t>≤</w:t>
                  </w:r>
                  <w:r>
                    <w:t>20</w:t>
                  </w:r>
                </w:p>
              </w:tc>
            </w:tr>
            <w:tr w14:paraId="5265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32D9C240">
                  <w:pPr>
                    <w:pStyle w:val="42"/>
                  </w:pPr>
                  <w:r>
                    <w:t>4</w:t>
                  </w:r>
                </w:p>
              </w:tc>
              <w:tc>
                <w:tcPr>
                  <w:tcW w:w="4328" w:type="dxa"/>
                  <w:vAlign w:val="center"/>
                </w:tcPr>
                <w:p w14:paraId="66FDCE9D">
                  <w:pPr>
                    <w:pStyle w:val="42"/>
                  </w:pPr>
                  <w:r>
                    <w:rPr>
                      <w:rFonts w:hint="eastAsia"/>
                    </w:rPr>
                    <w:t>亚硝酸盐（以</w:t>
                  </w:r>
                  <w:r>
                    <w:t xml:space="preserve">N </w:t>
                  </w:r>
                  <w:r>
                    <w:rPr>
                      <w:rFonts w:hint="eastAsia"/>
                    </w:rPr>
                    <w:t>计）</w:t>
                  </w:r>
                </w:p>
              </w:tc>
              <w:tc>
                <w:tcPr>
                  <w:tcW w:w="2674" w:type="dxa"/>
                  <w:vAlign w:val="center"/>
                </w:tcPr>
                <w:p w14:paraId="31EC542C">
                  <w:pPr>
                    <w:pStyle w:val="42"/>
                  </w:pPr>
                  <w:r>
                    <w:rPr>
                      <w:rFonts w:hint="eastAsia"/>
                    </w:rPr>
                    <w:t>≤</w:t>
                  </w:r>
                  <w:r>
                    <w:t>1</w:t>
                  </w:r>
                </w:p>
              </w:tc>
            </w:tr>
            <w:tr w14:paraId="4DC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2B7ABE00">
                  <w:pPr>
                    <w:pStyle w:val="42"/>
                  </w:pPr>
                  <w:r>
                    <w:t>5</w:t>
                  </w:r>
                </w:p>
              </w:tc>
              <w:tc>
                <w:tcPr>
                  <w:tcW w:w="4328" w:type="dxa"/>
                  <w:vAlign w:val="center"/>
                </w:tcPr>
                <w:p w14:paraId="1ED7CD42">
                  <w:pPr>
                    <w:pStyle w:val="42"/>
                  </w:pPr>
                  <w:r>
                    <w:rPr>
                      <w:rFonts w:hint="eastAsia"/>
                    </w:rPr>
                    <w:t>挥发酚（以苯酚计）</w:t>
                  </w:r>
                </w:p>
              </w:tc>
              <w:tc>
                <w:tcPr>
                  <w:tcW w:w="2674" w:type="dxa"/>
                  <w:vAlign w:val="center"/>
                </w:tcPr>
                <w:p w14:paraId="57EA2CD9">
                  <w:pPr>
                    <w:pStyle w:val="42"/>
                  </w:pPr>
                  <w:r>
                    <w:rPr>
                      <w:rFonts w:hint="eastAsia"/>
                    </w:rPr>
                    <w:t>≤</w:t>
                  </w:r>
                  <w:r>
                    <w:t>0.002</w:t>
                  </w:r>
                </w:p>
              </w:tc>
            </w:tr>
            <w:tr w14:paraId="7762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778BE083">
                  <w:pPr>
                    <w:pStyle w:val="42"/>
                  </w:pPr>
                  <w:r>
                    <w:t>6</w:t>
                  </w:r>
                </w:p>
              </w:tc>
              <w:tc>
                <w:tcPr>
                  <w:tcW w:w="4328" w:type="dxa"/>
                  <w:vAlign w:val="center"/>
                </w:tcPr>
                <w:p w14:paraId="4C30EAB7">
                  <w:pPr>
                    <w:pStyle w:val="42"/>
                  </w:pPr>
                  <w:r>
                    <w:rPr>
                      <w:rFonts w:hint="eastAsia"/>
                    </w:rPr>
                    <w:t>总硬度（以</w:t>
                  </w:r>
                  <w:r>
                    <w:t>CaCO</w:t>
                  </w:r>
                  <w:r>
                    <w:rPr>
                      <w:vertAlign w:val="subscript"/>
                    </w:rPr>
                    <w:t>3</w:t>
                  </w:r>
                  <w:r>
                    <w:rPr>
                      <w:rFonts w:hint="eastAsia"/>
                    </w:rPr>
                    <w:t>计）</w:t>
                  </w:r>
                </w:p>
              </w:tc>
              <w:tc>
                <w:tcPr>
                  <w:tcW w:w="2674" w:type="dxa"/>
                  <w:vAlign w:val="center"/>
                </w:tcPr>
                <w:p w14:paraId="0BA94254">
                  <w:pPr>
                    <w:pStyle w:val="42"/>
                  </w:pPr>
                  <w:r>
                    <w:rPr>
                      <w:rFonts w:hint="eastAsia"/>
                    </w:rPr>
                    <w:t>≤</w:t>
                  </w:r>
                  <w:r>
                    <w:t>450</w:t>
                  </w:r>
                </w:p>
              </w:tc>
            </w:tr>
            <w:tr w14:paraId="423D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114FC802">
                  <w:pPr>
                    <w:pStyle w:val="42"/>
                  </w:pPr>
                  <w:r>
                    <w:t>7</w:t>
                  </w:r>
                </w:p>
              </w:tc>
              <w:tc>
                <w:tcPr>
                  <w:tcW w:w="4328" w:type="dxa"/>
                  <w:vAlign w:val="center"/>
                </w:tcPr>
                <w:p w14:paraId="3CB8A50E">
                  <w:pPr>
                    <w:pStyle w:val="42"/>
                  </w:pPr>
                  <w:r>
                    <w:rPr>
                      <w:rFonts w:hint="eastAsia"/>
                    </w:rPr>
                    <w:t>溶解性总固体</w:t>
                  </w:r>
                </w:p>
              </w:tc>
              <w:tc>
                <w:tcPr>
                  <w:tcW w:w="2674" w:type="dxa"/>
                  <w:vAlign w:val="center"/>
                </w:tcPr>
                <w:p w14:paraId="12A0E9FF">
                  <w:pPr>
                    <w:pStyle w:val="42"/>
                  </w:pPr>
                  <w:r>
                    <w:rPr>
                      <w:rFonts w:hint="eastAsia"/>
                    </w:rPr>
                    <w:t>≤</w:t>
                  </w:r>
                  <w:r>
                    <w:t>1000</w:t>
                  </w:r>
                </w:p>
              </w:tc>
            </w:tr>
            <w:tr w14:paraId="4422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5187FC19">
                  <w:pPr>
                    <w:pStyle w:val="42"/>
                  </w:pPr>
                  <w:r>
                    <w:t>8</w:t>
                  </w:r>
                </w:p>
              </w:tc>
              <w:tc>
                <w:tcPr>
                  <w:tcW w:w="4328" w:type="dxa"/>
                  <w:vAlign w:val="center"/>
                </w:tcPr>
                <w:p w14:paraId="68DF37A7">
                  <w:pPr>
                    <w:pStyle w:val="42"/>
                  </w:pPr>
                  <w:r>
                    <w:rPr>
                      <w:rFonts w:hint="eastAsia"/>
                    </w:rPr>
                    <w:t>耗氧量（</w:t>
                  </w:r>
                  <w:r>
                    <w:t>COD</w:t>
                  </w:r>
                  <w:r>
                    <w:rPr>
                      <w:vertAlign w:val="subscript"/>
                    </w:rPr>
                    <w:t>Mn</w:t>
                  </w:r>
                  <w:r>
                    <w:rPr>
                      <w:rFonts w:hint="eastAsia"/>
                    </w:rPr>
                    <w:t>法，以</w:t>
                  </w:r>
                  <w:r>
                    <w:t>O</w:t>
                  </w:r>
                  <w:r>
                    <w:rPr>
                      <w:vertAlign w:val="subscript"/>
                    </w:rPr>
                    <w:t>2</w:t>
                  </w:r>
                  <w:r>
                    <w:rPr>
                      <w:rFonts w:hint="eastAsia"/>
                    </w:rPr>
                    <w:t>计）</w:t>
                  </w:r>
                </w:p>
              </w:tc>
              <w:tc>
                <w:tcPr>
                  <w:tcW w:w="2674" w:type="dxa"/>
                  <w:vAlign w:val="center"/>
                </w:tcPr>
                <w:p w14:paraId="5666E313">
                  <w:pPr>
                    <w:pStyle w:val="42"/>
                  </w:pPr>
                  <w:r>
                    <w:rPr>
                      <w:rFonts w:hint="eastAsia"/>
                    </w:rPr>
                    <w:t>≤</w:t>
                  </w:r>
                  <w:r>
                    <w:t>3</w:t>
                  </w:r>
                </w:p>
              </w:tc>
            </w:tr>
            <w:tr w14:paraId="287F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6E6BA6E6">
                  <w:pPr>
                    <w:pStyle w:val="42"/>
                  </w:pPr>
                  <w:r>
                    <w:t>9</w:t>
                  </w:r>
                </w:p>
              </w:tc>
              <w:tc>
                <w:tcPr>
                  <w:tcW w:w="4328" w:type="dxa"/>
                  <w:vAlign w:val="center"/>
                </w:tcPr>
                <w:p w14:paraId="32EEB99F">
                  <w:pPr>
                    <w:pStyle w:val="42"/>
                  </w:pPr>
                  <w:r>
                    <w:rPr>
                      <w:rFonts w:hint="eastAsia"/>
                    </w:rPr>
                    <w:t>氯化物</w:t>
                  </w:r>
                </w:p>
              </w:tc>
              <w:tc>
                <w:tcPr>
                  <w:tcW w:w="2674" w:type="dxa"/>
                  <w:vAlign w:val="center"/>
                </w:tcPr>
                <w:p w14:paraId="0B53CA2D">
                  <w:pPr>
                    <w:pStyle w:val="42"/>
                  </w:pPr>
                  <w:r>
                    <w:rPr>
                      <w:rFonts w:hint="eastAsia"/>
                    </w:rPr>
                    <w:t>≤</w:t>
                  </w:r>
                  <w:r>
                    <w:t>250</w:t>
                  </w:r>
                </w:p>
              </w:tc>
            </w:tr>
            <w:tr w14:paraId="60E0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dxa"/>
                  <w:vAlign w:val="center"/>
                </w:tcPr>
                <w:p w14:paraId="4E38516E">
                  <w:pPr>
                    <w:pStyle w:val="42"/>
                  </w:pPr>
                  <w:r>
                    <w:t>10</w:t>
                  </w:r>
                </w:p>
              </w:tc>
              <w:tc>
                <w:tcPr>
                  <w:tcW w:w="4328" w:type="dxa"/>
                  <w:vAlign w:val="center"/>
                </w:tcPr>
                <w:p w14:paraId="6198D681">
                  <w:pPr>
                    <w:pStyle w:val="42"/>
                  </w:pPr>
                  <w:r>
                    <w:rPr>
                      <w:rFonts w:hint="eastAsia"/>
                    </w:rPr>
                    <w:t>硫酸盐</w:t>
                  </w:r>
                </w:p>
              </w:tc>
              <w:tc>
                <w:tcPr>
                  <w:tcW w:w="2674" w:type="dxa"/>
                  <w:vAlign w:val="center"/>
                </w:tcPr>
                <w:p w14:paraId="3F6A0222">
                  <w:pPr>
                    <w:pStyle w:val="42"/>
                  </w:pPr>
                  <w:r>
                    <w:rPr>
                      <w:rFonts w:hint="eastAsia"/>
                    </w:rPr>
                    <w:t>≤</w:t>
                  </w:r>
                  <w:r>
                    <w:t>250</w:t>
                  </w:r>
                </w:p>
              </w:tc>
            </w:tr>
          </w:tbl>
          <w:p w14:paraId="24B696EF">
            <w:pPr>
              <w:pStyle w:val="41"/>
              <w:ind w:firstLine="480"/>
            </w:pPr>
          </w:p>
          <w:p w14:paraId="0BC9151C">
            <w:pPr>
              <w:pStyle w:val="41"/>
              <w:ind w:firstLine="480"/>
            </w:pPr>
            <w:r>
              <w:rPr>
                <w:rFonts w:hint="eastAsia"/>
              </w:rPr>
              <w:t>（</w:t>
            </w:r>
            <w:r>
              <w:t>4</w:t>
            </w:r>
            <w:r>
              <w:rPr>
                <w:rFonts w:hint="eastAsia"/>
              </w:rPr>
              <w:t>）海水水质标准</w:t>
            </w:r>
          </w:p>
          <w:p w14:paraId="3C3B952F">
            <w:pPr>
              <w:pStyle w:val="41"/>
              <w:ind w:firstLine="480"/>
            </w:pPr>
            <w:r>
              <w:rPr>
                <w:rFonts w:hint="eastAsia"/>
              </w:rPr>
              <w:t>根据《广西钦州石化产业园总体发展规划（</w:t>
            </w:r>
            <w:r>
              <w:t>2020-2035</w:t>
            </w:r>
            <w:r>
              <w:rPr>
                <w:rFonts w:hint="eastAsia"/>
              </w:rPr>
              <w:t>）环境影响报告书》，金谷片区对应的排污区为A1排污区：金鼓江污水深海排放区，中心坐标E108°37′42″，N21°41′14″，混合区为以500m为半径的圆形区域，面积50hm</w:t>
            </w:r>
            <w:r>
              <w:rPr>
                <w:rFonts w:hint="eastAsia"/>
                <w:vertAlign w:val="superscript"/>
              </w:rPr>
              <w:t>2</w:t>
            </w:r>
            <w:r>
              <w:rPr>
                <w:rFonts w:hint="eastAsia"/>
              </w:rPr>
              <w:t>，海水水质执行《海水水质标准》（</w:t>
            </w:r>
            <w:r>
              <w:t>GB 3097-1997</w:t>
            </w:r>
            <w:r>
              <w:rPr>
                <w:rFonts w:hint="eastAsia"/>
              </w:rPr>
              <w:t>）中的四类标准。</w:t>
            </w:r>
          </w:p>
          <w:p w14:paraId="54D706E3">
            <w:pPr>
              <w:pStyle w:val="41"/>
              <w:numPr>
                <w:ilvl w:val="0"/>
                <w:numId w:val="7"/>
              </w:numPr>
              <w:spacing w:line="240" w:lineRule="auto"/>
              <w:ind w:firstLineChars="0"/>
              <w:jc w:val="center"/>
              <w:rPr>
                <w:b/>
                <w:bCs/>
                <w:sz w:val="21"/>
                <w:szCs w:val="21"/>
              </w:rPr>
            </w:pPr>
            <w:r>
              <w:rPr>
                <w:rFonts w:hint="eastAsia"/>
                <w:b/>
                <w:bCs/>
                <w:sz w:val="21"/>
                <w:szCs w:val="21"/>
              </w:rPr>
              <w:t>海水水质标准（摘录）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402"/>
              <w:gridCol w:w="3884"/>
            </w:tblGrid>
            <w:tr w14:paraId="5FAC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6" w:type="dxa"/>
                  <w:vMerge w:val="restart"/>
                  <w:vAlign w:val="center"/>
                </w:tcPr>
                <w:p w14:paraId="583011FF">
                  <w:pPr>
                    <w:pStyle w:val="42"/>
                    <w:rPr>
                      <w:b/>
                      <w:bCs/>
                    </w:rPr>
                  </w:pPr>
                  <w:r>
                    <w:rPr>
                      <w:rFonts w:hint="eastAsia"/>
                      <w:b/>
                      <w:bCs/>
                    </w:rPr>
                    <w:t>序号</w:t>
                  </w:r>
                </w:p>
              </w:tc>
              <w:tc>
                <w:tcPr>
                  <w:tcW w:w="3402" w:type="dxa"/>
                  <w:vMerge w:val="restart"/>
                  <w:vAlign w:val="center"/>
                </w:tcPr>
                <w:p w14:paraId="472F542E">
                  <w:pPr>
                    <w:pStyle w:val="42"/>
                    <w:rPr>
                      <w:b/>
                      <w:bCs/>
                    </w:rPr>
                  </w:pPr>
                  <w:r>
                    <w:rPr>
                      <w:rFonts w:hint="eastAsia"/>
                      <w:b/>
                      <w:bCs/>
                    </w:rPr>
                    <w:t>项目</w:t>
                  </w:r>
                </w:p>
              </w:tc>
              <w:tc>
                <w:tcPr>
                  <w:tcW w:w="3884" w:type="dxa"/>
                  <w:vAlign w:val="center"/>
                </w:tcPr>
                <w:p w14:paraId="7DBD3BCE">
                  <w:pPr>
                    <w:pStyle w:val="42"/>
                    <w:rPr>
                      <w:b/>
                      <w:bCs/>
                    </w:rPr>
                  </w:pPr>
                  <w:r>
                    <w:rPr>
                      <w:rFonts w:hint="eastAsia"/>
                      <w:b/>
                      <w:bCs/>
                    </w:rPr>
                    <w:t>标准值（</w:t>
                  </w:r>
                  <w:r>
                    <w:rPr>
                      <w:b/>
                      <w:bCs/>
                    </w:rPr>
                    <w:t>mg/L</w:t>
                  </w:r>
                  <w:r>
                    <w:rPr>
                      <w:rFonts w:hint="eastAsia"/>
                      <w:b/>
                      <w:bCs/>
                    </w:rPr>
                    <w:t>）</w:t>
                  </w:r>
                </w:p>
              </w:tc>
            </w:tr>
            <w:tr w14:paraId="575A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6" w:type="dxa"/>
                  <w:vMerge w:val="continue"/>
                  <w:vAlign w:val="center"/>
                </w:tcPr>
                <w:p w14:paraId="6D01AC6B">
                  <w:pPr>
                    <w:pStyle w:val="42"/>
                    <w:rPr>
                      <w:b/>
                      <w:bCs/>
                    </w:rPr>
                  </w:pPr>
                </w:p>
              </w:tc>
              <w:tc>
                <w:tcPr>
                  <w:tcW w:w="3402" w:type="dxa"/>
                  <w:vMerge w:val="continue"/>
                  <w:vAlign w:val="center"/>
                </w:tcPr>
                <w:p w14:paraId="74407E1A">
                  <w:pPr>
                    <w:pStyle w:val="42"/>
                    <w:rPr>
                      <w:b/>
                      <w:bCs/>
                    </w:rPr>
                  </w:pPr>
                </w:p>
              </w:tc>
              <w:tc>
                <w:tcPr>
                  <w:tcW w:w="3884" w:type="dxa"/>
                  <w:vAlign w:val="center"/>
                </w:tcPr>
                <w:p w14:paraId="6932A7C0">
                  <w:pPr>
                    <w:pStyle w:val="42"/>
                    <w:rPr>
                      <w:b/>
                      <w:bCs/>
                    </w:rPr>
                  </w:pPr>
                  <w:r>
                    <w:rPr>
                      <w:rFonts w:hint="eastAsia"/>
                      <w:b/>
                      <w:bCs/>
                    </w:rPr>
                    <w:t>四类</w:t>
                  </w:r>
                </w:p>
              </w:tc>
            </w:tr>
            <w:tr w14:paraId="1A02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3FE63DC4">
                  <w:pPr>
                    <w:pStyle w:val="42"/>
                  </w:pPr>
                  <w:r>
                    <w:t>1</w:t>
                  </w:r>
                </w:p>
              </w:tc>
              <w:tc>
                <w:tcPr>
                  <w:tcW w:w="3402" w:type="dxa"/>
                  <w:vAlign w:val="center"/>
                </w:tcPr>
                <w:p w14:paraId="7EDC6530">
                  <w:pPr>
                    <w:pStyle w:val="42"/>
                  </w:pPr>
                  <w:r>
                    <w:rPr>
                      <w:rFonts w:hint="eastAsia"/>
                    </w:rPr>
                    <w:t>水温</w:t>
                  </w:r>
                </w:p>
              </w:tc>
              <w:tc>
                <w:tcPr>
                  <w:tcW w:w="3884" w:type="dxa"/>
                  <w:vAlign w:val="center"/>
                </w:tcPr>
                <w:p w14:paraId="6822CC3C">
                  <w:pPr>
                    <w:pStyle w:val="42"/>
                  </w:pPr>
                  <w:r>
                    <w:rPr>
                      <w:rFonts w:hint="eastAsia"/>
                    </w:rPr>
                    <w:t>人为造成的海水温升不超过当时当地</w:t>
                  </w:r>
                  <w:r>
                    <w:t>4</w:t>
                  </w:r>
                  <w:r>
                    <w:rPr>
                      <w:rFonts w:hint="eastAsia"/>
                    </w:rPr>
                    <w:t>℃</w:t>
                  </w:r>
                </w:p>
              </w:tc>
            </w:tr>
            <w:tr w14:paraId="5D57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5AA9E654">
                  <w:pPr>
                    <w:pStyle w:val="42"/>
                  </w:pPr>
                  <w:r>
                    <w:t>2</w:t>
                  </w:r>
                </w:p>
              </w:tc>
              <w:tc>
                <w:tcPr>
                  <w:tcW w:w="3402" w:type="dxa"/>
                  <w:vAlign w:val="center"/>
                </w:tcPr>
                <w:p w14:paraId="42F61C2D">
                  <w:pPr>
                    <w:pStyle w:val="42"/>
                  </w:pPr>
                  <w:r>
                    <w:t>pH</w:t>
                  </w:r>
                </w:p>
              </w:tc>
              <w:tc>
                <w:tcPr>
                  <w:tcW w:w="3884" w:type="dxa"/>
                  <w:vAlign w:val="center"/>
                </w:tcPr>
                <w:p w14:paraId="76A3C741">
                  <w:pPr>
                    <w:pStyle w:val="42"/>
                  </w:pPr>
                  <w:r>
                    <w:t>6.8~8.8</w:t>
                  </w:r>
                </w:p>
                <w:p w14:paraId="042011D0">
                  <w:pPr>
                    <w:pStyle w:val="42"/>
                  </w:pPr>
                  <w:r>
                    <w:rPr>
                      <w:rFonts w:hint="eastAsia"/>
                    </w:rPr>
                    <w:t>同时不超出该海域正常变动范围的</w:t>
                  </w:r>
                  <w:r>
                    <w:t>0.5pH</w:t>
                  </w:r>
                  <w:r>
                    <w:rPr>
                      <w:rFonts w:hint="eastAsia"/>
                    </w:rPr>
                    <w:t>单位</w:t>
                  </w:r>
                </w:p>
              </w:tc>
            </w:tr>
            <w:tr w14:paraId="3B1B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37148BA">
                  <w:pPr>
                    <w:pStyle w:val="42"/>
                  </w:pPr>
                  <w:r>
                    <w:t>3</w:t>
                  </w:r>
                </w:p>
              </w:tc>
              <w:tc>
                <w:tcPr>
                  <w:tcW w:w="3402" w:type="dxa"/>
                  <w:vAlign w:val="center"/>
                </w:tcPr>
                <w:p w14:paraId="7BFFB1E7">
                  <w:pPr>
                    <w:pStyle w:val="42"/>
                  </w:pPr>
                  <w:r>
                    <w:rPr>
                      <w:rFonts w:hint="eastAsia"/>
                    </w:rPr>
                    <w:t>悬浮物</w:t>
                  </w:r>
                </w:p>
              </w:tc>
              <w:tc>
                <w:tcPr>
                  <w:tcW w:w="3884" w:type="dxa"/>
                  <w:vAlign w:val="center"/>
                </w:tcPr>
                <w:p w14:paraId="1B58DCD0">
                  <w:pPr>
                    <w:pStyle w:val="42"/>
                  </w:pPr>
                  <w:r>
                    <w:rPr>
                      <w:rFonts w:hint="eastAsia"/>
                    </w:rPr>
                    <w:t>人为增加的量≤</w:t>
                  </w:r>
                  <w:r>
                    <w:t>150</w:t>
                  </w:r>
                </w:p>
              </w:tc>
            </w:tr>
            <w:tr w14:paraId="251E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34D30A19">
                  <w:pPr>
                    <w:pStyle w:val="42"/>
                  </w:pPr>
                  <w:r>
                    <w:t>4</w:t>
                  </w:r>
                </w:p>
              </w:tc>
              <w:tc>
                <w:tcPr>
                  <w:tcW w:w="3402" w:type="dxa"/>
                  <w:vAlign w:val="center"/>
                </w:tcPr>
                <w:p w14:paraId="1F37347B">
                  <w:pPr>
                    <w:pStyle w:val="42"/>
                  </w:pPr>
                  <w:r>
                    <w:rPr>
                      <w:rFonts w:hint="eastAsia"/>
                    </w:rPr>
                    <w:t>溶解氧＞</w:t>
                  </w:r>
                </w:p>
              </w:tc>
              <w:tc>
                <w:tcPr>
                  <w:tcW w:w="3884" w:type="dxa"/>
                  <w:vAlign w:val="center"/>
                </w:tcPr>
                <w:p w14:paraId="23E50C88">
                  <w:pPr>
                    <w:pStyle w:val="42"/>
                  </w:pPr>
                  <w:r>
                    <w:t>3</w:t>
                  </w:r>
                </w:p>
              </w:tc>
            </w:tr>
            <w:tr w14:paraId="6BBA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D2AD0C6">
                  <w:pPr>
                    <w:pStyle w:val="42"/>
                  </w:pPr>
                  <w:r>
                    <w:t>5</w:t>
                  </w:r>
                </w:p>
              </w:tc>
              <w:tc>
                <w:tcPr>
                  <w:tcW w:w="3402" w:type="dxa"/>
                  <w:vAlign w:val="center"/>
                </w:tcPr>
                <w:p w14:paraId="0E9803A4">
                  <w:pPr>
                    <w:pStyle w:val="42"/>
                  </w:pPr>
                  <w:r>
                    <w:rPr>
                      <w:rFonts w:hint="eastAsia"/>
                    </w:rPr>
                    <w:t>化学需氧量（</w:t>
                  </w:r>
                  <w:r>
                    <w:t>COD</w:t>
                  </w:r>
                  <w:r>
                    <w:rPr>
                      <w:rFonts w:hint="eastAsia"/>
                    </w:rPr>
                    <w:t>）≤</w:t>
                  </w:r>
                </w:p>
              </w:tc>
              <w:tc>
                <w:tcPr>
                  <w:tcW w:w="3884" w:type="dxa"/>
                  <w:vAlign w:val="center"/>
                </w:tcPr>
                <w:p w14:paraId="78D05788">
                  <w:pPr>
                    <w:pStyle w:val="42"/>
                  </w:pPr>
                  <w:r>
                    <w:t>5</w:t>
                  </w:r>
                </w:p>
              </w:tc>
            </w:tr>
            <w:tr w14:paraId="0DAE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7F62BF73">
                  <w:pPr>
                    <w:pStyle w:val="42"/>
                  </w:pPr>
                  <w:r>
                    <w:t>6</w:t>
                  </w:r>
                </w:p>
              </w:tc>
              <w:tc>
                <w:tcPr>
                  <w:tcW w:w="3402" w:type="dxa"/>
                  <w:vAlign w:val="center"/>
                </w:tcPr>
                <w:p w14:paraId="0A57A02F">
                  <w:pPr>
                    <w:pStyle w:val="42"/>
                  </w:pPr>
                  <w:r>
                    <w:rPr>
                      <w:rFonts w:hint="eastAsia"/>
                    </w:rPr>
                    <w:t>无机氮≤（以</w:t>
                  </w:r>
                  <w:r>
                    <w:t>N</w:t>
                  </w:r>
                  <w:r>
                    <w:rPr>
                      <w:rFonts w:hint="eastAsia"/>
                    </w:rPr>
                    <w:t>计）</w:t>
                  </w:r>
                </w:p>
              </w:tc>
              <w:tc>
                <w:tcPr>
                  <w:tcW w:w="3884" w:type="dxa"/>
                  <w:vAlign w:val="center"/>
                </w:tcPr>
                <w:p w14:paraId="5EA8D2DC">
                  <w:pPr>
                    <w:pStyle w:val="42"/>
                  </w:pPr>
                  <w:r>
                    <w:t>0.50</w:t>
                  </w:r>
                </w:p>
              </w:tc>
            </w:tr>
            <w:tr w14:paraId="75A6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E03DBA3">
                  <w:pPr>
                    <w:pStyle w:val="42"/>
                  </w:pPr>
                  <w:r>
                    <w:t>7</w:t>
                  </w:r>
                </w:p>
              </w:tc>
              <w:tc>
                <w:tcPr>
                  <w:tcW w:w="3402" w:type="dxa"/>
                  <w:vAlign w:val="center"/>
                </w:tcPr>
                <w:p w14:paraId="250DDCB9">
                  <w:pPr>
                    <w:pStyle w:val="42"/>
                  </w:pPr>
                  <w:r>
                    <w:rPr>
                      <w:rFonts w:hint="eastAsia"/>
                    </w:rPr>
                    <w:t>非离子氨≤（以</w:t>
                  </w:r>
                  <w:r>
                    <w:t>N</w:t>
                  </w:r>
                  <w:r>
                    <w:rPr>
                      <w:rFonts w:hint="eastAsia"/>
                    </w:rPr>
                    <w:t>计）</w:t>
                  </w:r>
                </w:p>
              </w:tc>
              <w:tc>
                <w:tcPr>
                  <w:tcW w:w="3884" w:type="dxa"/>
                  <w:vAlign w:val="center"/>
                </w:tcPr>
                <w:p w14:paraId="1FD97D40">
                  <w:pPr>
                    <w:pStyle w:val="42"/>
                  </w:pPr>
                  <w:r>
                    <w:t>0.020</w:t>
                  </w:r>
                </w:p>
              </w:tc>
            </w:tr>
            <w:tr w14:paraId="1DDB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9BF3BEC">
                  <w:pPr>
                    <w:pStyle w:val="42"/>
                  </w:pPr>
                  <w:r>
                    <w:t>8</w:t>
                  </w:r>
                </w:p>
              </w:tc>
              <w:tc>
                <w:tcPr>
                  <w:tcW w:w="3402" w:type="dxa"/>
                  <w:vAlign w:val="center"/>
                </w:tcPr>
                <w:p w14:paraId="586A920B">
                  <w:pPr>
                    <w:pStyle w:val="42"/>
                  </w:pPr>
                  <w:r>
                    <w:rPr>
                      <w:rFonts w:hint="eastAsia"/>
                    </w:rPr>
                    <w:t>活性磷酸盐≤（以</w:t>
                  </w:r>
                  <w:r>
                    <w:t>P</w:t>
                  </w:r>
                  <w:r>
                    <w:rPr>
                      <w:rFonts w:hint="eastAsia"/>
                    </w:rPr>
                    <w:t>计）</w:t>
                  </w:r>
                </w:p>
              </w:tc>
              <w:tc>
                <w:tcPr>
                  <w:tcW w:w="3884" w:type="dxa"/>
                  <w:vAlign w:val="center"/>
                </w:tcPr>
                <w:p w14:paraId="0B718A83">
                  <w:pPr>
                    <w:pStyle w:val="42"/>
                  </w:pPr>
                  <w:r>
                    <w:t>0.045</w:t>
                  </w:r>
                </w:p>
              </w:tc>
            </w:tr>
            <w:tr w14:paraId="67B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9E07CEB">
                  <w:pPr>
                    <w:pStyle w:val="42"/>
                  </w:pPr>
                  <w:r>
                    <w:t>9</w:t>
                  </w:r>
                </w:p>
              </w:tc>
              <w:tc>
                <w:tcPr>
                  <w:tcW w:w="3402" w:type="dxa"/>
                  <w:vAlign w:val="center"/>
                </w:tcPr>
                <w:p w14:paraId="0424EE9C">
                  <w:pPr>
                    <w:pStyle w:val="42"/>
                  </w:pPr>
                  <w:r>
                    <w:rPr>
                      <w:rFonts w:hint="eastAsia"/>
                    </w:rPr>
                    <w:t>石油类≤</w:t>
                  </w:r>
                </w:p>
              </w:tc>
              <w:tc>
                <w:tcPr>
                  <w:tcW w:w="3884" w:type="dxa"/>
                  <w:vAlign w:val="center"/>
                </w:tcPr>
                <w:p w14:paraId="17E282BC">
                  <w:pPr>
                    <w:pStyle w:val="42"/>
                  </w:pPr>
                  <w:r>
                    <w:t>0.50</w:t>
                  </w:r>
                </w:p>
              </w:tc>
            </w:tr>
            <w:tr w14:paraId="63D1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1D01F8A">
                  <w:pPr>
                    <w:pStyle w:val="42"/>
                  </w:pPr>
                  <w:r>
                    <w:t>10</w:t>
                  </w:r>
                </w:p>
              </w:tc>
              <w:tc>
                <w:tcPr>
                  <w:tcW w:w="3402" w:type="dxa"/>
                  <w:vAlign w:val="center"/>
                </w:tcPr>
                <w:p w14:paraId="28569A45">
                  <w:pPr>
                    <w:pStyle w:val="42"/>
                  </w:pPr>
                  <w:r>
                    <w:rPr>
                      <w:rFonts w:hint="eastAsia"/>
                    </w:rPr>
                    <w:t>汞≤</w:t>
                  </w:r>
                </w:p>
              </w:tc>
              <w:tc>
                <w:tcPr>
                  <w:tcW w:w="3884" w:type="dxa"/>
                  <w:vAlign w:val="center"/>
                </w:tcPr>
                <w:p w14:paraId="1D691832">
                  <w:pPr>
                    <w:pStyle w:val="42"/>
                  </w:pPr>
                  <w:r>
                    <w:t>0.0005</w:t>
                  </w:r>
                </w:p>
              </w:tc>
            </w:tr>
            <w:tr w14:paraId="70C6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95B8EF7">
                  <w:pPr>
                    <w:pStyle w:val="42"/>
                  </w:pPr>
                  <w:r>
                    <w:t>11</w:t>
                  </w:r>
                </w:p>
              </w:tc>
              <w:tc>
                <w:tcPr>
                  <w:tcW w:w="3402" w:type="dxa"/>
                  <w:vAlign w:val="center"/>
                </w:tcPr>
                <w:p w14:paraId="18885992">
                  <w:pPr>
                    <w:pStyle w:val="42"/>
                  </w:pPr>
                  <w:r>
                    <w:rPr>
                      <w:rFonts w:hint="eastAsia"/>
                    </w:rPr>
                    <w:t>铜≤</w:t>
                  </w:r>
                </w:p>
              </w:tc>
              <w:tc>
                <w:tcPr>
                  <w:tcW w:w="3884" w:type="dxa"/>
                  <w:vAlign w:val="center"/>
                </w:tcPr>
                <w:p w14:paraId="41E10696">
                  <w:pPr>
                    <w:pStyle w:val="42"/>
                  </w:pPr>
                  <w:r>
                    <w:t>0.050</w:t>
                  </w:r>
                </w:p>
              </w:tc>
            </w:tr>
            <w:tr w14:paraId="6B0C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C06D718">
                  <w:pPr>
                    <w:pStyle w:val="42"/>
                  </w:pPr>
                  <w:r>
                    <w:t>12</w:t>
                  </w:r>
                </w:p>
              </w:tc>
              <w:tc>
                <w:tcPr>
                  <w:tcW w:w="3402" w:type="dxa"/>
                  <w:vAlign w:val="center"/>
                </w:tcPr>
                <w:p w14:paraId="7D7679EC">
                  <w:pPr>
                    <w:pStyle w:val="42"/>
                  </w:pPr>
                  <w:r>
                    <w:rPr>
                      <w:rFonts w:hint="eastAsia"/>
                    </w:rPr>
                    <w:t>铅≤</w:t>
                  </w:r>
                </w:p>
              </w:tc>
              <w:tc>
                <w:tcPr>
                  <w:tcW w:w="3884" w:type="dxa"/>
                  <w:vAlign w:val="center"/>
                </w:tcPr>
                <w:p w14:paraId="45305A81">
                  <w:pPr>
                    <w:pStyle w:val="42"/>
                  </w:pPr>
                  <w:r>
                    <w:t>0.050</w:t>
                  </w:r>
                </w:p>
              </w:tc>
            </w:tr>
            <w:tr w14:paraId="2406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68D8A244">
                  <w:pPr>
                    <w:pStyle w:val="42"/>
                  </w:pPr>
                  <w:r>
                    <w:t>13</w:t>
                  </w:r>
                </w:p>
              </w:tc>
              <w:tc>
                <w:tcPr>
                  <w:tcW w:w="3402" w:type="dxa"/>
                  <w:vAlign w:val="center"/>
                </w:tcPr>
                <w:p w14:paraId="59D5FEEA">
                  <w:pPr>
                    <w:pStyle w:val="42"/>
                  </w:pPr>
                  <w:r>
                    <w:rPr>
                      <w:rFonts w:hint="eastAsia"/>
                    </w:rPr>
                    <w:t>镉≤</w:t>
                  </w:r>
                </w:p>
              </w:tc>
              <w:tc>
                <w:tcPr>
                  <w:tcW w:w="3884" w:type="dxa"/>
                  <w:vAlign w:val="center"/>
                </w:tcPr>
                <w:p w14:paraId="01A14CA6">
                  <w:pPr>
                    <w:pStyle w:val="42"/>
                  </w:pPr>
                  <w:r>
                    <w:t>0.010</w:t>
                  </w:r>
                </w:p>
              </w:tc>
            </w:tr>
            <w:tr w14:paraId="175E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D6691B1">
                  <w:pPr>
                    <w:pStyle w:val="42"/>
                  </w:pPr>
                  <w:r>
                    <w:t>14</w:t>
                  </w:r>
                </w:p>
              </w:tc>
              <w:tc>
                <w:tcPr>
                  <w:tcW w:w="3402" w:type="dxa"/>
                  <w:vAlign w:val="center"/>
                </w:tcPr>
                <w:p w14:paraId="02EFFE92">
                  <w:pPr>
                    <w:pStyle w:val="42"/>
                  </w:pPr>
                  <w:r>
                    <w:rPr>
                      <w:rFonts w:hint="eastAsia"/>
                    </w:rPr>
                    <w:t>砷≤</w:t>
                  </w:r>
                </w:p>
              </w:tc>
              <w:tc>
                <w:tcPr>
                  <w:tcW w:w="3884" w:type="dxa"/>
                  <w:vAlign w:val="center"/>
                </w:tcPr>
                <w:p w14:paraId="4C05D8E7">
                  <w:pPr>
                    <w:pStyle w:val="42"/>
                  </w:pPr>
                  <w:r>
                    <w:t>0.050</w:t>
                  </w:r>
                </w:p>
              </w:tc>
            </w:tr>
            <w:tr w14:paraId="333F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3252C4D5">
                  <w:pPr>
                    <w:pStyle w:val="42"/>
                  </w:pPr>
                  <w:r>
                    <w:t>15</w:t>
                  </w:r>
                </w:p>
              </w:tc>
              <w:tc>
                <w:tcPr>
                  <w:tcW w:w="3402" w:type="dxa"/>
                  <w:vAlign w:val="center"/>
                </w:tcPr>
                <w:p w14:paraId="2C55EC2F">
                  <w:pPr>
                    <w:pStyle w:val="42"/>
                  </w:pPr>
                  <w:r>
                    <w:rPr>
                      <w:rFonts w:hint="eastAsia"/>
                    </w:rPr>
                    <w:t>总铬≤</w:t>
                  </w:r>
                </w:p>
              </w:tc>
              <w:tc>
                <w:tcPr>
                  <w:tcW w:w="3884" w:type="dxa"/>
                  <w:vAlign w:val="center"/>
                </w:tcPr>
                <w:p w14:paraId="77528184">
                  <w:pPr>
                    <w:pStyle w:val="42"/>
                  </w:pPr>
                  <w:r>
                    <w:t>0.50</w:t>
                  </w:r>
                </w:p>
              </w:tc>
            </w:tr>
            <w:tr w14:paraId="4FFF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29D8567D">
                  <w:pPr>
                    <w:pStyle w:val="42"/>
                  </w:pPr>
                  <w:r>
                    <w:t>16</w:t>
                  </w:r>
                </w:p>
              </w:tc>
              <w:tc>
                <w:tcPr>
                  <w:tcW w:w="3402" w:type="dxa"/>
                  <w:vAlign w:val="center"/>
                </w:tcPr>
                <w:p w14:paraId="6B7ACB14">
                  <w:pPr>
                    <w:pStyle w:val="42"/>
                  </w:pPr>
                  <w:r>
                    <w:rPr>
                      <w:rFonts w:hint="eastAsia"/>
                    </w:rPr>
                    <w:t>硫化物≤（以</w:t>
                  </w:r>
                  <w:r>
                    <w:t xml:space="preserve">S </w:t>
                  </w:r>
                  <w:r>
                    <w:rPr>
                      <w:rFonts w:hint="eastAsia"/>
                    </w:rPr>
                    <w:t>计）</w:t>
                  </w:r>
                </w:p>
              </w:tc>
              <w:tc>
                <w:tcPr>
                  <w:tcW w:w="3884" w:type="dxa"/>
                  <w:vAlign w:val="center"/>
                </w:tcPr>
                <w:p w14:paraId="60CDBE04">
                  <w:pPr>
                    <w:pStyle w:val="42"/>
                  </w:pPr>
                  <w:r>
                    <w:t>0.25</w:t>
                  </w:r>
                </w:p>
              </w:tc>
            </w:tr>
            <w:tr w14:paraId="5580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1AE2159F">
                  <w:pPr>
                    <w:pStyle w:val="42"/>
                  </w:pPr>
                  <w:r>
                    <w:t>17</w:t>
                  </w:r>
                </w:p>
              </w:tc>
              <w:tc>
                <w:tcPr>
                  <w:tcW w:w="3402" w:type="dxa"/>
                  <w:vAlign w:val="center"/>
                </w:tcPr>
                <w:p w14:paraId="6E643C9E">
                  <w:pPr>
                    <w:pStyle w:val="42"/>
                  </w:pPr>
                  <w:r>
                    <w:rPr>
                      <w:rFonts w:hint="eastAsia"/>
                    </w:rPr>
                    <w:t>氰化物≤</w:t>
                  </w:r>
                </w:p>
              </w:tc>
              <w:tc>
                <w:tcPr>
                  <w:tcW w:w="3884" w:type="dxa"/>
                  <w:vAlign w:val="center"/>
                </w:tcPr>
                <w:p w14:paraId="16765AA9">
                  <w:pPr>
                    <w:pStyle w:val="42"/>
                  </w:pPr>
                  <w:r>
                    <w:t>0.20</w:t>
                  </w:r>
                </w:p>
              </w:tc>
            </w:tr>
            <w:tr w14:paraId="2B4B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44F3A3AF">
                  <w:pPr>
                    <w:pStyle w:val="42"/>
                  </w:pPr>
                  <w:r>
                    <w:t>18</w:t>
                  </w:r>
                </w:p>
              </w:tc>
              <w:tc>
                <w:tcPr>
                  <w:tcW w:w="3402" w:type="dxa"/>
                  <w:vAlign w:val="center"/>
                </w:tcPr>
                <w:p w14:paraId="51DB5BA5">
                  <w:pPr>
                    <w:pStyle w:val="42"/>
                  </w:pPr>
                  <w:r>
                    <w:rPr>
                      <w:rFonts w:hint="eastAsia"/>
                    </w:rPr>
                    <w:t>挥发性酚类≤</w:t>
                  </w:r>
                </w:p>
              </w:tc>
              <w:tc>
                <w:tcPr>
                  <w:tcW w:w="3884" w:type="dxa"/>
                  <w:vAlign w:val="center"/>
                </w:tcPr>
                <w:p w14:paraId="6757B86F">
                  <w:pPr>
                    <w:pStyle w:val="42"/>
                  </w:pPr>
                  <w:r>
                    <w:t>0.050</w:t>
                  </w:r>
                </w:p>
              </w:tc>
            </w:tr>
          </w:tbl>
          <w:p w14:paraId="05868E50">
            <w:pPr>
              <w:pStyle w:val="41"/>
              <w:ind w:firstLine="480"/>
            </w:pPr>
          </w:p>
          <w:p w14:paraId="160E341C">
            <w:pPr>
              <w:pStyle w:val="41"/>
              <w:ind w:firstLine="482"/>
              <w:rPr>
                <w:b/>
                <w:bCs/>
              </w:rPr>
            </w:pPr>
            <w:r>
              <w:rPr>
                <w:rFonts w:hint="eastAsia"/>
                <w:b/>
                <w:bCs/>
              </w:rPr>
              <w:t>二、污染物排放标准</w:t>
            </w:r>
          </w:p>
          <w:p w14:paraId="39F1CD9F">
            <w:pPr>
              <w:pStyle w:val="41"/>
              <w:ind w:firstLine="480"/>
            </w:pPr>
            <w:r>
              <w:t>（</w:t>
            </w:r>
            <w:r>
              <w:rPr>
                <w:rFonts w:hint="eastAsia"/>
              </w:rPr>
              <w:t>1</w:t>
            </w:r>
            <w:r>
              <w:t>）</w:t>
            </w:r>
            <w:r>
              <w:rPr>
                <w:rFonts w:hint="eastAsia"/>
              </w:rPr>
              <w:t>废气</w:t>
            </w:r>
          </w:p>
          <w:p w14:paraId="0C6A1020">
            <w:pPr>
              <w:pStyle w:val="41"/>
              <w:ind w:firstLine="480"/>
            </w:pPr>
            <w:r>
              <w:rPr>
                <w:rFonts w:hint="eastAsia"/>
              </w:rPr>
              <w:t>项目施工期间，施工活动产生的扬尘、施工机械废气等排放标准参照《大气污染物综合排放标准》（</w:t>
            </w:r>
            <w:r>
              <w:t>GB16297-1996</w:t>
            </w:r>
            <w:r>
              <w:rPr>
                <w:rFonts w:hint="eastAsia"/>
              </w:rPr>
              <w:t>）执行。项目正常运营期间无废气排放。</w:t>
            </w:r>
          </w:p>
          <w:p w14:paraId="5BF95A6A">
            <w:pPr>
              <w:pStyle w:val="41"/>
              <w:ind w:firstLine="480"/>
            </w:pPr>
            <w:r>
              <w:rPr>
                <w:rFonts w:hint="eastAsia"/>
              </w:rPr>
              <w:t>（2）废水</w:t>
            </w:r>
          </w:p>
          <w:p w14:paraId="080E7698">
            <w:pPr>
              <w:pStyle w:val="41"/>
              <w:ind w:firstLine="480"/>
            </w:pPr>
            <w:r>
              <w:rPr>
                <w:rFonts w:hint="eastAsia"/>
              </w:rPr>
              <w:t>本项目施工期无施工废水外排，运营期生产废水先排入广西华谊能源化工配套空分项目生产污水池，后排入广西华谊能源化工配套空分项目管网，经管网排入广西天宜环境科技有限公司污水处理厂项目（一期工程）处理。故废水排放标准需满足广西华谊能源化工配套空分项目的纳管要求。根据广西华谊能源化工有限公司出具的《关于同意接收处理普莱克斯（广西）气体有限公司“广西华谊能源化工配套空分项目”污水的说明》，污水纳管水质标准如下表所示。</w:t>
            </w:r>
          </w:p>
          <w:p w14:paraId="2DE84FC8">
            <w:pPr>
              <w:pStyle w:val="41"/>
              <w:numPr>
                <w:ilvl w:val="0"/>
                <w:numId w:val="7"/>
              </w:numPr>
              <w:spacing w:line="240" w:lineRule="auto"/>
              <w:ind w:firstLineChars="0"/>
              <w:jc w:val="center"/>
              <w:rPr>
                <w:b/>
                <w:bCs/>
                <w:sz w:val="21"/>
                <w:szCs w:val="21"/>
              </w:rPr>
            </w:pPr>
            <w:r>
              <w:rPr>
                <w:rFonts w:hint="eastAsia"/>
                <w:b/>
                <w:bCs/>
                <w:sz w:val="21"/>
                <w:szCs w:val="21"/>
              </w:rPr>
              <w:t>广西华谊能源化工配套空分项目纳管标准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5"/>
              <w:gridCol w:w="2676"/>
              <w:gridCol w:w="2676"/>
            </w:tblGrid>
            <w:tr w14:paraId="2130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5" w:type="dxa"/>
                  <w:vAlign w:val="center"/>
                </w:tcPr>
                <w:p w14:paraId="444965BA">
                  <w:pPr>
                    <w:pStyle w:val="42"/>
                    <w:rPr>
                      <w:b/>
                      <w:bCs/>
                    </w:rPr>
                  </w:pPr>
                  <w:r>
                    <w:rPr>
                      <w:rFonts w:hint="eastAsia"/>
                      <w:b/>
                      <w:bCs/>
                    </w:rPr>
                    <w:t>污染物</w:t>
                  </w:r>
                </w:p>
              </w:tc>
              <w:tc>
                <w:tcPr>
                  <w:tcW w:w="2676" w:type="dxa"/>
                  <w:vAlign w:val="center"/>
                </w:tcPr>
                <w:p w14:paraId="4ED061A4">
                  <w:pPr>
                    <w:pStyle w:val="42"/>
                    <w:rPr>
                      <w:b/>
                      <w:bCs/>
                    </w:rPr>
                  </w:pPr>
                  <w:r>
                    <w:rPr>
                      <w:rFonts w:hint="eastAsia"/>
                      <w:b/>
                      <w:bCs/>
                    </w:rPr>
                    <w:t>单位</w:t>
                  </w:r>
                </w:p>
              </w:tc>
              <w:tc>
                <w:tcPr>
                  <w:tcW w:w="2676" w:type="dxa"/>
                  <w:vAlign w:val="center"/>
                </w:tcPr>
                <w:p w14:paraId="2B3EBEF3">
                  <w:pPr>
                    <w:pStyle w:val="42"/>
                    <w:rPr>
                      <w:b/>
                      <w:bCs/>
                    </w:rPr>
                  </w:pPr>
                  <w:r>
                    <w:rPr>
                      <w:rFonts w:hint="eastAsia"/>
                      <w:b/>
                      <w:bCs/>
                    </w:rPr>
                    <w:t>浓度限值</w:t>
                  </w:r>
                </w:p>
              </w:tc>
            </w:tr>
            <w:tr w14:paraId="68B3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520BAFED">
                  <w:pPr>
                    <w:pStyle w:val="42"/>
                  </w:pPr>
                  <w:r>
                    <w:t>pH</w:t>
                  </w:r>
                </w:p>
              </w:tc>
              <w:tc>
                <w:tcPr>
                  <w:tcW w:w="2676" w:type="dxa"/>
                  <w:vAlign w:val="center"/>
                </w:tcPr>
                <w:p w14:paraId="2568FF40">
                  <w:pPr>
                    <w:pStyle w:val="42"/>
                  </w:pPr>
                  <w:r>
                    <w:t>-</w:t>
                  </w:r>
                </w:p>
              </w:tc>
              <w:tc>
                <w:tcPr>
                  <w:tcW w:w="2676" w:type="dxa"/>
                  <w:vAlign w:val="center"/>
                </w:tcPr>
                <w:p w14:paraId="48150028">
                  <w:pPr>
                    <w:pStyle w:val="42"/>
                  </w:pPr>
                  <w:r>
                    <w:t>6~9</w:t>
                  </w:r>
                </w:p>
              </w:tc>
            </w:tr>
            <w:tr w14:paraId="5800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59354704">
                  <w:pPr>
                    <w:pStyle w:val="42"/>
                  </w:pPr>
                  <w:r>
                    <w:rPr>
                      <w:rFonts w:hint="eastAsia"/>
                    </w:rPr>
                    <w:t>CODcr</w:t>
                  </w:r>
                </w:p>
              </w:tc>
              <w:tc>
                <w:tcPr>
                  <w:tcW w:w="2676" w:type="dxa"/>
                  <w:vAlign w:val="center"/>
                </w:tcPr>
                <w:p w14:paraId="6BF2421C">
                  <w:pPr>
                    <w:pStyle w:val="42"/>
                  </w:pPr>
                  <w:r>
                    <w:rPr>
                      <w:rFonts w:hint="eastAsia"/>
                    </w:rPr>
                    <w:t>mg/L</w:t>
                  </w:r>
                </w:p>
              </w:tc>
              <w:tc>
                <w:tcPr>
                  <w:tcW w:w="2676" w:type="dxa"/>
                  <w:vAlign w:val="center"/>
                </w:tcPr>
                <w:p w14:paraId="47DF2E52">
                  <w:pPr>
                    <w:pStyle w:val="42"/>
                  </w:pPr>
                  <w:r>
                    <w:rPr>
                      <w:rFonts w:hint="eastAsia"/>
                    </w:rPr>
                    <w:t>≤430</w:t>
                  </w:r>
                </w:p>
              </w:tc>
            </w:tr>
            <w:tr w14:paraId="35D2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369AE547">
                  <w:pPr>
                    <w:pStyle w:val="42"/>
                  </w:pPr>
                  <w:r>
                    <w:rPr>
                      <w:rFonts w:hint="eastAsia"/>
                    </w:rPr>
                    <w:t>BOD</w:t>
                  </w:r>
                  <w:r>
                    <w:rPr>
                      <w:rFonts w:hint="eastAsia"/>
                      <w:vertAlign w:val="subscript"/>
                    </w:rPr>
                    <w:t>5</w:t>
                  </w:r>
                </w:p>
              </w:tc>
              <w:tc>
                <w:tcPr>
                  <w:tcW w:w="2676" w:type="dxa"/>
                  <w:vAlign w:val="center"/>
                </w:tcPr>
                <w:p w14:paraId="6F5AA8A3">
                  <w:pPr>
                    <w:pStyle w:val="42"/>
                  </w:pPr>
                  <w:r>
                    <w:rPr>
                      <w:rFonts w:hint="eastAsia"/>
                    </w:rPr>
                    <w:t>mg/L</w:t>
                  </w:r>
                </w:p>
              </w:tc>
              <w:tc>
                <w:tcPr>
                  <w:tcW w:w="2676" w:type="dxa"/>
                  <w:vAlign w:val="center"/>
                </w:tcPr>
                <w:p w14:paraId="040458E0">
                  <w:pPr>
                    <w:pStyle w:val="42"/>
                  </w:pPr>
                  <w:r>
                    <w:rPr>
                      <w:rFonts w:hint="eastAsia"/>
                    </w:rPr>
                    <w:t>≤150</w:t>
                  </w:r>
                </w:p>
              </w:tc>
            </w:tr>
            <w:tr w14:paraId="2281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5B13E448">
                  <w:pPr>
                    <w:pStyle w:val="42"/>
                  </w:pPr>
                  <w:r>
                    <w:rPr>
                      <w:rFonts w:hint="eastAsia"/>
                    </w:rPr>
                    <w:t>氨氮</w:t>
                  </w:r>
                </w:p>
              </w:tc>
              <w:tc>
                <w:tcPr>
                  <w:tcW w:w="2676" w:type="dxa"/>
                  <w:vAlign w:val="center"/>
                </w:tcPr>
                <w:p w14:paraId="25299538">
                  <w:pPr>
                    <w:pStyle w:val="42"/>
                  </w:pPr>
                  <w:r>
                    <w:rPr>
                      <w:rFonts w:hint="eastAsia"/>
                    </w:rPr>
                    <w:t>mg/L</w:t>
                  </w:r>
                </w:p>
              </w:tc>
              <w:tc>
                <w:tcPr>
                  <w:tcW w:w="2676" w:type="dxa"/>
                  <w:vAlign w:val="center"/>
                </w:tcPr>
                <w:p w14:paraId="474E50DF">
                  <w:pPr>
                    <w:pStyle w:val="42"/>
                  </w:pPr>
                  <w:r>
                    <w:rPr>
                      <w:rFonts w:hint="eastAsia"/>
                    </w:rPr>
                    <w:t>≤40</w:t>
                  </w:r>
                </w:p>
              </w:tc>
            </w:tr>
            <w:tr w14:paraId="0B76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572AFAA9">
                  <w:pPr>
                    <w:pStyle w:val="42"/>
                  </w:pPr>
                  <w:r>
                    <w:rPr>
                      <w:rFonts w:hint="eastAsia"/>
                    </w:rPr>
                    <w:t>SS</w:t>
                  </w:r>
                </w:p>
              </w:tc>
              <w:tc>
                <w:tcPr>
                  <w:tcW w:w="2676" w:type="dxa"/>
                  <w:vAlign w:val="center"/>
                </w:tcPr>
                <w:p w14:paraId="26DEF8CB">
                  <w:pPr>
                    <w:pStyle w:val="42"/>
                  </w:pPr>
                  <w:r>
                    <w:rPr>
                      <w:rFonts w:hint="eastAsia"/>
                    </w:rPr>
                    <w:t>mg/L</w:t>
                  </w:r>
                </w:p>
              </w:tc>
              <w:tc>
                <w:tcPr>
                  <w:tcW w:w="2676" w:type="dxa"/>
                  <w:vAlign w:val="center"/>
                </w:tcPr>
                <w:p w14:paraId="52FB3D97">
                  <w:pPr>
                    <w:pStyle w:val="42"/>
                  </w:pPr>
                  <w:r>
                    <w:rPr>
                      <w:rFonts w:hint="eastAsia"/>
                    </w:rPr>
                    <w:t>≤520</w:t>
                  </w:r>
                </w:p>
              </w:tc>
            </w:tr>
            <w:tr w14:paraId="382E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62C02655">
                  <w:pPr>
                    <w:pStyle w:val="42"/>
                  </w:pPr>
                  <w:r>
                    <w:rPr>
                      <w:rFonts w:hint="eastAsia"/>
                    </w:rPr>
                    <w:t>总氮</w:t>
                  </w:r>
                </w:p>
              </w:tc>
              <w:tc>
                <w:tcPr>
                  <w:tcW w:w="2676" w:type="dxa"/>
                  <w:vAlign w:val="center"/>
                </w:tcPr>
                <w:p w14:paraId="008B78F4">
                  <w:pPr>
                    <w:pStyle w:val="42"/>
                  </w:pPr>
                  <w:r>
                    <w:rPr>
                      <w:rFonts w:hint="eastAsia"/>
                    </w:rPr>
                    <w:t>mg/L</w:t>
                  </w:r>
                </w:p>
              </w:tc>
              <w:tc>
                <w:tcPr>
                  <w:tcW w:w="2676" w:type="dxa"/>
                  <w:vAlign w:val="center"/>
                </w:tcPr>
                <w:p w14:paraId="01ABD59A">
                  <w:pPr>
                    <w:pStyle w:val="42"/>
                  </w:pPr>
                  <w:r>
                    <w:rPr>
                      <w:rFonts w:hint="eastAsia"/>
                    </w:rPr>
                    <w:t>≤45</w:t>
                  </w:r>
                </w:p>
              </w:tc>
            </w:tr>
            <w:tr w14:paraId="71B4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5" w:type="dxa"/>
                  <w:vAlign w:val="center"/>
                </w:tcPr>
                <w:p w14:paraId="5DBA9570">
                  <w:pPr>
                    <w:pStyle w:val="42"/>
                  </w:pPr>
                  <w:r>
                    <w:rPr>
                      <w:rFonts w:hint="eastAsia"/>
                    </w:rPr>
                    <w:t>总磷</w:t>
                  </w:r>
                </w:p>
              </w:tc>
              <w:tc>
                <w:tcPr>
                  <w:tcW w:w="2676" w:type="dxa"/>
                  <w:vAlign w:val="center"/>
                </w:tcPr>
                <w:p w14:paraId="5A03DBBA">
                  <w:pPr>
                    <w:pStyle w:val="42"/>
                  </w:pPr>
                  <w:r>
                    <w:rPr>
                      <w:rFonts w:hint="eastAsia"/>
                    </w:rPr>
                    <w:t>mg/L</w:t>
                  </w:r>
                </w:p>
              </w:tc>
              <w:tc>
                <w:tcPr>
                  <w:tcW w:w="2676" w:type="dxa"/>
                  <w:vAlign w:val="center"/>
                </w:tcPr>
                <w:p w14:paraId="611159F1">
                  <w:pPr>
                    <w:pStyle w:val="42"/>
                  </w:pPr>
                  <w:r>
                    <w:rPr>
                      <w:rFonts w:hint="eastAsia"/>
                    </w:rPr>
                    <w:t>≤4.0</w:t>
                  </w:r>
                </w:p>
              </w:tc>
            </w:tr>
          </w:tbl>
          <w:p w14:paraId="2E8FB6BB">
            <w:pPr>
              <w:pStyle w:val="41"/>
              <w:ind w:firstLine="480"/>
            </w:pPr>
          </w:p>
          <w:p w14:paraId="5A61FD2C">
            <w:pPr>
              <w:pStyle w:val="41"/>
              <w:ind w:firstLine="480"/>
            </w:pPr>
            <w:r>
              <w:rPr>
                <w:rFonts w:hint="eastAsia"/>
              </w:rPr>
              <w:t>（3）噪声</w:t>
            </w:r>
          </w:p>
          <w:p w14:paraId="7C3A67A2">
            <w:pPr>
              <w:pStyle w:val="41"/>
              <w:ind w:firstLine="480"/>
            </w:pPr>
            <w:r>
              <w:rPr>
                <w:rFonts w:hint="eastAsia"/>
              </w:rPr>
              <w:t>项目施工期间，噪声排放限值参照执行《建筑施工场界环境噪声排放标准》（</w:t>
            </w:r>
            <w:r>
              <w:t>GB12523-2011</w:t>
            </w:r>
            <w:r>
              <w:rPr>
                <w:rFonts w:hint="eastAsia"/>
              </w:rPr>
              <w:t>）中表1标准限值。</w:t>
            </w:r>
          </w:p>
          <w:p w14:paraId="67A6AC35">
            <w:pPr>
              <w:pStyle w:val="41"/>
              <w:ind w:firstLine="480"/>
            </w:pPr>
            <w:r>
              <w:rPr>
                <w:rFonts w:hint="eastAsia"/>
              </w:rPr>
              <w:t>项目运营期厂界噪声排放限值执行《工业企业厂界环境噪声排放标准》（</w:t>
            </w:r>
            <w:r>
              <w:t>GB12348-2008</w:t>
            </w:r>
            <w:r>
              <w:rPr>
                <w:rFonts w:hint="eastAsia"/>
              </w:rPr>
              <w:t>）中3类标准限值。</w:t>
            </w:r>
          </w:p>
          <w:p w14:paraId="00295EED">
            <w:pPr>
              <w:pStyle w:val="41"/>
              <w:numPr>
                <w:ilvl w:val="0"/>
                <w:numId w:val="7"/>
              </w:numPr>
              <w:spacing w:line="240" w:lineRule="auto"/>
              <w:ind w:firstLineChars="0"/>
              <w:jc w:val="center"/>
              <w:rPr>
                <w:b/>
                <w:bCs/>
                <w:sz w:val="21"/>
                <w:szCs w:val="21"/>
              </w:rPr>
            </w:pPr>
            <w:r>
              <w:rPr>
                <w:rFonts w:hint="eastAsia"/>
                <w:b/>
                <w:bCs/>
                <w:sz w:val="21"/>
                <w:szCs w:val="21"/>
              </w:rPr>
              <w:t>建筑施工厂界环境噪声排放限值</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2674"/>
              <w:gridCol w:w="2674"/>
            </w:tblGrid>
            <w:tr w14:paraId="4A95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4" w:type="dxa"/>
                  <w:vAlign w:val="center"/>
                </w:tcPr>
                <w:p w14:paraId="4E2B4C44">
                  <w:pPr>
                    <w:pStyle w:val="42"/>
                    <w:rPr>
                      <w:b/>
                      <w:bCs/>
                    </w:rPr>
                  </w:pPr>
                  <w:r>
                    <w:rPr>
                      <w:rFonts w:hint="eastAsia"/>
                      <w:b/>
                      <w:bCs/>
                    </w:rPr>
                    <w:t>时段</w:t>
                  </w:r>
                </w:p>
              </w:tc>
              <w:tc>
                <w:tcPr>
                  <w:tcW w:w="2674" w:type="dxa"/>
                  <w:vAlign w:val="center"/>
                </w:tcPr>
                <w:p w14:paraId="6E199FF3">
                  <w:pPr>
                    <w:pStyle w:val="42"/>
                    <w:rPr>
                      <w:b/>
                      <w:bCs/>
                    </w:rPr>
                  </w:pPr>
                  <w:r>
                    <w:rPr>
                      <w:rFonts w:hint="eastAsia"/>
                      <w:b/>
                      <w:bCs/>
                    </w:rPr>
                    <w:t>昼间</w:t>
                  </w:r>
                </w:p>
              </w:tc>
              <w:tc>
                <w:tcPr>
                  <w:tcW w:w="2674" w:type="dxa"/>
                  <w:vAlign w:val="center"/>
                </w:tcPr>
                <w:p w14:paraId="681A0DEF">
                  <w:pPr>
                    <w:pStyle w:val="42"/>
                    <w:rPr>
                      <w:b/>
                      <w:bCs/>
                    </w:rPr>
                  </w:pPr>
                  <w:r>
                    <w:rPr>
                      <w:rFonts w:hint="eastAsia"/>
                      <w:b/>
                      <w:bCs/>
                    </w:rPr>
                    <w:t>夜间</w:t>
                  </w:r>
                </w:p>
              </w:tc>
            </w:tr>
            <w:tr w14:paraId="18AE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14:paraId="61F4AD38">
                  <w:pPr>
                    <w:pStyle w:val="42"/>
                  </w:pPr>
                  <w:r>
                    <w:rPr>
                      <w:rFonts w:hint="eastAsia"/>
                    </w:rPr>
                    <w:t>噪声限值</w:t>
                  </w:r>
                </w:p>
              </w:tc>
              <w:tc>
                <w:tcPr>
                  <w:tcW w:w="2674" w:type="dxa"/>
                  <w:vAlign w:val="center"/>
                </w:tcPr>
                <w:p w14:paraId="02A6256C">
                  <w:pPr>
                    <w:pStyle w:val="42"/>
                  </w:pPr>
                  <w:r>
                    <w:rPr>
                      <w:rFonts w:hint="eastAsia"/>
                    </w:rPr>
                    <w:t>70dB（A）</w:t>
                  </w:r>
                </w:p>
              </w:tc>
              <w:tc>
                <w:tcPr>
                  <w:tcW w:w="2674" w:type="dxa"/>
                  <w:vAlign w:val="center"/>
                </w:tcPr>
                <w:p w14:paraId="3AF65F2D">
                  <w:pPr>
                    <w:pStyle w:val="42"/>
                  </w:pPr>
                  <w:r>
                    <w:rPr>
                      <w:rFonts w:hint="eastAsia"/>
                    </w:rPr>
                    <w:t>55dB（A）</w:t>
                  </w:r>
                </w:p>
              </w:tc>
            </w:tr>
          </w:tbl>
          <w:p w14:paraId="67E9050B">
            <w:pPr>
              <w:pStyle w:val="41"/>
              <w:ind w:firstLine="480"/>
            </w:pPr>
          </w:p>
          <w:p w14:paraId="71737579">
            <w:pPr>
              <w:pStyle w:val="41"/>
              <w:numPr>
                <w:ilvl w:val="0"/>
                <w:numId w:val="7"/>
              </w:numPr>
              <w:spacing w:line="240" w:lineRule="auto"/>
              <w:ind w:firstLineChars="0"/>
              <w:jc w:val="center"/>
              <w:rPr>
                <w:b/>
                <w:bCs/>
                <w:sz w:val="21"/>
                <w:szCs w:val="21"/>
              </w:rPr>
            </w:pPr>
            <w:r>
              <w:rPr>
                <w:rFonts w:hint="eastAsia"/>
                <w:b/>
                <w:bCs/>
                <w:sz w:val="21"/>
                <w:szCs w:val="21"/>
              </w:rPr>
              <w:t>工业企业厂界环境噪声排放限值</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2674"/>
              <w:gridCol w:w="2674"/>
            </w:tblGrid>
            <w:tr w14:paraId="5244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74" w:type="dxa"/>
                  <w:vAlign w:val="center"/>
                </w:tcPr>
                <w:p w14:paraId="756E942C">
                  <w:pPr>
                    <w:pStyle w:val="42"/>
                    <w:rPr>
                      <w:b/>
                      <w:bCs/>
                    </w:rPr>
                  </w:pPr>
                  <w:r>
                    <w:rPr>
                      <w:rFonts w:hint="eastAsia"/>
                      <w:b/>
                      <w:bCs/>
                    </w:rPr>
                    <w:t>声环境功能区类别</w:t>
                  </w:r>
                </w:p>
              </w:tc>
              <w:tc>
                <w:tcPr>
                  <w:tcW w:w="2674" w:type="dxa"/>
                  <w:vAlign w:val="center"/>
                </w:tcPr>
                <w:p w14:paraId="2E374782">
                  <w:pPr>
                    <w:pStyle w:val="42"/>
                    <w:rPr>
                      <w:b/>
                      <w:bCs/>
                    </w:rPr>
                  </w:pPr>
                  <w:r>
                    <w:rPr>
                      <w:rFonts w:hint="eastAsia"/>
                      <w:b/>
                      <w:bCs/>
                    </w:rPr>
                    <w:t>昼间</w:t>
                  </w:r>
                </w:p>
              </w:tc>
              <w:tc>
                <w:tcPr>
                  <w:tcW w:w="2674" w:type="dxa"/>
                  <w:vAlign w:val="center"/>
                </w:tcPr>
                <w:p w14:paraId="19BF12E2">
                  <w:pPr>
                    <w:pStyle w:val="42"/>
                    <w:rPr>
                      <w:b/>
                      <w:bCs/>
                    </w:rPr>
                  </w:pPr>
                  <w:r>
                    <w:rPr>
                      <w:rFonts w:hint="eastAsia"/>
                      <w:b/>
                      <w:bCs/>
                    </w:rPr>
                    <w:t>夜间</w:t>
                  </w:r>
                </w:p>
              </w:tc>
            </w:tr>
            <w:tr w14:paraId="6519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vAlign w:val="center"/>
                </w:tcPr>
                <w:p w14:paraId="18D77A78">
                  <w:pPr>
                    <w:pStyle w:val="42"/>
                  </w:pPr>
                  <w:r>
                    <w:rPr>
                      <w:rFonts w:hint="eastAsia"/>
                    </w:rPr>
                    <w:t>3类</w:t>
                  </w:r>
                </w:p>
              </w:tc>
              <w:tc>
                <w:tcPr>
                  <w:tcW w:w="2674" w:type="dxa"/>
                  <w:vAlign w:val="center"/>
                </w:tcPr>
                <w:p w14:paraId="1D82003F">
                  <w:pPr>
                    <w:pStyle w:val="42"/>
                  </w:pPr>
                  <w:r>
                    <w:rPr>
                      <w:rFonts w:hint="eastAsia"/>
                    </w:rPr>
                    <w:t>65dB（A）</w:t>
                  </w:r>
                </w:p>
              </w:tc>
              <w:tc>
                <w:tcPr>
                  <w:tcW w:w="2674" w:type="dxa"/>
                  <w:vAlign w:val="center"/>
                </w:tcPr>
                <w:p w14:paraId="1F5042A3">
                  <w:pPr>
                    <w:pStyle w:val="42"/>
                  </w:pPr>
                  <w:r>
                    <w:rPr>
                      <w:rFonts w:hint="eastAsia"/>
                    </w:rPr>
                    <w:t>55dB（A）</w:t>
                  </w:r>
                </w:p>
              </w:tc>
            </w:tr>
          </w:tbl>
          <w:p w14:paraId="101BDEB9">
            <w:pPr>
              <w:pStyle w:val="41"/>
              <w:ind w:firstLine="480"/>
            </w:pPr>
            <w:r>
              <w:rPr>
                <w:rFonts w:hint="eastAsia"/>
              </w:rPr>
              <w:t>（4）固体废物</w:t>
            </w:r>
          </w:p>
          <w:p w14:paraId="183C2B56">
            <w:pPr>
              <w:pStyle w:val="41"/>
              <w:ind w:firstLine="480"/>
            </w:pPr>
            <w:r>
              <w:rPr>
                <w:rFonts w:hint="eastAsia"/>
              </w:rPr>
              <w:t>项目运营期产生的一般固废处置按照《中华人民共和国固体废物污染环境防治法》、《一般工业固体废物贮存和填埋污染控制标准》（GB18599-2020）中的有关规定执行；危险废物按照《危险废物贮存污染控制标准》（GB18597-20</w:t>
            </w:r>
            <w:r>
              <w:t>23</w:t>
            </w:r>
            <w:r>
              <w:rPr>
                <w:rFonts w:hint="eastAsia"/>
              </w:rPr>
              <w:t>）以及《国家危险废物名录》（2021 年版）中的有关规定执行。</w:t>
            </w:r>
          </w:p>
        </w:tc>
      </w:tr>
      <w:tr w14:paraId="2EF8C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14:paraId="4AD9814E">
            <w:pPr>
              <w:adjustRightInd w:val="0"/>
              <w:snapToGrid w:val="0"/>
              <w:jc w:val="center"/>
              <w:rPr>
                <w:rFonts w:hint="eastAsia" w:ascii="宋体" w:hAnsi="宋体" w:cs="宋体"/>
                <w:kern w:val="0"/>
                <w:sz w:val="24"/>
              </w:rPr>
            </w:pPr>
            <w:r>
              <w:rPr>
                <w:rFonts w:hint="eastAsia" w:ascii="宋体" w:hAnsi="宋体" w:cs="宋体"/>
                <w:kern w:val="0"/>
                <w:sz w:val="24"/>
              </w:rPr>
              <w:t>其他</w:t>
            </w:r>
          </w:p>
        </w:tc>
        <w:tc>
          <w:tcPr>
            <w:tcW w:w="8253" w:type="dxa"/>
          </w:tcPr>
          <w:p w14:paraId="154263BB">
            <w:pPr>
              <w:pStyle w:val="41"/>
              <w:ind w:firstLine="480"/>
              <w:jc w:val="both"/>
            </w:pPr>
            <w:r>
              <w:rPr>
                <w:rFonts w:hint="eastAsia"/>
              </w:rPr>
              <w:t>本项目为扩建项目，根据本项目排污特征，本项目在运营期间无</w:t>
            </w:r>
            <w:r>
              <w:t>SO</w:t>
            </w:r>
            <w:r>
              <w:rPr>
                <w:vertAlign w:val="subscript"/>
              </w:rPr>
              <w:t>2</w:t>
            </w:r>
            <w:r>
              <w:rPr>
                <w:rFonts w:hint="eastAsia"/>
              </w:rPr>
              <w:t>和</w:t>
            </w:r>
            <w:r>
              <w:t>NO</w:t>
            </w:r>
            <w:r>
              <w:rPr>
                <w:vertAlign w:val="subscript"/>
              </w:rPr>
              <w:t>X</w:t>
            </w:r>
            <w:r>
              <w:rPr>
                <w:rFonts w:hint="eastAsia"/>
              </w:rPr>
              <w:t>等大气污染物产生排放，无需申请大气总量指标；生产废水依托广西天宜环境科技有限公司污水处理厂项目（一期工程）处理达标后，近期近岸排放，远期依托园区深海排放管道于金鼓江污水深海排放区排放，生活污水依托国投钦州发电有限公司生活污水处理系统处理后用于其厂区绿化，不外排。综上，本项目运营期污染物排放不再单独申请总量指标。</w:t>
            </w:r>
          </w:p>
        </w:tc>
      </w:tr>
    </w:tbl>
    <w:p w14:paraId="180FC13D">
      <w:pPr>
        <w:pStyle w:val="15"/>
        <w:numPr>
          <w:ilvl w:val="0"/>
          <w:numId w:val="2"/>
        </w:numPr>
        <w:jc w:val="center"/>
        <w:outlineLvl w:val="0"/>
        <w:rPr>
          <w:rFonts w:hint="eastAsia" w:ascii="黑体" w:hAnsi="黑体" w:eastAsia="黑体"/>
          <w:snapToGrid w:val="0"/>
          <w:sz w:val="30"/>
          <w:szCs w:val="30"/>
        </w:rPr>
      </w:pPr>
      <w:r>
        <w:rPr>
          <w:rFonts w:ascii="黑体" w:hAnsi="黑体" w:eastAsia="黑体"/>
          <w:snapToGrid w:val="0"/>
          <w:kern w:val="2"/>
          <w:sz w:val="36"/>
          <w:szCs w:val="36"/>
        </w:rPr>
        <w:br w:type="page"/>
      </w:r>
      <w:bookmarkStart w:id="33" w:name="_Ref141873214"/>
      <w:bookmarkStart w:id="34" w:name="_Toc182380108"/>
      <w:bookmarkStart w:id="35" w:name="_Toc182815854"/>
      <w:bookmarkStart w:id="36" w:name="_Toc132899320"/>
      <w:bookmarkStart w:id="37" w:name="_Toc132899298"/>
      <w:r>
        <w:rPr>
          <w:rFonts w:hint="eastAsia" w:ascii="黑体" w:hAnsi="黑体" w:eastAsia="黑体"/>
          <w:snapToGrid w:val="0"/>
          <w:sz w:val="30"/>
          <w:szCs w:val="30"/>
        </w:rPr>
        <w:t>生态环境影响分析</w:t>
      </w:r>
      <w:bookmarkEnd w:id="33"/>
      <w:bookmarkEnd w:id="34"/>
      <w:bookmarkEnd w:id="35"/>
      <w:bookmarkEnd w:id="36"/>
      <w:bookmarkEnd w:id="37"/>
    </w:p>
    <w:tbl>
      <w:tblPr>
        <w:tblStyle w:val="1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756"/>
      </w:tblGrid>
      <w:tr w14:paraId="5A06A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557" w:type="dxa"/>
            <w:tcMar>
              <w:left w:w="28" w:type="dxa"/>
              <w:right w:w="28" w:type="dxa"/>
            </w:tcMar>
            <w:vAlign w:val="center"/>
          </w:tcPr>
          <w:p w14:paraId="2F74FE27">
            <w:pPr>
              <w:pStyle w:val="15"/>
              <w:adjustRightInd w:val="0"/>
              <w:snapToGrid w:val="0"/>
              <w:spacing w:before="0" w:beforeAutospacing="0" w:after="0" w:afterAutospacing="0"/>
              <w:jc w:val="center"/>
              <w:rPr>
                <w:rFonts w:hint="eastAsia" w:cs="宋体"/>
                <w:bCs/>
                <w:kern w:val="2"/>
              </w:rPr>
            </w:pPr>
            <w:bookmarkStart w:id="38" w:name="_Hlk49796138"/>
            <w:r>
              <w:rPr>
                <w:rFonts w:hint="eastAsia" w:cs="宋体"/>
                <w:bCs/>
                <w:spacing w:val="10"/>
                <w:kern w:val="2"/>
              </w:rPr>
              <w:t>施工期生态环境影响分析</w:t>
            </w:r>
            <w:bookmarkEnd w:id="38"/>
          </w:p>
        </w:tc>
        <w:tc>
          <w:tcPr>
            <w:tcW w:w="8685" w:type="dxa"/>
          </w:tcPr>
          <w:p w14:paraId="3646F277">
            <w:pPr>
              <w:pStyle w:val="41"/>
              <w:ind w:firstLine="482"/>
              <w:rPr>
                <w:b/>
                <w:bCs/>
              </w:rPr>
            </w:pPr>
            <w:r>
              <w:rPr>
                <w:rFonts w:hint="eastAsia"/>
                <w:b/>
                <w:bCs/>
              </w:rPr>
              <w:t>1施工期生态影响分析</w:t>
            </w:r>
          </w:p>
          <w:p w14:paraId="5AD07FF8">
            <w:pPr>
              <w:pStyle w:val="41"/>
              <w:ind w:firstLine="480"/>
            </w:pPr>
            <w:r>
              <w:rPr>
                <w:rFonts w:hint="eastAsia"/>
              </w:rPr>
              <w:t>项目主要工程内容的建设在广西华谊能源化工配套空分项目现有厂区内进行，未新增占用地块。管道施工依托园区公共管廊进行架设，不涉及土方开挖，地表植被清除等活动。</w:t>
            </w:r>
          </w:p>
          <w:p w14:paraId="0BCA248A">
            <w:pPr>
              <w:pStyle w:val="41"/>
              <w:ind w:firstLine="480"/>
            </w:pPr>
            <w:r>
              <w:rPr>
                <w:rFonts w:hint="eastAsia"/>
              </w:rPr>
              <w:t>（</w:t>
            </w:r>
            <w:r>
              <w:t>1</w:t>
            </w:r>
            <w:r>
              <w:rPr>
                <w:rFonts w:hint="eastAsia"/>
              </w:rPr>
              <w:t>）厂区</w:t>
            </w:r>
          </w:p>
          <w:p w14:paraId="64E874A2">
            <w:pPr>
              <w:pStyle w:val="41"/>
              <w:ind w:firstLine="480"/>
            </w:pPr>
            <w:r>
              <w:rPr>
                <w:rFonts w:hint="eastAsia"/>
              </w:rPr>
              <w:t>项目施工期间厂区工程建设的挖方、填方，在大风或雨季时易造成部分水土流失。项目拟采取以下防治措施：</w:t>
            </w:r>
          </w:p>
          <w:p w14:paraId="44CF5506">
            <w:pPr>
              <w:pStyle w:val="41"/>
              <w:ind w:left="480" w:firstLine="0" w:firstLineChars="0"/>
            </w:pPr>
            <w:r>
              <w:rPr>
                <w:rFonts w:hint="eastAsia"/>
              </w:rPr>
              <w:t>①避开雨季进行大量的挖方、填方等施工作业；</w:t>
            </w:r>
          </w:p>
          <w:p w14:paraId="60FDAFC7">
            <w:pPr>
              <w:pStyle w:val="41"/>
              <w:ind w:firstLine="480"/>
            </w:pPr>
            <w:r>
              <w:rPr>
                <w:rFonts w:hint="eastAsia"/>
              </w:rPr>
              <w:t>②施工产生的废弃的土石方及时回填夯实或清运，避免大量土石方堆放于地表。</w:t>
            </w:r>
          </w:p>
          <w:p w14:paraId="7F4D5502">
            <w:pPr>
              <w:pStyle w:val="41"/>
              <w:ind w:firstLine="480"/>
            </w:pPr>
            <w:r>
              <w:rPr>
                <w:rFonts w:hint="eastAsia"/>
              </w:rPr>
              <w:t>（</w:t>
            </w:r>
            <w:r>
              <w:t>2</w:t>
            </w:r>
            <w:r>
              <w:rPr>
                <w:rFonts w:hint="eastAsia"/>
              </w:rPr>
              <w:t>）管道</w:t>
            </w:r>
          </w:p>
          <w:p w14:paraId="54C32742">
            <w:pPr>
              <w:pStyle w:val="41"/>
              <w:ind w:firstLine="480"/>
            </w:pPr>
            <w:r>
              <w:rPr>
                <w:rFonts w:hint="eastAsia"/>
              </w:rPr>
              <w:t>管线施工主要是使用吊车将管道铺设上管廊，管道堆放在施工临时堆料场，铺设时放置管廊两侧，不会挖方、填方。部分线路沿线零散分布植被，主要以低矮灌木、草丛为主，如狗牙根等。部分线路管廊正在施工建设中，地表植被已被清除。管道架设施工过程中会对周围植被造成一定影响。拟采取以下措施：</w:t>
            </w:r>
          </w:p>
          <w:p w14:paraId="5DC600CB">
            <w:pPr>
              <w:pStyle w:val="41"/>
              <w:ind w:firstLine="480"/>
            </w:pPr>
            <w:r>
              <w:rPr>
                <w:rFonts w:hint="eastAsia"/>
              </w:rPr>
              <w:t>①施工完毕后，及时清运施工现场的废焊条等工业废料。</w:t>
            </w:r>
          </w:p>
          <w:p w14:paraId="10194237">
            <w:pPr>
              <w:pStyle w:val="41"/>
              <w:ind w:firstLine="480"/>
            </w:pPr>
            <w:r>
              <w:rPr>
                <w:rFonts w:hint="eastAsia"/>
              </w:rPr>
              <w:t>工程施工期对环境的影响是局部、短期、可逆的，经采取各种预防、治理措施后，其影响程度大大降低，并随着施工的结束而逐渐减小。</w:t>
            </w:r>
          </w:p>
          <w:p w14:paraId="340E02FC">
            <w:pPr>
              <w:pStyle w:val="41"/>
              <w:ind w:firstLine="482"/>
              <w:rPr>
                <w:b/>
                <w:bCs/>
              </w:rPr>
            </w:pPr>
            <w:r>
              <w:rPr>
                <w:b/>
                <w:bCs/>
              </w:rPr>
              <w:t>2</w:t>
            </w:r>
            <w:r>
              <w:rPr>
                <w:rFonts w:hint="eastAsia"/>
                <w:b/>
                <w:bCs/>
              </w:rPr>
              <w:t>施工期对环境空气的影响分析</w:t>
            </w:r>
          </w:p>
          <w:p w14:paraId="18955092">
            <w:pPr>
              <w:pStyle w:val="41"/>
              <w:ind w:firstLine="482"/>
              <w:rPr>
                <w:b/>
                <w:bCs/>
              </w:rPr>
            </w:pPr>
            <w:r>
              <w:rPr>
                <w:rFonts w:hint="eastAsia"/>
                <w:b/>
                <w:bCs/>
              </w:rPr>
              <w:t>（1）施工扬尘</w:t>
            </w:r>
          </w:p>
          <w:p w14:paraId="3340AE68">
            <w:pPr>
              <w:pStyle w:val="41"/>
              <w:ind w:firstLine="480"/>
            </w:pPr>
            <w:r>
              <w:rPr>
                <w:rFonts w:hint="eastAsia"/>
              </w:rPr>
              <w:t>①施工阶段汽车运输过程中会产生扬尘污染。扬尘量、粒径大小等与多种因素有关，如路面状况、车辆行驶速度、载重量、天气情况等。其中风速、风向等天气状况直接影响扬尘的传输方向和距离。</w:t>
            </w:r>
          </w:p>
          <w:p w14:paraId="536F9C8E">
            <w:pPr>
              <w:pStyle w:val="41"/>
              <w:ind w:firstLine="480"/>
            </w:pPr>
            <w:r>
              <w:rPr>
                <w:rFonts w:hint="eastAsia"/>
              </w:rPr>
              <w:t>由于汽车运输过程中产生的扬尘时间短、落地快、影响范围主要集中在运输道路两侧，而运输路径沿线大气保护目标与运输道路均有一定距离，故汽车运输扬尘对周边的环境空气影响程度和范围较小，影响时间也较短。</w:t>
            </w:r>
          </w:p>
          <w:p w14:paraId="7BD5C614">
            <w:pPr>
              <w:pStyle w:val="41"/>
              <w:ind w:firstLine="480"/>
            </w:pPr>
            <w:r>
              <w:rPr>
                <w:rFonts w:hint="eastAsia"/>
              </w:rPr>
              <w:t>在硬化道路处施工时，道路定时洒水抑尘、车辆避免装载过满的情形并采取密闭或遮盖措施，可大大减少运输扬尘对周围环境空气的影响。</w:t>
            </w:r>
          </w:p>
          <w:p w14:paraId="531CECF1">
            <w:pPr>
              <w:pStyle w:val="41"/>
              <w:ind w:firstLine="480"/>
              <w:rPr>
                <w:highlight w:val="yellow"/>
              </w:rPr>
            </w:pPr>
            <w:r>
              <w:rPr>
                <w:rFonts w:hint="eastAsia"/>
              </w:rPr>
              <w:t>②作业带内产生的扬尘为无组织面源排放，由于施工过程为分段进行，且施工时间较短，管线施工作业扬尘污染是短时的，环境受到施工扬尘的影响较小。</w:t>
            </w:r>
          </w:p>
          <w:p w14:paraId="17BAC72C">
            <w:pPr>
              <w:pStyle w:val="41"/>
              <w:ind w:firstLine="482"/>
              <w:rPr>
                <w:b/>
                <w:bCs/>
              </w:rPr>
            </w:pPr>
            <w:r>
              <w:rPr>
                <w:rFonts w:hint="eastAsia"/>
                <w:b/>
                <w:bCs/>
              </w:rPr>
              <w:t>（2）施工机械尾气、焊接烟气</w:t>
            </w:r>
          </w:p>
          <w:p w14:paraId="7377B2DB">
            <w:pPr>
              <w:pStyle w:val="41"/>
              <w:ind w:firstLine="480"/>
            </w:pPr>
            <w:r>
              <w:rPr>
                <w:rFonts w:hint="eastAsia"/>
              </w:rPr>
              <w:t>施工期间，施工机械与运输车辆会产生燃油尾气，管道连接处焊接有烟气排放，但由于废气量较小，且施工现场均在室外，大气污染物扩散条件好，同时废气污染源具有间歇性和流动性，因此对局部地区的环境影响较小。</w:t>
            </w:r>
          </w:p>
          <w:p w14:paraId="52156D86">
            <w:pPr>
              <w:pStyle w:val="41"/>
              <w:ind w:firstLine="482"/>
              <w:rPr>
                <w:b/>
                <w:bCs/>
              </w:rPr>
            </w:pPr>
            <w:r>
              <w:rPr>
                <w:rFonts w:hint="eastAsia"/>
                <w:b/>
                <w:bCs/>
              </w:rPr>
              <w:t>（</w:t>
            </w:r>
            <w:r>
              <w:rPr>
                <w:b/>
                <w:bCs/>
              </w:rPr>
              <w:t>3</w:t>
            </w:r>
            <w:r>
              <w:rPr>
                <w:rFonts w:hint="eastAsia"/>
                <w:b/>
                <w:bCs/>
              </w:rPr>
              <w:t>）管道清扫废气</w:t>
            </w:r>
          </w:p>
          <w:p w14:paraId="1B179229">
            <w:pPr>
              <w:pStyle w:val="41"/>
              <w:ind w:firstLine="480"/>
            </w:pPr>
            <w:r>
              <w:rPr>
                <w:rFonts w:hint="eastAsia"/>
              </w:rPr>
              <w:t>本项目管道安装完成后，管道清扫采用分段吹扫方案，以氮气吹扫，吹扫废气主要为空气与灰尘等。直接经膨胀弯上的放空管放空，放空管在吹扫后焊封。吹扫废气中的主要污染物为管道中的少量灰尘等，因管道较为清洁，吹扫废气中</w:t>
            </w:r>
            <w:r>
              <w:t>TSP</w:t>
            </w:r>
            <w:r>
              <w:rPr>
                <w:rFonts w:hint="eastAsia"/>
              </w:rPr>
              <w:t>浓度并不高。吹扫废气排放位置为管道下游，均在园区内部。管线架空敷设，距地面有一定的高度，且吹扫废气排放位置位于室外，空间较为开阔，污染物扩散条件较好，因此管线吹扫废气对周边环境的影响较小。</w:t>
            </w:r>
          </w:p>
          <w:p w14:paraId="724EF89F">
            <w:pPr>
              <w:pStyle w:val="41"/>
              <w:ind w:firstLine="482"/>
              <w:rPr>
                <w:b/>
                <w:bCs/>
              </w:rPr>
            </w:pPr>
            <w:r>
              <w:rPr>
                <w:rFonts w:hint="eastAsia"/>
                <w:b/>
                <w:bCs/>
              </w:rPr>
              <w:t>（</w:t>
            </w:r>
            <w:r>
              <w:rPr>
                <w:b/>
                <w:bCs/>
              </w:rPr>
              <w:t>4</w:t>
            </w:r>
            <w:r>
              <w:rPr>
                <w:rFonts w:hint="eastAsia"/>
                <w:b/>
                <w:bCs/>
              </w:rPr>
              <w:t>）刷漆废气</w:t>
            </w:r>
          </w:p>
          <w:p w14:paraId="5AA4E1C6">
            <w:pPr>
              <w:pStyle w:val="41"/>
              <w:ind w:firstLine="480"/>
            </w:pPr>
            <w:r>
              <w:rPr>
                <w:rFonts w:hint="eastAsia"/>
              </w:rPr>
              <w:t>本项目管道焊接后需对焊接处进行防腐处理，油漆使用量不大，且管道架空敷设，距地面有一定的距离，管道沿线空间较为开阔，污染物扩散条件良好，故刷漆废气可通过合理安排作业时间（如避开企业员工上班时间、选择晴好天气等）来降低其对外环境</w:t>
            </w:r>
            <w:r>
              <w:rPr>
                <w:rFonts w:hint="eastAsia"/>
                <w:u w:val="single"/>
              </w:rPr>
              <w:t>及周边敏感点</w:t>
            </w:r>
            <w:r>
              <w:rPr>
                <w:rFonts w:hint="eastAsia"/>
              </w:rPr>
              <w:t>的影响。</w:t>
            </w:r>
          </w:p>
          <w:p w14:paraId="02764612">
            <w:pPr>
              <w:pStyle w:val="41"/>
              <w:ind w:firstLine="480"/>
            </w:pPr>
            <w:r>
              <w:rPr>
                <w:rFonts w:hint="eastAsia"/>
              </w:rPr>
              <w:t>施工期的污染源属暂时的短期影响，随着施工期的结束而消失。</w:t>
            </w:r>
          </w:p>
          <w:p w14:paraId="0E6ACB8D">
            <w:pPr>
              <w:pStyle w:val="41"/>
              <w:ind w:firstLine="482"/>
              <w:rPr>
                <w:b/>
                <w:bCs/>
              </w:rPr>
            </w:pPr>
            <w:r>
              <w:rPr>
                <w:b/>
                <w:bCs/>
              </w:rPr>
              <w:t>3</w:t>
            </w:r>
            <w:r>
              <w:rPr>
                <w:rFonts w:hint="eastAsia"/>
                <w:b/>
                <w:bCs/>
              </w:rPr>
              <w:t>施工期废水影响分析</w:t>
            </w:r>
          </w:p>
          <w:p w14:paraId="320F9DBE">
            <w:pPr>
              <w:pStyle w:val="41"/>
              <w:ind w:firstLine="480"/>
            </w:pPr>
            <w:r>
              <w:rPr>
                <w:rFonts w:hint="eastAsia"/>
              </w:rPr>
              <w:t>施工期废水主要为施工人员排放的生活污水及施工废水。</w:t>
            </w:r>
          </w:p>
          <w:p w14:paraId="1C235160">
            <w:pPr>
              <w:pStyle w:val="41"/>
              <w:ind w:firstLine="482"/>
              <w:rPr>
                <w:b/>
                <w:bCs/>
              </w:rPr>
            </w:pPr>
            <w:r>
              <w:rPr>
                <w:rFonts w:hint="eastAsia"/>
                <w:b/>
                <w:bCs/>
              </w:rPr>
              <w:t>（1）生活污水</w:t>
            </w:r>
          </w:p>
          <w:p w14:paraId="11F59111">
            <w:pPr>
              <w:pStyle w:val="41"/>
              <w:ind w:firstLine="480"/>
            </w:pPr>
            <w:r>
              <w:rPr>
                <w:rFonts w:hint="eastAsia"/>
              </w:rPr>
              <w:t>项目施工现场不设施工营地及临时食堂等生活设施，施工人员食宿依托市区周边基本设施解决。施工工地内日常生活污水排入国投钦州发电有限公司生活污水系统进行处理，不会对周边水环境造成严重的不利影响。</w:t>
            </w:r>
          </w:p>
          <w:p w14:paraId="14CAEDB4">
            <w:pPr>
              <w:pStyle w:val="41"/>
              <w:ind w:firstLine="482"/>
              <w:rPr>
                <w:b/>
                <w:bCs/>
              </w:rPr>
            </w:pPr>
            <w:r>
              <w:rPr>
                <w:rFonts w:hint="eastAsia"/>
                <w:b/>
                <w:bCs/>
              </w:rPr>
              <w:t>（2）施工废水</w:t>
            </w:r>
          </w:p>
          <w:p w14:paraId="480DD287">
            <w:pPr>
              <w:pStyle w:val="41"/>
              <w:ind w:firstLine="480"/>
            </w:pPr>
            <w:r>
              <w:rPr>
                <w:rFonts w:hint="eastAsia"/>
              </w:rPr>
              <w:t>项目施工废水主要来源于机械冲洗过程中产生的废水，主要含大量泥沙、水泥等悬浮物，施工场地设置临时沉淀池沉淀处理后回用于建筑施工场地施工及降尘等，不直接排放至附近的地表水中，施工废水对环境影响较小。</w:t>
            </w:r>
          </w:p>
          <w:p w14:paraId="55527177">
            <w:pPr>
              <w:pStyle w:val="41"/>
              <w:ind w:firstLine="480"/>
            </w:pPr>
            <w:r>
              <w:rPr>
                <w:rFonts w:hint="eastAsia"/>
              </w:rPr>
              <w:t>综上，项目施工期间产生的废水均不会直接外排，对周边地表水体影响较小。</w:t>
            </w:r>
          </w:p>
          <w:p w14:paraId="56D7B5B3">
            <w:pPr>
              <w:pStyle w:val="41"/>
              <w:ind w:firstLine="482"/>
              <w:rPr>
                <w:b/>
                <w:bCs/>
              </w:rPr>
            </w:pPr>
            <w:r>
              <w:rPr>
                <w:rFonts w:hint="eastAsia"/>
                <w:b/>
                <w:bCs/>
              </w:rPr>
              <w:t>4施工期噪声环境影响分析</w:t>
            </w:r>
          </w:p>
          <w:p w14:paraId="2C627B35">
            <w:pPr>
              <w:pStyle w:val="41"/>
              <w:ind w:firstLine="482"/>
              <w:rPr>
                <w:b/>
                <w:bCs/>
              </w:rPr>
            </w:pPr>
            <w:r>
              <w:rPr>
                <w:rFonts w:hint="eastAsia"/>
                <w:b/>
                <w:bCs/>
              </w:rPr>
              <w:t>（1）噪声污染源</w:t>
            </w:r>
          </w:p>
          <w:p w14:paraId="591D584D">
            <w:pPr>
              <w:pStyle w:val="41"/>
              <w:ind w:firstLine="480"/>
            </w:pPr>
            <w:r>
              <w:rPr>
                <w:rFonts w:hint="eastAsia"/>
              </w:rPr>
              <w:t>施工期项目噪声污染源主要来自各类机械设备的运行噪声、管道吹扫噪声等，施工所用机械设备种类繁多，施工噪声为间断性噪声，声级值较高，常用施工机械设备及作业期间产生的噪声值见下表。</w:t>
            </w:r>
          </w:p>
          <w:p w14:paraId="55D156B7">
            <w:pPr>
              <w:pStyle w:val="41"/>
              <w:numPr>
                <w:ilvl w:val="0"/>
                <w:numId w:val="8"/>
              </w:numPr>
              <w:spacing w:line="240" w:lineRule="auto"/>
              <w:ind w:left="0" w:firstLine="0" w:firstLineChars="0"/>
              <w:jc w:val="center"/>
              <w:rPr>
                <w:b/>
                <w:bCs/>
                <w:sz w:val="21"/>
                <w:szCs w:val="21"/>
              </w:rPr>
            </w:pPr>
            <w:r>
              <w:rPr>
                <w:rFonts w:hint="eastAsia"/>
                <w:b/>
                <w:bCs/>
                <w:sz w:val="21"/>
                <w:szCs w:val="21"/>
              </w:rPr>
              <w:t>施工期主要噪声源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924"/>
              <w:gridCol w:w="3171"/>
              <w:gridCol w:w="1059"/>
            </w:tblGrid>
            <w:tr w14:paraId="0BD0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center"/>
                </w:tcPr>
                <w:p w14:paraId="5AF89507">
                  <w:pPr>
                    <w:pStyle w:val="42"/>
                    <w:rPr>
                      <w:b/>
                      <w:bCs/>
                    </w:rPr>
                  </w:pPr>
                  <w:r>
                    <w:rPr>
                      <w:rFonts w:hint="eastAsia"/>
                      <w:b/>
                      <w:bCs/>
                    </w:rPr>
                    <w:t>序号</w:t>
                  </w:r>
                </w:p>
              </w:tc>
              <w:tc>
                <w:tcPr>
                  <w:tcW w:w="2924" w:type="dxa"/>
                  <w:vAlign w:val="center"/>
                </w:tcPr>
                <w:p w14:paraId="0D7A12A0">
                  <w:pPr>
                    <w:pStyle w:val="42"/>
                    <w:rPr>
                      <w:b/>
                      <w:bCs/>
                    </w:rPr>
                  </w:pPr>
                  <w:r>
                    <w:rPr>
                      <w:rFonts w:hint="eastAsia"/>
                      <w:b/>
                      <w:bCs/>
                    </w:rPr>
                    <w:t>噪声源</w:t>
                  </w:r>
                </w:p>
              </w:tc>
              <w:tc>
                <w:tcPr>
                  <w:tcW w:w="3171" w:type="dxa"/>
                  <w:vAlign w:val="center"/>
                </w:tcPr>
                <w:p w14:paraId="1F2938E0">
                  <w:pPr>
                    <w:pStyle w:val="42"/>
                    <w:rPr>
                      <w:b/>
                      <w:bCs/>
                    </w:rPr>
                  </w:pPr>
                  <w:r>
                    <w:rPr>
                      <w:rFonts w:hint="eastAsia"/>
                      <w:b/>
                      <w:bCs/>
                    </w:rPr>
                    <w:t>噪声强度dB(A)</w:t>
                  </w:r>
                </w:p>
              </w:tc>
              <w:tc>
                <w:tcPr>
                  <w:tcW w:w="1059" w:type="dxa"/>
                  <w:vAlign w:val="center"/>
                </w:tcPr>
                <w:p w14:paraId="0B77BE6C">
                  <w:pPr>
                    <w:pStyle w:val="42"/>
                    <w:rPr>
                      <w:b/>
                      <w:bCs/>
                    </w:rPr>
                  </w:pPr>
                  <w:r>
                    <w:rPr>
                      <w:rFonts w:hint="eastAsia"/>
                      <w:b/>
                      <w:bCs/>
                    </w:rPr>
                    <w:t>备注</w:t>
                  </w:r>
                </w:p>
              </w:tc>
            </w:tr>
            <w:tr w14:paraId="1384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696AF50E">
                  <w:pPr>
                    <w:pStyle w:val="42"/>
                  </w:pPr>
                  <w:r>
                    <w:rPr>
                      <w:rFonts w:hint="eastAsia"/>
                    </w:rPr>
                    <w:t>1</w:t>
                  </w:r>
                </w:p>
              </w:tc>
              <w:tc>
                <w:tcPr>
                  <w:tcW w:w="2924" w:type="dxa"/>
                  <w:vAlign w:val="center"/>
                </w:tcPr>
                <w:p w14:paraId="4747F6B2">
                  <w:pPr>
                    <w:pStyle w:val="42"/>
                  </w:pPr>
                  <w:r>
                    <w:rPr>
                      <w:rFonts w:hint="eastAsia"/>
                    </w:rPr>
                    <w:t>装载机</w:t>
                  </w:r>
                </w:p>
              </w:tc>
              <w:tc>
                <w:tcPr>
                  <w:tcW w:w="3171" w:type="dxa"/>
                  <w:vAlign w:val="center"/>
                </w:tcPr>
                <w:p w14:paraId="2ECFF7FC">
                  <w:pPr>
                    <w:pStyle w:val="42"/>
                  </w:pPr>
                  <w:r>
                    <w:rPr>
                      <w:rFonts w:hint="eastAsia"/>
                    </w:rPr>
                    <w:t>103</w:t>
                  </w:r>
                </w:p>
              </w:tc>
              <w:tc>
                <w:tcPr>
                  <w:tcW w:w="1059" w:type="dxa"/>
                  <w:vAlign w:val="center"/>
                </w:tcPr>
                <w:p w14:paraId="7B6958E8">
                  <w:pPr>
                    <w:pStyle w:val="42"/>
                  </w:pPr>
                </w:p>
              </w:tc>
            </w:tr>
            <w:tr w14:paraId="048E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6695EEE9">
                  <w:pPr>
                    <w:pStyle w:val="42"/>
                  </w:pPr>
                  <w:r>
                    <w:rPr>
                      <w:rFonts w:hint="eastAsia"/>
                    </w:rPr>
                    <w:t>2</w:t>
                  </w:r>
                </w:p>
              </w:tc>
              <w:tc>
                <w:tcPr>
                  <w:tcW w:w="2924" w:type="dxa"/>
                  <w:vAlign w:val="center"/>
                </w:tcPr>
                <w:p w14:paraId="20FB5ED3">
                  <w:pPr>
                    <w:pStyle w:val="42"/>
                  </w:pPr>
                  <w:r>
                    <w:rPr>
                      <w:rFonts w:hint="eastAsia"/>
                    </w:rPr>
                    <w:t>载重机</w:t>
                  </w:r>
                </w:p>
              </w:tc>
              <w:tc>
                <w:tcPr>
                  <w:tcW w:w="3171" w:type="dxa"/>
                  <w:vAlign w:val="center"/>
                </w:tcPr>
                <w:p w14:paraId="667199FE">
                  <w:pPr>
                    <w:pStyle w:val="42"/>
                  </w:pPr>
                  <w:r>
                    <w:rPr>
                      <w:rFonts w:hint="eastAsia"/>
                    </w:rPr>
                    <w:t>95</w:t>
                  </w:r>
                </w:p>
              </w:tc>
              <w:tc>
                <w:tcPr>
                  <w:tcW w:w="1059" w:type="dxa"/>
                  <w:vAlign w:val="center"/>
                </w:tcPr>
                <w:p w14:paraId="2F2DA135">
                  <w:pPr>
                    <w:pStyle w:val="42"/>
                  </w:pPr>
                </w:p>
              </w:tc>
            </w:tr>
            <w:tr w14:paraId="267E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14:paraId="5E2EF7E5">
                  <w:pPr>
                    <w:pStyle w:val="42"/>
                  </w:pPr>
                  <w:r>
                    <w:rPr>
                      <w:rFonts w:hint="eastAsia"/>
                    </w:rPr>
                    <w:t>3</w:t>
                  </w:r>
                </w:p>
              </w:tc>
              <w:tc>
                <w:tcPr>
                  <w:tcW w:w="2924" w:type="dxa"/>
                  <w:vAlign w:val="center"/>
                </w:tcPr>
                <w:p w14:paraId="4AE8EB6D">
                  <w:pPr>
                    <w:pStyle w:val="42"/>
                  </w:pPr>
                  <w:r>
                    <w:rPr>
                      <w:rFonts w:hint="eastAsia"/>
                    </w:rPr>
                    <w:t>吊车</w:t>
                  </w:r>
                </w:p>
              </w:tc>
              <w:tc>
                <w:tcPr>
                  <w:tcW w:w="3171" w:type="dxa"/>
                  <w:vAlign w:val="center"/>
                </w:tcPr>
                <w:p w14:paraId="649C8944">
                  <w:pPr>
                    <w:pStyle w:val="42"/>
                  </w:pPr>
                  <w:r>
                    <w:rPr>
                      <w:rFonts w:hint="eastAsia"/>
                    </w:rPr>
                    <w:t>88</w:t>
                  </w:r>
                </w:p>
              </w:tc>
              <w:tc>
                <w:tcPr>
                  <w:tcW w:w="1059" w:type="dxa"/>
                  <w:vAlign w:val="center"/>
                </w:tcPr>
                <w:p w14:paraId="644AD948">
                  <w:pPr>
                    <w:pStyle w:val="42"/>
                  </w:pPr>
                </w:p>
              </w:tc>
            </w:tr>
            <w:tr w14:paraId="5785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center"/>
                </w:tcPr>
                <w:p w14:paraId="5F41E5CC">
                  <w:pPr>
                    <w:pStyle w:val="42"/>
                  </w:pPr>
                  <w:r>
                    <w:rPr>
                      <w:rFonts w:hint="eastAsia"/>
                    </w:rPr>
                    <w:t>4</w:t>
                  </w:r>
                </w:p>
              </w:tc>
              <w:tc>
                <w:tcPr>
                  <w:tcW w:w="2924" w:type="dxa"/>
                  <w:vAlign w:val="center"/>
                </w:tcPr>
                <w:p w14:paraId="7E199BAC">
                  <w:pPr>
                    <w:pStyle w:val="42"/>
                  </w:pPr>
                  <w:r>
                    <w:rPr>
                      <w:rFonts w:hint="eastAsia"/>
                    </w:rPr>
                    <w:t>电焊机</w:t>
                  </w:r>
                </w:p>
              </w:tc>
              <w:tc>
                <w:tcPr>
                  <w:tcW w:w="3171" w:type="dxa"/>
                  <w:vAlign w:val="center"/>
                </w:tcPr>
                <w:p w14:paraId="37760A26">
                  <w:pPr>
                    <w:pStyle w:val="42"/>
                  </w:pPr>
                  <w:r>
                    <w:rPr>
                      <w:rFonts w:hint="eastAsia"/>
                    </w:rPr>
                    <w:t>85</w:t>
                  </w:r>
                </w:p>
              </w:tc>
              <w:tc>
                <w:tcPr>
                  <w:tcW w:w="1059" w:type="dxa"/>
                  <w:vAlign w:val="center"/>
                </w:tcPr>
                <w:p w14:paraId="4670269A">
                  <w:pPr>
                    <w:pStyle w:val="42"/>
                  </w:pPr>
                </w:p>
              </w:tc>
            </w:tr>
            <w:tr w14:paraId="32FA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center"/>
                </w:tcPr>
                <w:p w14:paraId="3EDB52B4">
                  <w:pPr>
                    <w:pStyle w:val="42"/>
                  </w:pPr>
                  <w:r>
                    <w:rPr>
                      <w:rFonts w:hint="eastAsia"/>
                    </w:rPr>
                    <w:t>5</w:t>
                  </w:r>
                </w:p>
              </w:tc>
              <w:tc>
                <w:tcPr>
                  <w:tcW w:w="2924" w:type="dxa"/>
                  <w:vAlign w:val="center"/>
                </w:tcPr>
                <w:p w14:paraId="7F0094C2">
                  <w:pPr>
                    <w:pStyle w:val="42"/>
                  </w:pPr>
                  <w:r>
                    <w:rPr>
                      <w:rFonts w:hint="eastAsia"/>
                    </w:rPr>
                    <w:t>冲击钻</w:t>
                  </w:r>
                </w:p>
              </w:tc>
              <w:tc>
                <w:tcPr>
                  <w:tcW w:w="3171" w:type="dxa"/>
                  <w:vAlign w:val="center"/>
                </w:tcPr>
                <w:p w14:paraId="5457E0B8">
                  <w:pPr>
                    <w:pStyle w:val="42"/>
                  </w:pPr>
                  <w:r>
                    <w:rPr>
                      <w:rFonts w:hint="eastAsia"/>
                    </w:rPr>
                    <w:t>90</w:t>
                  </w:r>
                </w:p>
              </w:tc>
              <w:tc>
                <w:tcPr>
                  <w:tcW w:w="1059" w:type="dxa"/>
                  <w:vAlign w:val="center"/>
                </w:tcPr>
                <w:p w14:paraId="4A54D1A1">
                  <w:pPr>
                    <w:pStyle w:val="42"/>
                  </w:pPr>
                </w:p>
              </w:tc>
            </w:tr>
            <w:tr w14:paraId="5AAD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center"/>
                </w:tcPr>
                <w:p w14:paraId="5D3EC20F">
                  <w:pPr>
                    <w:pStyle w:val="42"/>
                  </w:pPr>
                  <w:r>
                    <w:rPr>
                      <w:rFonts w:hint="eastAsia"/>
                    </w:rPr>
                    <w:t>6</w:t>
                  </w:r>
                </w:p>
              </w:tc>
              <w:tc>
                <w:tcPr>
                  <w:tcW w:w="2924" w:type="dxa"/>
                  <w:vAlign w:val="center"/>
                </w:tcPr>
                <w:p w14:paraId="4BA7A066">
                  <w:pPr>
                    <w:pStyle w:val="42"/>
                  </w:pPr>
                  <w:r>
                    <w:rPr>
                      <w:rFonts w:hint="eastAsia"/>
                    </w:rPr>
                    <w:t>切割机</w:t>
                  </w:r>
                </w:p>
              </w:tc>
              <w:tc>
                <w:tcPr>
                  <w:tcW w:w="3171" w:type="dxa"/>
                  <w:vAlign w:val="center"/>
                </w:tcPr>
                <w:p w14:paraId="78C158EB">
                  <w:pPr>
                    <w:pStyle w:val="42"/>
                  </w:pPr>
                  <w:r>
                    <w:rPr>
                      <w:rFonts w:hint="eastAsia"/>
                    </w:rPr>
                    <w:t>95</w:t>
                  </w:r>
                </w:p>
              </w:tc>
              <w:tc>
                <w:tcPr>
                  <w:tcW w:w="1059" w:type="dxa"/>
                  <w:vAlign w:val="center"/>
                </w:tcPr>
                <w:p w14:paraId="2C7D36D8">
                  <w:pPr>
                    <w:pStyle w:val="42"/>
                  </w:pPr>
                </w:p>
              </w:tc>
            </w:tr>
            <w:tr w14:paraId="38EF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vAlign w:val="center"/>
                </w:tcPr>
                <w:p w14:paraId="56998DAF">
                  <w:pPr>
                    <w:pStyle w:val="42"/>
                  </w:pPr>
                  <w:r>
                    <w:t>7</w:t>
                  </w:r>
                </w:p>
              </w:tc>
              <w:tc>
                <w:tcPr>
                  <w:tcW w:w="2924" w:type="dxa"/>
                  <w:vAlign w:val="center"/>
                </w:tcPr>
                <w:p w14:paraId="5BDD6523">
                  <w:pPr>
                    <w:pStyle w:val="42"/>
                  </w:pPr>
                  <w:r>
                    <w:rPr>
                      <w:rFonts w:hint="eastAsia"/>
                    </w:rPr>
                    <w:t>管道吹扫</w:t>
                  </w:r>
                </w:p>
              </w:tc>
              <w:tc>
                <w:tcPr>
                  <w:tcW w:w="3171" w:type="dxa"/>
                  <w:vAlign w:val="center"/>
                </w:tcPr>
                <w:p w14:paraId="577DE580">
                  <w:pPr>
                    <w:pStyle w:val="42"/>
                  </w:pPr>
                  <w:r>
                    <w:t>100</w:t>
                  </w:r>
                </w:p>
              </w:tc>
              <w:tc>
                <w:tcPr>
                  <w:tcW w:w="1059" w:type="dxa"/>
                  <w:vAlign w:val="center"/>
                </w:tcPr>
                <w:p w14:paraId="13DA4E06">
                  <w:pPr>
                    <w:pStyle w:val="42"/>
                  </w:pPr>
                </w:p>
              </w:tc>
            </w:tr>
          </w:tbl>
          <w:p w14:paraId="6753F701">
            <w:pPr>
              <w:pStyle w:val="41"/>
              <w:ind w:firstLine="480"/>
            </w:pPr>
          </w:p>
          <w:p w14:paraId="1B37CA44">
            <w:pPr>
              <w:pStyle w:val="41"/>
              <w:ind w:firstLine="482"/>
              <w:rPr>
                <w:b/>
                <w:bCs/>
              </w:rPr>
            </w:pPr>
            <w:r>
              <w:rPr>
                <w:rFonts w:hint="eastAsia"/>
                <w:b/>
                <w:bCs/>
              </w:rPr>
              <w:t>（2）预测模式</w:t>
            </w:r>
          </w:p>
          <w:p w14:paraId="46575191">
            <w:pPr>
              <w:pStyle w:val="41"/>
              <w:ind w:firstLine="480"/>
            </w:pPr>
            <w:r>
              <w:rPr>
                <w:rFonts w:hint="eastAsia"/>
              </w:rPr>
              <w:t>应用点声源噪声扩散公式估算施工噪声对环境的影响。</w:t>
            </w:r>
          </w:p>
          <w:p w14:paraId="1EE110BA">
            <w:pPr>
              <w:pStyle w:val="41"/>
              <w:ind w:firstLine="480"/>
            </w:pPr>
            <w:r>
              <w:rPr>
                <w:rFonts w:hint="eastAsia"/>
              </w:rPr>
              <w:t>点源衰减公式：</w:t>
            </w:r>
          </w:p>
          <w:p w14:paraId="3B4B7C5F">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−20lg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−∆L</m:t>
                </m:r>
              </m:oMath>
            </m:oMathPara>
          </w:p>
          <w:p w14:paraId="5A99FDF1">
            <w:pPr>
              <w:pStyle w:val="41"/>
              <w:ind w:firstLine="480"/>
            </w:pPr>
            <w:r>
              <w:rPr>
                <w:rFonts w:hint="eastAsia"/>
              </w:rPr>
              <w:t>式中：L</w:t>
            </w:r>
            <w:r>
              <w:rPr>
                <w:rFonts w:hint="eastAsia"/>
                <w:vertAlign w:val="subscript"/>
              </w:rPr>
              <w:t>1</w:t>
            </w:r>
            <w:r>
              <w:rPr>
                <w:rFonts w:hint="eastAsia"/>
              </w:rPr>
              <w:t>、L</w:t>
            </w:r>
            <w:r>
              <w:rPr>
                <w:rFonts w:hint="eastAsia"/>
                <w:vertAlign w:val="subscript"/>
              </w:rPr>
              <w:t>2</w:t>
            </w:r>
            <w:r>
              <w:t>——</w:t>
            </w:r>
            <w:r>
              <w:rPr>
                <w:rFonts w:hint="eastAsia"/>
              </w:rPr>
              <w:t xml:space="preserve"> r</w:t>
            </w:r>
            <w:r>
              <w:rPr>
                <w:rFonts w:hint="eastAsia"/>
                <w:vertAlign w:val="subscript"/>
              </w:rPr>
              <w:t>1</w:t>
            </w:r>
            <w:r>
              <w:rPr>
                <w:rFonts w:hint="eastAsia"/>
              </w:rPr>
              <w:t>、r</w:t>
            </w:r>
            <w:r>
              <w:rPr>
                <w:rFonts w:hint="eastAsia"/>
                <w:vertAlign w:val="subscript"/>
              </w:rPr>
              <w:t>2</w:t>
            </w:r>
            <w:r>
              <w:rPr>
                <w:rFonts w:hint="eastAsia"/>
              </w:rPr>
              <w:t>处的噪声值，dB(A)；</w:t>
            </w:r>
          </w:p>
          <w:p w14:paraId="60AFDE84">
            <w:pPr>
              <w:pStyle w:val="41"/>
              <w:ind w:firstLine="1200" w:firstLineChars="500"/>
            </w:pPr>
            <w:r>
              <w:rPr>
                <w:rFonts w:hint="eastAsia"/>
              </w:rPr>
              <w:t>r</w:t>
            </w:r>
            <w:r>
              <w:rPr>
                <w:rFonts w:hint="eastAsia"/>
                <w:vertAlign w:val="subscript"/>
              </w:rPr>
              <w:t>1</w:t>
            </w:r>
            <w:r>
              <w:rPr>
                <w:rFonts w:hint="eastAsia"/>
              </w:rPr>
              <w:t>、r</w:t>
            </w:r>
            <w:r>
              <w:rPr>
                <w:rFonts w:hint="eastAsia"/>
                <w:vertAlign w:val="subscript"/>
              </w:rPr>
              <w:t>2</w:t>
            </w:r>
            <w:r>
              <w:rPr>
                <w:rFonts w:hint="eastAsia"/>
              </w:rPr>
              <w:t xml:space="preserve"> </w:t>
            </w:r>
            <w:r>
              <w:t>——</w:t>
            </w:r>
            <w:r>
              <w:rPr>
                <w:rFonts w:hint="eastAsia"/>
              </w:rPr>
              <w:t>距噪声源的距离，m；</w:t>
            </w:r>
          </w:p>
          <w:p w14:paraId="55F8513B">
            <w:pPr>
              <w:pStyle w:val="41"/>
              <w:ind w:firstLine="1200" w:firstLineChars="500"/>
            </w:pPr>
            <w:r>
              <w:rPr>
                <w:rFonts w:hint="eastAsia"/>
              </w:rPr>
              <w:t>ΔL</w:t>
            </w:r>
            <w:r>
              <w:t>——</w:t>
            </w:r>
            <w:r>
              <w:rPr>
                <w:rFonts w:hint="eastAsia"/>
              </w:rPr>
              <w:t>各种因素（包括声屏障、空气吸收等）引起的噪声衰减值，dB(A)。</w:t>
            </w:r>
          </w:p>
          <w:p w14:paraId="32513820">
            <w:pPr>
              <w:pStyle w:val="41"/>
              <w:ind w:firstLine="482"/>
              <w:rPr>
                <w:b/>
                <w:bCs/>
              </w:rPr>
            </w:pPr>
            <w:r>
              <w:rPr>
                <w:rFonts w:hint="eastAsia"/>
                <w:b/>
                <w:bCs/>
              </w:rPr>
              <w:t>（3）预测结果</w:t>
            </w:r>
          </w:p>
          <w:p w14:paraId="70E2E87B">
            <w:pPr>
              <w:pStyle w:val="41"/>
              <w:ind w:firstLine="480"/>
            </w:pPr>
            <w:r>
              <w:rPr>
                <w:rFonts w:hint="eastAsia"/>
              </w:rPr>
              <w:t>预测结果见下表。</w:t>
            </w:r>
          </w:p>
          <w:p w14:paraId="4BFDB41D">
            <w:pPr>
              <w:pStyle w:val="41"/>
              <w:numPr>
                <w:ilvl w:val="0"/>
                <w:numId w:val="8"/>
              </w:numPr>
              <w:spacing w:line="240" w:lineRule="auto"/>
              <w:ind w:left="0" w:firstLine="0" w:firstLineChars="0"/>
              <w:jc w:val="center"/>
              <w:rPr>
                <w:b/>
                <w:bCs/>
                <w:sz w:val="21"/>
                <w:szCs w:val="21"/>
              </w:rPr>
            </w:pPr>
            <w:bookmarkStart w:id="39" w:name="_Ref134281483"/>
            <w:r>
              <w:rPr>
                <w:rFonts w:hint="eastAsia"/>
                <w:b/>
                <w:bCs/>
                <w:sz w:val="21"/>
                <w:szCs w:val="21"/>
              </w:rPr>
              <w:t>施工机械噪声随距离衰减情况一览表  单位：dB（A）</w:t>
            </w:r>
            <w:bookmarkEnd w:id="39"/>
          </w:p>
          <w:tbl>
            <w:tblPr>
              <w:tblStyle w:val="18"/>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709"/>
              <w:gridCol w:w="837"/>
              <w:gridCol w:w="843"/>
              <w:gridCol w:w="852"/>
              <w:gridCol w:w="852"/>
              <w:gridCol w:w="852"/>
              <w:gridCol w:w="852"/>
              <w:gridCol w:w="853"/>
              <w:gridCol w:w="853"/>
              <w:gridCol w:w="6"/>
            </w:tblGrid>
            <w:tr w14:paraId="4CA1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tblHeader/>
              </w:trPr>
              <w:tc>
                <w:tcPr>
                  <w:tcW w:w="1021" w:type="dxa"/>
                  <w:vMerge w:val="restart"/>
                  <w:vAlign w:val="center"/>
                </w:tcPr>
                <w:p w14:paraId="5EF39912">
                  <w:pPr>
                    <w:pStyle w:val="42"/>
                    <w:rPr>
                      <w:b/>
                      <w:bCs/>
                    </w:rPr>
                  </w:pPr>
                  <w:r>
                    <w:rPr>
                      <w:rFonts w:hint="eastAsia"/>
                      <w:b/>
                      <w:bCs/>
                    </w:rPr>
                    <w:t>噪声源</w:t>
                  </w:r>
                </w:p>
              </w:tc>
              <w:tc>
                <w:tcPr>
                  <w:tcW w:w="7509" w:type="dxa"/>
                  <w:gridSpan w:val="10"/>
                  <w:vAlign w:val="center"/>
                </w:tcPr>
                <w:p w14:paraId="42442DE4">
                  <w:pPr>
                    <w:pStyle w:val="42"/>
                    <w:rPr>
                      <w:b/>
                      <w:bCs/>
                    </w:rPr>
                  </w:pPr>
                  <w:r>
                    <w:rPr>
                      <w:rFonts w:hint="eastAsia"/>
                      <w:b/>
                      <w:bCs/>
                    </w:rPr>
                    <w:t>距离噪声源不同距离（m）时的噪声贡献值</w:t>
                  </w:r>
                </w:p>
              </w:tc>
            </w:tr>
            <w:tr w14:paraId="1AA5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41" w:hRule="atLeast"/>
                <w:tblHeader/>
              </w:trPr>
              <w:tc>
                <w:tcPr>
                  <w:tcW w:w="1021" w:type="dxa"/>
                  <w:vMerge w:val="continue"/>
                  <w:vAlign w:val="center"/>
                </w:tcPr>
                <w:p w14:paraId="664572C6">
                  <w:pPr>
                    <w:pStyle w:val="42"/>
                    <w:rPr>
                      <w:b/>
                      <w:bCs/>
                    </w:rPr>
                  </w:pPr>
                </w:p>
              </w:tc>
              <w:tc>
                <w:tcPr>
                  <w:tcW w:w="709" w:type="dxa"/>
                  <w:vAlign w:val="center"/>
                </w:tcPr>
                <w:p w14:paraId="1150FC5C">
                  <w:pPr>
                    <w:pStyle w:val="42"/>
                    <w:rPr>
                      <w:b/>
                      <w:bCs/>
                    </w:rPr>
                  </w:pPr>
                  <w:r>
                    <w:rPr>
                      <w:rFonts w:hint="eastAsia"/>
                      <w:b/>
                      <w:bCs/>
                    </w:rPr>
                    <w:t>5</w:t>
                  </w:r>
                </w:p>
              </w:tc>
              <w:tc>
                <w:tcPr>
                  <w:tcW w:w="837" w:type="dxa"/>
                  <w:vAlign w:val="center"/>
                </w:tcPr>
                <w:p w14:paraId="6AEE1482">
                  <w:pPr>
                    <w:pStyle w:val="42"/>
                    <w:rPr>
                      <w:b/>
                      <w:bCs/>
                    </w:rPr>
                  </w:pPr>
                  <w:r>
                    <w:rPr>
                      <w:rFonts w:hint="eastAsia"/>
                      <w:b/>
                      <w:bCs/>
                    </w:rPr>
                    <w:t>10</w:t>
                  </w:r>
                </w:p>
              </w:tc>
              <w:tc>
                <w:tcPr>
                  <w:tcW w:w="843" w:type="dxa"/>
                  <w:vAlign w:val="center"/>
                </w:tcPr>
                <w:p w14:paraId="4A95BD2E">
                  <w:pPr>
                    <w:pStyle w:val="42"/>
                    <w:rPr>
                      <w:b/>
                      <w:bCs/>
                    </w:rPr>
                  </w:pPr>
                  <w:r>
                    <w:rPr>
                      <w:rFonts w:hint="eastAsia"/>
                      <w:b/>
                      <w:bCs/>
                    </w:rPr>
                    <w:t>20</w:t>
                  </w:r>
                </w:p>
              </w:tc>
              <w:tc>
                <w:tcPr>
                  <w:tcW w:w="852" w:type="dxa"/>
                  <w:vAlign w:val="center"/>
                </w:tcPr>
                <w:p w14:paraId="6D877496">
                  <w:pPr>
                    <w:pStyle w:val="42"/>
                    <w:rPr>
                      <w:b/>
                      <w:bCs/>
                    </w:rPr>
                  </w:pPr>
                  <w:r>
                    <w:rPr>
                      <w:rFonts w:hint="eastAsia"/>
                      <w:b/>
                      <w:bCs/>
                    </w:rPr>
                    <w:t>40</w:t>
                  </w:r>
                </w:p>
              </w:tc>
              <w:tc>
                <w:tcPr>
                  <w:tcW w:w="852" w:type="dxa"/>
                  <w:vAlign w:val="center"/>
                </w:tcPr>
                <w:p w14:paraId="00908765">
                  <w:pPr>
                    <w:pStyle w:val="42"/>
                    <w:rPr>
                      <w:b/>
                      <w:bCs/>
                    </w:rPr>
                  </w:pPr>
                  <w:r>
                    <w:rPr>
                      <w:rFonts w:hint="eastAsia"/>
                      <w:b/>
                      <w:bCs/>
                    </w:rPr>
                    <w:t>50</w:t>
                  </w:r>
                </w:p>
              </w:tc>
              <w:tc>
                <w:tcPr>
                  <w:tcW w:w="852" w:type="dxa"/>
                  <w:vAlign w:val="center"/>
                </w:tcPr>
                <w:p w14:paraId="43A6EC8E">
                  <w:pPr>
                    <w:pStyle w:val="42"/>
                    <w:rPr>
                      <w:b/>
                      <w:bCs/>
                    </w:rPr>
                  </w:pPr>
                  <w:r>
                    <w:rPr>
                      <w:rFonts w:hint="eastAsia"/>
                      <w:b/>
                      <w:bCs/>
                    </w:rPr>
                    <w:t>100</w:t>
                  </w:r>
                </w:p>
              </w:tc>
              <w:tc>
                <w:tcPr>
                  <w:tcW w:w="852" w:type="dxa"/>
                  <w:vAlign w:val="center"/>
                </w:tcPr>
                <w:p w14:paraId="75CDECA2">
                  <w:pPr>
                    <w:pStyle w:val="42"/>
                    <w:rPr>
                      <w:b/>
                      <w:bCs/>
                    </w:rPr>
                  </w:pPr>
                  <w:r>
                    <w:rPr>
                      <w:rFonts w:hint="eastAsia"/>
                      <w:b/>
                      <w:bCs/>
                    </w:rPr>
                    <w:t>150</w:t>
                  </w:r>
                </w:p>
              </w:tc>
              <w:tc>
                <w:tcPr>
                  <w:tcW w:w="853" w:type="dxa"/>
                  <w:vAlign w:val="center"/>
                </w:tcPr>
                <w:p w14:paraId="77FC017A">
                  <w:pPr>
                    <w:pStyle w:val="42"/>
                    <w:rPr>
                      <w:b/>
                      <w:bCs/>
                    </w:rPr>
                  </w:pPr>
                  <w:r>
                    <w:rPr>
                      <w:rFonts w:hint="eastAsia"/>
                      <w:b/>
                      <w:bCs/>
                    </w:rPr>
                    <w:t>200</w:t>
                  </w:r>
                </w:p>
              </w:tc>
              <w:tc>
                <w:tcPr>
                  <w:tcW w:w="853" w:type="dxa"/>
                  <w:vAlign w:val="center"/>
                </w:tcPr>
                <w:p w14:paraId="19D1A4A0">
                  <w:pPr>
                    <w:pStyle w:val="42"/>
                    <w:rPr>
                      <w:b/>
                      <w:bCs/>
                    </w:rPr>
                  </w:pPr>
                  <w:r>
                    <w:rPr>
                      <w:rFonts w:hint="eastAsia"/>
                      <w:b/>
                      <w:bCs/>
                    </w:rPr>
                    <w:t>260</w:t>
                  </w:r>
                </w:p>
              </w:tc>
            </w:tr>
            <w:tr w14:paraId="5E85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49" w:hRule="atLeast"/>
              </w:trPr>
              <w:tc>
                <w:tcPr>
                  <w:tcW w:w="1021" w:type="dxa"/>
                  <w:vAlign w:val="center"/>
                </w:tcPr>
                <w:p w14:paraId="54535A44">
                  <w:pPr>
                    <w:pStyle w:val="42"/>
                  </w:pPr>
                  <w:r>
                    <w:rPr>
                      <w:rFonts w:hint="eastAsia"/>
                    </w:rPr>
                    <w:t>装载机</w:t>
                  </w:r>
                </w:p>
              </w:tc>
              <w:tc>
                <w:tcPr>
                  <w:tcW w:w="709" w:type="dxa"/>
                  <w:vAlign w:val="center"/>
                </w:tcPr>
                <w:p w14:paraId="1CBACEAD">
                  <w:pPr>
                    <w:pStyle w:val="42"/>
                  </w:pPr>
                  <w:r>
                    <w:rPr>
                      <w:rFonts w:hint="eastAsia"/>
                    </w:rPr>
                    <w:t>89.02</w:t>
                  </w:r>
                </w:p>
              </w:tc>
              <w:tc>
                <w:tcPr>
                  <w:tcW w:w="837" w:type="dxa"/>
                  <w:vAlign w:val="center"/>
                </w:tcPr>
                <w:p w14:paraId="459792DF">
                  <w:pPr>
                    <w:pStyle w:val="42"/>
                  </w:pPr>
                  <w:r>
                    <w:rPr>
                      <w:rFonts w:hint="eastAsia"/>
                    </w:rPr>
                    <w:t>83.00</w:t>
                  </w:r>
                </w:p>
              </w:tc>
              <w:tc>
                <w:tcPr>
                  <w:tcW w:w="843" w:type="dxa"/>
                  <w:vAlign w:val="center"/>
                </w:tcPr>
                <w:p w14:paraId="62EA4E8D">
                  <w:pPr>
                    <w:pStyle w:val="42"/>
                  </w:pPr>
                  <w:r>
                    <w:rPr>
                      <w:rFonts w:hint="eastAsia"/>
                    </w:rPr>
                    <w:t>76.98</w:t>
                  </w:r>
                </w:p>
              </w:tc>
              <w:tc>
                <w:tcPr>
                  <w:tcW w:w="852" w:type="dxa"/>
                  <w:vAlign w:val="center"/>
                </w:tcPr>
                <w:p w14:paraId="51D45362">
                  <w:pPr>
                    <w:pStyle w:val="42"/>
                  </w:pPr>
                  <w:r>
                    <w:rPr>
                      <w:rFonts w:hint="eastAsia"/>
                    </w:rPr>
                    <w:t>70.96</w:t>
                  </w:r>
                </w:p>
              </w:tc>
              <w:tc>
                <w:tcPr>
                  <w:tcW w:w="852" w:type="dxa"/>
                  <w:vAlign w:val="center"/>
                </w:tcPr>
                <w:p w14:paraId="598FC079">
                  <w:pPr>
                    <w:pStyle w:val="42"/>
                  </w:pPr>
                  <w:r>
                    <w:rPr>
                      <w:rFonts w:hint="eastAsia"/>
                    </w:rPr>
                    <w:t>69.02</w:t>
                  </w:r>
                </w:p>
              </w:tc>
              <w:tc>
                <w:tcPr>
                  <w:tcW w:w="852" w:type="dxa"/>
                  <w:vAlign w:val="center"/>
                </w:tcPr>
                <w:p w14:paraId="7AD7D50B">
                  <w:pPr>
                    <w:pStyle w:val="42"/>
                  </w:pPr>
                  <w:r>
                    <w:rPr>
                      <w:rFonts w:hint="eastAsia"/>
                    </w:rPr>
                    <w:t>63.00</w:t>
                  </w:r>
                </w:p>
              </w:tc>
              <w:tc>
                <w:tcPr>
                  <w:tcW w:w="852" w:type="dxa"/>
                  <w:vAlign w:val="center"/>
                </w:tcPr>
                <w:p w14:paraId="45150733">
                  <w:pPr>
                    <w:pStyle w:val="42"/>
                  </w:pPr>
                  <w:r>
                    <w:rPr>
                      <w:rFonts w:hint="eastAsia"/>
                    </w:rPr>
                    <w:t>59.48</w:t>
                  </w:r>
                </w:p>
              </w:tc>
              <w:tc>
                <w:tcPr>
                  <w:tcW w:w="853" w:type="dxa"/>
                  <w:vAlign w:val="center"/>
                </w:tcPr>
                <w:p w14:paraId="52C20146">
                  <w:pPr>
                    <w:pStyle w:val="42"/>
                  </w:pPr>
                  <w:r>
                    <w:rPr>
                      <w:rFonts w:hint="eastAsia"/>
                    </w:rPr>
                    <w:t>56.98</w:t>
                  </w:r>
                </w:p>
              </w:tc>
              <w:tc>
                <w:tcPr>
                  <w:tcW w:w="853" w:type="dxa"/>
                  <w:vAlign w:val="center"/>
                </w:tcPr>
                <w:p w14:paraId="77B7BAC9">
                  <w:pPr>
                    <w:pStyle w:val="42"/>
                  </w:pPr>
                  <w:r>
                    <w:rPr>
                      <w:rFonts w:hint="eastAsia"/>
                    </w:rPr>
                    <w:t>54.70</w:t>
                  </w:r>
                </w:p>
              </w:tc>
            </w:tr>
            <w:tr w14:paraId="266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trPr>
              <w:tc>
                <w:tcPr>
                  <w:tcW w:w="1021" w:type="dxa"/>
                  <w:vAlign w:val="center"/>
                </w:tcPr>
                <w:p w14:paraId="4791049D">
                  <w:pPr>
                    <w:pStyle w:val="42"/>
                  </w:pPr>
                  <w:r>
                    <w:rPr>
                      <w:rFonts w:hint="eastAsia"/>
                    </w:rPr>
                    <w:t>载重机</w:t>
                  </w:r>
                </w:p>
              </w:tc>
              <w:tc>
                <w:tcPr>
                  <w:tcW w:w="709" w:type="dxa"/>
                  <w:vAlign w:val="center"/>
                </w:tcPr>
                <w:p w14:paraId="216ACA76">
                  <w:pPr>
                    <w:pStyle w:val="42"/>
                  </w:pPr>
                  <w:r>
                    <w:rPr>
                      <w:rFonts w:hint="eastAsia"/>
                    </w:rPr>
                    <w:t>81.02</w:t>
                  </w:r>
                </w:p>
              </w:tc>
              <w:tc>
                <w:tcPr>
                  <w:tcW w:w="837" w:type="dxa"/>
                  <w:vAlign w:val="center"/>
                </w:tcPr>
                <w:p w14:paraId="18E5D907">
                  <w:pPr>
                    <w:pStyle w:val="42"/>
                  </w:pPr>
                  <w:r>
                    <w:rPr>
                      <w:rFonts w:hint="eastAsia"/>
                    </w:rPr>
                    <w:t>75.00</w:t>
                  </w:r>
                </w:p>
              </w:tc>
              <w:tc>
                <w:tcPr>
                  <w:tcW w:w="843" w:type="dxa"/>
                  <w:vAlign w:val="center"/>
                </w:tcPr>
                <w:p w14:paraId="44C391F2">
                  <w:pPr>
                    <w:pStyle w:val="42"/>
                  </w:pPr>
                  <w:r>
                    <w:rPr>
                      <w:rFonts w:hint="eastAsia"/>
                    </w:rPr>
                    <w:t>68.98</w:t>
                  </w:r>
                </w:p>
              </w:tc>
              <w:tc>
                <w:tcPr>
                  <w:tcW w:w="852" w:type="dxa"/>
                  <w:vAlign w:val="center"/>
                </w:tcPr>
                <w:p w14:paraId="1DC2D7CB">
                  <w:pPr>
                    <w:pStyle w:val="42"/>
                  </w:pPr>
                  <w:r>
                    <w:rPr>
                      <w:rFonts w:hint="eastAsia"/>
                    </w:rPr>
                    <w:t>62.96</w:t>
                  </w:r>
                </w:p>
              </w:tc>
              <w:tc>
                <w:tcPr>
                  <w:tcW w:w="852" w:type="dxa"/>
                  <w:vAlign w:val="center"/>
                </w:tcPr>
                <w:p w14:paraId="56DD4948">
                  <w:pPr>
                    <w:pStyle w:val="42"/>
                  </w:pPr>
                  <w:r>
                    <w:rPr>
                      <w:rFonts w:hint="eastAsia"/>
                    </w:rPr>
                    <w:t>61.02</w:t>
                  </w:r>
                </w:p>
              </w:tc>
              <w:tc>
                <w:tcPr>
                  <w:tcW w:w="852" w:type="dxa"/>
                  <w:vAlign w:val="center"/>
                </w:tcPr>
                <w:p w14:paraId="02513463">
                  <w:pPr>
                    <w:pStyle w:val="42"/>
                  </w:pPr>
                  <w:r>
                    <w:rPr>
                      <w:rFonts w:hint="eastAsia"/>
                    </w:rPr>
                    <w:t>55.00</w:t>
                  </w:r>
                </w:p>
              </w:tc>
              <w:tc>
                <w:tcPr>
                  <w:tcW w:w="852" w:type="dxa"/>
                  <w:vAlign w:val="center"/>
                </w:tcPr>
                <w:p w14:paraId="00537CA8">
                  <w:pPr>
                    <w:pStyle w:val="42"/>
                  </w:pPr>
                  <w:r>
                    <w:rPr>
                      <w:rFonts w:hint="eastAsia"/>
                    </w:rPr>
                    <w:t>51.48</w:t>
                  </w:r>
                </w:p>
              </w:tc>
              <w:tc>
                <w:tcPr>
                  <w:tcW w:w="853" w:type="dxa"/>
                  <w:vAlign w:val="center"/>
                </w:tcPr>
                <w:p w14:paraId="1DE1DF79">
                  <w:pPr>
                    <w:pStyle w:val="42"/>
                  </w:pPr>
                  <w:r>
                    <w:rPr>
                      <w:rFonts w:hint="eastAsia"/>
                    </w:rPr>
                    <w:t>48.98</w:t>
                  </w:r>
                </w:p>
              </w:tc>
              <w:tc>
                <w:tcPr>
                  <w:tcW w:w="853" w:type="dxa"/>
                  <w:vAlign w:val="center"/>
                </w:tcPr>
                <w:p w14:paraId="7D46F665">
                  <w:pPr>
                    <w:pStyle w:val="42"/>
                  </w:pPr>
                  <w:r>
                    <w:rPr>
                      <w:rFonts w:hint="eastAsia"/>
                    </w:rPr>
                    <w:t>46.70</w:t>
                  </w:r>
                </w:p>
              </w:tc>
            </w:tr>
            <w:tr w14:paraId="2697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trPr>
              <w:tc>
                <w:tcPr>
                  <w:tcW w:w="1021" w:type="dxa"/>
                  <w:vAlign w:val="center"/>
                </w:tcPr>
                <w:p w14:paraId="6BE561A4">
                  <w:pPr>
                    <w:pStyle w:val="42"/>
                  </w:pPr>
                  <w:r>
                    <w:rPr>
                      <w:rFonts w:hint="eastAsia"/>
                    </w:rPr>
                    <w:t>吊车</w:t>
                  </w:r>
                </w:p>
              </w:tc>
              <w:tc>
                <w:tcPr>
                  <w:tcW w:w="709" w:type="dxa"/>
                  <w:vAlign w:val="center"/>
                </w:tcPr>
                <w:p w14:paraId="59DFD473">
                  <w:pPr>
                    <w:pStyle w:val="42"/>
                  </w:pPr>
                  <w:r>
                    <w:rPr>
                      <w:rFonts w:hint="eastAsia"/>
                    </w:rPr>
                    <w:t>74.02</w:t>
                  </w:r>
                </w:p>
              </w:tc>
              <w:tc>
                <w:tcPr>
                  <w:tcW w:w="837" w:type="dxa"/>
                  <w:vAlign w:val="center"/>
                </w:tcPr>
                <w:p w14:paraId="7AE633FD">
                  <w:pPr>
                    <w:pStyle w:val="42"/>
                  </w:pPr>
                  <w:r>
                    <w:rPr>
                      <w:rFonts w:hint="eastAsia"/>
                    </w:rPr>
                    <w:t>68.00</w:t>
                  </w:r>
                </w:p>
              </w:tc>
              <w:tc>
                <w:tcPr>
                  <w:tcW w:w="843" w:type="dxa"/>
                  <w:vAlign w:val="center"/>
                </w:tcPr>
                <w:p w14:paraId="6C65668C">
                  <w:pPr>
                    <w:pStyle w:val="42"/>
                  </w:pPr>
                  <w:r>
                    <w:rPr>
                      <w:rFonts w:hint="eastAsia"/>
                    </w:rPr>
                    <w:t>61.98</w:t>
                  </w:r>
                </w:p>
              </w:tc>
              <w:tc>
                <w:tcPr>
                  <w:tcW w:w="852" w:type="dxa"/>
                  <w:vAlign w:val="center"/>
                </w:tcPr>
                <w:p w14:paraId="091BE998">
                  <w:pPr>
                    <w:pStyle w:val="42"/>
                  </w:pPr>
                  <w:r>
                    <w:rPr>
                      <w:rFonts w:hint="eastAsia"/>
                    </w:rPr>
                    <w:t>55.96</w:t>
                  </w:r>
                </w:p>
              </w:tc>
              <w:tc>
                <w:tcPr>
                  <w:tcW w:w="852" w:type="dxa"/>
                  <w:vAlign w:val="center"/>
                </w:tcPr>
                <w:p w14:paraId="0EDD32E1">
                  <w:pPr>
                    <w:pStyle w:val="42"/>
                  </w:pPr>
                  <w:r>
                    <w:rPr>
                      <w:rFonts w:hint="eastAsia"/>
                    </w:rPr>
                    <w:t>54.02</w:t>
                  </w:r>
                </w:p>
              </w:tc>
              <w:tc>
                <w:tcPr>
                  <w:tcW w:w="852" w:type="dxa"/>
                  <w:vAlign w:val="center"/>
                </w:tcPr>
                <w:p w14:paraId="56F5A03A">
                  <w:pPr>
                    <w:pStyle w:val="42"/>
                  </w:pPr>
                  <w:r>
                    <w:rPr>
                      <w:rFonts w:hint="eastAsia"/>
                    </w:rPr>
                    <w:t>48.00</w:t>
                  </w:r>
                </w:p>
              </w:tc>
              <w:tc>
                <w:tcPr>
                  <w:tcW w:w="852" w:type="dxa"/>
                  <w:vAlign w:val="center"/>
                </w:tcPr>
                <w:p w14:paraId="2810BDA5">
                  <w:pPr>
                    <w:pStyle w:val="42"/>
                  </w:pPr>
                  <w:r>
                    <w:rPr>
                      <w:rFonts w:hint="eastAsia"/>
                    </w:rPr>
                    <w:t>44.48</w:t>
                  </w:r>
                </w:p>
              </w:tc>
              <w:tc>
                <w:tcPr>
                  <w:tcW w:w="853" w:type="dxa"/>
                  <w:vAlign w:val="center"/>
                </w:tcPr>
                <w:p w14:paraId="25481DFD">
                  <w:pPr>
                    <w:pStyle w:val="42"/>
                  </w:pPr>
                  <w:r>
                    <w:rPr>
                      <w:rFonts w:hint="eastAsia"/>
                    </w:rPr>
                    <w:t>41.98</w:t>
                  </w:r>
                </w:p>
              </w:tc>
              <w:tc>
                <w:tcPr>
                  <w:tcW w:w="853" w:type="dxa"/>
                  <w:vAlign w:val="center"/>
                </w:tcPr>
                <w:p w14:paraId="5AB32B7B">
                  <w:pPr>
                    <w:pStyle w:val="42"/>
                  </w:pPr>
                  <w:r>
                    <w:rPr>
                      <w:rFonts w:hint="eastAsia"/>
                    </w:rPr>
                    <w:t>39.70</w:t>
                  </w:r>
                </w:p>
              </w:tc>
            </w:tr>
            <w:tr w14:paraId="5851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trPr>
              <w:tc>
                <w:tcPr>
                  <w:tcW w:w="1021" w:type="dxa"/>
                  <w:vAlign w:val="center"/>
                </w:tcPr>
                <w:p w14:paraId="2D65E82C">
                  <w:pPr>
                    <w:pStyle w:val="42"/>
                  </w:pPr>
                  <w:r>
                    <w:rPr>
                      <w:rFonts w:hint="eastAsia"/>
                    </w:rPr>
                    <w:t>电焊机</w:t>
                  </w:r>
                </w:p>
              </w:tc>
              <w:tc>
                <w:tcPr>
                  <w:tcW w:w="709" w:type="dxa"/>
                  <w:vAlign w:val="center"/>
                </w:tcPr>
                <w:p w14:paraId="3988A153">
                  <w:pPr>
                    <w:pStyle w:val="42"/>
                  </w:pPr>
                  <w:r>
                    <w:rPr>
                      <w:rFonts w:hint="eastAsia"/>
                    </w:rPr>
                    <w:t>71.02</w:t>
                  </w:r>
                </w:p>
              </w:tc>
              <w:tc>
                <w:tcPr>
                  <w:tcW w:w="837" w:type="dxa"/>
                  <w:vAlign w:val="center"/>
                </w:tcPr>
                <w:p w14:paraId="49A1AF9D">
                  <w:pPr>
                    <w:pStyle w:val="42"/>
                  </w:pPr>
                  <w:r>
                    <w:rPr>
                      <w:rFonts w:hint="eastAsia"/>
                    </w:rPr>
                    <w:t>65.00</w:t>
                  </w:r>
                </w:p>
              </w:tc>
              <w:tc>
                <w:tcPr>
                  <w:tcW w:w="843" w:type="dxa"/>
                  <w:vAlign w:val="center"/>
                </w:tcPr>
                <w:p w14:paraId="5ADAF84B">
                  <w:pPr>
                    <w:pStyle w:val="42"/>
                  </w:pPr>
                  <w:r>
                    <w:rPr>
                      <w:rFonts w:hint="eastAsia"/>
                    </w:rPr>
                    <w:t>58.98</w:t>
                  </w:r>
                </w:p>
              </w:tc>
              <w:tc>
                <w:tcPr>
                  <w:tcW w:w="852" w:type="dxa"/>
                  <w:vAlign w:val="center"/>
                </w:tcPr>
                <w:p w14:paraId="1D74426B">
                  <w:pPr>
                    <w:pStyle w:val="42"/>
                  </w:pPr>
                  <w:r>
                    <w:rPr>
                      <w:rFonts w:hint="eastAsia"/>
                    </w:rPr>
                    <w:t>52.96</w:t>
                  </w:r>
                </w:p>
              </w:tc>
              <w:tc>
                <w:tcPr>
                  <w:tcW w:w="852" w:type="dxa"/>
                  <w:vAlign w:val="center"/>
                </w:tcPr>
                <w:p w14:paraId="1024CF4D">
                  <w:pPr>
                    <w:pStyle w:val="42"/>
                  </w:pPr>
                  <w:r>
                    <w:rPr>
                      <w:rFonts w:hint="eastAsia"/>
                    </w:rPr>
                    <w:t>51.02</w:t>
                  </w:r>
                </w:p>
              </w:tc>
              <w:tc>
                <w:tcPr>
                  <w:tcW w:w="852" w:type="dxa"/>
                  <w:vAlign w:val="center"/>
                </w:tcPr>
                <w:p w14:paraId="6F317AF0">
                  <w:pPr>
                    <w:pStyle w:val="42"/>
                  </w:pPr>
                  <w:r>
                    <w:rPr>
                      <w:rFonts w:hint="eastAsia"/>
                    </w:rPr>
                    <w:t>45.00</w:t>
                  </w:r>
                </w:p>
              </w:tc>
              <w:tc>
                <w:tcPr>
                  <w:tcW w:w="852" w:type="dxa"/>
                  <w:vAlign w:val="center"/>
                </w:tcPr>
                <w:p w14:paraId="58462B58">
                  <w:pPr>
                    <w:pStyle w:val="42"/>
                  </w:pPr>
                  <w:r>
                    <w:rPr>
                      <w:rFonts w:hint="eastAsia"/>
                    </w:rPr>
                    <w:t>41.48</w:t>
                  </w:r>
                </w:p>
              </w:tc>
              <w:tc>
                <w:tcPr>
                  <w:tcW w:w="853" w:type="dxa"/>
                  <w:vAlign w:val="center"/>
                </w:tcPr>
                <w:p w14:paraId="16F9A703">
                  <w:pPr>
                    <w:pStyle w:val="42"/>
                  </w:pPr>
                  <w:r>
                    <w:rPr>
                      <w:rFonts w:hint="eastAsia"/>
                    </w:rPr>
                    <w:t>38.98</w:t>
                  </w:r>
                </w:p>
              </w:tc>
              <w:tc>
                <w:tcPr>
                  <w:tcW w:w="853" w:type="dxa"/>
                  <w:vAlign w:val="center"/>
                </w:tcPr>
                <w:p w14:paraId="0288E1FB">
                  <w:pPr>
                    <w:pStyle w:val="42"/>
                  </w:pPr>
                  <w:r>
                    <w:rPr>
                      <w:rFonts w:hint="eastAsia"/>
                    </w:rPr>
                    <w:t>39.70</w:t>
                  </w:r>
                </w:p>
              </w:tc>
            </w:tr>
            <w:tr w14:paraId="3877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trPr>
              <w:tc>
                <w:tcPr>
                  <w:tcW w:w="1021" w:type="dxa"/>
                  <w:vAlign w:val="center"/>
                </w:tcPr>
                <w:p w14:paraId="5C64BAC7">
                  <w:pPr>
                    <w:pStyle w:val="42"/>
                  </w:pPr>
                  <w:r>
                    <w:rPr>
                      <w:rFonts w:hint="eastAsia"/>
                    </w:rPr>
                    <w:t>冲击钻</w:t>
                  </w:r>
                </w:p>
              </w:tc>
              <w:tc>
                <w:tcPr>
                  <w:tcW w:w="709" w:type="dxa"/>
                  <w:vAlign w:val="center"/>
                </w:tcPr>
                <w:p w14:paraId="1F5E4ED8">
                  <w:pPr>
                    <w:pStyle w:val="42"/>
                  </w:pPr>
                  <w:r>
                    <w:rPr>
                      <w:rFonts w:hint="eastAsia"/>
                    </w:rPr>
                    <w:t>76.02</w:t>
                  </w:r>
                </w:p>
              </w:tc>
              <w:tc>
                <w:tcPr>
                  <w:tcW w:w="837" w:type="dxa"/>
                  <w:vAlign w:val="center"/>
                </w:tcPr>
                <w:p w14:paraId="00037330">
                  <w:pPr>
                    <w:pStyle w:val="42"/>
                  </w:pPr>
                  <w:r>
                    <w:rPr>
                      <w:rFonts w:hint="eastAsia"/>
                    </w:rPr>
                    <w:t>70.00</w:t>
                  </w:r>
                </w:p>
              </w:tc>
              <w:tc>
                <w:tcPr>
                  <w:tcW w:w="843" w:type="dxa"/>
                  <w:vAlign w:val="center"/>
                </w:tcPr>
                <w:p w14:paraId="1F66AD30">
                  <w:pPr>
                    <w:pStyle w:val="42"/>
                  </w:pPr>
                  <w:r>
                    <w:rPr>
                      <w:rFonts w:hint="eastAsia"/>
                    </w:rPr>
                    <w:t>63.98</w:t>
                  </w:r>
                </w:p>
              </w:tc>
              <w:tc>
                <w:tcPr>
                  <w:tcW w:w="852" w:type="dxa"/>
                  <w:vAlign w:val="center"/>
                </w:tcPr>
                <w:p w14:paraId="410EDF7C">
                  <w:pPr>
                    <w:pStyle w:val="42"/>
                  </w:pPr>
                  <w:r>
                    <w:rPr>
                      <w:rFonts w:hint="eastAsia"/>
                    </w:rPr>
                    <w:t>57.96</w:t>
                  </w:r>
                </w:p>
              </w:tc>
              <w:tc>
                <w:tcPr>
                  <w:tcW w:w="852" w:type="dxa"/>
                  <w:vAlign w:val="center"/>
                </w:tcPr>
                <w:p w14:paraId="72A05F90">
                  <w:pPr>
                    <w:pStyle w:val="42"/>
                  </w:pPr>
                  <w:r>
                    <w:rPr>
                      <w:rFonts w:hint="eastAsia"/>
                    </w:rPr>
                    <w:t>56.02</w:t>
                  </w:r>
                </w:p>
              </w:tc>
              <w:tc>
                <w:tcPr>
                  <w:tcW w:w="852" w:type="dxa"/>
                  <w:vAlign w:val="center"/>
                </w:tcPr>
                <w:p w14:paraId="0D7F12CC">
                  <w:pPr>
                    <w:pStyle w:val="42"/>
                  </w:pPr>
                  <w:r>
                    <w:rPr>
                      <w:rFonts w:hint="eastAsia"/>
                    </w:rPr>
                    <w:t>50.00</w:t>
                  </w:r>
                </w:p>
              </w:tc>
              <w:tc>
                <w:tcPr>
                  <w:tcW w:w="852" w:type="dxa"/>
                  <w:vAlign w:val="center"/>
                </w:tcPr>
                <w:p w14:paraId="5F00DCC5">
                  <w:pPr>
                    <w:pStyle w:val="42"/>
                  </w:pPr>
                  <w:r>
                    <w:rPr>
                      <w:rFonts w:hint="eastAsia"/>
                    </w:rPr>
                    <w:t>46.48</w:t>
                  </w:r>
                </w:p>
              </w:tc>
              <w:tc>
                <w:tcPr>
                  <w:tcW w:w="853" w:type="dxa"/>
                  <w:vAlign w:val="center"/>
                </w:tcPr>
                <w:p w14:paraId="3F226867">
                  <w:pPr>
                    <w:pStyle w:val="42"/>
                  </w:pPr>
                  <w:r>
                    <w:rPr>
                      <w:rFonts w:hint="eastAsia"/>
                    </w:rPr>
                    <w:t>43.98</w:t>
                  </w:r>
                </w:p>
              </w:tc>
              <w:tc>
                <w:tcPr>
                  <w:tcW w:w="853" w:type="dxa"/>
                  <w:vAlign w:val="center"/>
                </w:tcPr>
                <w:p w14:paraId="260C1468">
                  <w:pPr>
                    <w:pStyle w:val="42"/>
                  </w:pPr>
                  <w:r>
                    <w:rPr>
                      <w:rFonts w:hint="eastAsia"/>
                    </w:rPr>
                    <w:t>41.70</w:t>
                  </w:r>
                </w:p>
              </w:tc>
            </w:tr>
            <w:tr w14:paraId="64E9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49" w:hRule="atLeast"/>
              </w:trPr>
              <w:tc>
                <w:tcPr>
                  <w:tcW w:w="1021" w:type="dxa"/>
                  <w:vAlign w:val="center"/>
                </w:tcPr>
                <w:p w14:paraId="5FD7331A">
                  <w:pPr>
                    <w:pStyle w:val="42"/>
                  </w:pPr>
                  <w:r>
                    <w:rPr>
                      <w:rFonts w:hint="eastAsia"/>
                    </w:rPr>
                    <w:t>切割机</w:t>
                  </w:r>
                </w:p>
              </w:tc>
              <w:tc>
                <w:tcPr>
                  <w:tcW w:w="709" w:type="dxa"/>
                  <w:vAlign w:val="center"/>
                </w:tcPr>
                <w:p w14:paraId="5DD04A67">
                  <w:pPr>
                    <w:pStyle w:val="42"/>
                  </w:pPr>
                  <w:r>
                    <w:rPr>
                      <w:rFonts w:hint="eastAsia"/>
                    </w:rPr>
                    <w:t>81.02</w:t>
                  </w:r>
                </w:p>
              </w:tc>
              <w:tc>
                <w:tcPr>
                  <w:tcW w:w="837" w:type="dxa"/>
                  <w:vAlign w:val="center"/>
                </w:tcPr>
                <w:p w14:paraId="1AC34915">
                  <w:pPr>
                    <w:pStyle w:val="42"/>
                  </w:pPr>
                  <w:r>
                    <w:rPr>
                      <w:rFonts w:hint="eastAsia"/>
                    </w:rPr>
                    <w:t>75.00</w:t>
                  </w:r>
                </w:p>
              </w:tc>
              <w:tc>
                <w:tcPr>
                  <w:tcW w:w="843" w:type="dxa"/>
                  <w:vAlign w:val="center"/>
                </w:tcPr>
                <w:p w14:paraId="50D7612D">
                  <w:pPr>
                    <w:pStyle w:val="42"/>
                  </w:pPr>
                  <w:r>
                    <w:rPr>
                      <w:rFonts w:hint="eastAsia"/>
                    </w:rPr>
                    <w:t>68.98</w:t>
                  </w:r>
                </w:p>
              </w:tc>
              <w:tc>
                <w:tcPr>
                  <w:tcW w:w="852" w:type="dxa"/>
                  <w:vAlign w:val="center"/>
                </w:tcPr>
                <w:p w14:paraId="71B7DE2D">
                  <w:pPr>
                    <w:pStyle w:val="42"/>
                  </w:pPr>
                  <w:r>
                    <w:rPr>
                      <w:rFonts w:hint="eastAsia"/>
                    </w:rPr>
                    <w:t>62.96</w:t>
                  </w:r>
                </w:p>
              </w:tc>
              <w:tc>
                <w:tcPr>
                  <w:tcW w:w="852" w:type="dxa"/>
                  <w:vAlign w:val="center"/>
                </w:tcPr>
                <w:p w14:paraId="35D35497">
                  <w:pPr>
                    <w:pStyle w:val="42"/>
                  </w:pPr>
                  <w:r>
                    <w:rPr>
                      <w:rFonts w:hint="eastAsia"/>
                    </w:rPr>
                    <w:t>61.02</w:t>
                  </w:r>
                </w:p>
              </w:tc>
              <w:tc>
                <w:tcPr>
                  <w:tcW w:w="852" w:type="dxa"/>
                  <w:vAlign w:val="center"/>
                </w:tcPr>
                <w:p w14:paraId="07610298">
                  <w:pPr>
                    <w:pStyle w:val="42"/>
                  </w:pPr>
                  <w:r>
                    <w:rPr>
                      <w:rFonts w:hint="eastAsia"/>
                    </w:rPr>
                    <w:t>55.00</w:t>
                  </w:r>
                </w:p>
              </w:tc>
              <w:tc>
                <w:tcPr>
                  <w:tcW w:w="852" w:type="dxa"/>
                  <w:vAlign w:val="center"/>
                </w:tcPr>
                <w:p w14:paraId="2FAD3D9D">
                  <w:pPr>
                    <w:pStyle w:val="42"/>
                  </w:pPr>
                  <w:r>
                    <w:rPr>
                      <w:rFonts w:hint="eastAsia"/>
                    </w:rPr>
                    <w:t>51.48</w:t>
                  </w:r>
                </w:p>
              </w:tc>
              <w:tc>
                <w:tcPr>
                  <w:tcW w:w="853" w:type="dxa"/>
                  <w:vAlign w:val="center"/>
                </w:tcPr>
                <w:p w14:paraId="242172F3">
                  <w:pPr>
                    <w:pStyle w:val="42"/>
                  </w:pPr>
                  <w:r>
                    <w:rPr>
                      <w:rFonts w:hint="eastAsia"/>
                    </w:rPr>
                    <w:t>48.98</w:t>
                  </w:r>
                </w:p>
              </w:tc>
              <w:tc>
                <w:tcPr>
                  <w:tcW w:w="853" w:type="dxa"/>
                  <w:vAlign w:val="center"/>
                </w:tcPr>
                <w:p w14:paraId="32438F9F">
                  <w:pPr>
                    <w:pStyle w:val="42"/>
                  </w:pPr>
                  <w:r>
                    <w:rPr>
                      <w:rFonts w:hint="eastAsia"/>
                    </w:rPr>
                    <w:t>46.70</w:t>
                  </w:r>
                </w:p>
              </w:tc>
            </w:tr>
            <w:tr w14:paraId="1BA7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49" w:hRule="atLeast"/>
              </w:trPr>
              <w:tc>
                <w:tcPr>
                  <w:tcW w:w="1021" w:type="dxa"/>
                  <w:vAlign w:val="center"/>
                </w:tcPr>
                <w:p w14:paraId="70F40EED">
                  <w:pPr>
                    <w:pStyle w:val="42"/>
                  </w:pPr>
                  <w:r>
                    <w:rPr>
                      <w:rFonts w:hint="eastAsia"/>
                    </w:rPr>
                    <w:t>管道吹扫</w:t>
                  </w:r>
                </w:p>
              </w:tc>
              <w:tc>
                <w:tcPr>
                  <w:tcW w:w="709" w:type="dxa"/>
                  <w:vAlign w:val="center"/>
                </w:tcPr>
                <w:p w14:paraId="5DED8FA9">
                  <w:pPr>
                    <w:pStyle w:val="42"/>
                  </w:pPr>
                  <w:r>
                    <w:t>86.02</w:t>
                  </w:r>
                </w:p>
              </w:tc>
              <w:tc>
                <w:tcPr>
                  <w:tcW w:w="837" w:type="dxa"/>
                  <w:vAlign w:val="center"/>
                </w:tcPr>
                <w:p w14:paraId="7DAD2015">
                  <w:pPr>
                    <w:pStyle w:val="42"/>
                  </w:pPr>
                  <w:r>
                    <w:t>80.00</w:t>
                  </w:r>
                </w:p>
              </w:tc>
              <w:tc>
                <w:tcPr>
                  <w:tcW w:w="843" w:type="dxa"/>
                  <w:vAlign w:val="center"/>
                </w:tcPr>
                <w:p w14:paraId="75B4AFB9">
                  <w:pPr>
                    <w:pStyle w:val="42"/>
                  </w:pPr>
                  <w:r>
                    <w:t>73.98</w:t>
                  </w:r>
                </w:p>
              </w:tc>
              <w:tc>
                <w:tcPr>
                  <w:tcW w:w="852" w:type="dxa"/>
                  <w:vAlign w:val="center"/>
                </w:tcPr>
                <w:p w14:paraId="2FC65434">
                  <w:pPr>
                    <w:pStyle w:val="42"/>
                  </w:pPr>
                  <w:r>
                    <w:t>67.96</w:t>
                  </w:r>
                </w:p>
              </w:tc>
              <w:tc>
                <w:tcPr>
                  <w:tcW w:w="852" w:type="dxa"/>
                  <w:vAlign w:val="center"/>
                </w:tcPr>
                <w:p w14:paraId="66991C70">
                  <w:pPr>
                    <w:pStyle w:val="42"/>
                  </w:pPr>
                  <w:r>
                    <w:t>66.02</w:t>
                  </w:r>
                </w:p>
              </w:tc>
              <w:tc>
                <w:tcPr>
                  <w:tcW w:w="852" w:type="dxa"/>
                  <w:vAlign w:val="center"/>
                </w:tcPr>
                <w:p w14:paraId="1AE4F4D1">
                  <w:pPr>
                    <w:pStyle w:val="42"/>
                  </w:pPr>
                  <w:r>
                    <w:t>60.00</w:t>
                  </w:r>
                </w:p>
              </w:tc>
              <w:tc>
                <w:tcPr>
                  <w:tcW w:w="852" w:type="dxa"/>
                  <w:vAlign w:val="center"/>
                </w:tcPr>
                <w:p w14:paraId="5C90C0A1">
                  <w:pPr>
                    <w:pStyle w:val="42"/>
                  </w:pPr>
                  <w:r>
                    <w:t>56.48</w:t>
                  </w:r>
                </w:p>
              </w:tc>
              <w:tc>
                <w:tcPr>
                  <w:tcW w:w="853" w:type="dxa"/>
                  <w:vAlign w:val="center"/>
                </w:tcPr>
                <w:p w14:paraId="383ABE00">
                  <w:pPr>
                    <w:pStyle w:val="42"/>
                  </w:pPr>
                  <w:r>
                    <w:t>53.98</w:t>
                  </w:r>
                </w:p>
              </w:tc>
              <w:tc>
                <w:tcPr>
                  <w:tcW w:w="853" w:type="dxa"/>
                  <w:vAlign w:val="center"/>
                </w:tcPr>
                <w:p w14:paraId="4097D3DA">
                  <w:pPr>
                    <w:pStyle w:val="42"/>
                  </w:pPr>
                  <w:r>
                    <w:t>51.70</w:t>
                  </w:r>
                </w:p>
              </w:tc>
            </w:tr>
          </w:tbl>
          <w:p w14:paraId="75BBD92C">
            <w:pPr>
              <w:pStyle w:val="41"/>
              <w:ind w:firstLine="480"/>
            </w:pPr>
          </w:p>
          <w:p w14:paraId="4287725B">
            <w:pPr>
              <w:pStyle w:val="41"/>
              <w:ind w:firstLine="480"/>
            </w:pPr>
            <w:r>
              <w:rPr>
                <w:rFonts w:hint="eastAsia"/>
              </w:rPr>
              <w:t>由上表预测结果可知，距施工机械50m处昼间噪声可满足《建筑施工场界环境噪声排放标准》（GB12523-2011）要求，距离施工机械大于260m时，夜间噪声可满足《建筑施工场界环境噪声排放标准》（GB12523-2011）要求。</w:t>
            </w:r>
          </w:p>
          <w:p w14:paraId="613AF32F">
            <w:pPr>
              <w:pStyle w:val="41"/>
              <w:ind w:firstLine="480"/>
            </w:pPr>
            <w:r>
              <w:rPr>
                <w:rFonts w:hint="eastAsia"/>
              </w:rPr>
              <w:t>项目厂区周边200m范围内无声环境保护目标分布，通过采取使用低噪声施工设备、合理安排施工时间、避免夜间施工等噪声污染防治措施，可有效减轻项目施工活动对区域声环境的影响。</w:t>
            </w:r>
          </w:p>
          <w:p w14:paraId="2D904205">
            <w:pPr>
              <w:pStyle w:val="41"/>
              <w:ind w:firstLine="480"/>
              <w:rPr>
                <w:u w:val="single"/>
              </w:rPr>
            </w:pPr>
            <w:r>
              <w:rPr>
                <w:rFonts w:hint="eastAsia"/>
                <w:u w:val="single"/>
              </w:rPr>
              <w:t>根据上表预测结果，距管线100m范围外管道吹扫、试压噪声可满足《声环境质量标准》（</w:t>
            </w:r>
            <w:r>
              <w:rPr>
                <w:u w:val="single"/>
              </w:rPr>
              <w:t>GB3096-2008</w:t>
            </w:r>
            <w:r>
              <w:rPr>
                <w:rFonts w:hint="eastAsia"/>
                <w:u w:val="single"/>
              </w:rPr>
              <w:t>）2类昼间标准限值要求，管线沿线100m范围内现状分布有旧村、南港村等村庄的部分民房，以上村庄搬迁工作</w:t>
            </w:r>
            <w:r>
              <w:rPr>
                <w:rFonts w:hint="eastAsia"/>
                <w:u w:val="single"/>
                <w:lang w:eastAsia="zh-CN"/>
              </w:rPr>
              <w:t>正在进行</w:t>
            </w:r>
            <w:r>
              <w:rPr>
                <w:rFonts w:hint="eastAsia"/>
                <w:u w:val="single"/>
              </w:rPr>
              <w:t>，管道吹扫、试压过程产生的噪声较大，若吹扫、试压期间居民点仍未搬迁完毕，则吹扫、试压作业产生的噪声会对居民点造成一定的不利影响，因此，管道吹扫、试压作业应合理安排作业时间，避免夜间作业，开展工作前在靠近居民点的管段设置临时隔声屏障，管道吹扫、试压作业工期较短，在积极采取噪声污染防治措施的前提下，管道吹扫、试压作业对沿线居民点声环境的影响较小。</w:t>
            </w:r>
          </w:p>
          <w:p w14:paraId="12417B88">
            <w:pPr>
              <w:pStyle w:val="41"/>
              <w:ind w:firstLine="482"/>
              <w:rPr>
                <w:b/>
                <w:bCs/>
              </w:rPr>
            </w:pPr>
            <w:r>
              <w:rPr>
                <w:rFonts w:hint="eastAsia"/>
                <w:b/>
                <w:bCs/>
              </w:rPr>
              <w:t>5施工期固体废物环境影响分析</w:t>
            </w:r>
          </w:p>
          <w:p w14:paraId="531B52FC">
            <w:pPr>
              <w:pStyle w:val="41"/>
              <w:ind w:firstLine="480"/>
            </w:pPr>
            <w:r>
              <w:rPr>
                <w:rFonts w:hint="eastAsia"/>
              </w:rPr>
              <w:t>施工期固体废物主要来源于废油漆桶、废漆渣、清管灰尘、</w:t>
            </w:r>
            <w:r>
              <w:rPr>
                <w:rFonts w:hint="eastAsia"/>
                <w:u w:val="single"/>
              </w:rPr>
              <w:t>废变压器</w:t>
            </w:r>
            <w:r>
              <w:rPr>
                <w:rFonts w:hint="eastAsia"/>
              </w:rPr>
              <w:t>以及施工人员产生的生活垃圾。</w:t>
            </w:r>
          </w:p>
          <w:p w14:paraId="5A4B7CAA">
            <w:pPr>
              <w:pStyle w:val="41"/>
              <w:ind w:firstLine="480"/>
            </w:pPr>
            <w:r>
              <w:rPr>
                <w:rFonts w:hint="eastAsia"/>
              </w:rPr>
              <w:t>（1）施工挖掘土方</w:t>
            </w:r>
          </w:p>
          <w:p w14:paraId="1CFA6DE9">
            <w:pPr>
              <w:pStyle w:val="41"/>
              <w:ind w:firstLine="480"/>
            </w:pPr>
            <w:r>
              <w:rPr>
                <w:rFonts w:hint="eastAsia"/>
              </w:rPr>
              <w:t>厂区内混凝土基础施工挖掘土方大部分用于覆土回填，做到综合利用，剩余小部分就近铺平。</w:t>
            </w:r>
          </w:p>
          <w:p w14:paraId="4E57498D">
            <w:pPr>
              <w:pStyle w:val="41"/>
              <w:ind w:firstLine="480"/>
            </w:pPr>
            <w:r>
              <w:rPr>
                <w:rFonts w:hint="eastAsia"/>
              </w:rPr>
              <w:t>（2）废油漆桶、废漆渣</w:t>
            </w:r>
          </w:p>
          <w:p w14:paraId="05AD9220">
            <w:pPr>
              <w:pStyle w:val="41"/>
              <w:ind w:firstLine="480"/>
            </w:pPr>
            <w:r>
              <w:rPr>
                <w:rFonts w:hint="eastAsia"/>
              </w:rPr>
              <w:t>施工期废油漆桶、废漆渣暂存于广西华谊能源化工配套空分项目厂区内危废间，统一收集后委托有资质单位进行处理。</w:t>
            </w:r>
          </w:p>
          <w:p w14:paraId="6ECB7850">
            <w:pPr>
              <w:pStyle w:val="41"/>
              <w:ind w:firstLine="480"/>
            </w:pPr>
            <w:r>
              <w:rPr>
                <w:rFonts w:hint="eastAsia"/>
              </w:rPr>
              <w:t>（3）清管灰尘、生活垃圾</w:t>
            </w:r>
          </w:p>
          <w:p w14:paraId="0ED39917">
            <w:pPr>
              <w:pStyle w:val="41"/>
              <w:ind w:firstLine="480"/>
            </w:pPr>
            <w:r>
              <w:rPr>
                <w:rFonts w:hint="eastAsia"/>
              </w:rPr>
              <w:t>项目管道清管垃圾主要为灰尘，经收集后，由当地环卫部门清运。</w:t>
            </w:r>
          </w:p>
          <w:p w14:paraId="66A4BCED">
            <w:pPr>
              <w:pStyle w:val="41"/>
              <w:ind w:firstLine="480"/>
            </w:pPr>
            <w:r>
              <w:rPr>
                <w:rFonts w:hint="eastAsia"/>
              </w:rPr>
              <w:t>施工期的生活垃圾量很少，主要是工人用餐后的废弃饭盒、塑料袋等，如不及时清理，在气温适宜的条件下会滋生蚊虫、产生恶臭、传播疾病。本工程施工期生活垃圾经收集后，由当地环卫部门清运。</w:t>
            </w:r>
          </w:p>
          <w:p w14:paraId="58F0CB6E">
            <w:pPr>
              <w:pStyle w:val="41"/>
              <w:ind w:firstLine="480"/>
            </w:pPr>
            <w:r>
              <w:rPr>
                <w:rFonts w:hint="eastAsia"/>
              </w:rPr>
              <w:t>施工期产生的固体废物在采取上述措施的前提下，不会对周围环境造成不利影响。</w:t>
            </w:r>
          </w:p>
          <w:p w14:paraId="28B9140D">
            <w:pPr>
              <w:pStyle w:val="41"/>
              <w:ind w:firstLine="480"/>
              <w:rPr>
                <w:u w:val="single"/>
              </w:rPr>
            </w:pPr>
            <w:r>
              <w:rPr>
                <w:rFonts w:hint="eastAsia"/>
                <w:u w:val="single"/>
              </w:rPr>
              <w:t>（4）废变压器</w:t>
            </w:r>
          </w:p>
          <w:p w14:paraId="5F430F70">
            <w:pPr>
              <w:pStyle w:val="41"/>
              <w:ind w:firstLine="480"/>
              <w:rPr>
                <w:u w:val="single"/>
              </w:rPr>
            </w:pPr>
            <w:r>
              <w:rPr>
                <w:rFonts w:hint="eastAsia"/>
                <w:u w:val="single"/>
              </w:rPr>
              <w:t>项目所在厂区内现有35kV变压器室内设2台20000kVA 35kV/10kV干式变压器，项目建成后，厂区现有35kV电力变压器已无法满足用电需求，故本项目拟拆除现有的2台20000kVA 35kV/10kV干式变压器，新安装2套电力变压系统，单套规格</w:t>
            </w:r>
            <w:r>
              <w:rPr>
                <w:u w:val="single"/>
              </w:rPr>
              <w:t>25000kVA 35kV/10kV</w:t>
            </w:r>
            <w:r>
              <w:rPr>
                <w:rFonts w:hint="eastAsia"/>
                <w:u w:val="single"/>
              </w:rPr>
              <w:t>。区别于油浸式变压器，干式变压器不使用变压器油</w:t>
            </w:r>
            <w:r>
              <w:rPr>
                <w:rFonts w:hint="eastAsia"/>
                <w:u w:val="single"/>
                <w:lang w:eastAsia="zh-CN"/>
              </w:rPr>
              <w:t>作为</w:t>
            </w:r>
            <w:r>
              <w:rPr>
                <w:rFonts w:hint="eastAsia"/>
                <w:u w:val="single"/>
              </w:rPr>
              <w:t>冷却及绝缘介质，因此，拆除的干式变压器无废变压器油产生，拆除的废变压器拟交由厂家进行回收处置。</w:t>
            </w:r>
          </w:p>
          <w:p w14:paraId="2AB417ED">
            <w:pPr>
              <w:pStyle w:val="41"/>
              <w:ind w:firstLine="480"/>
            </w:pPr>
          </w:p>
        </w:tc>
      </w:tr>
      <w:tr w14:paraId="78561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557" w:type="dxa"/>
            <w:tcMar>
              <w:left w:w="28" w:type="dxa"/>
              <w:right w:w="28" w:type="dxa"/>
            </w:tcMar>
            <w:vAlign w:val="center"/>
          </w:tcPr>
          <w:p w14:paraId="4CA45B5F">
            <w:pPr>
              <w:pStyle w:val="15"/>
              <w:adjustRightInd w:val="0"/>
              <w:snapToGrid w:val="0"/>
              <w:spacing w:before="0" w:beforeAutospacing="0" w:after="0" w:afterAutospacing="0"/>
              <w:jc w:val="center"/>
              <w:rPr>
                <w:rFonts w:hint="eastAsia" w:cs="宋体"/>
                <w:bCs/>
                <w:kern w:val="2"/>
              </w:rPr>
            </w:pPr>
            <w:r>
              <w:rPr>
                <w:rFonts w:hint="eastAsia" w:cs="宋体"/>
                <w:bCs/>
                <w:spacing w:val="10"/>
                <w:kern w:val="2"/>
              </w:rPr>
              <w:t>运营期生态环境影响分析</w:t>
            </w:r>
          </w:p>
        </w:tc>
        <w:tc>
          <w:tcPr>
            <w:tcW w:w="8685" w:type="dxa"/>
          </w:tcPr>
          <w:p w14:paraId="585225B9">
            <w:pPr>
              <w:pStyle w:val="41"/>
              <w:ind w:firstLine="482"/>
              <w:rPr>
                <w:b/>
                <w:bCs/>
              </w:rPr>
            </w:pPr>
            <w:r>
              <w:rPr>
                <w:rFonts w:hint="eastAsia"/>
                <w:b/>
                <w:bCs/>
              </w:rPr>
              <w:t>1运营期生态影响分析</w:t>
            </w:r>
          </w:p>
          <w:p w14:paraId="627E1EB8">
            <w:pPr>
              <w:pStyle w:val="41"/>
              <w:ind w:firstLine="480"/>
            </w:pPr>
            <w:r>
              <w:rPr>
                <w:rFonts w:hint="eastAsia"/>
              </w:rPr>
              <w:t>本项目管道待园区建设好管廊后架空敷设，项目新建管道依托园区二期公共管廊中的南港大道（金鼓大街至勒沟东大道段）公共管廊，园区四期公共管廊中的南港大道东侧（滨海公路至还珠东大街段）公共管廊、广西石化至南港大道公共管廊，依托的公共管廊仍在建设中。管道施工主要是使用吊车将管道铺设上管廊，管道堆放在施工临时堆料场，铺设时放置管廊两侧，不会挖方、填方。两侧涉及植物主要为临街绿化带，主要植被为以低矮灌木、草丛等为主。施工中的管廊沿线地表植被已被清除。管道待园区管廊建成后架空铺设，不涉及道路开挖、植被清表等工作。综上，管道施工对周围生态环境造成的影响较小。</w:t>
            </w:r>
          </w:p>
          <w:p w14:paraId="1B6D63FE">
            <w:pPr>
              <w:pStyle w:val="41"/>
              <w:ind w:firstLine="480"/>
            </w:pPr>
            <w:r>
              <w:rPr>
                <w:rFonts w:hint="eastAsia"/>
              </w:rPr>
              <w:t>厂区内液氮储罐等混凝土基础建设需要挖土，目前该部分场地已使用碎石铺设硬化，施工过程仅开挖已硬化场地，因此对周边生态环境影响较小。</w:t>
            </w:r>
          </w:p>
          <w:p w14:paraId="4EA1D75F">
            <w:pPr>
              <w:pStyle w:val="41"/>
              <w:ind w:firstLine="482"/>
              <w:rPr>
                <w:b/>
                <w:bCs/>
              </w:rPr>
            </w:pPr>
            <w:r>
              <w:rPr>
                <w:rFonts w:hint="eastAsia"/>
                <w:b/>
                <w:bCs/>
              </w:rPr>
              <w:t>2运营期大气环境影响分析</w:t>
            </w:r>
          </w:p>
          <w:p w14:paraId="31D03805">
            <w:pPr>
              <w:pStyle w:val="41"/>
              <w:ind w:firstLine="480"/>
            </w:pPr>
            <w:r>
              <w:rPr>
                <w:rFonts w:hint="eastAsia"/>
              </w:rPr>
              <w:t>项目运营期无大气污染物排放，对周边区域大气环境无影响。</w:t>
            </w:r>
          </w:p>
          <w:p w14:paraId="1C01EFDC">
            <w:pPr>
              <w:pStyle w:val="41"/>
              <w:ind w:firstLine="482"/>
              <w:rPr>
                <w:b/>
                <w:bCs/>
              </w:rPr>
            </w:pPr>
            <w:r>
              <w:rPr>
                <w:rFonts w:hint="eastAsia"/>
                <w:b/>
                <w:bCs/>
              </w:rPr>
              <w:t>3运营期水环境影响分析</w:t>
            </w:r>
          </w:p>
          <w:p w14:paraId="115B8ECF">
            <w:pPr>
              <w:pStyle w:val="41"/>
              <w:ind w:firstLine="480"/>
            </w:pPr>
            <w:r>
              <w:rPr>
                <w:rFonts w:hint="eastAsia"/>
              </w:rPr>
              <w:t>项目运营期间产生的废水主要包括生产废水及新增人员产生的生活污水，其中生产废水主要包括冷却系统排放的循环冷却水。</w:t>
            </w:r>
          </w:p>
          <w:p w14:paraId="00826469">
            <w:pPr>
              <w:pStyle w:val="41"/>
              <w:ind w:firstLine="482"/>
              <w:rPr>
                <w:b/>
                <w:bCs/>
              </w:rPr>
            </w:pPr>
            <w:r>
              <w:rPr>
                <w:rFonts w:hint="eastAsia"/>
                <w:b/>
                <w:bCs/>
              </w:rPr>
              <w:t>3.1生产废水</w:t>
            </w:r>
          </w:p>
          <w:p w14:paraId="2552AF04">
            <w:pPr>
              <w:pStyle w:val="41"/>
              <w:ind w:firstLine="480"/>
            </w:pPr>
            <w:r>
              <w:rPr>
                <w:rFonts w:hint="eastAsia"/>
              </w:rPr>
              <w:t>项目生产废水约为2.68m</w:t>
            </w:r>
            <w:r>
              <w:rPr>
                <w:rFonts w:hint="eastAsia"/>
                <w:vertAlign w:val="superscript"/>
              </w:rPr>
              <w:t>3</w:t>
            </w:r>
            <w:r>
              <w:rPr>
                <w:rFonts w:hint="eastAsia"/>
              </w:rPr>
              <w:t>/h循环废水，生产废水先排入广西华谊能源化工配套空分项目生产污水池，后排入广西华谊能源化工配套空分项目管网，经管网排入天宜污水处理厂一期处理。处理达标后，近期近岸排放，远期依托园区深海排放管道于金鼓江污水深海排放区排放。</w:t>
            </w:r>
          </w:p>
          <w:p w14:paraId="7010FFFF">
            <w:pPr>
              <w:pStyle w:val="41"/>
              <w:ind w:firstLine="480"/>
            </w:pPr>
            <w:r>
              <w:rPr>
                <w:rFonts w:hint="eastAsia"/>
              </w:rPr>
              <w:t>天宜污水处理厂废水综合处理采用“预处理+生化处理+深度处理”的主要工艺路线，其中预处理是根据各企业水质特征，分类进行；生化处理阶段采用“曝气池+MBR反应器”工艺；深度处理阶段采用“臭氧催化氧化+BAF+活性炭滤池”工艺。</w:t>
            </w:r>
          </w:p>
          <w:p w14:paraId="5739D348">
            <w:pPr>
              <w:pStyle w:val="41"/>
              <w:ind w:firstLine="480"/>
            </w:pPr>
            <w:r>
              <w:rPr>
                <w:rFonts w:hint="eastAsia"/>
              </w:rPr>
              <w:t>天宜污水处理厂一期处理能力为</w:t>
            </w:r>
            <w:r>
              <w:t>4.5</w:t>
            </w:r>
            <w:r>
              <w:rPr>
                <w:rFonts w:hint="eastAsia"/>
              </w:rPr>
              <w:t>万</w:t>
            </w:r>
            <w:r>
              <w:t>m</w:t>
            </w:r>
            <w:r>
              <w:rPr>
                <w:vertAlign w:val="superscript"/>
              </w:rPr>
              <w:t>3</w:t>
            </w:r>
            <w:r>
              <w:t>/d</w:t>
            </w:r>
            <w:r>
              <w:rPr>
                <w:rFonts w:hint="eastAsia"/>
              </w:rPr>
              <w:t>，主要服务企业为广西华谊能源化工工业气体岛项目、苏伊士环保科技（钦州）有限公司钦州港经济技术开发区危险废物综合处置中心项目。根据附件</w:t>
            </w:r>
            <w:r>
              <w:t>5</w:t>
            </w:r>
            <w:r>
              <w:rPr>
                <w:rFonts w:hint="eastAsia"/>
              </w:rPr>
              <w:t>-3签订的接收污水的说明，天宜污水处理厂一期可接纳空分项目厂区排放废水量</w:t>
            </w:r>
            <w:r>
              <w:t>53m</w:t>
            </w:r>
            <w:r>
              <w:rPr>
                <w:vertAlign w:val="superscript"/>
              </w:rPr>
              <w:t>3</w:t>
            </w:r>
            <w:r>
              <w:t>/h</w:t>
            </w:r>
            <w:r>
              <w:rPr>
                <w:rFonts w:hint="eastAsia"/>
              </w:rPr>
              <w:t>，同时根据《广西华谊能源化工配套空分项目竣工环境保护验收监测报告表》及《普莱克斯（广西）气体有限公司钦州基地二期氮气供应项目竣工环境保护验收调查表》，空分项目排入天宜污水处理厂一期的生产废水量为</w:t>
            </w:r>
            <w:r>
              <w:t>29m</w:t>
            </w:r>
            <w:r>
              <w:rPr>
                <w:vertAlign w:val="superscript"/>
              </w:rPr>
              <w:t>3</w:t>
            </w:r>
            <w:r>
              <w:t>/h</w:t>
            </w:r>
            <w:r>
              <w:rPr>
                <w:rFonts w:hint="eastAsia"/>
              </w:rPr>
              <w:t>，二期氮气供应项目排入天宜污水处理厂一期的生产废水量为</w:t>
            </w:r>
            <w:r>
              <w:t>1.15 m</w:t>
            </w:r>
            <w:r>
              <w:rPr>
                <w:vertAlign w:val="superscript"/>
              </w:rPr>
              <w:t>3</w:t>
            </w:r>
            <w:r>
              <w:t>/h</w:t>
            </w:r>
            <w:r>
              <w:rPr>
                <w:rFonts w:hint="eastAsia"/>
              </w:rPr>
              <w:t>，空分厂区剩余可排放废水量22.85</w:t>
            </w:r>
            <w:r>
              <w:t>m</w:t>
            </w:r>
            <w:r>
              <w:rPr>
                <w:vertAlign w:val="superscript"/>
              </w:rPr>
              <w:t>3</w:t>
            </w:r>
            <w:r>
              <w:t>/</w:t>
            </w:r>
            <w:r>
              <w:rPr>
                <w:rFonts w:hint="eastAsia"/>
              </w:rPr>
              <w:t>h，本项目废水排放量约为2.68</w:t>
            </w:r>
            <w:r>
              <w:t>m</w:t>
            </w:r>
            <w:r>
              <w:rPr>
                <w:vertAlign w:val="superscript"/>
              </w:rPr>
              <w:t>3</w:t>
            </w:r>
            <w:r>
              <w:t>/</w:t>
            </w:r>
            <w:r>
              <w:rPr>
                <w:rFonts w:hint="eastAsia"/>
              </w:rPr>
              <w:t>h，占剩余可排放水量规模的</w:t>
            </w:r>
            <w:r>
              <w:t>1</w:t>
            </w:r>
            <w:r>
              <w:rPr>
                <w:rFonts w:hint="eastAsia"/>
              </w:rPr>
              <w:t>1</w:t>
            </w:r>
            <w:r>
              <w:t>.7</w:t>
            </w:r>
            <w:r>
              <w:rPr>
                <w:rFonts w:hint="eastAsia"/>
              </w:rPr>
              <w:t>3</w:t>
            </w:r>
            <w:r>
              <w:t>%</w:t>
            </w:r>
            <w:r>
              <w:rPr>
                <w:rFonts w:hint="eastAsia"/>
              </w:rPr>
              <w:t>。</w:t>
            </w:r>
            <w:r>
              <w:rPr>
                <w:rFonts w:hint="eastAsia"/>
                <w:u w:val="single"/>
              </w:rPr>
              <w:t>项目生产工艺、生产</w:t>
            </w:r>
            <w:r>
              <w:rPr>
                <w:rFonts w:hint="eastAsia"/>
                <w:u w:val="single"/>
                <w:lang w:eastAsia="zh-CN"/>
              </w:rPr>
              <w:t>废水</w:t>
            </w:r>
            <w:r>
              <w:rPr>
                <w:rFonts w:hint="eastAsia"/>
                <w:u w:val="single"/>
              </w:rPr>
              <w:t>的种类、主要污染物与企业现有的普莱克斯（广西）气体有限公司钦州基地二期氮气供应项目相似，循环冷却废水水质具有可比性。根据《普莱克斯（广西）气体有限公司钦州基地二期氮气供应项目竣工环境保护验收调查表》中对该项目循环冷却水的监测结果（见</w:t>
            </w:r>
            <w:r>
              <w:rPr>
                <w:u w:val="single"/>
              </w:rPr>
              <w:fldChar w:fldCharType="begin"/>
            </w:r>
            <w:r>
              <w:rPr>
                <w:u w:val="single"/>
              </w:rPr>
              <w:instrText xml:space="preserve"> </w:instrText>
            </w:r>
            <w:r>
              <w:rPr>
                <w:rFonts w:hint="eastAsia"/>
                <w:u w:val="single"/>
              </w:rPr>
              <w:instrText xml:space="preserve">REF _Ref172618594 \r \h</w:instrText>
            </w:r>
            <w:r>
              <w:rPr>
                <w:u w:val="single"/>
              </w:rPr>
              <w:instrText xml:space="preserve"> </w:instrText>
            </w:r>
            <w:r>
              <w:rPr>
                <w:u w:val="single"/>
              </w:rPr>
              <w:fldChar w:fldCharType="separate"/>
            </w:r>
            <w:r>
              <w:rPr>
                <w:rFonts w:hint="eastAsia"/>
                <w:u w:val="single"/>
              </w:rPr>
              <w:t>表4-3</w:t>
            </w:r>
            <w:r>
              <w:rPr>
                <w:u w:val="single"/>
              </w:rPr>
              <w:fldChar w:fldCharType="end"/>
            </w:r>
            <w:r>
              <w:rPr>
                <w:rFonts w:hint="eastAsia"/>
                <w:u w:val="single"/>
              </w:rPr>
              <w:t>），本项目生产废水可以满足天宜污水处理厂纳管水质要求，因此，天宜污水处理厂可接收本项目生产废水。</w:t>
            </w:r>
          </w:p>
          <w:p w14:paraId="606B5A21">
            <w:pPr>
              <w:pStyle w:val="41"/>
              <w:ind w:firstLine="480"/>
            </w:pPr>
            <w:r>
              <w:rPr>
                <w:rFonts w:hint="eastAsia"/>
              </w:rPr>
              <w:t>废水经处理后经园区排海泵站提升后金鼓江污水深海排放区A1排放口深海排放。排污海域为钦州金鼓江污水深海排放区，执行《海水水质标准》（GB3097-1997）四类标准。根据《钦州石化园区配套深海排放管工程环境影响报告书》的预测结果，深海管道采用A1排放口，以QZ1各时期监测值作为预测现状本底值，正常工况下天宜污水处理厂排污混合区均位于规划排污区范围内，对排污区以外海域水质环境影响不大。</w:t>
            </w:r>
          </w:p>
          <w:p w14:paraId="116D9030">
            <w:pPr>
              <w:pStyle w:val="41"/>
              <w:ind w:firstLine="480"/>
            </w:pPr>
            <w:r>
              <w:rPr>
                <w:rFonts w:hint="eastAsia"/>
              </w:rPr>
              <w:t>综上，项目生产废水不会直接排放到周边环境，经天宜污水处理厂一期深度处理后对周边水环境影响不大。</w:t>
            </w:r>
          </w:p>
          <w:p w14:paraId="33414001">
            <w:pPr>
              <w:pStyle w:val="41"/>
              <w:numPr>
                <w:ilvl w:val="0"/>
                <w:numId w:val="8"/>
              </w:numPr>
              <w:spacing w:line="240" w:lineRule="auto"/>
              <w:ind w:left="0" w:firstLine="0" w:firstLineChars="0"/>
              <w:jc w:val="center"/>
              <w:rPr>
                <w:b/>
                <w:bCs/>
                <w:sz w:val="21"/>
                <w:szCs w:val="21"/>
                <w:u w:val="single"/>
              </w:rPr>
            </w:pPr>
            <w:bookmarkStart w:id="40" w:name="_Ref172618594"/>
            <w:r>
              <w:rPr>
                <w:rFonts w:hint="eastAsia"/>
                <w:b/>
                <w:bCs/>
                <w:sz w:val="21"/>
                <w:szCs w:val="21"/>
                <w:u w:val="single"/>
              </w:rPr>
              <w:t>二期氮气供应项目循环冷却废水</w:t>
            </w:r>
            <w:bookmarkEnd w:id="40"/>
            <w:r>
              <w:rPr>
                <w:rFonts w:hint="eastAsia"/>
                <w:b/>
                <w:bCs/>
                <w:sz w:val="21"/>
                <w:szCs w:val="21"/>
                <w:u w:val="single"/>
              </w:rPr>
              <w:t>监测结果及评价 单位：mg/L，pH除外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5"/>
              <w:gridCol w:w="845"/>
              <w:gridCol w:w="845"/>
              <w:gridCol w:w="846"/>
              <w:gridCol w:w="845"/>
              <w:gridCol w:w="846"/>
              <w:gridCol w:w="846"/>
              <w:gridCol w:w="846"/>
              <w:gridCol w:w="846"/>
            </w:tblGrid>
            <w:tr w14:paraId="6C65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45" w:type="dxa"/>
                  <w:vAlign w:val="center"/>
                </w:tcPr>
                <w:p w14:paraId="6941338A">
                  <w:pPr>
                    <w:pStyle w:val="42"/>
                    <w:rPr>
                      <w:b/>
                      <w:bCs/>
                      <w:u w:val="single"/>
                    </w:rPr>
                  </w:pPr>
                  <w:r>
                    <w:rPr>
                      <w:rFonts w:hint="eastAsia"/>
                      <w:b/>
                      <w:bCs/>
                      <w:u w:val="single"/>
                    </w:rPr>
                    <w:t>监测点位</w:t>
                  </w:r>
                </w:p>
              </w:tc>
              <w:tc>
                <w:tcPr>
                  <w:tcW w:w="845" w:type="dxa"/>
                  <w:vAlign w:val="center"/>
                </w:tcPr>
                <w:p w14:paraId="0563126C">
                  <w:pPr>
                    <w:pStyle w:val="42"/>
                    <w:rPr>
                      <w:b/>
                      <w:bCs/>
                      <w:u w:val="single"/>
                    </w:rPr>
                  </w:pPr>
                  <w:r>
                    <w:rPr>
                      <w:rFonts w:hint="eastAsia"/>
                      <w:b/>
                      <w:bCs/>
                      <w:u w:val="single"/>
                    </w:rPr>
                    <w:t>监测日期</w:t>
                  </w:r>
                </w:p>
              </w:tc>
              <w:tc>
                <w:tcPr>
                  <w:tcW w:w="845" w:type="dxa"/>
                  <w:vAlign w:val="center"/>
                </w:tcPr>
                <w:p w14:paraId="44C6722E">
                  <w:pPr>
                    <w:pStyle w:val="42"/>
                    <w:rPr>
                      <w:b/>
                      <w:bCs/>
                      <w:u w:val="single"/>
                    </w:rPr>
                  </w:pPr>
                  <w:r>
                    <w:rPr>
                      <w:rFonts w:hint="eastAsia"/>
                      <w:b/>
                      <w:bCs/>
                      <w:u w:val="single"/>
                    </w:rPr>
                    <w:t>频次</w:t>
                  </w:r>
                </w:p>
              </w:tc>
              <w:tc>
                <w:tcPr>
                  <w:tcW w:w="845" w:type="dxa"/>
                  <w:vAlign w:val="center"/>
                </w:tcPr>
                <w:p w14:paraId="0C172A5A">
                  <w:pPr>
                    <w:pStyle w:val="42"/>
                    <w:rPr>
                      <w:b/>
                      <w:bCs/>
                      <w:u w:val="single"/>
                    </w:rPr>
                  </w:pPr>
                  <w:r>
                    <w:rPr>
                      <w:rFonts w:hint="eastAsia"/>
                      <w:b/>
                      <w:bCs/>
                      <w:u w:val="single"/>
                    </w:rPr>
                    <w:t>pH 值（无量纲）</w:t>
                  </w:r>
                </w:p>
              </w:tc>
              <w:tc>
                <w:tcPr>
                  <w:tcW w:w="846" w:type="dxa"/>
                  <w:vAlign w:val="center"/>
                </w:tcPr>
                <w:p w14:paraId="6FC077CA">
                  <w:pPr>
                    <w:pStyle w:val="42"/>
                    <w:rPr>
                      <w:b/>
                      <w:bCs/>
                      <w:u w:val="single"/>
                    </w:rPr>
                  </w:pPr>
                  <w:r>
                    <w:rPr>
                      <w:rFonts w:hint="eastAsia"/>
                      <w:b/>
                      <w:bCs/>
                      <w:u w:val="single"/>
                    </w:rPr>
                    <w:t>COD</w:t>
                  </w:r>
                  <w:r>
                    <w:rPr>
                      <w:rFonts w:hint="eastAsia"/>
                      <w:b/>
                      <w:bCs/>
                      <w:u w:val="single"/>
                      <w:vertAlign w:val="subscript"/>
                    </w:rPr>
                    <w:t>Cr</w:t>
                  </w:r>
                </w:p>
              </w:tc>
              <w:tc>
                <w:tcPr>
                  <w:tcW w:w="845" w:type="dxa"/>
                  <w:vAlign w:val="center"/>
                </w:tcPr>
                <w:p w14:paraId="45C069F5">
                  <w:pPr>
                    <w:pStyle w:val="42"/>
                    <w:rPr>
                      <w:b/>
                      <w:bCs/>
                      <w:u w:val="single"/>
                    </w:rPr>
                  </w:pPr>
                  <w:r>
                    <w:rPr>
                      <w:rFonts w:hint="eastAsia"/>
                      <w:b/>
                      <w:bCs/>
                      <w:u w:val="single"/>
                    </w:rPr>
                    <w:t>BOD</w:t>
                  </w:r>
                  <w:r>
                    <w:rPr>
                      <w:rFonts w:hint="eastAsia"/>
                      <w:b/>
                      <w:bCs/>
                      <w:u w:val="single"/>
                      <w:vertAlign w:val="subscript"/>
                    </w:rPr>
                    <w:t>5</w:t>
                  </w:r>
                </w:p>
              </w:tc>
              <w:tc>
                <w:tcPr>
                  <w:tcW w:w="846" w:type="dxa"/>
                  <w:vAlign w:val="center"/>
                </w:tcPr>
                <w:p w14:paraId="01ADB34D">
                  <w:pPr>
                    <w:pStyle w:val="42"/>
                    <w:rPr>
                      <w:b/>
                      <w:bCs/>
                      <w:u w:val="single"/>
                    </w:rPr>
                  </w:pPr>
                  <w:r>
                    <w:rPr>
                      <w:rFonts w:hint="eastAsia"/>
                      <w:b/>
                      <w:bCs/>
                      <w:u w:val="single"/>
                    </w:rPr>
                    <w:t>氨氮</w:t>
                  </w:r>
                </w:p>
              </w:tc>
              <w:tc>
                <w:tcPr>
                  <w:tcW w:w="846" w:type="dxa"/>
                  <w:vAlign w:val="center"/>
                </w:tcPr>
                <w:p w14:paraId="7FC43589">
                  <w:pPr>
                    <w:pStyle w:val="42"/>
                    <w:rPr>
                      <w:b/>
                      <w:bCs/>
                      <w:u w:val="single"/>
                    </w:rPr>
                  </w:pPr>
                  <w:r>
                    <w:rPr>
                      <w:rFonts w:hint="eastAsia"/>
                      <w:b/>
                      <w:bCs/>
                      <w:u w:val="single"/>
                    </w:rPr>
                    <w:t>悬浮物</w:t>
                  </w:r>
                </w:p>
              </w:tc>
              <w:tc>
                <w:tcPr>
                  <w:tcW w:w="846" w:type="dxa"/>
                  <w:vAlign w:val="center"/>
                </w:tcPr>
                <w:p w14:paraId="2546BB30">
                  <w:pPr>
                    <w:pStyle w:val="42"/>
                    <w:rPr>
                      <w:b/>
                      <w:bCs/>
                      <w:u w:val="single"/>
                    </w:rPr>
                  </w:pPr>
                  <w:r>
                    <w:rPr>
                      <w:rFonts w:hint="eastAsia"/>
                      <w:b/>
                      <w:bCs/>
                      <w:u w:val="single"/>
                    </w:rPr>
                    <w:t>总氮</w:t>
                  </w:r>
                </w:p>
              </w:tc>
              <w:tc>
                <w:tcPr>
                  <w:tcW w:w="846" w:type="dxa"/>
                  <w:vAlign w:val="center"/>
                </w:tcPr>
                <w:p w14:paraId="2587F8EE">
                  <w:pPr>
                    <w:pStyle w:val="42"/>
                    <w:rPr>
                      <w:b/>
                      <w:bCs/>
                      <w:u w:val="single"/>
                    </w:rPr>
                  </w:pPr>
                  <w:r>
                    <w:rPr>
                      <w:rFonts w:hint="eastAsia"/>
                      <w:b/>
                      <w:bCs/>
                      <w:u w:val="single"/>
                    </w:rPr>
                    <w:t>总磷</w:t>
                  </w:r>
                </w:p>
              </w:tc>
            </w:tr>
            <w:tr w14:paraId="2EE7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14:paraId="0E640797">
                  <w:pPr>
                    <w:pStyle w:val="42"/>
                    <w:rPr>
                      <w:u w:val="single"/>
                    </w:rPr>
                  </w:pPr>
                  <w:r>
                    <w:rPr>
                      <w:rFonts w:hint="eastAsia"/>
                      <w:u w:val="single"/>
                    </w:rPr>
                    <w:t>循环冷却废水</w:t>
                  </w:r>
                </w:p>
              </w:tc>
              <w:tc>
                <w:tcPr>
                  <w:tcW w:w="845" w:type="dxa"/>
                  <w:vMerge w:val="restart"/>
                  <w:vAlign w:val="center"/>
                </w:tcPr>
                <w:p w14:paraId="2E83F36A">
                  <w:pPr>
                    <w:pStyle w:val="42"/>
                    <w:rPr>
                      <w:u w:val="single"/>
                    </w:rPr>
                  </w:pPr>
                  <w:r>
                    <w:rPr>
                      <w:rFonts w:hint="eastAsia"/>
                      <w:u w:val="single"/>
                    </w:rPr>
                    <w:t>11月10日</w:t>
                  </w:r>
                </w:p>
              </w:tc>
              <w:tc>
                <w:tcPr>
                  <w:tcW w:w="845" w:type="dxa"/>
                  <w:vAlign w:val="center"/>
                </w:tcPr>
                <w:p w14:paraId="171DEEE5">
                  <w:pPr>
                    <w:pStyle w:val="42"/>
                    <w:rPr>
                      <w:u w:val="single"/>
                    </w:rPr>
                  </w:pPr>
                  <w:r>
                    <w:rPr>
                      <w:u w:val="single"/>
                    </w:rPr>
                    <w:t>1</w:t>
                  </w:r>
                </w:p>
              </w:tc>
              <w:tc>
                <w:tcPr>
                  <w:tcW w:w="845" w:type="dxa"/>
                  <w:vAlign w:val="center"/>
                </w:tcPr>
                <w:p w14:paraId="7262824F">
                  <w:pPr>
                    <w:pStyle w:val="42"/>
                    <w:rPr>
                      <w:u w:val="single"/>
                    </w:rPr>
                  </w:pPr>
                </w:p>
              </w:tc>
              <w:tc>
                <w:tcPr>
                  <w:tcW w:w="846" w:type="dxa"/>
                  <w:vAlign w:val="center"/>
                </w:tcPr>
                <w:p w14:paraId="482DF69A">
                  <w:pPr>
                    <w:pStyle w:val="42"/>
                    <w:rPr>
                      <w:u w:val="single"/>
                    </w:rPr>
                  </w:pPr>
                </w:p>
              </w:tc>
              <w:tc>
                <w:tcPr>
                  <w:tcW w:w="845" w:type="dxa"/>
                  <w:vAlign w:val="center"/>
                </w:tcPr>
                <w:p w14:paraId="265A4CFC">
                  <w:pPr>
                    <w:pStyle w:val="42"/>
                    <w:rPr>
                      <w:u w:val="single"/>
                    </w:rPr>
                  </w:pPr>
                </w:p>
              </w:tc>
              <w:tc>
                <w:tcPr>
                  <w:tcW w:w="846" w:type="dxa"/>
                  <w:vAlign w:val="center"/>
                </w:tcPr>
                <w:p w14:paraId="71482D9F">
                  <w:pPr>
                    <w:pStyle w:val="42"/>
                    <w:rPr>
                      <w:u w:val="single"/>
                    </w:rPr>
                  </w:pPr>
                </w:p>
              </w:tc>
              <w:tc>
                <w:tcPr>
                  <w:tcW w:w="846" w:type="dxa"/>
                  <w:vAlign w:val="center"/>
                </w:tcPr>
                <w:p w14:paraId="790B10F0">
                  <w:pPr>
                    <w:pStyle w:val="42"/>
                    <w:rPr>
                      <w:u w:val="single"/>
                    </w:rPr>
                  </w:pPr>
                </w:p>
              </w:tc>
              <w:tc>
                <w:tcPr>
                  <w:tcW w:w="846" w:type="dxa"/>
                  <w:vAlign w:val="center"/>
                </w:tcPr>
                <w:p w14:paraId="3895C1D9">
                  <w:pPr>
                    <w:pStyle w:val="42"/>
                    <w:rPr>
                      <w:u w:val="single"/>
                    </w:rPr>
                  </w:pPr>
                </w:p>
              </w:tc>
              <w:tc>
                <w:tcPr>
                  <w:tcW w:w="846" w:type="dxa"/>
                  <w:vAlign w:val="center"/>
                </w:tcPr>
                <w:p w14:paraId="643A62A5">
                  <w:pPr>
                    <w:pStyle w:val="42"/>
                    <w:rPr>
                      <w:u w:val="single"/>
                    </w:rPr>
                  </w:pPr>
                </w:p>
              </w:tc>
            </w:tr>
            <w:tr w14:paraId="5306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14:paraId="76837B70">
                  <w:pPr>
                    <w:pStyle w:val="42"/>
                    <w:rPr>
                      <w:u w:val="single"/>
                    </w:rPr>
                  </w:pPr>
                </w:p>
              </w:tc>
              <w:tc>
                <w:tcPr>
                  <w:tcW w:w="845" w:type="dxa"/>
                  <w:vMerge w:val="continue"/>
                  <w:vAlign w:val="center"/>
                </w:tcPr>
                <w:p w14:paraId="2D23623D">
                  <w:pPr>
                    <w:pStyle w:val="42"/>
                    <w:rPr>
                      <w:u w:val="single"/>
                    </w:rPr>
                  </w:pPr>
                </w:p>
              </w:tc>
              <w:tc>
                <w:tcPr>
                  <w:tcW w:w="845" w:type="dxa"/>
                  <w:vAlign w:val="center"/>
                </w:tcPr>
                <w:p w14:paraId="417C7D06">
                  <w:pPr>
                    <w:pStyle w:val="42"/>
                    <w:rPr>
                      <w:u w:val="single"/>
                    </w:rPr>
                  </w:pPr>
                  <w:r>
                    <w:rPr>
                      <w:u w:val="single"/>
                    </w:rPr>
                    <w:t>2</w:t>
                  </w:r>
                </w:p>
              </w:tc>
              <w:tc>
                <w:tcPr>
                  <w:tcW w:w="845" w:type="dxa"/>
                  <w:vAlign w:val="center"/>
                </w:tcPr>
                <w:p w14:paraId="5FD5383A">
                  <w:pPr>
                    <w:pStyle w:val="42"/>
                    <w:rPr>
                      <w:u w:val="single"/>
                    </w:rPr>
                  </w:pPr>
                </w:p>
              </w:tc>
              <w:tc>
                <w:tcPr>
                  <w:tcW w:w="846" w:type="dxa"/>
                  <w:vAlign w:val="center"/>
                </w:tcPr>
                <w:p w14:paraId="11DAFC3D">
                  <w:pPr>
                    <w:pStyle w:val="42"/>
                    <w:rPr>
                      <w:u w:val="single"/>
                    </w:rPr>
                  </w:pPr>
                </w:p>
              </w:tc>
              <w:tc>
                <w:tcPr>
                  <w:tcW w:w="845" w:type="dxa"/>
                  <w:vAlign w:val="center"/>
                </w:tcPr>
                <w:p w14:paraId="190B6A9B">
                  <w:pPr>
                    <w:pStyle w:val="42"/>
                    <w:rPr>
                      <w:u w:val="single"/>
                    </w:rPr>
                  </w:pPr>
                </w:p>
              </w:tc>
              <w:tc>
                <w:tcPr>
                  <w:tcW w:w="846" w:type="dxa"/>
                  <w:vAlign w:val="center"/>
                </w:tcPr>
                <w:p w14:paraId="660589DB">
                  <w:pPr>
                    <w:pStyle w:val="42"/>
                    <w:rPr>
                      <w:u w:val="single"/>
                    </w:rPr>
                  </w:pPr>
                </w:p>
              </w:tc>
              <w:tc>
                <w:tcPr>
                  <w:tcW w:w="846" w:type="dxa"/>
                  <w:vAlign w:val="center"/>
                </w:tcPr>
                <w:p w14:paraId="7D8696AF">
                  <w:pPr>
                    <w:pStyle w:val="42"/>
                    <w:rPr>
                      <w:u w:val="single"/>
                    </w:rPr>
                  </w:pPr>
                </w:p>
              </w:tc>
              <w:tc>
                <w:tcPr>
                  <w:tcW w:w="846" w:type="dxa"/>
                  <w:vAlign w:val="center"/>
                </w:tcPr>
                <w:p w14:paraId="2F4FA8A4">
                  <w:pPr>
                    <w:pStyle w:val="42"/>
                    <w:rPr>
                      <w:u w:val="single"/>
                    </w:rPr>
                  </w:pPr>
                </w:p>
              </w:tc>
              <w:tc>
                <w:tcPr>
                  <w:tcW w:w="846" w:type="dxa"/>
                  <w:vAlign w:val="center"/>
                </w:tcPr>
                <w:p w14:paraId="1E05792A">
                  <w:pPr>
                    <w:pStyle w:val="42"/>
                    <w:rPr>
                      <w:u w:val="single"/>
                    </w:rPr>
                  </w:pPr>
                </w:p>
              </w:tc>
            </w:tr>
            <w:tr w14:paraId="356B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14:paraId="2B636B6C">
                  <w:pPr>
                    <w:pStyle w:val="42"/>
                    <w:rPr>
                      <w:u w:val="single"/>
                    </w:rPr>
                  </w:pPr>
                </w:p>
              </w:tc>
              <w:tc>
                <w:tcPr>
                  <w:tcW w:w="845" w:type="dxa"/>
                  <w:vMerge w:val="continue"/>
                  <w:vAlign w:val="center"/>
                </w:tcPr>
                <w:p w14:paraId="201CC8D5">
                  <w:pPr>
                    <w:pStyle w:val="42"/>
                    <w:rPr>
                      <w:u w:val="single"/>
                    </w:rPr>
                  </w:pPr>
                </w:p>
              </w:tc>
              <w:tc>
                <w:tcPr>
                  <w:tcW w:w="845" w:type="dxa"/>
                  <w:vAlign w:val="center"/>
                </w:tcPr>
                <w:p w14:paraId="0B514882">
                  <w:pPr>
                    <w:pStyle w:val="42"/>
                    <w:rPr>
                      <w:u w:val="single"/>
                    </w:rPr>
                  </w:pPr>
                  <w:r>
                    <w:rPr>
                      <w:u w:val="single"/>
                    </w:rPr>
                    <w:t>3</w:t>
                  </w:r>
                </w:p>
              </w:tc>
              <w:tc>
                <w:tcPr>
                  <w:tcW w:w="845" w:type="dxa"/>
                  <w:vAlign w:val="center"/>
                </w:tcPr>
                <w:p w14:paraId="48574E63">
                  <w:pPr>
                    <w:pStyle w:val="42"/>
                    <w:rPr>
                      <w:u w:val="single"/>
                    </w:rPr>
                  </w:pPr>
                </w:p>
              </w:tc>
              <w:tc>
                <w:tcPr>
                  <w:tcW w:w="846" w:type="dxa"/>
                  <w:vAlign w:val="center"/>
                </w:tcPr>
                <w:p w14:paraId="5866F76B">
                  <w:pPr>
                    <w:pStyle w:val="42"/>
                    <w:rPr>
                      <w:u w:val="single"/>
                    </w:rPr>
                  </w:pPr>
                </w:p>
              </w:tc>
              <w:tc>
                <w:tcPr>
                  <w:tcW w:w="845" w:type="dxa"/>
                  <w:vAlign w:val="center"/>
                </w:tcPr>
                <w:p w14:paraId="012E9A58">
                  <w:pPr>
                    <w:pStyle w:val="42"/>
                    <w:rPr>
                      <w:u w:val="single"/>
                    </w:rPr>
                  </w:pPr>
                </w:p>
              </w:tc>
              <w:tc>
                <w:tcPr>
                  <w:tcW w:w="846" w:type="dxa"/>
                  <w:vAlign w:val="center"/>
                </w:tcPr>
                <w:p w14:paraId="73E3C69B">
                  <w:pPr>
                    <w:pStyle w:val="42"/>
                    <w:rPr>
                      <w:u w:val="single"/>
                    </w:rPr>
                  </w:pPr>
                </w:p>
              </w:tc>
              <w:tc>
                <w:tcPr>
                  <w:tcW w:w="846" w:type="dxa"/>
                  <w:vAlign w:val="center"/>
                </w:tcPr>
                <w:p w14:paraId="044721B3">
                  <w:pPr>
                    <w:pStyle w:val="42"/>
                    <w:rPr>
                      <w:u w:val="single"/>
                    </w:rPr>
                  </w:pPr>
                </w:p>
              </w:tc>
              <w:tc>
                <w:tcPr>
                  <w:tcW w:w="846" w:type="dxa"/>
                  <w:vAlign w:val="center"/>
                </w:tcPr>
                <w:p w14:paraId="37E47292">
                  <w:pPr>
                    <w:pStyle w:val="42"/>
                    <w:rPr>
                      <w:u w:val="single"/>
                    </w:rPr>
                  </w:pPr>
                </w:p>
              </w:tc>
              <w:tc>
                <w:tcPr>
                  <w:tcW w:w="846" w:type="dxa"/>
                  <w:vAlign w:val="center"/>
                </w:tcPr>
                <w:p w14:paraId="520C1AC3">
                  <w:pPr>
                    <w:pStyle w:val="42"/>
                    <w:rPr>
                      <w:u w:val="single"/>
                    </w:rPr>
                  </w:pPr>
                </w:p>
              </w:tc>
            </w:tr>
            <w:tr w14:paraId="7DA1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7A54C74B">
                  <w:pPr>
                    <w:pStyle w:val="42"/>
                    <w:rPr>
                      <w:u w:val="single"/>
                    </w:rPr>
                  </w:pPr>
                </w:p>
              </w:tc>
              <w:tc>
                <w:tcPr>
                  <w:tcW w:w="845" w:type="dxa"/>
                  <w:vMerge w:val="continue"/>
                  <w:vAlign w:val="center"/>
                </w:tcPr>
                <w:p w14:paraId="216E70A0">
                  <w:pPr>
                    <w:pStyle w:val="42"/>
                    <w:rPr>
                      <w:u w:val="single"/>
                    </w:rPr>
                  </w:pPr>
                </w:p>
              </w:tc>
              <w:tc>
                <w:tcPr>
                  <w:tcW w:w="845" w:type="dxa"/>
                  <w:vAlign w:val="center"/>
                </w:tcPr>
                <w:p w14:paraId="24E35EA7">
                  <w:pPr>
                    <w:pStyle w:val="42"/>
                    <w:rPr>
                      <w:u w:val="single"/>
                    </w:rPr>
                  </w:pPr>
                  <w:r>
                    <w:rPr>
                      <w:u w:val="single"/>
                    </w:rPr>
                    <w:t>4</w:t>
                  </w:r>
                </w:p>
              </w:tc>
              <w:tc>
                <w:tcPr>
                  <w:tcW w:w="845" w:type="dxa"/>
                  <w:vAlign w:val="center"/>
                </w:tcPr>
                <w:p w14:paraId="41B2ECCF">
                  <w:pPr>
                    <w:pStyle w:val="42"/>
                    <w:rPr>
                      <w:u w:val="single"/>
                    </w:rPr>
                  </w:pPr>
                </w:p>
              </w:tc>
              <w:tc>
                <w:tcPr>
                  <w:tcW w:w="846" w:type="dxa"/>
                  <w:vAlign w:val="center"/>
                </w:tcPr>
                <w:p w14:paraId="08338743">
                  <w:pPr>
                    <w:pStyle w:val="42"/>
                    <w:rPr>
                      <w:u w:val="single"/>
                    </w:rPr>
                  </w:pPr>
                </w:p>
              </w:tc>
              <w:tc>
                <w:tcPr>
                  <w:tcW w:w="845" w:type="dxa"/>
                  <w:vAlign w:val="center"/>
                </w:tcPr>
                <w:p w14:paraId="3BD8C272">
                  <w:pPr>
                    <w:pStyle w:val="42"/>
                    <w:rPr>
                      <w:u w:val="single"/>
                    </w:rPr>
                  </w:pPr>
                </w:p>
              </w:tc>
              <w:tc>
                <w:tcPr>
                  <w:tcW w:w="846" w:type="dxa"/>
                  <w:vAlign w:val="center"/>
                </w:tcPr>
                <w:p w14:paraId="05A87698">
                  <w:pPr>
                    <w:pStyle w:val="42"/>
                    <w:rPr>
                      <w:u w:val="single"/>
                    </w:rPr>
                  </w:pPr>
                </w:p>
              </w:tc>
              <w:tc>
                <w:tcPr>
                  <w:tcW w:w="846" w:type="dxa"/>
                  <w:vAlign w:val="center"/>
                </w:tcPr>
                <w:p w14:paraId="2ADA5D44">
                  <w:pPr>
                    <w:pStyle w:val="42"/>
                    <w:rPr>
                      <w:u w:val="single"/>
                    </w:rPr>
                  </w:pPr>
                </w:p>
              </w:tc>
              <w:tc>
                <w:tcPr>
                  <w:tcW w:w="846" w:type="dxa"/>
                  <w:vAlign w:val="center"/>
                </w:tcPr>
                <w:p w14:paraId="1638CE73">
                  <w:pPr>
                    <w:pStyle w:val="42"/>
                    <w:rPr>
                      <w:u w:val="single"/>
                    </w:rPr>
                  </w:pPr>
                </w:p>
              </w:tc>
              <w:tc>
                <w:tcPr>
                  <w:tcW w:w="846" w:type="dxa"/>
                  <w:vAlign w:val="center"/>
                </w:tcPr>
                <w:p w14:paraId="1C54D5F7">
                  <w:pPr>
                    <w:pStyle w:val="42"/>
                    <w:rPr>
                      <w:u w:val="single"/>
                    </w:rPr>
                  </w:pPr>
                </w:p>
              </w:tc>
            </w:tr>
            <w:tr w14:paraId="5602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29D9A787">
                  <w:pPr>
                    <w:pStyle w:val="42"/>
                    <w:rPr>
                      <w:u w:val="single"/>
                    </w:rPr>
                  </w:pPr>
                </w:p>
              </w:tc>
              <w:tc>
                <w:tcPr>
                  <w:tcW w:w="845" w:type="dxa"/>
                  <w:vMerge w:val="continue"/>
                  <w:vAlign w:val="center"/>
                </w:tcPr>
                <w:p w14:paraId="1DFCBB17">
                  <w:pPr>
                    <w:pStyle w:val="42"/>
                    <w:rPr>
                      <w:u w:val="single"/>
                    </w:rPr>
                  </w:pPr>
                </w:p>
              </w:tc>
              <w:tc>
                <w:tcPr>
                  <w:tcW w:w="845" w:type="dxa"/>
                  <w:vAlign w:val="center"/>
                </w:tcPr>
                <w:p w14:paraId="03A21B0E">
                  <w:pPr>
                    <w:pStyle w:val="42"/>
                    <w:rPr>
                      <w:u w:val="single"/>
                    </w:rPr>
                  </w:pPr>
                  <w:r>
                    <w:rPr>
                      <w:rFonts w:hint="eastAsia"/>
                      <w:u w:val="single"/>
                    </w:rPr>
                    <w:t>均值</w:t>
                  </w:r>
                </w:p>
              </w:tc>
              <w:tc>
                <w:tcPr>
                  <w:tcW w:w="845" w:type="dxa"/>
                  <w:vAlign w:val="center"/>
                </w:tcPr>
                <w:p w14:paraId="7CF49650">
                  <w:pPr>
                    <w:pStyle w:val="42"/>
                    <w:rPr>
                      <w:u w:val="single"/>
                    </w:rPr>
                  </w:pPr>
                </w:p>
              </w:tc>
              <w:tc>
                <w:tcPr>
                  <w:tcW w:w="846" w:type="dxa"/>
                  <w:vAlign w:val="center"/>
                </w:tcPr>
                <w:p w14:paraId="4E377E09">
                  <w:pPr>
                    <w:pStyle w:val="42"/>
                    <w:rPr>
                      <w:u w:val="single"/>
                    </w:rPr>
                  </w:pPr>
                </w:p>
              </w:tc>
              <w:tc>
                <w:tcPr>
                  <w:tcW w:w="845" w:type="dxa"/>
                  <w:vAlign w:val="center"/>
                </w:tcPr>
                <w:p w14:paraId="41EB0C97">
                  <w:pPr>
                    <w:pStyle w:val="42"/>
                    <w:rPr>
                      <w:u w:val="single"/>
                    </w:rPr>
                  </w:pPr>
                </w:p>
              </w:tc>
              <w:tc>
                <w:tcPr>
                  <w:tcW w:w="846" w:type="dxa"/>
                  <w:vAlign w:val="center"/>
                </w:tcPr>
                <w:p w14:paraId="714ED737">
                  <w:pPr>
                    <w:pStyle w:val="42"/>
                    <w:rPr>
                      <w:u w:val="single"/>
                    </w:rPr>
                  </w:pPr>
                </w:p>
              </w:tc>
              <w:tc>
                <w:tcPr>
                  <w:tcW w:w="846" w:type="dxa"/>
                  <w:vAlign w:val="center"/>
                </w:tcPr>
                <w:p w14:paraId="78A35B6D">
                  <w:pPr>
                    <w:pStyle w:val="42"/>
                    <w:rPr>
                      <w:u w:val="single"/>
                    </w:rPr>
                  </w:pPr>
                </w:p>
              </w:tc>
              <w:tc>
                <w:tcPr>
                  <w:tcW w:w="846" w:type="dxa"/>
                  <w:vAlign w:val="center"/>
                </w:tcPr>
                <w:p w14:paraId="2DF76DF1">
                  <w:pPr>
                    <w:pStyle w:val="42"/>
                    <w:rPr>
                      <w:u w:val="single"/>
                    </w:rPr>
                  </w:pPr>
                </w:p>
              </w:tc>
              <w:tc>
                <w:tcPr>
                  <w:tcW w:w="846" w:type="dxa"/>
                  <w:vAlign w:val="center"/>
                </w:tcPr>
                <w:p w14:paraId="08418E72">
                  <w:pPr>
                    <w:pStyle w:val="42"/>
                    <w:rPr>
                      <w:u w:val="single"/>
                    </w:rPr>
                  </w:pPr>
                </w:p>
              </w:tc>
            </w:tr>
            <w:tr w14:paraId="4D48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345DFE3C">
                  <w:pPr>
                    <w:pStyle w:val="42"/>
                    <w:rPr>
                      <w:u w:val="single"/>
                    </w:rPr>
                  </w:pPr>
                </w:p>
              </w:tc>
              <w:tc>
                <w:tcPr>
                  <w:tcW w:w="845" w:type="dxa"/>
                  <w:vMerge w:val="restart"/>
                  <w:vAlign w:val="center"/>
                </w:tcPr>
                <w:p w14:paraId="14EF0849">
                  <w:pPr>
                    <w:pStyle w:val="42"/>
                    <w:rPr>
                      <w:u w:val="single"/>
                    </w:rPr>
                  </w:pPr>
                  <w:r>
                    <w:rPr>
                      <w:rFonts w:hint="eastAsia"/>
                      <w:u w:val="single"/>
                    </w:rPr>
                    <w:t>11月11日</w:t>
                  </w:r>
                </w:p>
              </w:tc>
              <w:tc>
                <w:tcPr>
                  <w:tcW w:w="845" w:type="dxa"/>
                  <w:vAlign w:val="center"/>
                </w:tcPr>
                <w:p w14:paraId="311D8CBF">
                  <w:pPr>
                    <w:pStyle w:val="42"/>
                    <w:rPr>
                      <w:u w:val="single"/>
                    </w:rPr>
                  </w:pPr>
                  <w:r>
                    <w:rPr>
                      <w:u w:val="single"/>
                    </w:rPr>
                    <w:t>1</w:t>
                  </w:r>
                </w:p>
              </w:tc>
              <w:tc>
                <w:tcPr>
                  <w:tcW w:w="845" w:type="dxa"/>
                  <w:vAlign w:val="center"/>
                </w:tcPr>
                <w:p w14:paraId="55AD4604">
                  <w:pPr>
                    <w:pStyle w:val="42"/>
                    <w:rPr>
                      <w:u w:val="single"/>
                    </w:rPr>
                  </w:pPr>
                </w:p>
              </w:tc>
              <w:tc>
                <w:tcPr>
                  <w:tcW w:w="846" w:type="dxa"/>
                  <w:vAlign w:val="center"/>
                </w:tcPr>
                <w:p w14:paraId="7363DDFE">
                  <w:pPr>
                    <w:pStyle w:val="42"/>
                    <w:rPr>
                      <w:u w:val="single"/>
                    </w:rPr>
                  </w:pPr>
                </w:p>
              </w:tc>
              <w:tc>
                <w:tcPr>
                  <w:tcW w:w="845" w:type="dxa"/>
                  <w:vAlign w:val="center"/>
                </w:tcPr>
                <w:p w14:paraId="5948519B">
                  <w:pPr>
                    <w:pStyle w:val="42"/>
                    <w:rPr>
                      <w:u w:val="single"/>
                    </w:rPr>
                  </w:pPr>
                </w:p>
              </w:tc>
              <w:tc>
                <w:tcPr>
                  <w:tcW w:w="846" w:type="dxa"/>
                  <w:vAlign w:val="center"/>
                </w:tcPr>
                <w:p w14:paraId="466F9CB9">
                  <w:pPr>
                    <w:pStyle w:val="42"/>
                    <w:rPr>
                      <w:u w:val="single"/>
                    </w:rPr>
                  </w:pPr>
                </w:p>
              </w:tc>
              <w:tc>
                <w:tcPr>
                  <w:tcW w:w="846" w:type="dxa"/>
                  <w:vAlign w:val="center"/>
                </w:tcPr>
                <w:p w14:paraId="42DC30E2">
                  <w:pPr>
                    <w:pStyle w:val="42"/>
                    <w:rPr>
                      <w:u w:val="single"/>
                    </w:rPr>
                  </w:pPr>
                </w:p>
              </w:tc>
              <w:tc>
                <w:tcPr>
                  <w:tcW w:w="846" w:type="dxa"/>
                  <w:vAlign w:val="center"/>
                </w:tcPr>
                <w:p w14:paraId="144C397A">
                  <w:pPr>
                    <w:pStyle w:val="42"/>
                    <w:rPr>
                      <w:u w:val="single"/>
                    </w:rPr>
                  </w:pPr>
                </w:p>
              </w:tc>
              <w:tc>
                <w:tcPr>
                  <w:tcW w:w="846" w:type="dxa"/>
                  <w:vAlign w:val="center"/>
                </w:tcPr>
                <w:p w14:paraId="4B45BBF6">
                  <w:pPr>
                    <w:pStyle w:val="42"/>
                    <w:rPr>
                      <w:u w:val="single"/>
                    </w:rPr>
                  </w:pPr>
                </w:p>
              </w:tc>
            </w:tr>
            <w:tr w14:paraId="73B3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76429AC0">
                  <w:pPr>
                    <w:pStyle w:val="42"/>
                    <w:rPr>
                      <w:u w:val="single"/>
                    </w:rPr>
                  </w:pPr>
                </w:p>
              </w:tc>
              <w:tc>
                <w:tcPr>
                  <w:tcW w:w="845" w:type="dxa"/>
                  <w:vMerge w:val="continue"/>
                  <w:vAlign w:val="center"/>
                </w:tcPr>
                <w:p w14:paraId="7437BDCB">
                  <w:pPr>
                    <w:pStyle w:val="42"/>
                    <w:rPr>
                      <w:u w:val="single"/>
                    </w:rPr>
                  </w:pPr>
                </w:p>
              </w:tc>
              <w:tc>
                <w:tcPr>
                  <w:tcW w:w="845" w:type="dxa"/>
                  <w:vAlign w:val="center"/>
                </w:tcPr>
                <w:p w14:paraId="1979134D">
                  <w:pPr>
                    <w:pStyle w:val="42"/>
                    <w:rPr>
                      <w:u w:val="single"/>
                    </w:rPr>
                  </w:pPr>
                  <w:r>
                    <w:rPr>
                      <w:u w:val="single"/>
                    </w:rPr>
                    <w:t>2</w:t>
                  </w:r>
                </w:p>
              </w:tc>
              <w:tc>
                <w:tcPr>
                  <w:tcW w:w="845" w:type="dxa"/>
                  <w:vAlign w:val="center"/>
                </w:tcPr>
                <w:p w14:paraId="54E642DE">
                  <w:pPr>
                    <w:pStyle w:val="42"/>
                    <w:rPr>
                      <w:u w:val="single"/>
                    </w:rPr>
                  </w:pPr>
                </w:p>
              </w:tc>
              <w:tc>
                <w:tcPr>
                  <w:tcW w:w="846" w:type="dxa"/>
                  <w:vAlign w:val="center"/>
                </w:tcPr>
                <w:p w14:paraId="20A02CF2">
                  <w:pPr>
                    <w:pStyle w:val="42"/>
                    <w:rPr>
                      <w:u w:val="single"/>
                    </w:rPr>
                  </w:pPr>
                </w:p>
              </w:tc>
              <w:tc>
                <w:tcPr>
                  <w:tcW w:w="845" w:type="dxa"/>
                  <w:vAlign w:val="center"/>
                </w:tcPr>
                <w:p w14:paraId="3BE901C7">
                  <w:pPr>
                    <w:pStyle w:val="42"/>
                    <w:rPr>
                      <w:u w:val="single"/>
                    </w:rPr>
                  </w:pPr>
                </w:p>
              </w:tc>
              <w:tc>
                <w:tcPr>
                  <w:tcW w:w="846" w:type="dxa"/>
                  <w:vAlign w:val="center"/>
                </w:tcPr>
                <w:p w14:paraId="74F5FC2B">
                  <w:pPr>
                    <w:pStyle w:val="42"/>
                    <w:rPr>
                      <w:u w:val="single"/>
                    </w:rPr>
                  </w:pPr>
                </w:p>
              </w:tc>
              <w:tc>
                <w:tcPr>
                  <w:tcW w:w="846" w:type="dxa"/>
                  <w:vAlign w:val="center"/>
                </w:tcPr>
                <w:p w14:paraId="1BD7E566">
                  <w:pPr>
                    <w:pStyle w:val="42"/>
                    <w:rPr>
                      <w:u w:val="single"/>
                    </w:rPr>
                  </w:pPr>
                </w:p>
              </w:tc>
              <w:tc>
                <w:tcPr>
                  <w:tcW w:w="846" w:type="dxa"/>
                  <w:vAlign w:val="center"/>
                </w:tcPr>
                <w:p w14:paraId="4488438F">
                  <w:pPr>
                    <w:pStyle w:val="42"/>
                    <w:rPr>
                      <w:u w:val="single"/>
                    </w:rPr>
                  </w:pPr>
                </w:p>
              </w:tc>
              <w:tc>
                <w:tcPr>
                  <w:tcW w:w="846" w:type="dxa"/>
                  <w:vAlign w:val="center"/>
                </w:tcPr>
                <w:p w14:paraId="3A94A60F">
                  <w:pPr>
                    <w:pStyle w:val="42"/>
                    <w:rPr>
                      <w:u w:val="single"/>
                    </w:rPr>
                  </w:pPr>
                </w:p>
              </w:tc>
            </w:tr>
            <w:tr w14:paraId="1BC5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41247ADF">
                  <w:pPr>
                    <w:pStyle w:val="42"/>
                    <w:rPr>
                      <w:u w:val="single"/>
                    </w:rPr>
                  </w:pPr>
                </w:p>
              </w:tc>
              <w:tc>
                <w:tcPr>
                  <w:tcW w:w="845" w:type="dxa"/>
                  <w:vMerge w:val="continue"/>
                  <w:vAlign w:val="center"/>
                </w:tcPr>
                <w:p w14:paraId="2F8A895D">
                  <w:pPr>
                    <w:pStyle w:val="42"/>
                    <w:rPr>
                      <w:u w:val="single"/>
                    </w:rPr>
                  </w:pPr>
                </w:p>
              </w:tc>
              <w:tc>
                <w:tcPr>
                  <w:tcW w:w="845" w:type="dxa"/>
                  <w:vAlign w:val="center"/>
                </w:tcPr>
                <w:p w14:paraId="70C49225">
                  <w:pPr>
                    <w:pStyle w:val="42"/>
                    <w:rPr>
                      <w:u w:val="single"/>
                    </w:rPr>
                  </w:pPr>
                  <w:r>
                    <w:rPr>
                      <w:u w:val="single"/>
                    </w:rPr>
                    <w:t>3</w:t>
                  </w:r>
                </w:p>
              </w:tc>
              <w:tc>
                <w:tcPr>
                  <w:tcW w:w="845" w:type="dxa"/>
                  <w:vAlign w:val="center"/>
                </w:tcPr>
                <w:p w14:paraId="40277BB8">
                  <w:pPr>
                    <w:pStyle w:val="42"/>
                    <w:rPr>
                      <w:u w:val="single"/>
                    </w:rPr>
                  </w:pPr>
                </w:p>
              </w:tc>
              <w:tc>
                <w:tcPr>
                  <w:tcW w:w="846" w:type="dxa"/>
                  <w:vAlign w:val="center"/>
                </w:tcPr>
                <w:p w14:paraId="45C2196F">
                  <w:pPr>
                    <w:pStyle w:val="42"/>
                    <w:rPr>
                      <w:u w:val="single"/>
                    </w:rPr>
                  </w:pPr>
                </w:p>
              </w:tc>
              <w:tc>
                <w:tcPr>
                  <w:tcW w:w="845" w:type="dxa"/>
                  <w:vAlign w:val="center"/>
                </w:tcPr>
                <w:p w14:paraId="42569E20">
                  <w:pPr>
                    <w:pStyle w:val="42"/>
                    <w:rPr>
                      <w:u w:val="single"/>
                    </w:rPr>
                  </w:pPr>
                </w:p>
              </w:tc>
              <w:tc>
                <w:tcPr>
                  <w:tcW w:w="846" w:type="dxa"/>
                  <w:vAlign w:val="center"/>
                </w:tcPr>
                <w:p w14:paraId="0FFD138F">
                  <w:pPr>
                    <w:pStyle w:val="42"/>
                    <w:rPr>
                      <w:u w:val="single"/>
                    </w:rPr>
                  </w:pPr>
                </w:p>
              </w:tc>
              <w:tc>
                <w:tcPr>
                  <w:tcW w:w="846" w:type="dxa"/>
                  <w:vAlign w:val="center"/>
                </w:tcPr>
                <w:p w14:paraId="7AE417EF">
                  <w:pPr>
                    <w:pStyle w:val="42"/>
                    <w:rPr>
                      <w:u w:val="single"/>
                    </w:rPr>
                  </w:pPr>
                </w:p>
              </w:tc>
              <w:tc>
                <w:tcPr>
                  <w:tcW w:w="846" w:type="dxa"/>
                  <w:vAlign w:val="center"/>
                </w:tcPr>
                <w:p w14:paraId="1B771480">
                  <w:pPr>
                    <w:pStyle w:val="42"/>
                    <w:rPr>
                      <w:u w:val="single"/>
                    </w:rPr>
                  </w:pPr>
                </w:p>
              </w:tc>
              <w:tc>
                <w:tcPr>
                  <w:tcW w:w="846" w:type="dxa"/>
                  <w:vAlign w:val="center"/>
                </w:tcPr>
                <w:p w14:paraId="425A42E6">
                  <w:pPr>
                    <w:pStyle w:val="42"/>
                    <w:rPr>
                      <w:u w:val="single"/>
                    </w:rPr>
                  </w:pPr>
                </w:p>
              </w:tc>
            </w:tr>
            <w:tr w14:paraId="6460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7A5799F5">
                  <w:pPr>
                    <w:pStyle w:val="42"/>
                    <w:rPr>
                      <w:u w:val="single"/>
                    </w:rPr>
                  </w:pPr>
                </w:p>
              </w:tc>
              <w:tc>
                <w:tcPr>
                  <w:tcW w:w="845" w:type="dxa"/>
                  <w:vMerge w:val="continue"/>
                  <w:vAlign w:val="center"/>
                </w:tcPr>
                <w:p w14:paraId="0DBA37C1">
                  <w:pPr>
                    <w:pStyle w:val="42"/>
                    <w:rPr>
                      <w:u w:val="single"/>
                    </w:rPr>
                  </w:pPr>
                </w:p>
              </w:tc>
              <w:tc>
                <w:tcPr>
                  <w:tcW w:w="845" w:type="dxa"/>
                  <w:vAlign w:val="center"/>
                </w:tcPr>
                <w:p w14:paraId="3BF9A262">
                  <w:pPr>
                    <w:pStyle w:val="42"/>
                    <w:rPr>
                      <w:u w:val="single"/>
                    </w:rPr>
                  </w:pPr>
                  <w:r>
                    <w:rPr>
                      <w:u w:val="single"/>
                    </w:rPr>
                    <w:t>4</w:t>
                  </w:r>
                </w:p>
              </w:tc>
              <w:tc>
                <w:tcPr>
                  <w:tcW w:w="845" w:type="dxa"/>
                  <w:vAlign w:val="center"/>
                </w:tcPr>
                <w:p w14:paraId="72D75713">
                  <w:pPr>
                    <w:pStyle w:val="42"/>
                    <w:rPr>
                      <w:u w:val="single"/>
                    </w:rPr>
                  </w:pPr>
                </w:p>
              </w:tc>
              <w:tc>
                <w:tcPr>
                  <w:tcW w:w="846" w:type="dxa"/>
                  <w:vAlign w:val="center"/>
                </w:tcPr>
                <w:p w14:paraId="4A346D10">
                  <w:pPr>
                    <w:pStyle w:val="42"/>
                    <w:rPr>
                      <w:u w:val="single"/>
                    </w:rPr>
                  </w:pPr>
                </w:p>
              </w:tc>
              <w:tc>
                <w:tcPr>
                  <w:tcW w:w="845" w:type="dxa"/>
                  <w:vAlign w:val="center"/>
                </w:tcPr>
                <w:p w14:paraId="5848CDB6">
                  <w:pPr>
                    <w:pStyle w:val="42"/>
                    <w:rPr>
                      <w:u w:val="single"/>
                    </w:rPr>
                  </w:pPr>
                </w:p>
              </w:tc>
              <w:tc>
                <w:tcPr>
                  <w:tcW w:w="846" w:type="dxa"/>
                  <w:vAlign w:val="center"/>
                </w:tcPr>
                <w:p w14:paraId="7C08A338">
                  <w:pPr>
                    <w:pStyle w:val="42"/>
                    <w:rPr>
                      <w:u w:val="single"/>
                    </w:rPr>
                  </w:pPr>
                </w:p>
              </w:tc>
              <w:tc>
                <w:tcPr>
                  <w:tcW w:w="846" w:type="dxa"/>
                  <w:vAlign w:val="center"/>
                </w:tcPr>
                <w:p w14:paraId="726A8EF5">
                  <w:pPr>
                    <w:pStyle w:val="42"/>
                    <w:rPr>
                      <w:u w:val="single"/>
                    </w:rPr>
                  </w:pPr>
                </w:p>
              </w:tc>
              <w:tc>
                <w:tcPr>
                  <w:tcW w:w="846" w:type="dxa"/>
                  <w:vAlign w:val="center"/>
                </w:tcPr>
                <w:p w14:paraId="7CFB3154">
                  <w:pPr>
                    <w:pStyle w:val="42"/>
                    <w:rPr>
                      <w:u w:val="single"/>
                    </w:rPr>
                  </w:pPr>
                </w:p>
              </w:tc>
              <w:tc>
                <w:tcPr>
                  <w:tcW w:w="846" w:type="dxa"/>
                  <w:vAlign w:val="center"/>
                </w:tcPr>
                <w:p w14:paraId="4BA06C1C">
                  <w:pPr>
                    <w:pStyle w:val="42"/>
                    <w:rPr>
                      <w:u w:val="single"/>
                    </w:rPr>
                  </w:pPr>
                </w:p>
              </w:tc>
            </w:tr>
            <w:tr w14:paraId="17CE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 w:type="dxa"/>
                  <w:vMerge w:val="continue"/>
                  <w:vAlign w:val="center"/>
                </w:tcPr>
                <w:p w14:paraId="5D7AE3F7">
                  <w:pPr>
                    <w:pStyle w:val="42"/>
                    <w:rPr>
                      <w:u w:val="single"/>
                    </w:rPr>
                  </w:pPr>
                </w:p>
              </w:tc>
              <w:tc>
                <w:tcPr>
                  <w:tcW w:w="845" w:type="dxa"/>
                  <w:vMerge w:val="continue"/>
                  <w:vAlign w:val="center"/>
                </w:tcPr>
                <w:p w14:paraId="4E886ECB">
                  <w:pPr>
                    <w:pStyle w:val="42"/>
                    <w:rPr>
                      <w:u w:val="single"/>
                    </w:rPr>
                  </w:pPr>
                </w:p>
              </w:tc>
              <w:tc>
                <w:tcPr>
                  <w:tcW w:w="845" w:type="dxa"/>
                  <w:vAlign w:val="center"/>
                </w:tcPr>
                <w:p w14:paraId="630F4972">
                  <w:pPr>
                    <w:pStyle w:val="42"/>
                    <w:rPr>
                      <w:u w:val="single"/>
                    </w:rPr>
                  </w:pPr>
                  <w:r>
                    <w:rPr>
                      <w:rFonts w:hint="eastAsia"/>
                      <w:u w:val="single"/>
                    </w:rPr>
                    <w:t>均值</w:t>
                  </w:r>
                </w:p>
              </w:tc>
              <w:tc>
                <w:tcPr>
                  <w:tcW w:w="845" w:type="dxa"/>
                  <w:vAlign w:val="center"/>
                </w:tcPr>
                <w:p w14:paraId="5C81833D">
                  <w:pPr>
                    <w:pStyle w:val="42"/>
                    <w:rPr>
                      <w:u w:val="single"/>
                    </w:rPr>
                  </w:pPr>
                </w:p>
              </w:tc>
              <w:tc>
                <w:tcPr>
                  <w:tcW w:w="846" w:type="dxa"/>
                  <w:vAlign w:val="center"/>
                </w:tcPr>
                <w:p w14:paraId="6F94996B">
                  <w:pPr>
                    <w:pStyle w:val="42"/>
                    <w:rPr>
                      <w:u w:val="single"/>
                    </w:rPr>
                  </w:pPr>
                </w:p>
              </w:tc>
              <w:tc>
                <w:tcPr>
                  <w:tcW w:w="845" w:type="dxa"/>
                  <w:vAlign w:val="center"/>
                </w:tcPr>
                <w:p w14:paraId="32CE8B0B">
                  <w:pPr>
                    <w:pStyle w:val="42"/>
                    <w:rPr>
                      <w:u w:val="single"/>
                    </w:rPr>
                  </w:pPr>
                </w:p>
              </w:tc>
              <w:tc>
                <w:tcPr>
                  <w:tcW w:w="846" w:type="dxa"/>
                  <w:vAlign w:val="center"/>
                </w:tcPr>
                <w:p w14:paraId="38B8F180">
                  <w:pPr>
                    <w:pStyle w:val="42"/>
                    <w:rPr>
                      <w:u w:val="single"/>
                    </w:rPr>
                  </w:pPr>
                </w:p>
              </w:tc>
              <w:tc>
                <w:tcPr>
                  <w:tcW w:w="846" w:type="dxa"/>
                  <w:vAlign w:val="center"/>
                </w:tcPr>
                <w:p w14:paraId="2A158070">
                  <w:pPr>
                    <w:pStyle w:val="42"/>
                    <w:rPr>
                      <w:u w:val="single"/>
                    </w:rPr>
                  </w:pPr>
                </w:p>
              </w:tc>
              <w:tc>
                <w:tcPr>
                  <w:tcW w:w="846" w:type="dxa"/>
                  <w:vAlign w:val="center"/>
                </w:tcPr>
                <w:p w14:paraId="15ED005D">
                  <w:pPr>
                    <w:pStyle w:val="42"/>
                    <w:rPr>
                      <w:u w:val="single"/>
                    </w:rPr>
                  </w:pPr>
                </w:p>
              </w:tc>
              <w:tc>
                <w:tcPr>
                  <w:tcW w:w="846" w:type="dxa"/>
                  <w:vAlign w:val="center"/>
                </w:tcPr>
                <w:p w14:paraId="4033A1B0">
                  <w:pPr>
                    <w:pStyle w:val="42"/>
                    <w:rPr>
                      <w:u w:val="single"/>
                    </w:rPr>
                  </w:pPr>
                </w:p>
              </w:tc>
            </w:tr>
            <w:tr w14:paraId="4E7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5" w:type="dxa"/>
                  <w:gridSpan w:val="3"/>
                  <w:vAlign w:val="center"/>
                </w:tcPr>
                <w:p w14:paraId="701E83C6">
                  <w:pPr>
                    <w:pStyle w:val="42"/>
                    <w:rPr>
                      <w:u w:val="single"/>
                    </w:rPr>
                  </w:pPr>
                  <w:r>
                    <w:rPr>
                      <w:rFonts w:hint="eastAsia"/>
                      <w:u w:val="single"/>
                    </w:rPr>
                    <w:t>执行标准限值</w:t>
                  </w:r>
                </w:p>
              </w:tc>
              <w:tc>
                <w:tcPr>
                  <w:tcW w:w="845" w:type="dxa"/>
                  <w:vAlign w:val="center"/>
                </w:tcPr>
                <w:p w14:paraId="5DB22FA6">
                  <w:pPr>
                    <w:pStyle w:val="42"/>
                    <w:rPr>
                      <w:u w:val="single"/>
                    </w:rPr>
                  </w:pPr>
                  <w:r>
                    <w:rPr>
                      <w:rFonts w:hint="eastAsia"/>
                      <w:u w:val="single"/>
                    </w:rPr>
                    <w:t>6~9</w:t>
                  </w:r>
                </w:p>
              </w:tc>
              <w:tc>
                <w:tcPr>
                  <w:tcW w:w="846" w:type="dxa"/>
                  <w:vAlign w:val="center"/>
                </w:tcPr>
                <w:p w14:paraId="17DAE2BA">
                  <w:pPr>
                    <w:pStyle w:val="42"/>
                    <w:rPr>
                      <w:u w:val="single"/>
                    </w:rPr>
                  </w:pPr>
                  <w:r>
                    <w:rPr>
                      <w:rFonts w:hint="eastAsia"/>
                      <w:u w:val="single"/>
                    </w:rPr>
                    <w:t>430</w:t>
                  </w:r>
                </w:p>
              </w:tc>
              <w:tc>
                <w:tcPr>
                  <w:tcW w:w="845" w:type="dxa"/>
                  <w:vAlign w:val="center"/>
                </w:tcPr>
                <w:p w14:paraId="4338B0DE">
                  <w:pPr>
                    <w:pStyle w:val="42"/>
                    <w:rPr>
                      <w:u w:val="single"/>
                    </w:rPr>
                  </w:pPr>
                  <w:r>
                    <w:rPr>
                      <w:rFonts w:hint="eastAsia"/>
                      <w:u w:val="single"/>
                    </w:rPr>
                    <w:t>150</w:t>
                  </w:r>
                </w:p>
              </w:tc>
              <w:tc>
                <w:tcPr>
                  <w:tcW w:w="846" w:type="dxa"/>
                  <w:vAlign w:val="center"/>
                </w:tcPr>
                <w:p w14:paraId="70E6106F">
                  <w:pPr>
                    <w:pStyle w:val="42"/>
                    <w:rPr>
                      <w:u w:val="single"/>
                    </w:rPr>
                  </w:pPr>
                  <w:r>
                    <w:rPr>
                      <w:rFonts w:hint="eastAsia"/>
                      <w:u w:val="single"/>
                    </w:rPr>
                    <w:t>40</w:t>
                  </w:r>
                </w:p>
              </w:tc>
              <w:tc>
                <w:tcPr>
                  <w:tcW w:w="846" w:type="dxa"/>
                  <w:vAlign w:val="center"/>
                </w:tcPr>
                <w:p w14:paraId="45115FB8">
                  <w:pPr>
                    <w:pStyle w:val="42"/>
                    <w:rPr>
                      <w:u w:val="single"/>
                    </w:rPr>
                  </w:pPr>
                  <w:r>
                    <w:rPr>
                      <w:rFonts w:hint="eastAsia"/>
                      <w:u w:val="single"/>
                    </w:rPr>
                    <w:t>520</w:t>
                  </w:r>
                </w:p>
              </w:tc>
              <w:tc>
                <w:tcPr>
                  <w:tcW w:w="846" w:type="dxa"/>
                  <w:vAlign w:val="center"/>
                </w:tcPr>
                <w:p w14:paraId="4691F72D">
                  <w:pPr>
                    <w:pStyle w:val="42"/>
                    <w:rPr>
                      <w:u w:val="single"/>
                    </w:rPr>
                  </w:pPr>
                  <w:r>
                    <w:rPr>
                      <w:rFonts w:hint="eastAsia"/>
                      <w:u w:val="single"/>
                    </w:rPr>
                    <w:t>45</w:t>
                  </w:r>
                </w:p>
              </w:tc>
              <w:tc>
                <w:tcPr>
                  <w:tcW w:w="846" w:type="dxa"/>
                  <w:vAlign w:val="center"/>
                </w:tcPr>
                <w:p w14:paraId="68C45150">
                  <w:pPr>
                    <w:pStyle w:val="42"/>
                    <w:rPr>
                      <w:u w:val="single"/>
                    </w:rPr>
                  </w:pPr>
                  <w:r>
                    <w:rPr>
                      <w:rFonts w:hint="eastAsia"/>
                      <w:u w:val="single"/>
                    </w:rPr>
                    <w:t>4.0</w:t>
                  </w:r>
                </w:p>
              </w:tc>
            </w:tr>
            <w:tr w14:paraId="173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5" w:type="dxa"/>
                  <w:gridSpan w:val="3"/>
                  <w:vAlign w:val="center"/>
                </w:tcPr>
                <w:p w14:paraId="4553F64B">
                  <w:pPr>
                    <w:pStyle w:val="42"/>
                    <w:rPr>
                      <w:u w:val="single"/>
                    </w:rPr>
                  </w:pPr>
                  <w:r>
                    <w:rPr>
                      <w:rFonts w:hint="eastAsia"/>
                      <w:u w:val="single"/>
                    </w:rPr>
                    <w:t>评价结果</w:t>
                  </w:r>
                </w:p>
              </w:tc>
              <w:tc>
                <w:tcPr>
                  <w:tcW w:w="845" w:type="dxa"/>
                  <w:vAlign w:val="center"/>
                </w:tcPr>
                <w:p w14:paraId="411C8678">
                  <w:pPr>
                    <w:pStyle w:val="42"/>
                    <w:rPr>
                      <w:u w:val="single"/>
                    </w:rPr>
                  </w:pPr>
                  <w:r>
                    <w:rPr>
                      <w:rFonts w:hint="eastAsia"/>
                      <w:u w:val="single"/>
                    </w:rPr>
                    <w:t>达标</w:t>
                  </w:r>
                </w:p>
              </w:tc>
              <w:tc>
                <w:tcPr>
                  <w:tcW w:w="846" w:type="dxa"/>
                  <w:vAlign w:val="center"/>
                </w:tcPr>
                <w:p w14:paraId="7E5F80A8">
                  <w:pPr>
                    <w:pStyle w:val="42"/>
                    <w:rPr>
                      <w:u w:val="single"/>
                    </w:rPr>
                  </w:pPr>
                  <w:r>
                    <w:rPr>
                      <w:rFonts w:hint="eastAsia"/>
                      <w:u w:val="single"/>
                    </w:rPr>
                    <w:t>达标</w:t>
                  </w:r>
                </w:p>
              </w:tc>
              <w:tc>
                <w:tcPr>
                  <w:tcW w:w="845" w:type="dxa"/>
                  <w:vAlign w:val="center"/>
                </w:tcPr>
                <w:p w14:paraId="30D7AFC8">
                  <w:pPr>
                    <w:pStyle w:val="42"/>
                    <w:rPr>
                      <w:u w:val="single"/>
                    </w:rPr>
                  </w:pPr>
                  <w:r>
                    <w:rPr>
                      <w:rFonts w:hint="eastAsia"/>
                      <w:u w:val="single"/>
                    </w:rPr>
                    <w:t>达标</w:t>
                  </w:r>
                </w:p>
              </w:tc>
              <w:tc>
                <w:tcPr>
                  <w:tcW w:w="846" w:type="dxa"/>
                  <w:vAlign w:val="center"/>
                </w:tcPr>
                <w:p w14:paraId="5D7F6425">
                  <w:pPr>
                    <w:pStyle w:val="42"/>
                    <w:rPr>
                      <w:u w:val="single"/>
                    </w:rPr>
                  </w:pPr>
                  <w:r>
                    <w:rPr>
                      <w:rFonts w:hint="eastAsia"/>
                      <w:u w:val="single"/>
                    </w:rPr>
                    <w:t>达标</w:t>
                  </w:r>
                </w:p>
              </w:tc>
              <w:tc>
                <w:tcPr>
                  <w:tcW w:w="846" w:type="dxa"/>
                  <w:vAlign w:val="center"/>
                </w:tcPr>
                <w:p w14:paraId="7B31CD22">
                  <w:pPr>
                    <w:pStyle w:val="42"/>
                    <w:rPr>
                      <w:u w:val="single"/>
                    </w:rPr>
                  </w:pPr>
                  <w:r>
                    <w:rPr>
                      <w:rFonts w:hint="eastAsia"/>
                      <w:u w:val="single"/>
                    </w:rPr>
                    <w:t>达标</w:t>
                  </w:r>
                </w:p>
              </w:tc>
              <w:tc>
                <w:tcPr>
                  <w:tcW w:w="846" w:type="dxa"/>
                  <w:vAlign w:val="center"/>
                </w:tcPr>
                <w:p w14:paraId="40978E8F">
                  <w:pPr>
                    <w:pStyle w:val="42"/>
                    <w:rPr>
                      <w:u w:val="single"/>
                    </w:rPr>
                  </w:pPr>
                  <w:r>
                    <w:rPr>
                      <w:rFonts w:hint="eastAsia"/>
                      <w:u w:val="single"/>
                    </w:rPr>
                    <w:t>达标</w:t>
                  </w:r>
                </w:p>
              </w:tc>
              <w:tc>
                <w:tcPr>
                  <w:tcW w:w="846" w:type="dxa"/>
                  <w:vAlign w:val="center"/>
                </w:tcPr>
                <w:p w14:paraId="1144CB82">
                  <w:pPr>
                    <w:pStyle w:val="42"/>
                    <w:rPr>
                      <w:u w:val="single"/>
                    </w:rPr>
                  </w:pPr>
                  <w:r>
                    <w:rPr>
                      <w:rFonts w:hint="eastAsia"/>
                      <w:u w:val="single"/>
                    </w:rPr>
                    <w:t>达标</w:t>
                  </w:r>
                </w:p>
              </w:tc>
            </w:tr>
          </w:tbl>
          <w:p w14:paraId="0D3DE528">
            <w:pPr>
              <w:pStyle w:val="41"/>
              <w:ind w:firstLine="480"/>
            </w:pPr>
          </w:p>
          <w:p w14:paraId="1A8CEF13">
            <w:pPr>
              <w:pStyle w:val="41"/>
              <w:ind w:firstLine="482"/>
              <w:rPr>
                <w:b/>
                <w:bCs/>
              </w:rPr>
            </w:pPr>
            <w:r>
              <w:rPr>
                <w:rFonts w:hint="eastAsia"/>
                <w:b/>
                <w:bCs/>
              </w:rPr>
              <w:t>3.2生活污水</w:t>
            </w:r>
          </w:p>
          <w:p w14:paraId="2BBC6094">
            <w:pPr>
              <w:pStyle w:val="41"/>
              <w:ind w:firstLine="480"/>
            </w:pPr>
            <w:r>
              <w:rPr>
                <w:rFonts w:hint="eastAsia"/>
              </w:rPr>
              <w:t>项目运营期新增定员</w:t>
            </w:r>
            <w:r>
              <w:t>5</w:t>
            </w:r>
            <w:r>
              <w:rPr>
                <w:rFonts w:hint="eastAsia"/>
              </w:rPr>
              <w:t>人，新增生活用水</w:t>
            </w:r>
            <w:r>
              <w:t>120t/a</w:t>
            </w:r>
            <w:r>
              <w:rPr>
                <w:rFonts w:hint="eastAsia"/>
              </w:rPr>
              <w:t>，生活污水的产生量取用水量的</w:t>
            </w:r>
            <w:r>
              <w:t>80%</w:t>
            </w:r>
            <w:r>
              <w:rPr>
                <w:rFonts w:hint="eastAsia"/>
              </w:rPr>
              <w:t>，则新增生活污水量为</w:t>
            </w:r>
            <w:r>
              <w:t>96t/a</w:t>
            </w:r>
            <w:r>
              <w:rPr>
                <w:rFonts w:hint="eastAsia"/>
              </w:rPr>
              <w:t>（折合约0.274m</w:t>
            </w:r>
            <w:r>
              <w:rPr>
                <w:rFonts w:hint="eastAsia"/>
                <w:vertAlign w:val="superscript"/>
              </w:rPr>
              <w:t>3</w:t>
            </w:r>
            <w:r>
              <w:rPr>
                <w:rFonts w:hint="eastAsia"/>
              </w:rPr>
              <w:t>/d）。新增生活污水依托空分项目现有厂区内化粪池处理后，排入国投钦州发电有限公司生活污水处理系统进一步处理达标后用于其厂区绿化，不外排。</w:t>
            </w:r>
          </w:p>
          <w:p w14:paraId="74D1DBD7">
            <w:pPr>
              <w:pStyle w:val="41"/>
              <w:ind w:firstLine="480"/>
            </w:pPr>
            <w:r>
              <w:rPr>
                <w:rFonts w:hint="eastAsia"/>
              </w:rPr>
              <w:t>国投钦州发电有限公司生活污水处理系统处理工艺如下。</w:t>
            </w:r>
          </w:p>
          <w:p w14:paraId="31EBAB49">
            <w:pPr>
              <w:pStyle w:val="44"/>
            </w:pPr>
            <w:r>
              <w:rPr>
                <w:rFonts w:hint="eastAsia"/>
              </w:rPr>
              <w:object>
                <v:shape id="_x0000_i1026" o:spt="75" type="#_x0000_t75" style="height:283.5pt;width:379.5pt;" o:ole="t" filled="f" o:preferrelative="t" stroked="f" coordsize="21600,21600">
                  <v:path/>
                  <v:fill on="f" focussize="0,0"/>
                  <v:stroke on="f" joinstyle="miter"/>
                  <v:imagedata r:id="rId46" o:title=""/>
                  <o:lock v:ext="edit" aspectratio="t"/>
                  <w10:wrap type="none"/>
                  <w10:anchorlock/>
                </v:shape>
                <o:OLEObject Type="Embed" ProgID="Visio.Drawing.11" ShapeID="_x0000_i1026" DrawAspect="Content" ObjectID="_1468075726" r:id="rId45">
                  <o:LockedField>false</o:LockedField>
                </o:OLEObject>
              </w:object>
            </w:r>
          </w:p>
          <w:p w14:paraId="15EA381A">
            <w:pPr>
              <w:pStyle w:val="41"/>
              <w:numPr>
                <w:ilvl w:val="0"/>
                <w:numId w:val="9"/>
              </w:numPr>
              <w:spacing w:line="240" w:lineRule="auto"/>
              <w:ind w:left="0" w:firstLine="0" w:firstLineChars="0"/>
              <w:jc w:val="center"/>
              <w:rPr>
                <w:b/>
                <w:bCs/>
                <w:sz w:val="21"/>
                <w:szCs w:val="21"/>
              </w:rPr>
            </w:pPr>
            <w:r>
              <w:rPr>
                <w:rFonts w:hint="eastAsia"/>
                <w:b/>
                <w:bCs/>
                <w:sz w:val="21"/>
                <w:szCs w:val="21"/>
              </w:rPr>
              <w:t>国投钦州发电有限公司生活污水处理系统</w:t>
            </w:r>
          </w:p>
          <w:p w14:paraId="557706CD">
            <w:pPr>
              <w:pStyle w:val="41"/>
              <w:ind w:firstLine="480"/>
            </w:pPr>
          </w:p>
          <w:p w14:paraId="524CD0A5">
            <w:pPr>
              <w:pStyle w:val="41"/>
              <w:ind w:firstLine="480"/>
            </w:pPr>
            <w:r>
              <w:rPr>
                <w:rFonts w:hint="eastAsia"/>
              </w:rPr>
              <w:t>国投钦州发电有限公司生活污水处理能力为</w:t>
            </w:r>
            <w:r>
              <w:t>1200m</w:t>
            </w:r>
            <w:r>
              <w:rPr>
                <w:vertAlign w:val="superscript"/>
              </w:rPr>
              <w:t>3</w:t>
            </w:r>
            <w:r>
              <w:t>/d</w:t>
            </w:r>
            <w:r>
              <w:rPr>
                <w:rFonts w:hint="eastAsia"/>
              </w:rPr>
              <w:t>，现处理量约为</w:t>
            </w:r>
            <w:r>
              <w:t>480m</w:t>
            </w:r>
            <w:r>
              <w:rPr>
                <w:vertAlign w:val="superscript"/>
              </w:rPr>
              <w:t>3</w:t>
            </w:r>
            <w:r>
              <w:t>/d~720m</w:t>
            </w:r>
            <w:r>
              <w:rPr>
                <w:vertAlign w:val="superscript"/>
              </w:rPr>
              <w:t>3</w:t>
            </w:r>
            <w:r>
              <w:t>/d</w:t>
            </w:r>
            <w:r>
              <w:rPr>
                <w:rFonts w:hint="eastAsia"/>
              </w:rPr>
              <w:t>，目前剩余处理能力约为</w:t>
            </w:r>
            <w:r>
              <w:t>480m</w:t>
            </w:r>
            <w:r>
              <w:rPr>
                <w:vertAlign w:val="superscript"/>
              </w:rPr>
              <w:t>3</w:t>
            </w:r>
            <w:r>
              <w:t>/d</w:t>
            </w:r>
            <w:r>
              <w:rPr>
                <w:rFonts w:hint="eastAsia"/>
              </w:rPr>
              <w:t>，本项目运营期生活污水新增排放量为</w:t>
            </w:r>
            <w:r>
              <w:t>0.</w:t>
            </w:r>
            <w:r>
              <w:rPr>
                <w:rFonts w:hint="eastAsia"/>
              </w:rPr>
              <w:t>27</w:t>
            </w:r>
            <w:r>
              <w:t>4m</w:t>
            </w:r>
            <w:r>
              <w:rPr>
                <w:vertAlign w:val="superscript"/>
              </w:rPr>
              <w:t>3</w:t>
            </w:r>
            <w:r>
              <w:t>/d</w:t>
            </w:r>
            <w:r>
              <w:rPr>
                <w:rFonts w:hint="eastAsia"/>
              </w:rPr>
              <w:t>，占剩余处理规模的</w:t>
            </w:r>
            <w:r>
              <w:t>0.0</w:t>
            </w:r>
            <w:r>
              <w:rPr>
                <w:rFonts w:hint="eastAsia"/>
              </w:rPr>
              <w:t>57</w:t>
            </w:r>
            <w:r>
              <w:t>%</w:t>
            </w:r>
            <w:r>
              <w:rPr>
                <w:rFonts w:hint="eastAsia"/>
              </w:rPr>
              <w:t>。项目生活废水的主要污染物为</w:t>
            </w:r>
            <w:r>
              <w:t>COD</w:t>
            </w:r>
            <w:r>
              <w:rPr>
                <w:rFonts w:hint="eastAsia"/>
              </w:rPr>
              <w:t>、</w:t>
            </w:r>
            <w:r>
              <w:t>SS</w:t>
            </w:r>
            <w:r>
              <w:rPr>
                <w:rFonts w:hint="eastAsia"/>
              </w:rPr>
              <w:t>，国投钦州发电有限公司生活污水处理系统有能力接收本项目废水。</w:t>
            </w:r>
          </w:p>
          <w:p w14:paraId="67ED328A">
            <w:pPr>
              <w:pStyle w:val="41"/>
              <w:ind w:firstLine="480"/>
            </w:pPr>
            <w:r>
              <w:rPr>
                <w:rFonts w:hint="eastAsia"/>
              </w:rPr>
              <w:t>综上，本项目新增生活污水排入国投钦州发电有限公司生活污水处理系统处理，处理达标后用于厂区绿化，对周边环境影响不大。</w:t>
            </w:r>
          </w:p>
          <w:p w14:paraId="11B8C7DB">
            <w:pPr>
              <w:pStyle w:val="41"/>
              <w:ind w:firstLine="480"/>
            </w:pPr>
            <w:r>
              <w:rPr>
                <w:rFonts w:hint="eastAsia"/>
              </w:rPr>
              <w:t>项目新增生活污水的产生及排放情况见下表。</w:t>
            </w:r>
          </w:p>
          <w:p w14:paraId="78D7C95D">
            <w:pPr>
              <w:pStyle w:val="41"/>
              <w:numPr>
                <w:ilvl w:val="0"/>
                <w:numId w:val="8"/>
              </w:numPr>
              <w:spacing w:line="240" w:lineRule="auto"/>
              <w:ind w:left="0" w:firstLine="0" w:firstLineChars="0"/>
              <w:jc w:val="center"/>
              <w:rPr>
                <w:b/>
                <w:bCs/>
                <w:sz w:val="21"/>
                <w:szCs w:val="21"/>
              </w:rPr>
            </w:pPr>
            <w:r>
              <w:rPr>
                <w:rFonts w:hint="eastAsia"/>
                <w:b/>
                <w:bCs/>
                <w:sz w:val="21"/>
                <w:szCs w:val="21"/>
              </w:rPr>
              <w:t>项目新增生活污水产排情况一览表</w:t>
            </w:r>
          </w:p>
          <w:tbl>
            <w:tblPr>
              <w:tblStyle w:val="18"/>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044"/>
              <w:gridCol w:w="844"/>
              <w:gridCol w:w="1254"/>
              <w:gridCol w:w="977"/>
              <w:gridCol w:w="820"/>
              <w:gridCol w:w="1116"/>
              <w:gridCol w:w="871"/>
              <w:gridCol w:w="972"/>
            </w:tblGrid>
            <w:tr w14:paraId="337B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587" w:type="dxa"/>
                  <w:vAlign w:val="center"/>
                </w:tcPr>
                <w:p w14:paraId="0954E674">
                  <w:pPr>
                    <w:pStyle w:val="42"/>
                    <w:rPr>
                      <w:b/>
                      <w:bCs/>
                    </w:rPr>
                  </w:pPr>
                  <w:r>
                    <w:rPr>
                      <w:rFonts w:hint="eastAsia"/>
                      <w:b/>
                      <w:bCs/>
                    </w:rPr>
                    <w:t>污染源</w:t>
                  </w:r>
                </w:p>
              </w:tc>
              <w:tc>
                <w:tcPr>
                  <w:tcW w:w="860" w:type="dxa"/>
                  <w:vAlign w:val="center"/>
                </w:tcPr>
                <w:p w14:paraId="1919B8C0">
                  <w:pPr>
                    <w:pStyle w:val="42"/>
                    <w:rPr>
                      <w:b/>
                      <w:bCs/>
                    </w:rPr>
                  </w:pPr>
                  <w:r>
                    <w:rPr>
                      <w:rFonts w:hint="eastAsia"/>
                      <w:b/>
                      <w:bCs/>
                    </w:rPr>
                    <w:t>污水量（m</w:t>
                  </w:r>
                  <w:r>
                    <w:rPr>
                      <w:rFonts w:hint="eastAsia"/>
                      <w:b/>
                      <w:bCs/>
                      <w:vertAlign w:val="superscript"/>
                    </w:rPr>
                    <w:t>3</w:t>
                  </w:r>
                  <w:r>
                    <w:rPr>
                      <w:rFonts w:hint="eastAsia"/>
                      <w:b/>
                      <w:bCs/>
                    </w:rPr>
                    <w:t>/a）</w:t>
                  </w:r>
                </w:p>
              </w:tc>
              <w:tc>
                <w:tcPr>
                  <w:tcW w:w="850" w:type="dxa"/>
                  <w:vAlign w:val="center"/>
                </w:tcPr>
                <w:p w14:paraId="0AD1519B">
                  <w:pPr>
                    <w:pStyle w:val="42"/>
                    <w:rPr>
                      <w:b/>
                      <w:bCs/>
                    </w:rPr>
                  </w:pPr>
                  <w:r>
                    <w:rPr>
                      <w:rFonts w:hint="eastAsia"/>
                      <w:b/>
                      <w:bCs/>
                    </w:rPr>
                    <w:t>污染物</w:t>
                  </w:r>
                </w:p>
              </w:tc>
              <w:tc>
                <w:tcPr>
                  <w:tcW w:w="1276" w:type="dxa"/>
                  <w:vAlign w:val="center"/>
                </w:tcPr>
                <w:p w14:paraId="1B344F19">
                  <w:pPr>
                    <w:pStyle w:val="42"/>
                    <w:rPr>
                      <w:b/>
                      <w:bCs/>
                    </w:rPr>
                  </w:pPr>
                  <w:r>
                    <w:rPr>
                      <w:rFonts w:hint="eastAsia"/>
                      <w:b/>
                      <w:bCs/>
                    </w:rPr>
                    <w:t>产生浓度（mg/L）</w:t>
                  </w:r>
                </w:p>
              </w:tc>
              <w:tc>
                <w:tcPr>
                  <w:tcW w:w="994" w:type="dxa"/>
                  <w:vAlign w:val="center"/>
                </w:tcPr>
                <w:p w14:paraId="40CB36DE">
                  <w:pPr>
                    <w:pStyle w:val="42"/>
                    <w:rPr>
                      <w:b/>
                      <w:bCs/>
                    </w:rPr>
                  </w:pPr>
                  <w:r>
                    <w:rPr>
                      <w:rFonts w:hint="eastAsia"/>
                      <w:b/>
                      <w:bCs/>
                    </w:rPr>
                    <w:t>产生量（t/a）</w:t>
                  </w:r>
                </w:p>
              </w:tc>
              <w:tc>
                <w:tcPr>
                  <w:tcW w:w="884" w:type="dxa"/>
                  <w:vAlign w:val="center"/>
                </w:tcPr>
                <w:p w14:paraId="4F04B2BF">
                  <w:pPr>
                    <w:pStyle w:val="42"/>
                    <w:rPr>
                      <w:b/>
                      <w:bCs/>
                    </w:rPr>
                  </w:pPr>
                  <w:r>
                    <w:rPr>
                      <w:rFonts w:hint="eastAsia"/>
                      <w:b/>
                      <w:bCs/>
                    </w:rPr>
                    <w:t>治理措施</w:t>
                  </w:r>
                </w:p>
              </w:tc>
              <w:tc>
                <w:tcPr>
                  <w:tcW w:w="1099" w:type="dxa"/>
                  <w:vAlign w:val="center"/>
                </w:tcPr>
                <w:p w14:paraId="024A29E6">
                  <w:pPr>
                    <w:pStyle w:val="42"/>
                    <w:rPr>
                      <w:b/>
                      <w:bCs/>
                    </w:rPr>
                  </w:pPr>
                  <w:r>
                    <w:rPr>
                      <w:rFonts w:hint="eastAsia"/>
                      <w:b/>
                      <w:bCs/>
                    </w:rPr>
                    <w:t>排放浓度（mg/L）</w:t>
                  </w:r>
                </w:p>
              </w:tc>
              <w:tc>
                <w:tcPr>
                  <w:tcW w:w="851" w:type="dxa"/>
                  <w:vAlign w:val="center"/>
                </w:tcPr>
                <w:p w14:paraId="72360E3B">
                  <w:pPr>
                    <w:pStyle w:val="42"/>
                    <w:rPr>
                      <w:b/>
                      <w:bCs/>
                    </w:rPr>
                  </w:pPr>
                  <w:r>
                    <w:rPr>
                      <w:rFonts w:hint="eastAsia"/>
                      <w:b/>
                      <w:bCs/>
                    </w:rPr>
                    <w:t>排放量（t/a）</w:t>
                  </w:r>
                </w:p>
              </w:tc>
              <w:tc>
                <w:tcPr>
                  <w:tcW w:w="1061" w:type="dxa"/>
                  <w:vAlign w:val="center"/>
                </w:tcPr>
                <w:p w14:paraId="1ECCD7B0">
                  <w:pPr>
                    <w:pStyle w:val="42"/>
                    <w:rPr>
                      <w:b/>
                      <w:bCs/>
                    </w:rPr>
                  </w:pPr>
                  <w:r>
                    <w:rPr>
                      <w:rFonts w:hint="eastAsia"/>
                      <w:b/>
                      <w:bCs/>
                    </w:rPr>
                    <w:t>排放去向</w:t>
                  </w:r>
                </w:p>
              </w:tc>
            </w:tr>
            <w:tr w14:paraId="5D91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87" w:type="dxa"/>
                  <w:vMerge w:val="restart"/>
                  <w:vAlign w:val="center"/>
                </w:tcPr>
                <w:p w14:paraId="18A79F0F">
                  <w:pPr>
                    <w:pStyle w:val="42"/>
                  </w:pPr>
                  <w:r>
                    <w:rPr>
                      <w:rFonts w:hint="eastAsia"/>
                    </w:rPr>
                    <w:t>生活污水</w:t>
                  </w:r>
                </w:p>
              </w:tc>
              <w:tc>
                <w:tcPr>
                  <w:tcW w:w="860" w:type="dxa"/>
                  <w:vMerge w:val="restart"/>
                  <w:vAlign w:val="center"/>
                </w:tcPr>
                <w:p w14:paraId="718DD2B2">
                  <w:pPr>
                    <w:pStyle w:val="42"/>
                  </w:pPr>
                  <w:r>
                    <w:rPr>
                      <w:rFonts w:hint="eastAsia"/>
                    </w:rPr>
                    <w:t>140</w:t>
                  </w:r>
                </w:p>
              </w:tc>
              <w:tc>
                <w:tcPr>
                  <w:tcW w:w="850" w:type="dxa"/>
                  <w:vAlign w:val="center"/>
                </w:tcPr>
                <w:p w14:paraId="68D8E51B">
                  <w:pPr>
                    <w:pStyle w:val="42"/>
                  </w:pPr>
                  <w:r>
                    <w:rPr>
                      <w:rFonts w:hint="eastAsia"/>
                    </w:rPr>
                    <w:t>COD</w:t>
                  </w:r>
                </w:p>
              </w:tc>
              <w:tc>
                <w:tcPr>
                  <w:tcW w:w="1276" w:type="dxa"/>
                  <w:vAlign w:val="center"/>
                </w:tcPr>
                <w:p w14:paraId="63DA331E">
                  <w:pPr>
                    <w:pStyle w:val="42"/>
                  </w:pPr>
                  <w:r>
                    <w:rPr>
                      <w:rFonts w:hint="eastAsia"/>
                    </w:rPr>
                    <w:t>350</w:t>
                  </w:r>
                </w:p>
              </w:tc>
              <w:tc>
                <w:tcPr>
                  <w:tcW w:w="994" w:type="dxa"/>
                  <w:vAlign w:val="center"/>
                </w:tcPr>
                <w:p w14:paraId="44E7FED5">
                  <w:pPr>
                    <w:jc w:val="center"/>
                  </w:pPr>
                  <w:r>
                    <w:t>0.049</w:t>
                  </w:r>
                </w:p>
              </w:tc>
              <w:tc>
                <w:tcPr>
                  <w:tcW w:w="884" w:type="dxa"/>
                  <w:vMerge w:val="restart"/>
                  <w:vAlign w:val="center"/>
                </w:tcPr>
                <w:p w14:paraId="132811AA">
                  <w:pPr>
                    <w:pStyle w:val="42"/>
                  </w:pPr>
                  <w:r>
                    <w:rPr>
                      <w:rFonts w:hint="eastAsia"/>
                    </w:rPr>
                    <w:t>三级化粪池处理</w:t>
                  </w:r>
                </w:p>
              </w:tc>
              <w:tc>
                <w:tcPr>
                  <w:tcW w:w="1099" w:type="dxa"/>
                  <w:vAlign w:val="center"/>
                </w:tcPr>
                <w:p w14:paraId="033A69E6">
                  <w:pPr>
                    <w:pStyle w:val="42"/>
                  </w:pPr>
                  <w:r>
                    <w:rPr>
                      <w:rFonts w:hint="eastAsia"/>
                    </w:rPr>
                    <w:t>300</w:t>
                  </w:r>
                </w:p>
              </w:tc>
              <w:tc>
                <w:tcPr>
                  <w:tcW w:w="851" w:type="dxa"/>
                  <w:vAlign w:val="center"/>
                </w:tcPr>
                <w:p w14:paraId="72FD4670">
                  <w:pPr>
                    <w:pStyle w:val="42"/>
                  </w:pPr>
                  <w:r>
                    <w:t>0.042</w:t>
                  </w:r>
                </w:p>
              </w:tc>
              <w:tc>
                <w:tcPr>
                  <w:tcW w:w="1061" w:type="dxa"/>
                  <w:vMerge w:val="restart"/>
                  <w:vAlign w:val="center"/>
                </w:tcPr>
                <w:p w14:paraId="79842522">
                  <w:pPr>
                    <w:jc w:val="center"/>
                  </w:pPr>
                  <w:r>
                    <w:rPr>
                      <w:rFonts w:hint="eastAsia"/>
                    </w:rPr>
                    <w:t>排入国投钦州发电有限公司生活污水处理系统</w:t>
                  </w:r>
                </w:p>
              </w:tc>
            </w:tr>
            <w:tr w14:paraId="7259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 w:hRule="atLeast"/>
              </w:trPr>
              <w:tc>
                <w:tcPr>
                  <w:tcW w:w="587" w:type="dxa"/>
                  <w:vMerge w:val="continue"/>
                  <w:vAlign w:val="center"/>
                </w:tcPr>
                <w:p w14:paraId="2F8B4A0C">
                  <w:pPr>
                    <w:pStyle w:val="42"/>
                  </w:pPr>
                </w:p>
              </w:tc>
              <w:tc>
                <w:tcPr>
                  <w:tcW w:w="860" w:type="dxa"/>
                  <w:vMerge w:val="continue"/>
                  <w:vAlign w:val="center"/>
                </w:tcPr>
                <w:p w14:paraId="0DA47432">
                  <w:pPr>
                    <w:pStyle w:val="42"/>
                  </w:pPr>
                </w:p>
              </w:tc>
              <w:tc>
                <w:tcPr>
                  <w:tcW w:w="850" w:type="dxa"/>
                  <w:vAlign w:val="center"/>
                </w:tcPr>
                <w:p w14:paraId="790A60BA">
                  <w:pPr>
                    <w:pStyle w:val="42"/>
                  </w:pPr>
                  <w:r>
                    <w:t>BOD</w:t>
                  </w:r>
                  <w:r>
                    <w:rPr>
                      <w:vertAlign w:val="subscript"/>
                    </w:rPr>
                    <w:t>5</w:t>
                  </w:r>
                </w:p>
              </w:tc>
              <w:tc>
                <w:tcPr>
                  <w:tcW w:w="1276" w:type="dxa"/>
                  <w:vAlign w:val="center"/>
                </w:tcPr>
                <w:p w14:paraId="1E2DB31D">
                  <w:pPr>
                    <w:pStyle w:val="42"/>
                  </w:pPr>
                  <w:r>
                    <w:t>2</w:t>
                  </w:r>
                  <w:r>
                    <w:rPr>
                      <w:rFonts w:hint="eastAsia"/>
                    </w:rPr>
                    <w:t>5</w:t>
                  </w:r>
                  <w:r>
                    <w:t>0</w:t>
                  </w:r>
                </w:p>
              </w:tc>
              <w:tc>
                <w:tcPr>
                  <w:tcW w:w="994" w:type="dxa"/>
                  <w:vAlign w:val="center"/>
                </w:tcPr>
                <w:p w14:paraId="5A3D169B">
                  <w:pPr>
                    <w:jc w:val="center"/>
                  </w:pPr>
                  <w:r>
                    <w:t>0.035</w:t>
                  </w:r>
                </w:p>
              </w:tc>
              <w:tc>
                <w:tcPr>
                  <w:tcW w:w="884" w:type="dxa"/>
                  <w:vMerge w:val="continue"/>
                  <w:vAlign w:val="center"/>
                </w:tcPr>
                <w:p w14:paraId="7499258D">
                  <w:pPr>
                    <w:pStyle w:val="42"/>
                  </w:pPr>
                </w:p>
              </w:tc>
              <w:tc>
                <w:tcPr>
                  <w:tcW w:w="1099" w:type="dxa"/>
                  <w:vAlign w:val="center"/>
                </w:tcPr>
                <w:p w14:paraId="32428BFB">
                  <w:pPr>
                    <w:pStyle w:val="42"/>
                  </w:pPr>
                  <w:r>
                    <w:rPr>
                      <w:rFonts w:hint="eastAsia"/>
                    </w:rPr>
                    <w:t>150</w:t>
                  </w:r>
                </w:p>
              </w:tc>
              <w:tc>
                <w:tcPr>
                  <w:tcW w:w="851" w:type="dxa"/>
                  <w:vAlign w:val="center"/>
                </w:tcPr>
                <w:p w14:paraId="3E00FC78">
                  <w:pPr>
                    <w:pStyle w:val="42"/>
                  </w:pPr>
                  <w:r>
                    <w:t>0.021</w:t>
                  </w:r>
                </w:p>
              </w:tc>
              <w:tc>
                <w:tcPr>
                  <w:tcW w:w="1061" w:type="dxa"/>
                  <w:vMerge w:val="continue"/>
                  <w:vAlign w:val="center"/>
                </w:tcPr>
                <w:p w14:paraId="46E24ABB">
                  <w:pPr>
                    <w:jc w:val="center"/>
                  </w:pPr>
                </w:p>
              </w:tc>
            </w:tr>
            <w:tr w14:paraId="700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 w:hRule="atLeast"/>
              </w:trPr>
              <w:tc>
                <w:tcPr>
                  <w:tcW w:w="587" w:type="dxa"/>
                  <w:vMerge w:val="continue"/>
                  <w:vAlign w:val="center"/>
                </w:tcPr>
                <w:p w14:paraId="76FBAB27">
                  <w:pPr>
                    <w:pStyle w:val="42"/>
                  </w:pPr>
                </w:p>
              </w:tc>
              <w:tc>
                <w:tcPr>
                  <w:tcW w:w="860" w:type="dxa"/>
                  <w:vMerge w:val="continue"/>
                  <w:vAlign w:val="center"/>
                </w:tcPr>
                <w:p w14:paraId="2FE1ED7B">
                  <w:pPr>
                    <w:pStyle w:val="42"/>
                  </w:pPr>
                </w:p>
              </w:tc>
              <w:tc>
                <w:tcPr>
                  <w:tcW w:w="850" w:type="dxa"/>
                  <w:vAlign w:val="center"/>
                </w:tcPr>
                <w:p w14:paraId="09605A55">
                  <w:pPr>
                    <w:pStyle w:val="42"/>
                  </w:pPr>
                  <w:r>
                    <w:t>SS</w:t>
                  </w:r>
                </w:p>
              </w:tc>
              <w:tc>
                <w:tcPr>
                  <w:tcW w:w="1276" w:type="dxa"/>
                  <w:vAlign w:val="center"/>
                </w:tcPr>
                <w:p w14:paraId="50762FC4">
                  <w:pPr>
                    <w:pStyle w:val="42"/>
                  </w:pPr>
                  <w:r>
                    <w:t>200</w:t>
                  </w:r>
                </w:p>
              </w:tc>
              <w:tc>
                <w:tcPr>
                  <w:tcW w:w="994" w:type="dxa"/>
                  <w:vAlign w:val="center"/>
                </w:tcPr>
                <w:p w14:paraId="61135794">
                  <w:pPr>
                    <w:jc w:val="center"/>
                  </w:pPr>
                  <w:r>
                    <w:t>0.028</w:t>
                  </w:r>
                </w:p>
              </w:tc>
              <w:tc>
                <w:tcPr>
                  <w:tcW w:w="884" w:type="dxa"/>
                  <w:vMerge w:val="continue"/>
                  <w:vAlign w:val="center"/>
                </w:tcPr>
                <w:p w14:paraId="3E13BFC1">
                  <w:pPr>
                    <w:pStyle w:val="42"/>
                  </w:pPr>
                </w:p>
              </w:tc>
              <w:tc>
                <w:tcPr>
                  <w:tcW w:w="1099" w:type="dxa"/>
                  <w:vAlign w:val="center"/>
                </w:tcPr>
                <w:p w14:paraId="16B013AD">
                  <w:pPr>
                    <w:pStyle w:val="42"/>
                  </w:pPr>
                  <w:r>
                    <w:rPr>
                      <w:rFonts w:hint="eastAsia"/>
                    </w:rPr>
                    <w:t>100</w:t>
                  </w:r>
                </w:p>
              </w:tc>
              <w:tc>
                <w:tcPr>
                  <w:tcW w:w="851" w:type="dxa"/>
                  <w:vAlign w:val="center"/>
                </w:tcPr>
                <w:p w14:paraId="7BEF8F0A">
                  <w:pPr>
                    <w:pStyle w:val="42"/>
                  </w:pPr>
                  <w:r>
                    <w:t>0.014</w:t>
                  </w:r>
                </w:p>
              </w:tc>
              <w:tc>
                <w:tcPr>
                  <w:tcW w:w="1061" w:type="dxa"/>
                  <w:vMerge w:val="continue"/>
                  <w:vAlign w:val="center"/>
                </w:tcPr>
                <w:p w14:paraId="304F5F81">
                  <w:pPr>
                    <w:jc w:val="center"/>
                  </w:pPr>
                </w:p>
              </w:tc>
            </w:tr>
            <w:tr w14:paraId="1604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87" w:type="dxa"/>
                  <w:vMerge w:val="continue"/>
                  <w:vAlign w:val="center"/>
                </w:tcPr>
                <w:p w14:paraId="24B3DCFB">
                  <w:pPr>
                    <w:pStyle w:val="42"/>
                  </w:pPr>
                </w:p>
              </w:tc>
              <w:tc>
                <w:tcPr>
                  <w:tcW w:w="860" w:type="dxa"/>
                  <w:vMerge w:val="continue"/>
                  <w:vAlign w:val="center"/>
                </w:tcPr>
                <w:p w14:paraId="23313F5C">
                  <w:pPr>
                    <w:pStyle w:val="42"/>
                  </w:pPr>
                </w:p>
              </w:tc>
              <w:tc>
                <w:tcPr>
                  <w:tcW w:w="850" w:type="dxa"/>
                  <w:vAlign w:val="center"/>
                </w:tcPr>
                <w:p w14:paraId="33586C69">
                  <w:pPr>
                    <w:pStyle w:val="42"/>
                  </w:pPr>
                  <w:r>
                    <w:t>NH</w:t>
                  </w:r>
                  <w:r>
                    <w:rPr>
                      <w:vertAlign w:val="subscript"/>
                    </w:rPr>
                    <w:t>3</w:t>
                  </w:r>
                  <w:r>
                    <w:t>-N</w:t>
                  </w:r>
                </w:p>
              </w:tc>
              <w:tc>
                <w:tcPr>
                  <w:tcW w:w="1276" w:type="dxa"/>
                  <w:vAlign w:val="center"/>
                </w:tcPr>
                <w:p w14:paraId="6243D6A1">
                  <w:pPr>
                    <w:pStyle w:val="42"/>
                  </w:pPr>
                  <w:r>
                    <w:t>35</w:t>
                  </w:r>
                </w:p>
              </w:tc>
              <w:tc>
                <w:tcPr>
                  <w:tcW w:w="994" w:type="dxa"/>
                  <w:vAlign w:val="center"/>
                </w:tcPr>
                <w:p w14:paraId="5F8DBA33">
                  <w:pPr>
                    <w:jc w:val="center"/>
                  </w:pPr>
                  <w:r>
                    <w:t>0.0049</w:t>
                  </w:r>
                </w:p>
              </w:tc>
              <w:tc>
                <w:tcPr>
                  <w:tcW w:w="884" w:type="dxa"/>
                  <w:vMerge w:val="continue"/>
                  <w:vAlign w:val="center"/>
                </w:tcPr>
                <w:p w14:paraId="5B2D1CF4">
                  <w:pPr>
                    <w:pStyle w:val="42"/>
                  </w:pPr>
                </w:p>
              </w:tc>
              <w:tc>
                <w:tcPr>
                  <w:tcW w:w="1099" w:type="dxa"/>
                  <w:vAlign w:val="center"/>
                </w:tcPr>
                <w:p w14:paraId="6CBCA217">
                  <w:pPr>
                    <w:pStyle w:val="42"/>
                  </w:pPr>
                  <w:r>
                    <w:rPr>
                      <w:rFonts w:hint="eastAsia"/>
                    </w:rPr>
                    <w:t>25</w:t>
                  </w:r>
                </w:p>
              </w:tc>
              <w:tc>
                <w:tcPr>
                  <w:tcW w:w="851" w:type="dxa"/>
                  <w:vAlign w:val="center"/>
                </w:tcPr>
                <w:p w14:paraId="1BA34A50">
                  <w:pPr>
                    <w:pStyle w:val="42"/>
                  </w:pPr>
                  <w:r>
                    <w:t>0.0035</w:t>
                  </w:r>
                </w:p>
              </w:tc>
              <w:tc>
                <w:tcPr>
                  <w:tcW w:w="1061" w:type="dxa"/>
                  <w:vMerge w:val="continue"/>
                  <w:vAlign w:val="center"/>
                </w:tcPr>
                <w:p w14:paraId="62669F93">
                  <w:pPr>
                    <w:jc w:val="center"/>
                  </w:pPr>
                </w:p>
              </w:tc>
            </w:tr>
          </w:tbl>
          <w:p w14:paraId="4D5F7633">
            <w:pPr>
              <w:pStyle w:val="41"/>
              <w:ind w:firstLine="482"/>
              <w:rPr>
                <w:b/>
                <w:bCs/>
              </w:rPr>
            </w:pPr>
          </w:p>
          <w:p w14:paraId="62466B93">
            <w:pPr>
              <w:pStyle w:val="41"/>
              <w:ind w:firstLine="482"/>
              <w:rPr>
                <w:b/>
                <w:bCs/>
              </w:rPr>
            </w:pPr>
            <w:r>
              <w:rPr>
                <w:rFonts w:hint="eastAsia"/>
                <w:b/>
                <w:bCs/>
              </w:rPr>
              <w:t>4运营期声环境影响分析</w:t>
            </w:r>
          </w:p>
          <w:p w14:paraId="4299D991">
            <w:pPr>
              <w:pStyle w:val="41"/>
              <w:ind w:firstLine="480"/>
            </w:pPr>
            <w:r>
              <w:rPr>
                <w:rFonts w:hint="eastAsia"/>
              </w:rPr>
              <w:t>本项目主要噪声源来自生产工艺系统和公用工程及辅助设施设备，如氮气压缩机、冷却塔、泵等，噪声源在70～90dB（A）之间；氮气压缩机安装在隔音罩内。本项目主要噪声源见</w:t>
            </w:r>
            <w:r>
              <w:fldChar w:fldCharType="begin"/>
            </w:r>
            <w:r>
              <w:instrText xml:space="preserve"> </w:instrText>
            </w:r>
            <w:r>
              <w:rPr>
                <w:rFonts w:hint="eastAsia"/>
              </w:rPr>
              <w:instrText xml:space="preserve">REF _Ref172626442 \r \h</w:instrText>
            </w:r>
            <w:r>
              <w:instrText xml:space="preserve"> </w:instrText>
            </w:r>
            <w:r>
              <w:fldChar w:fldCharType="separate"/>
            </w:r>
            <w:r>
              <w:rPr>
                <w:rFonts w:hint="eastAsia"/>
              </w:rPr>
              <w:t>表4-5</w:t>
            </w:r>
            <w:r>
              <w:fldChar w:fldCharType="end"/>
            </w:r>
            <w:r>
              <w:rPr>
                <w:rFonts w:hint="eastAsia"/>
              </w:rPr>
              <w:t>及</w:t>
            </w:r>
            <w:r>
              <w:fldChar w:fldCharType="begin"/>
            </w:r>
            <w:r>
              <w:instrText xml:space="preserve"> </w:instrText>
            </w:r>
            <w:r>
              <w:rPr>
                <w:rFonts w:hint="eastAsia"/>
              </w:rPr>
              <w:instrText xml:space="preserve">REF _Ref172627717 \r \h</w:instrText>
            </w:r>
            <w:r>
              <w:instrText xml:space="preserve"> </w:instrText>
            </w:r>
            <w:r>
              <w:fldChar w:fldCharType="separate"/>
            </w:r>
            <w:r>
              <w:rPr>
                <w:rFonts w:hint="eastAsia"/>
              </w:rPr>
              <w:t>表4-6</w:t>
            </w:r>
            <w:r>
              <w:fldChar w:fldCharType="end"/>
            </w:r>
            <w:r>
              <w:rPr>
                <w:rFonts w:hint="eastAsia"/>
              </w:rPr>
              <w:t>。</w:t>
            </w:r>
          </w:p>
          <w:p w14:paraId="233C707C">
            <w:pPr>
              <w:pStyle w:val="41"/>
              <w:numPr>
                <w:ilvl w:val="0"/>
                <w:numId w:val="8"/>
              </w:numPr>
              <w:spacing w:line="240" w:lineRule="auto"/>
              <w:ind w:left="0" w:firstLine="0" w:firstLineChars="0"/>
              <w:jc w:val="center"/>
              <w:rPr>
                <w:b/>
                <w:bCs/>
                <w:sz w:val="21"/>
                <w:szCs w:val="21"/>
              </w:rPr>
            </w:pPr>
            <w:bookmarkStart w:id="41" w:name="_Ref172626442"/>
            <w:r>
              <w:rPr>
                <w:rFonts w:hint="eastAsia"/>
                <w:b/>
                <w:bCs/>
                <w:sz w:val="21"/>
                <w:szCs w:val="21"/>
              </w:rPr>
              <w:t>项目室外噪声源及源强一览表</w:t>
            </w:r>
            <w:bookmarkEnd w:id="41"/>
          </w:p>
          <w:tbl>
            <w:tblPr>
              <w:tblStyle w:val="18"/>
              <w:tblW w:w="8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622"/>
              <w:gridCol w:w="442"/>
              <w:gridCol w:w="885"/>
              <w:gridCol w:w="884"/>
              <w:gridCol w:w="738"/>
              <w:gridCol w:w="1917"/>
              <w:gridCol w:w="737"/>
              <w:gridCol w:w="799"/>
            </w:tblGrid>
            <w:tr w14:paraId="1B54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blHeader/>
              </w:trPr>
              <w:tc>
                <w:tcPr>
                  <w:tcW w:w="440" w:type="dxa"/>
                  <w:vMerge w:val="restart"/>
                  <w:vAlign w:val="center"/>
                </w:tcPr>
                <w:p w14:paraId="60B41299">
                  <w:pPr>
                    <w:pStyle w:val="42"/>
                    <w:rPr>
                      <w:b/>
                      <w:bCs/>
                    </w:rPr>
                  </w:pPr>
                  <w:r>
                    <w:rPr>
                      <w:rFonts w:hint="eastAsia"/>
                      <w:b/>
                      <w:bCs/>
                    </w:rPr>
                    <w:t>序号</w:t>
                  </w:r>
                </w:p>
              </w:tc>
              <w:tc>
                <w:tcPr>
                  <w:tcW w:w="1622" w:type="dxa"/>
                  <w:vMerge w:val="restart"/>
                  <w:vAlign w:val="center"/>
                </w:tcPr>
                <w:p w14:paraId="773A5158">
                  <w:pPr>
                    <w:pStyle w:val="42"/>
                    <w:rPr>
                      <w:b/>
                      <w:bCs/>
                    </w:rPr>
                  </w:pPr>
                  <w:r>
                    <w:rPr>
                      <w:rFonts w:hint="eastAsia"/>
                      <w:b/>
                      <w:bCs/>
                    </w:rPr>
                    <w:t>声源</w:t>
                  </w:r>
                </w:p>
              </w:tc>
              <w:tc>
                <w:tcPr>
                  <w:tcW w:w="442" w:type="dxa"/>
                  <w:vMerge w:val="restart"/>
                  <w:vAlign w:val="center"/>
                </w:tcPr>
                <w:p w14:paraId="134F8E0A">
                  <w:pPr>
                    <w:pStyle w:val="42"/>
                    <w:rPr>
                      <w:b/>
                      <w:bCs/>
                    </w:rPr>
                  </w:pPr>
                  <w:r>
                    <w:rPr>
                      <w:rFonts w:hint="eastAsia"/>
                      <w:b/>
                      <w:bCs/>
                    </w:rPr>
                    <w:t>型号</w:t>
                  </w:r>
                </w:p>
              </w:tc>
              <w:tc>
                <w:tcPr>
                  <w:tcW w:w="2507" w:type="dxa"/>
                  <w:gridSpan w:val="3"/>
                  <w:vAlign w:val="center"/>
                </w:tcPr>
                <w:p w14:paraId="6E08CCDA">
                  <w:pPr>
                    <w:pStyle w:val="42"/>
                    <w:rPr>
                      <w:b/>
                      <w:bCs/>
                    </w:rPr>
                  </w:pPr>
                  <w:r>
                    <w:rPr>
                      <w:rFonts w:hint="eastAsia"/>
                      <w:b/>
                      <w:bCs/>
                    </w:rPr>
                    <w:t>空间相对位置/</w:t>
                  </w:r>
                  <w:r>
                    <w:rPr>
                      <w:b/>
                      <w:bCs/>
                    </w:rPr>
                    <w:t>m</w:t>
                  </w:r>
                </w:p>
              </w:tc>
              <w:tc>
                <w:tcPr>
                  <w:tcW w:w="1917" w:type="dxa"/>
                  <w:vAlign w:val="center"/>
                </w:tcPr>
                <w:p w14:paraId="62A7C260">
                  <w:pPr>
                    <w:pStyle w:val="42"/>
                    <w:rPr>
                      <w:b/>
                      <w:bCs/>
                    </w:rPr>
                  </w:pPr>
                  <w:r>
                    <w:rPr>
                      <w:rFonts w:hint="eastAsia"/>
                      <w:b/>
                      <w:bCs/>
                    </w:rPr>
                    <w:t>声源源强</w:t>
                  </w:r>
                </w:p>
              </w:tc>
              <w:tc>
                <w:tcPr>
                  <w:tcW w:w="737" w:type="dxa"/>
                  <w:vMerge w:val="restart"/>
                  <w:vAlign w:val="center"/>
                </w:tcPr>
                <w:p w14:paraId="58D8CE64">
                  <w:pPr>
                    <w:pStyle w:val="42"/>
                    <w:rPr>
                      <w:b/>
                      <w:bCs/>
                    </w:rPr>
                  </w:pPr>
                  <w:r>
                    <w:rPr>
                      <w:rFonts w:hint="eastAsia"/>
                      <w:b/>
                      <w:bCs/>
                    </w:rPr>
                    <w:t>声源控制措施</w:t>
                  </w:r>
                </w:p>
              </w:tc>
              <w:tc>
                <w:tcPr>
                  <w:tcW w:w="799" w:type="dxa"/>
                  <w:vMerge w:val="restart"/>
                  <w:vAlign w:val="center"/>
                </w:tcPr>
                <w:p w14:paraId="1072B34A">
                  <w:pPr>
                    <w:pStyle w:val="42"/>
                    <w:rPr>
                      <w:b/>
                      <w:bCs/>
                    </w:rPr>
                  </w:pPr>
                  <w:r>
                    <w:rPr>
                      <w:rFonts w:hint="eastAsia"/>
                      <w:b/>
                      <w:bCs/>
                    </w:rPr>
                    <w:t>运行时段</w:t>
                  </w:r>
                </w:p>
              </w:tc>
            </w:tr>
            <w:tr w14:paraId="0631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blHeader/>
              </w:trPr>
              <w:tc>
                <w:tcPr>
                  <w:tcW w:w="440" w:type="dxa"/>
                  <w:vMerge w:val="continue"/>
                  <w:vAlign w:val="center"/>
                </w:tcPr>
                <w:p w14:paraId="202FC540">
                  <w:pPr>
                    <w:pStyle w:val="42"/>
                    <w:rPr>
                      <w:b/>
                      <w:bCs/>
                    </w:rPr>
                  </w:pPr>
                </w:p>
              </w:tc>
              <w:tc>
                <w:tcPr>
                  <w:tcW w:w="1622" w:type="dxa"/>
                  <w:vMerge w:val="continue"/>
                  <w:vAlign w:val="center"/>
                </w:tcPr>
                <w:p w14:paraId="63AEF3B3">
                  <w:pPr>
                    <w:pStyle w:val="42"/>
                    <w:rPr>
                      <w:b/>
                      <w:bCs/>
                    </w:rPr>
                  </w:pPr>
                </w:p>
              </w:tc>
              <w:tc>
                <w:tcPr>
                  <w:tcW w:w="442" w:type="dxa"/>
                  <w:vMerge w:val="continue"/>
                  <w:vAlign w:val="center"/>
                </w:tcPr>
                <w:p w14:paraId="49C816DC">
                  <w:pPr>
                    <w:pStyle w:val="42"/>
                    <w:rPr>
                      <w:b/>
                      <w:bCs/>
                    </w:rPr>
                  </w:pPr>
                </w:p>
              </w:tc>
              <w:tc>
                <w:tcPr>
                  <w:tcW w:w="885" w:type="dxa"/>
                  <w:vAlign w:val="center"/>
                </w:tcPr>
                <w:p w14:paraId="1C21C0ED">
                  <w:pPr>
                    <w:pStyle w:val="42"/>
                    <w:rPr>
                      <w:b/>
                      <w:bCs/>
                    </w:rPr>
                  </w:pPr>
                  <w:r>
                    <w:rPr>
                      <w:rFonts w:hint="eastAsia"/>
                      <w:b/>
                      <w:bCs/>
                    </w:rPr>
                    <w:t>X</w:t>
                  </w:r>
                </w:p>
              </w:tc>
              <w:tc>
                <w:tcPr>
                  <w:tcW w:w="884" w:type="dxa"/>
                  <w:vAlign w:val="center"/>
                </w:tcPr>
                <w:p w14:paraId="55F3171E">
                  <w:pPr>
                    <w:pStyle w:val="42"/>
                    <w:rPr>
                      <w:b/>
                      <w:bCs/>
                    </w:rPr>
                  </w:pPr>
                  <w:r>
                    <w:rPr>
                      <w:rFonts w:hint="eastAsia"/>
                      <w:b/>
                      <w:bCs/>
                    </w:rPr>
                    <w:t>Y</w:t>
                  </w:r>
                </w:p>
              </w:tc>
              <w:tc>
                <w:tcPr>
                  <w:tcW w:w="738" w:type="dxa"/>
                  <w:vAlign w:val="center"/>
                </w:tcPr>
                <w:p w14:paraId="69CABDA0">
                  <w:pPr>
                    <w:pStyle w:val="42"/>
                    <w:rPr>
                      <w:b/>
                      <w:bCs/>
                    </w:rPr>
                  </w:pPr>
                  <w:r>
                    <w:rPr>
                      <w:rFonts w:hint="eastAsia"/>
                      <w:b/>
                      <w:bCs/>
                    </w:rPr>
                    <w:t>Z</w:t>
                  </w:r>
                </w:p>
              </w:tc>
              <w:tc>
                <w:tcPr>
                  <w:tcW w:w="1917" w:type="dxa"/>
                  <w:vAlign w:val="center"/>
                </w:tcPr>
                <w:p w14:paraId="21D99A43">
                  <w:pPr>
                    <w:pStyle w:val="42"/>
                    <w:rPr>
                      <w:b/>
                      <w:bCs/>
                    </w:rPr>
                  </w:pPr>
                  <w:r>
                    <w:rPr>
                      <w:rFonts w:hint="eastAsia"/>
                      <w:b/>
                      <w:bCs/>
                    </w:rPr>
                    <w:t>声压级/声源距离/（d</w:t>
                  </w:r>
                  <w:r>
                    <w:rPr>
                      <w:b/>
                      <w:bCs/>
                    </w:rPr>
                    <w:t>B</w:t>
                  </w:r>
                  <w:r>
                    <w:rPr>
                      <w:rFonts w:hint="eastAsia"/>
                      <w:b/>
                      <w:bCs/>
                    </w:rPr>
                    <w:t>（A）/</w:t>
                  </w:r>
                  <w:r>
                    <w:rPr>
                      <w:b/>
                      <w:bCs/>
                    </w:rPr>
                    <w:t>m</w:t>
                  </w:r>
                  <w:r>
                    <w:rPr>
                      <w:rFonts w:hint="eastAsia"/>
                      <w:b/>
                      <w:bCs/>
                    </w:rPr>
                    <w:t>）</w:t>
                  </w:r>
                </w:p>
              </w:tc>
              <w:tc>
                <w:tcPr>
                  <w:tcW w:w="737" w:type="dxa"/>
                  <w:vMerge w:val="continue"/>
                  <w:vAlign w:val="center"/>
                </w:tcPr>
                <w:p w14:paraId="33FFCED6">
                  <w:pPr>
                    <w:pStyle w:val="42"/>
                    <w:rPr>
                      <w:b/>
                      <w:bCs/>
                    </w:rPr>
                  </w:pPr>
                </w:p>
              </w:tc>
              <w:tc>
                <w:tcPr>
                  <w:tcW w:w="799" w:type="dxa"/>
                  <w:vMerge w:val="continue"/>
                  <w:vAlign w:val="center"/>
                </w:tcPr>
                <w:p w14:paraId="77AEC10E">
                  <w:pPr>
                    <w:pStyle w:val="42"/>
                    <w:rPr>
                      <w:b/>
                      <w:bCs/>
                    </w:rPr>
                  </w:pPr>
                </w:p>
              </w:tc>
            </w:tr>
            <w:tr w14:paraId="4C96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0" w:type="dxa"/>
                  <w:vAlign w:val="center"/>
                </w:tcPr>
                <w:p w14:paraId="2633A6B4">
                  <w:pPr>
                    <w:pStyle w:val="42"/>
                  </w:pPr>
                  <w:r>
                    <w:rPr>
                      <w:rFonts w:hint="eastAsia"/>
                    </w:rPr>
                    <w:t>1</w:t>
                  </w:r>
                </w:p>
              </w:tc>
              <w:tc>
                <w:tcPr>
                  <w:tcW w:w="1622" w:type="dxa"/>
                  <w:vAlign w:val="center"/>
                </w:tcPr>
                <w:p w14:paraId="268F19F7">
                  <w:pPr>
                    <w:pStyle w:val="42"/>
                  </w:pPr>
                  <w:r>
                    <w:rPr>
                      <w:rFonts w:hint="eastAsia"/>
                    </w:rPr>
                    <w:t>液氮后备泵1</w:t>
                  </w:r>
                </w:p>
              </w:tc>
              <w:tc>
                <w:tcPr>
                  <w:tcW w:w="442" w:type="dxa"/>
                  <w:vAlign w:val="center"/>
                </w:tcPr>
                <w:p w14:paraId="5AE3D2A6">
                  <w:pPr>
                    <w:pStyle w:val="42"/>
                  </w:pPr>
                  <w:r>
                    <w:rPr>
                      <w:rFonts w:hint="eastAsia"/>
                    </w:rPr>
                    <w:t>/</w:t>
                  </w:r>
                </w:p>
              </w:tc>
              <w:tc>
                <w:tcPr>
                  <w:tcW w:w="885" w:type="dxa"/>
                  <w:vAlign w:val="center"/>
                </w:tcPr>
                <w:p w14:paraId="711513CD">
                  <w:pPr>
                    <w:pStyle w:val="42"/>
                  </w:pPr>
                  <w:r>
                    <w:rPr>
                      <w:rFonts w:hint="eastAsia"/>
                    </w:rPr>
                    <w:t>8</w:t>
                  </w:r>
                  <w:r>
                    <w:t>.</w:t>
                  </w:r>
                  <w:r>
                    <w:rPr>
                      <w:rFonts w:hint="eastAsia"/>
                    </w:rPr>
                    <w:t>75</w:t>
                  </w:r>
                </w:p>
              </w:tc>
              <w:tc>
                <w:tcPr>
                  <w:tcW w:w="884" w:type="dxa"/>
                  <w:vAlign w:val="center"/>
                </w:tcPr>
                <w:p w14:paraId="50A59615">
                  <w:pPr>
                    <w:pStyle w:val="42"/>
                  </w:pPr>
                  <w:r>
                    <w:t>-10</w:t>
                  </w:r>
                  <w:r>
                    <w:rPr>
                      <w:rFonts w:hint="eastAsia"/>
                    </w:rPr>
                    <w:t>3</w:t>
                  </w:r>
                  <w:r>
                    <w:t>.</w:t>
                  </w:r>
                  <w:r>
                    <w:rPr>
                      <w:rFonts w:hint="eastAsia"/>
                    </w:rPr>
                    <w:t>3</w:t>
                  </w:r>
                  <w:r>
                    <w:t>1</w:t>
                  </w:r>
                </w:p>
              </w:tc>
              <w:tc>
                <w:tcPr>
                  <w:tcW w:w="738" w:type="dxa"/>
                  <w:vAlign w:val="center"/>
                </w:tcPr>
                <w:p w14:paraId="7B7B9225">
                  <w:pPr>
                    <w:pStyle w:val="42"/>
                  </w:pPr>
                  <w:r>
                    <w:rPr>
                      <w:rFonts w:hint="eastAsia"/>
                    </w:rPr>
                    <w:t>1</w:t>
                  </w:r>
                </w:p>
              </w:tc>
              <w:tc>
                <w:tcPr>
                  <w:tcW w:w="1917" w:type="dxa"/>
                  <w:vAlign w:val="center"/>
                </w:tcPr>
                <w:p w14:paraId="4EA29292">
                  <w:pPr>
                    <w:pStyle w:val="42"/>
                  </w:pPr>
                  <w:r>
                    <w:rPr>
                      <w:rFonts w:hint="eastAsia"/>
                    </w:rPr>
                    <w:t>85</w:t>
                  </w:r>
                  <w:r>
                    <w:t>/1</w:t>
                  </w:r>
                </w:p>
              </w:tc>
              <w:tc>
                <w:tcPr>
                  <w:tcW w:w="737" w:type="dxa"/>
                  <w:vMerge w:val="restart"/>
                  <w:vAlign w:val="center"/>
                </w:tcPr>
                <w:p w14:paraId="4DDDD211">
                  <w:pPr>
                    <w:pStyle w:val="42"/>
                  </w:pPr>
                  <w:r>
                    <w:rPr>
                      <w:rFonts w:hint="eastAsia"/>
                    </w:rPr>
                    <w:t>选用低噪声设备、基础减振</w:t>
                  </w:r>
                </w:p>
              </w:tc>
              <w:tc>
                <w:tcPr>
                  <w:tcW w:w="799" w:type="dxa"/>
                  <w:vAlign w:val="center"/>
                </w:tcPr>
                <w:p w14:paraId="51D0A6A6">
                  <w:pPr>
                    <w:pStyle w:val="42"/>
                  </w:pPr>
                  <w:r>
                    <w:rPr>
                      <w:rFonts w:hint="eastAsia"/>
                    </w:rPr>
                    <w:t>全时段</w:t>
                  </w:r>
                </w:p>
              </w:tc>
            </w:tr>
            <w:tr w14:paraId="43D9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40" w:type="dxa"/>
                  <w:vAlign w:val="center"/>
                </w:tcPr>
                <w:p w14:paraId="333BFFAF">
                  <w:pPr>
                    <w:pStyle w:val="42"/>
                  </w:pPr>
                  <w:r>
                    <w:rPr>
                      <w:rFonts w:hint="eastAsia"/>
                    </w:rPr>
                    <w:t>2</w:t>
                  </w:r>
                </w:p>
              </w:tc>
              <w:tc>
                <w:tcPr>
                  <w:tcW w:w="1622" w:type="dxa"/>
                  <w:vAlign w:val="center"/>
                </w:tcPr>
                <w:p w14:paraId="1FCCA256">
                  <w:pPr>
                    <w:pStyle w:val="42"/>
                  </w:pPr>
                  <w:r>
                    <w:rPr>
                      <w:rFonts w:hint="eastAsia"/>
                    </w:rPr>
                    <w:t>液氮后备泵2</w:t>
                  </w:r>
                </w:p>
              </w:tc>
              <w:tc>
                <w:tcPr>
                  <w:tcW w:w="442" w:type="dxa"/>
                  <w:vAlign w:val="center"/>
                </w:tcPr>
                <w:p w14:paraId="087C74D8">
                  <w:pPr>
                    <w:pStyle w:val="42"/>
                  </w:pPr>
                  <w:r>
                    <w:rPr>
                      <w:rFonts w:hint="eastAsia"/>
                    </w:rPr>
                    <w:t>/</w:t>
                  </w:r>
                </w:p>
              </w:tc>
              <w:tc>
                <w:tcPr>
                  <w:tcW w:w="885" w:type="dxa"/>
                  <w:vAlign w:val="center"/>
                </w:tcPr>
                <w:p w14:paraId="299B2D68">
                  <w:pPr>
                    <w:pStyle w:val="42"/>
                  </w:pPr>
                  <w:r>
                    <w:rPr>
                      <w:rFonts w:hint="eastAsia"/>
                    </w:rPr>
                    <w:t>6</w:t>
                  </w:r>
                  <w:r>
                    <w:t>.</w:t>
                  </w:r>
                  <w:r>
                    <w:rPr>
                      <w:rFonts w:hint="eastAsia"/>
                    </w:rPr>
                    <w:t>49</w:t>
                  </w:r>
                </w:p>
              </w:tc>
              <w:tc>
                <w:tcPr>
                  <w:tcW w:w="884" w:type="dxa"/>
                  <w:vAlign w:val="center"/>
                </w:tcPr>
                <w:p w14:paraId="4129A554">
                  <w:pPr>
                    <w:pStyle w:val="42"/>
                  </w:pPr>
                  <w:r>
                    <w:t>-9</w:t>
                  </w:r>
                  <w:r>
                    <w:rPr>
                      <w:rFonts w:hint="eastAsia"/>
                    </w:rPr>
                    <w:t>9</w:t>
                  </w:r>
                  <w:r>
                    <w:t>.</w:t>
                  </w:r>
                  <w:r>
                    <w:rPr>
                      <w:rFonts w:hint="eastAsia"/>
                    </w:rPr>
                    <w:t>72</w:t>
                  </w:r>
                </w:p>
              </w:tc>
              <w:tc>
                <w:tcPr>
                  <w:tcW w:w="738" w:type="dxa"/>
                  <w:vAlign w:val="center"/>
                </w:tcPr>
                <w:p w14:paraId="75B86A58">
                  <w:pPr>
                    <w:pStyle w:val="42"/>
                  </w:pPr>
                  <w:r>
                    <w:rPr>
                      <w:rFonts w:hint="eastAsia"/>
                    </w:rPr>
                    <w:t>1</w:t>
                  </w:r>
                </w:p>
              </w:tc>
              <w:tc>
                <w:tcPr>
                  <w:tcW w:w="1917" w:type="dxa"/>
                  <w:vAlign w:val="center"/>
                </w:tcPr>
                <w:p w14:paraId="3ED4A236">
                  <w:pPr>
                    <w:pStyle w:val="42"/>
                  </w:pPr>
                  <w:r>
                    <w:rPr>
                      <w:rFonts w:hint="eastAsia"/>
                    </w:rPr>
                    <w:t>85</w:t>
                  </w:r>
                  <w:r>
                    <w:t>/1</w:t>
                  </w:r>
                </w:p>
              </w:tc>
              <w:tc>
                <w:tcPr>
                  <w:tcW w:w="737" w:type="dxa"/>
                  <w:vMerge w:val="continue"/>
                  <w:vAlign w:val="center"/>
                </w:tcPr>
                <w:p w14:paraId="7E5FCF59">
                  <w:pPr>
                    <w:pStyle w:val="42"/>
                  </w:pPr>
                </w:p>
              </w:tc>
              <w:tc>
                <w:tcPr>
                  <w:tcW w:w="799" w:type="dxa"/>
                  <w:vAlign w:val="center"/>
                </w:tcPr>
                <w:p w14:paraId="3CA29274">
                  <w:pPr>
                    <w:pStyle w:val="42"/>
                  </w:pPr>
                  <w:r>
                    <w:rPr>
                      <w:rFonts w:hint="eastAsia"/>
                    </w:rPr>
                    <w:t>全时段</w:t>
                  </w:r>
                </w:p>
              </w:tc>
            </w:tr>
            <w:tr w14:paraId="2CE4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40" w:type="dxa"/>
                  <w:vAlign w:val="center"/>
                </w:tcPr>
                <w:p w14:paraId="7DF4A72B">
                  <w:pPr>
                    <w:pStyle w:val="42"/>
                  </w:pPr>
                  <w:r>
                    <w:rPr>
                      <w:rFonts w:hint="eastAsia"/>
                    </w:rPr>
                    <w:t>3</w:t>
                  </w:r>
                </w:p>
              </w:tc>
              <w:tc>
                <w:tcPr>
                  <w:tcW w:w="1622" w:type="dxa"/>
                  <w:vAlign w:val="center"/>
                </w:tcPr>
                <w:p w14:paraId="2DBE0F30">
                  <w:pPr>
                    <w:pStyle w:val="42"/>
                  </w:pPr>
                  <w:r>
                    <w:rPr>
                      <w:rFonts w:hint="eastAsia"/>
                    </w:rPr>
                    <w:t>冷却水塔</w:t>
                  </w:r>
                </w:p>
              </w:tc>
              <w:tc>
                <w:tcPr>
                  <w:tcW w:w="442" w:type="dxa"/>
                  <w:vAlign w:val="center"/>
                </w:tcPr>
                <w:p w14:paraId="6F5973EF">
                  <w:pPr>
                    <w:pStyle w:val="42"/>
                  </w:pPr>
                  <w:r>
                    <w:rPr>
                      <w:rFonts w:hint="eastAsia"/>
                    </w:rPr>
                    <w:t>/</w:t>
                  </w:r>
                </w:p>
              </w:tc>
              <w:tc>
                <w:tcPr>
                  <w:tcW w:w="885" w:type="dxa"/>
                  <w:vAlign w:val="center"/>
                </w:tcPr>
                <w:p w14:paraId="55C18D50">
                  <w:pPr>
                    <w:pStyle w:val="42"/>
                  </w:pPr>
                  <w:r>
                    <w:t>27.9</w:t>
                  </w:r>
                </w:p>
              </w:tc>
              <w:tc>
                <w:tcPr>
                  <w:tcW w:w="884" w:type="dxa"/>
                  <w:vAlign w:val="center"/>
                </w:tcPr>
                <w:p w14:paraId="7D5708B4">
                  <w:pPr>
                    <w:pStyle w:val="42"/>
                  </w:pPr>
                  <w:r>
                    <w:t>58.32</w:t>
                  </w:r>
                </w:p>
              </w:tc>
              <w:tc>
                <w:tcPr>
                  <w:tcW w:w="738" w:type="dxa"/>
                  <w:vAlign w:val="center"/>
                </w:tcPr>
                <w:p w14:paraId="0EF5EF02">
                  <w:pPr>
                    <w:pStyle w:val="42"/>
                  </w:pPr>
                  <w:r>
                    <w:rPr>
                      <w:rFonts w:hint="eastAsia"/>
                    </w:rPr>
                    <w:t>1</w:t>
                  </w:r>
                </w:p>
              </w:tc>
              <w:tc>
                <w:tcPr>
                  <w:tcW w:w="1917" w:type="dxa"/>
                  <w:vAlign w:val="center"/>
                </w:tcPr>
                <w:p w14:paraId="0BDEDEE5">
                  <w:pPr>
                    <w:pStyle w:val="42"/>
                  </w:pPr>
                  <w:r>
                    <w:rPr>
                      <w:rFonts w:hint="eastAsia"/>
                    </w:rPr>
                    <w:t>80</w:t>
                  </w:r>
                  <w:r>
                    <w:t>/1</w:t>
                  </w:r>
                </w:p>
              </w:tc>
              <w:tc>
                <w:tcPr>
                  <w:tcW w:w="737" w:type="dxa"/>
                  <w:vMerge w:val="continue"/>
                  <w:vAlign w:val="center"/>
                </w:tcPr>
                <w:p w14:paraId="0019AF64">
                  <w:pPr>
                    <w:pStyle w:val="42"/>
                  </w:pPr>
                </w:p>
              </w:tc>
              <w:tc>
                <w:tcPr>
                  <w:tcW w:w="799" w:type="dxa"/>
                  <w:vAlign w:val="center"/>
                </w:tcPr>
                <w:p w14:paraId="746A4BA4">
                  <w:pPr>
                    <w:pStyle w:val="42"/>
                  </w:pPr>
                  <w:r>
                    <w:rPr>
                      <w:rFonts w:hint="eastAsia"/>
                    </w:rPr>
                    <w:t>全时段</w:t>
                  </w:r>
                </w:p>
              </w:tc>
            </w:tr>
            <w:tr w14:paraId="2CF6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40" w:type="dxa"/>
                  <w:vAlign w:val="center"/>
                </w:tcPr>
                <w:p w14:paraId="62BBF380">
                  <w:pPr>
                    <w:pStyle w:val="42"/>
                  </w:pPr>
                  <w:r>
                    <w:rPr>
                      <w:rFonts w:hint="eastAsia"/>
                    </w:rPr>
                    <w:t>4</w:t>
                  </w:r>
                </w:p>
              </w:tc>
              <w:tc>
                <w:tcPr>
                  <w:tcW w:w="1622" w:type="dxa"/>
                  <w:vAlign w:val="center"/>
                </w:tcPr>
                <w:p w14:paraId="5F7959C1">
                  <w:pPr>
                    <w:pStyle w:val="42"/>
                  </w:pPr>
                  <w:r>
                    <w:rPr>
                      <w:rFonts w:hint="eastAsia"/>
                    </w:rPr>
                    <w:t>冷却水泵</w:t>
                  </w:r>
                </w:p>
              </w:tc>
              <w:tc>
                <w:tcPr>
                  <w:tcW w:w="442" w:type="dxa"/>
                  <w:vAlign w:val="center"/>
                </w:tcPr>
                <w:p w14:paraId="4D751C4D">
                  <w:pPr>
                    <w:pStyle w:val="42"/>
                  </w:pPr>
                  <w:r>
                    <w:rPr>
                      <w:rFonts w:hint="eastAsia"/>
                    </w:rPr>
                    <w:t>/</w:t>
                  </w:r>
                </w:p>
              </w:tc>
              <w:tc>
                <w:tcPr>
                  <w:tcW w:w="885" w:type="dxa"/>
                  <w:vAlign w:val="center"/>
                </w:tcPr>
                <w:p w14:paraId="20CB91FD">
                  <w:pPr>
                    <w:pStyle w:val="42"/>
                  </w:pPr>
                  <w:r>
                    <w:t>19.61</w:t>
                  </w:r>
                </w:p>
              </w:tc>
              <w:tc>
                <w:tcPr>
                  <w:tcW w:w="884" w:type="dxa"/>
                  <w:vAlign w:val="center"/>
                </w:tcPr>
                <w:p w14:paraId="3CAC4C7C">
                  <w:pPr>
                    <w:pStyle w:val="42"/>
                  </w:pPr>
                  <w:r>
                    <w:t>50.03</w:t>
                  </w:r>
                </w:p>
              </w:tc>
              <w:tc>
                <w:tcPr>
                  <w:tcW w:w="738" w:type="dxa"/>
                  <w:vAlign w:val="center"/>
                </w:tcPr>
                <w:p w14:paraId="38FF0604">
                  <w:pPr>
                    <w:pStyle w:val="42"/>
                  </w:pPr>
                  <w:r>
                    <w:rPr>
                      <w:rFonts w:hint="eastAsia"/>
                    </w:rPr>
                    <w:t>1</w:t>
                  </w:r>
                </w:p>
              </w:tc>
              <w:tc>
                <w:tcPr>
                  <w:tcW w:w="1917" w:type="dxa"/>
                  <w:vAlign w:val="center"/>
                </w:tcPr>
                <w:p w14:paraId="2A96A08B">
                  <w:pPr>
                    <w:pStyle w:val="42"/>
                  </w:pPr>
                  <w:r>
                    <w:rPr>
                      <w:rFonts w:hint="eastAsia"/>
                    </w:rPr>
                    <w:t>85/1</w:t>
                  </w:r>
                </w:p>
              </w:tc>
              <w:tc>
                <w:tcPr>
                  <w:tcW w:w="737" w:type="dxa"/>
                  <w:vMerge w:val="continue"/>
                  <w:vAlign w:val="center"/>
                </w:tcPr>
                <w:p w14:paraId="6F99CD35">
                  <w:pPr>
                    <w:pStyle w:val="42"/>
                  </w:pPr>
                </w:p>
              </w:tc>
              <w:tc>
                <w:tcPr>
                  <w:tcW w:w="799" w:type="dxa"/>
                  <w:vAlign w:val="center"/>
                </w:tcPr>
                <w:p w14:paraId="7A626CDA">
                  <w:pPr>
                    <w:pStyle w:val="42"/>
                  </w:pPr>
                  <w:r>
                    <w:rPr>
                      <w:rFonts w:hint="eastAsia"/>
                    </w:rPr>
                    <w:t>全时段</w:t>
                  </w:r>
                </w:p>
              </w:tc>
            </w:tr>
            <w:tr w14:paraId="610E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40" w:type="dxa"/>
                  <w:vAlign w:val="center"/>
                </w:tcPr>
                <w:p w14:paraId="14CDA030">
                  <w:pPr>
                    <w:pStyle w:val="42"/>
                  </w:pPr>
                  <w:r>
                    <w:rPr>
                      <w:rFonts w:hint="eastAsia"/>
                    </w:rPr>
                    <w:t>5</w:t>
                  </w:r>
                </w:p>
              </w:tc>
              <w:tc>
                <w:tcPr>
                  <w:tcW w:w="1622" w:type="dxa"/>
                  <w:vAlign w:val="center"/>
                </w:tcPr>
                <w:p w14:paraId="2F870823">
                  <w:pPr>
                    <w:pStyle w:val="42"/>
                  </w:pPr>
                  <w:r>
                    <w:rPr>
                      <w:rFonts w:hint="eastAsia"/>
                    </w:rPr>
                    <w:t>蒸汽减温减压给水泵</w:t>
                  </w:r>
                </w:p>
              </w:tc>
              <w:tc>
                <w:tcPr>
                  <w:tcW w:w="442" w:type="dxa"/>
                  <w:vAlign w:val="center"/>
                </w:tcPr>
                <w:p w14:paraId="6A4FF11E">
                  <w:pPr>
                    <w:pStyle w:val="42"/>
                  </w:pPr>
                  <w:r>
                    <w:rPr>
                      <w:rFonts w:hint="eastAsia"/>
                    </w:rPr>
                    <w:t>/</w:t>
                  </w:r>
                </w:p>
              </w:tc>
              <w:tc>
                <w:tcPr>
                  <w:tcW w:w="885" w:type="dxa"/>
                  <w:vAlign w:val="center"/>
                </w:tcPr>
                <w:p w14:paraId="17E1F3E7">
                  <w:pPr>
                    <w:pStyle w:val="42"/>
                  </w:pPr>
                  <w:r>
                    <w:rPr>
                      <w:rFonts w:hint="eastAsia"/>
                    </w:rPr>
                    <w:t>0.3</w:t>
                  </w:r>
                </w:p>
              </w:tc>
              <w:tc>
                <w:tcPr>
                  <w:tcW w:w="884" w:type="dxa"/>
                  <w:vAlign w:val="center"/>
                </w:tcPr>
                <w:p w14:paraId="52569CE3">
                  <w:pPr>
                    <w:pStyle w:val="42"/>
                  </w:pPr>
                  <w:r>
                    <w:t>-</w:t>
                  </w:r>
                  <w:r>
                    <w:rPr>
                      <w:rFonts w:hint="eastAsia"/>
                    </w:rPr>
                    <w:t>101</w:t>
                  </w:r>
                  <w:r>
                    <w:t>.</w:t>
                  </w:r>
                  <w:r>
                    <w:rPr>
                      <w:rFonts w:hint="eastAsia"/>
                    </w:rPr>
                    <w:t>3</w:t>
                  </w:r>
                </w:p>
              </w:tc>
              <w:tc>
                <w:tcPr>
                  <w:tcW w:w="738" w:type="dxa"/>
                  <w:vAlign w:val="center"/>
                </w:tcPr>
                <w:p w14:paraId="5FCDA49A">
                  <w:pPr>
                    <w:pStyle w:val="42"/>
                  </w:pPr>
                  <w:r>
                    <w:rPr>
                      <w:rFonts w:hint="eastAsia"/>
                    </w:rPr>
                    <w:t>1</w:t>
                  </w:r>
                </w:p>
              </w:tc>
              <w:tc>
                <w:tcPr>
                  <w:tcW w:w="1917" w:type="dxa"/>
                  <w:vAlign w:val="center"/>
                </w:tcPr>
                <w:p w14:paraId="6F30969D">
                  <w:pPr>
                    <w:pStyle w:val="42"/>
                  </w:pPr>
                  <w:r>
                    <w:rPr>
                      <w:rFonts w:hint="eastAsia"/>
                    </w:rPr>
                    <w:t>85/1</w:t>
                  </w:r>
                </w:p>
              </w:tc>
              <w:tc>
                <w:tcPr>
                  <w:tcW w:w="737" w:type="dxa"/>
                  <w:vMerge w:val="continue"/>
                  <w:vAlign w:val="center"/>
                </w:tcPr>
                <w:p w14:paraId="360EE9BD">
                  <w:pPr>
                    <w:pStyle w:val="42"/>
                  </w:pPr>
                </w:p>
              </w:tc>
              <w:tc>
                <w:tcPr>
                  <w:tcW w:w="799" w:type="dxa"/>
                  <w:vAlign w:val="center"/>
                </w:tcPr>
                <w:p w14:paraId="7529D64B">
                  <w:pPr>
                    <w:pStyle w:val="42"/>
                  </w:pPr>
                  <w:r>
                    <w:rPr>
                      <w:rFonts w:hint="eastAsia"/>
                    </w:rPr>
                    <w:t>全时段</w:t>
                  </w:r>
                </w:p>
              </w:tc>
            </w:tr>
          </w:tbl>
          <w:p w14:paraId="13700387">
            <w:pPr>
              <w:pStyle w:val="41"/>
              <w:numPr>
                <w:ilvl w:val="0"/>
                <w:numId w:val="8"/>
              </w:numPr>
              <w:spacing w:line="240" w:lineRule="auto"/>
              <w:ind w:left="0" w:firstLine="0" w:firstLineChars="0"/>
              <w:jc w:val="center"/>
              <w:rPr>
                <w:b/>
                <w:bCs/>
                <w:sz w:val="21"/>
                <w:szCs w:val="21"/>
              </w:rPr>
            </w:pPr>
            <w:bookmarkStart w:id="42" w:name="_Ref172627717"/>
            <w:r>
              <w:rPr>
                <w:rFonts w:hint="eastAsia"/>
                <w:b/>
                <w:bCs/>
                <w:sz w:val="21"/>
                <w:szCs w:val="21"/>
              </w:rPr>
              <w:t>项目室内噪声源及源强一览表</w:t>
            </w:r>
            <w:bookmarkEnd w:id="42"/>
          </w:p>
          <w:tbl>
            <w:tblPr>
              <w:tblStyle w:val="18"/>
              <w:tblW w:w="8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38"/>
              <w:gridCol w:w="451"/>
              <w:gridCol w:w="427"/>
              <w:gridCol w:w="807"/>
              <w:gridCol w:w="640"/>
              <w:gridCol w:w="759"/>
              <w:gridCol w:w="689"/>
              <w:gridCol w:w="362"/>
              <w:gridCol w:w="475"/>
              <w:gridCol w:w="794"/>
              <w:gridCol w:w="439"/>
              <w:gridCol w:w="556"/>
              <w:gridCol w:w="790"/>
              <w:gridCol w:w="439"/>
            </w:tblGrid>
            <w:tr w14:paraId="415A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27" w:type="dxa"/>
                  <w:vMerge w:val="restart"/>
                  <w:vAlign w:val="center"/>
                </w:tcPr>
                <w:p w14:paraId="4B441FD1">
                  <w:pPr>
                    <w:pStyle w:val="42"/>
                    <w:rPr>
                      <w:b/>
                      <w:bCs/>
                    </w:rPr>
                  </w:pPr>
                  <w:r>
                    <w:rPr>
                      <w:rFonts w:hint="eastAsia"/>
                      <w:b/>
                      <w:bCs/>
                    </w:rPr>
                    <w:t>序号</w:t>
                  </w:r>
                </w:p>
              </w:tc>
              <w:tc>
                <w:tcPr>
                  <w:tcW w:w="533" w:type="dxa"/>
                  <w:vMerge w:val="restart"/>
                  <w:vAlign w:val="center"/>
                </w:tcPr>
                <w:p w14:paraId="0F858399">
                  <w:pPr>
                    <w:pStyle w:val="42"/>
                    <w:rPr>
                      <w:b/>
                      <w:bCs/>
                    </w:rPr>
                  </w:pPr>
                  <w:r>
                    <w:rPr>
                      <w:rFonts w:hint="eastAsia"/>
                      <w:b/>
                      <w:bCs/>
                    </w:rPr>
                    <w:t>建筑物名称</w:t>
                  </w:r>
                </w:p>
              </w:tc>
              <w:tc>
                <w:tcPr>
                  <w:tcW w:w="630" w:type="dxa"/>
                  <w:vMerge w:val="restart"/>
                  <w:vAlign w:val="center"/>
                </w:tcPr>
                <w:p w14:paraId="101642ED">
                  <w:pPr>
                    <w:pStyle w:val="42"/>
                    <w:rPr>
                      <w:b/>
                      <w:bCs/>
                    </w:rPr>
                  </w:pPr>
                  <w:r>
                    <w:rPr>
                      <w:rFonts w:hint="eastAsia"/>
                      <w:b/>
                      <w:bCs/>
                    </w:rPr>
                    <w:t>声源名称</w:t>
                  </w:r>
                </w:p>
              </w:tc>
              <w:tc>
                <w:tcPr>
                  <w:tcW w:w="304" w:type="dxa"/>
                  <w:vMerge w:val="restart"/>
                  <w:vAlign w:val="center"/>
                </w:tcPr>
                <w:p w14:paraId="4112365E">
                  <w:pPr>
                    <w:pStyle w:val="42"/>
                    <w:rPr>
                      <w:b/>
                      <w:bCs/>
                    </w:rPr>
                  </w:pPr>
                  <w:r>
                    <w:rPr>
                      <w:rFonts w:hint="eastAsia"/>
                      <w:b/>
                      <w:bCs/>
                    </w:rPr>
                    <w:t>型号</w:t>
                  </w:r>
                </w:p>
              </w:tc>
              <w:tc>
                <w:tcPr>
                  <w:tcW w:w="934" w:type="dxa"/>
                  <w:vAlign w:val="center"/>
                </w:tcPr>
                <w:p w14:paraId="72BC9DCB">
                  <w:pPr>
                    <w:pStyle w:val="42"/>
                    <w:rPr>
                      <w:b/>
                      <w:bCs/>
                    </w:rPr>
                  </w:pPr>
                  <w:r>
                    <w:rPr>
                      <w:rFonts w:hint="eastAsia"/>
                      <w:b/>
                      <w:bCs/>
                    </w:rPr>
                    <w:t>声源源强</w:t>
                  </w:r>
                </w:p>
              </w:tc>
              <w:tc>
                <w:tcPr>
                  <w:tcW w:w="667" w:type="dxa"/>
                  <w:vMerge w:val="restart"/>
                  <w:vAlign w:val="center"/>
                </w:tcPr>
                <w:p w14:paraId="48FE794B">
                  <w:pPr>
                    <w:pStyle w:val="42"/>
                    <w:rPr>
                      <w:b/>
                      <w:bCs/>
                    </w:rPr>
                  </w:pPr>
                  <w:r>
                    <w:rPr>
                      <w:rFonts w:hint="eastAsia"/>
                      <w:b/>
                      <w:bCs/>
                    </w:rPr>
                    <w:t>声源控制措施</w:t>
                  </w:r>
                </w:p>
              </w:tc>
              <w:tc>
                <w:tcPr>
                  <w:tcW w:w="1468" w:type="dxa"/>
                  <w:gridSpan w:val="3"/>
                  <w:vAlign w:val="center"/>
                </w:tcPr>
                <w:p w14:paraId="65801885">
                  <w:pPr>
                    <w:pStyle w:val="42"/>
                    <w:rPr>
                      <w:b/>
                      <w:bCs/>
                    </w:rPr>
                  </w:pPr>
                  <w:r>
                    <w:rPr>
                      <w:rFonts w:hint="eastAsia"/>
                      <w:b/>
                      <w:bCs/>
                    </w:rPr>
                    <w:t>空间相对位置/m</w:t>
                  </w:r>
                </w:p>
              </w:tc>
              <w:tc>
                <w:tcPr>
                  <w:tcW w:w="667" w:type="dxa"/>
                  <w:vMerge w:val="restart"/>
                  <w:vAlign w:val="center"/>
                </w:tcPr>
                <w:p w14:paraId="7E39A431">
                  <w:pPr>
                    <w:pStyle w:val="42"/>
                    <w:rPr>
                      <w:b/>
                      <w:bCs/>
                    </w:rPr>
                  </w:pPr>
                  <w:r>
                    <w:rPr>
                      <w:rFonts w:hint="eastAsia"/>
                      <w:b/>
                      <w:bCs/>
                    </w:rPr>
                    <w:t>距室内边界距离/m</w:t>
                  </w:r>
                </w:p>
              </w:tc>
              <w:tc>
                <w:tcPr>
                  <w:tcW w:w="533" w:type="dxa"/>
                  <w:vMerge w:val="restart"/>
                  <w:vAlign w:val="center"/>
                </w:tcPr>
                <w:p w14:paraId="045CF200">
                  <w:pPr>
                    <w:pStyle w:val="42"/>
                    <w:rPr>
                      <w:b/>
                      <w:bCs/>
                    </w:rPr>
                  </w:pPr>
                  <w:r>
                    <w:rPr>
                      <w:rFonts w:hint="eastAsia"/>
                      <w:b/>
                      <w:bCs/>
                    </w:rPr>
                    <w:t>室内边界声级/dB（A）</w:t>
                  </w:r>
                </w:p>
              </w:tc>
              <w:tc>
                <w:tcPr>
                  <w:tcW w:w="533" w:type="dxa"/>
                  <w:vMerge w:val="restart"/>
                  <w:vAlign w:val="center"/>
                </w:tcPr>
                <w:p w14:paraId="7CBCA9C3">
                  <w:pPr>
                    <w:pStyle w:val="42"/>
                    <w:rPr>
                      <w:b/>
                      <w:bCs/>
                    </w:rPr>
                  </w:pPr>
                  <w:r>
                    <w:rPr>
                      <w:rFonts w:hint="eastAsia"/>
                      <w:b/>
                      <w:bCs/>
                    </w:rPr>
                    <w:t>运行时段</w:t>
                  </w:r>
                </w:p>
              </w:tc>
              <w:tc>
                <w:tcPr>
                  <w:tcW w:w="735" w:type="dxa"/>
                  <w:vMerge w:val="restart"/>
                  <w:vAlign w:val="center"/>
                </w:tcPr>
                <w:p w14:paraId="6CC98DC8">
                  <w:pPr>
                    <w:pStyle w:val="42"/>
                    <w:rPr>
                      <w:b/>
                      <w:bCs/>
                    </w:rPr>
                  </w:pPr>
                  <w:r>
                    <w:rPr>
                      <w:rFonts w:hint="eastAsia"/>
                      <w:b/>
                      <w:bCs/>
                    </w:rPr>
                    <w:t>建筑物插入损失/dB</w:t>
                  </w:r>
                </w:p>
              </w:tc>
              <w:tc>
                <w:tcPr>
                  <w:tcW w:w="1062" w:type="dxa"/>
                  <w:gridSpan w:val="2"/>
                  <w:vAlign w:val="center"/>
                </w:tcPr>
                <w:p w14:paraId="0B5119E3">
                  <w:pPr>
                    <w:pStyle w:val="42"/>
                    <w:rPr>
                      <w:b/>
                      <w:bCs/>
                    </w:rPr>
                  </w:pPr>
                  <w:r>
                    <w:rPr>
                      <w:rFonts w:hint="eastAsia"/>
                      <w:b/>
                      <w:bCs/>
                    </w:rPr>
                    <w:t>建筑物外噪声</w:t>
                  </w:r>
                </w:p>
              </w:tc>
            </w:tr>
            <w:tr w14:paraId="1CCF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27" w:type="dxa"/>
                  <w:vMerge w:val="continue"/>
                  <w:vAlign w:val="center"/>
                </w:tcPr>
                <w:p w14:paraId="5186A177">
                  <w:pPr>
                    <w:pStyle w:val="42"/>
                    <w:rPr>
                      <w:b/>
                      <w:bCs/>
                    </w:rPr>
                  </w:pPr>
                </w:p>
              </w:tc>
              <w:tc>
                <w:tcPr>
                  <w:tcW w:w="533" w:type="dxa"/>
                  <w:vMerge w:val="continue"/>
                  <w:vAlign w:val="center"/>
                </w:tcPr>
                <w:p w14:paraId="34ED3DE7">
                  <w:pPr>
                    <w:pStyle w:val="42"/>
                    <w:rPr>
                      <w:b/>
                      <w:bCs/>
                    </w:rPr>
                  </w:pPr>
                </w:p>
              </w:tc>
              <w:tc>
                <w:tcPr>
                  <w:tcW w:w="630" w:type="dxa"/>
                  <w:vMerge w:val="continue"/>
                  <w:vAlign w:val="center"/>
                </w:tcPr>
                <w:p w14:paraId="0C6CA16F">
                  <w:pPr>
                    <w:pStyle w:val="42"/>
                    <w:rPr>
                      <w:b/>
                      <w:bCs/>
                    </w:rPr>
                  </w:pPr>
                </w:p>
              </w:tc>
              <w:tc>
                <w:tcPr>
                  <w:tcW w:w="304" w:type="dxa"/>
                  <w:vMerge w:val="continue"/>
                  <w:vAlign w:val="center"/>
                </w:tcPr>
                <w:p w14:paraId="3E79E2FC">
                  <w:pPr>
                    <w:pStyle w:val="42"/>
                    <w:rPr>
                      <w:b/>
                      <w:bCs/>
                    </w:rPr>
                  </w:pPr>
                </w:p>
              </w:tc>
              <w:tc>
                <w:tcPr>
                  <w:tcW w:w="934" w:type="dxa"/>
                  <w:vAlign w:val="center"/>
                </w:tcPr>
                <w:p w14:paraId="6505B835">
                  <w:pPr>
                    <w:pStyle w:val="42"/>
                    <w:rPr>
                      <w:b/>
                      <w:bCs/>
                    </w:rPr>
                  </w:pPr>
                  <w:r>
                    <w:rPr>
                      <w:rFonts w:hint="eastAsia"/>
                      <w:b/>
                      <w:bCs/>
                    </w:rPr>
                    <w:t>声压级/声源距离（dB（A）/m）</w:t>
                  </w:r>
                </w:p>
              </w:tc>
              <w:tc>
                <w:tcPr>
                  <w:tcW w:w="667" w:type="dxa"/>
                  <w:vMerge w:val="continue"/>
                  <w:vAlign w:val="center"/>
                </w:tcPr>
                <w:p w14:paraId="2778C137">
                  <w:pPr>
                    <w:pStyle w:val="42"/>
                    <w:rPr>
                      <w:b/>
                      <w:bCs/>
                    </w:rPr>
                  </w:pPr>
                </w:p>
              </w:tc>
              <w:tc>
                <w:tcPr>
                  <w:tcW w:w="533" w:type="dxa"/>
                  <w:vAlign w:val="center"/>
                </w:tcPr>
                <w:p w14:paraId="5E992D66">
                  <w:pPr>
                    <w:pStyle w:val="42"/>
                    <w:rPr>
                      <w:b/>
                      <w:bCs/>
                    </w:rPr>
                  </w:pPr>
                  <w:r>
                    <w:rPr>
                      <w:rFonts w:hint="eastAsia"/>
                      <w:b/>
                      <w:bCs/>
                    </w:rPr>
                    <w:t>X</w:t>
                  </w:r>
                </w:p>
              </w:tc>
              <w:tc>
                <w:tcPr>
                  <w:tcW w:w="537" w:type="dxa"/>
                  <w:vAlign w:val="center"/>
                </w:tcPr>
                <w:p w14:paraId="356F9AC4">
                  <w:pPr>
                    <w:pStyle w:val="42"/>
                    <w:rPr>
                      <w:b/>
                      <w:bCs/>
                    </w:rPr>
                  </w:pPr>
                  <w:r>
                    <w:rPr>
                      <w:rFonts w:hint="eastAsia"/>
                      <w:b/>
                      <w:bCs/>
                    </w:rPr>
                    <w:t>Y</w:t>
                  </w:r>
                </w:p>
              </w:tc>
              <w:tc>
                <w:tcPr>
                  <w:tcW w:w="398" w:type="dxa"/>
                  <w:vAlign w:val="center"/>
                </w:tcPr>
                <w:p w14:paraId="15911C95">
                  <w:pPr>
                    <w:pStyle w:val="42"/>
                    <w:rPr>
                      <w:b/>
                      <w:bCs/>
                    </w:rPr>
                  </w:pPr>
                  <w:r>
                    <w:rPr>
                      <w:rFonts w:hint="eastAsia"/>
                      <w:b/>
                      <w:bCs/>
                    </w:rPr>
                    <w:t>Z</w:t>
                  </w:r>
                </w:p>
              </w:tc>
              <w:tc>
                <w:tcPr>
                  <w:tcW w:w="667" w:type="dxa"/>
                  <w:vMerge w:val="continue"/>
                  <w:vAlign w:val="center"/>
                </w:tcPr>
                <w:p w14:paraId="7B024FA0">
                  <w:pPr>
                    <w:pStyle w:val="42"/>
                    <w:rPr>
                      <w:b/>
                      <w:bCs/>
                    </w:rPr>
                  </w:pPr>
                </w:p>
              </w:tc>
              <w:tc>
                <w:tcPr>
                  <w:tcW w:w="533" w:type="dxa"/>
                  <w:vMerge w:val="continue"/>
                </w:tcPr>
                <w:p w14:paraId="22B5A29D">
                  <w:pPr>
                    <w:pStyle w:val="42"/>
                    <w:rPr>
                      <w:b/>
                      <w:bCs/>
                    </w:rPr>
                  </w:pPr>
                </w:p>
              </w:tc>
              <w:tc>
                <w:tcPr>
                  <w:tcW w:w="533" w:type="dxa"/>
                  <w:vMerge w:val="continue"/>
                  <w:vAlign w:val="center"/>
                </w:tcPr>
                <w:p w14:paraId="2D2C33AF">
                  <w:pPr>
                    <w:pStyle w:val="42"/>
                    <w:rPr>
                      <w:b/>
                      <w:bCs/>
                    </w:rPr>
                  </w:pPr>
                </w:p>
              </w:tc>
              <w:tc>
                <w:tcPr>
                  <w:tcW w:w="735" w:type="dxa"/>
                  <w:vMerge w:val="continue"/>
                  <w:vAlign w:val="center"/>
                </w:tcPr>
                <w:p w14:paraId="13C78177">
                  <w:pPr>
                    <w:pStyle w:val="42"/>
                    <w:rPr>
                      <w:b/>
                      <w:bCs/>
                    </w:rPr>
                  </w:pPr>
                </w:p>
              </w:tc>
              <w:tc>
                <w:tcPr>
                  <w:tcW w:w="531" w:type="dxa"/>
                  <w:vAlign w:val="center"/>
                </w:tcPr>
                <w:p w14:paraId="67BE713E">
                  <w:pPr>
                    <w:pStyle w:val="42"/>
                    <w:rPr>
                      <w:b/>
                      <w:bCs/>
                    </w:rPr>
                  </w:pPr>
                  <w:r>
                    <w:rPr>
                      <w:rFonts w:hint="eastAsia"/>
                      <w:b/>
                      <w:bCs/>
                    </w:rPr>
                    <w:t>声压级/dB（A）</w:t>
                  </w:r>
                </w:p>
              </w:tc>
              <w:tc>
                <w:tcPr>
                  <w:tcW w:w="531" w:type="dxa"/>
                  <w:vAlign w:val="center"/>
                </w:tcPr>
                <w:p w14:paraId="100B4E83">
                  <w:pPr>
                    <w:pStyle w:val="42"/>
                    <w:rPr>
                      <w:b/>
                      <w:bCs/>
                    </w:rPr>
                  </w:pPr>
                  <w:r>
                    <w:rPr>
                      <w:rFonts w:hint="eastAsia"/>
                      <w:b/>
                      <w:bCs/>
                    </w:rPr>
                    <w:t>建筑物外距离</w:t>
                  </w:r>
                </w:p>
              </w:tc>
            </w:tr>
            <w:tr w14:paraId="1985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27" w:type="dxa"/>
                  <w:vAlign w:val="center"/>
                </w:tcPr>
                <w:p w14:paraId="6871DF5C">
                  <w:pPr>
                    <w:pStyle w:val="42"/>
                  </w:pPr>
                  <w:r>
                    <w:rPr>
                      <w:rFonts w:hint="eastAsia"/>
                    </w:rPr>
                    <w:t>1</w:t>
                  </w:r>
                </w:p>
              </w:tc>
              <w:tc>
                <w:tcPr>
                  <w:tcW w:w="533" w:type="dxa"/>
                  <w:vMerge w:val="restart"/>
                  <w:vAlign w:val="center"/>
                </w:tcPr>
                <w:p w14:paraId="7392B94A">
                  <w:pPr>
                    <w:pStyle w:val="42"/>
                  </w:pPr>
                  <w:r>
                    <w:rPr>
                      <w:rFonts w:hint="eastAsia"/>
                    </w:rPr>
                    <w:t>压缩机厂房1</w:t>
                  </w:r>
                </w:p>
              </w:tc>
              <w:tc>
                <w:tcPr>
                  <w:tcW w:w="630" w:type="dxa"/>
                  <w:vAlign w:val="center"/>
                </w:tcPr>
                <w:p w14:paraId="5EDB4929">
                  <w:pPr>
                    <w:pStyle w:val="42"/>
                  </w:pPr>
                  <w:r>
                    <w:rPr>
                      <w:rFonts w:hint="eastAsia"/>
                    </w:rPr>
                    <w:t>氮气压缩机1</w:t>
                  </w:r>
                </w:p>
              </w:tc>
              <w:tc>
                <w:tcPr>
                  <w:tcW w:w="304" w:type="dxa"/>
                  <w:vAlign w:val="center"/>
                </w:tcPr>
                <w:p w14:paraId="1D929EB6">
                  <w:pPr>
                    <w:pStyle w:val="42"/>
                  </w:pPr>
                  <w:r>
                    <w:rPr>
                      <w:rFonts w:hint="eastAsia"/>
                    </w:rPr>
                    <w:t>/</w:t>
                  </w:r>
                </w:p>
              </w:tc>
              <w:tc>
                <w:tcPr>
                  <w:tcW w:w="934" w:type="dxa"/>
                  <w:vAlign w:val="center"/>
                </w:tcPr>
                <w:p w14:paraId="1CDF666A">
                  <w:pPr>
                    <w:pStyle w:val="42"/>
                  </w:pPr>
                  <w:r>
                    <w:rPr>
                      <w:rFonts w:hint="eastAsia"/>
                    </w:rPr>
                    <w:t>115/1</w:t>
                  </w:r>
                </w:p>
              </w:tc>
              <w:tc>
                <w:tcPr>
                  <w:tcW w:w="667" w:type="dxa"/>
                  <w:vMerge w:val="restart"/>
                  <w:vAlign w:val="center"/>
                </w:tcPr>
                <w:p w14:paraId="4168B01F">
                  <w:pPr>
                    <w:pStyle w:val="42"/>
                  </w:pPr>
                  <w:r>
                    <w:rPr>
                      <w:rFonts w:hint="eastAsia"/>
                    </w:rPr>
                    <w:t>消音、减振、建筑隔声</w:t>
                  </w:r>
                </w:p>
              </w:tc>
              <w:tc>
                <w:tcPr>
                  <w:tcW w:w="533" w:type="dxa"/>
                  <w:vAlign w:val="center"/>
                </w:tcPr>
                <w:p w14:paraId="68397744">
                  <w:pPr>
                    <w:pStyle w:val="42"/>
                  </w:pPr>
                  <w:r>
                    <w:t>-18.8</w:t>
                  </w:r>
                </w:p>
              </w:tc>
              <w:tc>
                <w:tcPr>
                  <w:tcW w:w="537" w:type="dxa"/>
                  <w:vAlign w:val="center"/>
                </w:tcPr>
                <w:p w14:paraId="7FA15C04">
                  <w:pPr>
                    <w:pStyle w:val="42"/>
                  </w:pPr>
                  <w:r>
                    <w:t>41.39</w:t>
                  </w:r>
                </w:p>
              </w:tc>
              <w:tc>
                <w:tcPr>
                  <w:tcW w:w="398" w:type="dxa"/>
                  <w:vAlign w:val="center"/>
                </w:tcPr>
                <w:p w14:paraId="6C54105E">
                  <w:pPr>
                    <w:pStyle w:val="42"/>
                  </w:pPr>
                  <w:r>
                    <w:rPr>
                      <w:rFonts w:hint="eastAsia"/>
                    </w:rPr>
                    <w:t>1</w:t>
                  </w:r>
                </w:p>
              </w:tc>
              <w:tc>
                <w:tcPr>
                  <w:tcW w:w="667" w:type="dxa"/>
                  <w:vAlign w:val="center"/>
                </w:tcPr>
                <w:p w14:paraId="7004DD5B">
                  <w:pPr>
                    <w:pStyle w:val="42"/>
                  </w:pPr>
                  <w:r>
                    <w:rPr>
                      <w:rFonts w:hint="eastAsia"/>
                    </w:rPr>
                    <w:t>5</w:t>
                  </w:r>
                </w:p>
              </w:tc>
              <w:tc>
                <w:tcPr>
                  <w:tcW w:w="533" w:type="dxa"/>
                  <w:vAlign w:val="center"/>
                </w:tcPr>
                <w:p w14:paraId="05ACEBF7">
                  <w:pPr>
                    <w:pStyle w:val="42"/>
                  </w:pPr>
                  <w:r>
                    <w:rPr>
                      <w:rFonts w:hint="eastAsia"/>
                    </w:rPr>
                    <w:t>101.02</w:t>
                  </w:r>
                </w:p>
              </w:tc>
              <w:tc>
                <w:tcPr>
                  <w:tcW w:w="533" w:type="dxa"/>
                  <w:vAlign w:val="center"/>
                </w:tcPr>
                <w:p w14:paraId="55E5189A">
                  <w:pPr>
                    <w:pStyle w:val="42"/>
                  </w:pPr>
                  <w:r>
                    <w:rPr>
                      <w:rFonts w:hint="eastAsia"/>
                    </w:rPr>
                    <w:t>全时段</w:t>
                  </w:r>
                </w:p>
              </w:tc>
              <w:tc>
                <w:tcPr>
                  <w:tcW w:w="735" w:type="dxa"/>
                  <w:vAlign w:val="center"/>
                </w:tcPr>
                <w:p w14:paraId="50EDBCC9">
                  <w:pPr>
                    <w:pStyle w:val="42"/>
                  </w:pPr>
                  <w:r>
                    <w:rPr>
                      <w:rFonts w:hint="eastAsia"/>
                    </w:rPr>
                    <w:t>10</w:t>
                  </w:r>
                </w:p>
              </w:tc>
              <w:tc>
                <w:tcPr>
                  <w:tcW w:w="531" w:type="dxa"/>
                  <w:vAlign w:val="center"/>
                </w:tcPr>
                <w:p w14:paraId="4B7059FD">
                  <w:pPr>
                    <w:pStyle w:val="42"/>
                  </w:pPr>
                  <w:r>
                    <w:rPr>
                      <w:rFonts w:hint="eastAsia"/>
                    </w:rPr>
                    <w:t>90.02</w:t>
                  </w:r>
                </w:p>
              </w:tc>
              <w:tc>
                <w:tcPr>
                  <w:tcW w:w="531" w:type="dxa"/>
                  <w:vAlign w:val="center"/>
                </w:tcPr>
                <w:p w14:paraId="30391920">
                  <w:pPr>
                    <w:pStyle w:val="42"/>
                  </w:pPr>
                  <w:r>
                    <w:rPr>
                      <w:rFonts w:hint="eastAsia"/>
                    </w:rPr>
                    <w:t>1</w:t>
                  </w:r>
                </w:p>
              </w:tc>
            </w:tr>
            <w:tr w14:paraId="3C66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27" w:type="dxa"/>
                  <w:vAlign w:val="center"/>
                </w:tcPr>
                <w:p w14:paraId="388ECD14">
                  <w:pPr>
                    <w:pStyle w:val="42"/>
                  </w:pPr>
                  <w:r>
                    <w:rPr>
                      <w:rFonts w:hint="eastAsia"/>
                    </w:rPr>
                    <w:t>2</w:t>
                  </w:r>
                </w:p>
              </w:tc>
              <w:tc>
                <w:tcPr>
                  <w:tcW w:w="533" w:type="dxa"/>
                  <w:vMerge w:val="continue"/>
                  <w:vAlign w:val="center"/>
                </w:tcPr>
                <w:p w14:paraId="595E485D">
                  <w:pPr>
                    <w:pStyle w:val="42"/>
                  </w:pPr>
                </w:p>
              </w:tc>
              <w:tc>
                <w:tcPr>
                  <w:tcW w:w="630" w:type="dxa"/>
                  <w:vAlign w:val="center"/>
                </w:tcPr>
                <w:p w14:paraId="110AF84C">
                  <w:pPr>
                    <w:pStyle w:val="42"/>
                  </w:pPr>
                  <w:r>
                    <w:rPr>
                      <w:rFonts w:hint="eastAsia"/>
                    </w:rPr>
                    <w:t>氮气压缩机2</w:t>
                  </w:r>
                </w:p>
              </w:tc>
              <w:tc>
                <w:tcPr>
                  <w:tcW w:w="304" w:type="dxa"/>
                  <w:vAlign w:val="center"/>
                </w:tcPr>
                <w:p w14:paraId="6CE42D49">
                  <w:pPr>
                    <w:pStyle w:val="42"/>
                  </w:pPr>
                  <w:r>
                    <w:rPr>
                      <w:rFonts w:hint="eastAsia"/>
                    </w:rPr>
                    <w:t>/</w:t>
                  </w:r>
                </w:p>
              </w:tc>
              <w:tc>
                <w:tcPr>
                  <w:tcW w:w="934" w:type="dxa"/>
                  <w:vAlign w:val="center"/>
                </w:tcPr>
                <w:p w14:paraId="08AA33C6">
                  <w:pPr>
                    <w:pStyle w:val="42"/>
                  </w:pPr>
                  <w:r>
                    <w:rPr>
                      <w:rFonts w:hint="eastAsia"/>
                    </w:rPr>
                    <w:t>115/1</w:t>
                  </w:r>
                </w:p>
              </w:tc>
              <w:tc>
                <w:tcPr>
                  <w:tcW w:w="667" w:type="dxa"/>
                  <w:vMerge w:val="continue"/>
                  <w:vAlign w:val="center"/>
                </w:tcPr>
                <w:p w14:paraId="0490D5ED">
                  <w:pPr>
                    <w:pStyle w:val="42"/>
                  </w:pPr>
                </w:p>
              </w:tc>
              <w:tc>
                <w:tcPr>
                  <w:tcW w:w="533" w:type="dxa"/>
                  <w:vAlign w:val="center"/>
                </w:tcPr>
                <w:p w14:paraId="436B91E8">
                  <w:pPr>
                    <w:pStyle w:val="42"/>
                  </w:pPr>
                  <w:r>
                    <w:t>-24.21</w:t>
                  </w:r>
                </w:p>
              </w:tc>
              <w:tc>
                <w:tcPr>
                  <w:tcW w:w="537" w:type="dxa"/>
                  <w:vAlign w:val="center"/>
                </w:tcPr>
                <w:p w14:paraId="10C93C96">
                  <w:pPr>
                    <w:pStyle w:val="42"/>
                  </w:pPr>
                  <w:r>
                    <w:t>41.96</w:t>
                  </w:r>
                </w:p>
              </w:tc>
              <w:tc>
                <w:tcPr>
                  <w:tcW w:w="398" w:type="dxa"/>
                  <w:vAlign w:val="center"/>
                </w:tcPr>
                <w:p w14:paraId="13260F07">
                  <w:pPr>
                    <w:pStyle w:val="42"/>
                  </w:pPr>
                  <w:r>
                    <w:rPr>
                      <w:rFonts w:hint="eastAsia"/>
                    </w:rPr>
                    <w:t>1</w:t>
                  </w:r>
                </w:p>
              </w:tc>
              <w:tc>
                <w:tcPr>
                  <w:tcW w:w="667" w:type="dxa"/>
                  <w:vAlign w:val="center"/>
                </w:tcPr>
                <w:p w14:paraId="361B2C6D">
                  <w:pPr>
                    <w:pStyle w:val="42"/>
                  </w:pPr>
                  <w:r>
                    <w:rPr>
                      <w:rFonts w:hint="eastAsia"/>
                    </w:rPr>
                    <w:t>5</w:t>
                  </w:r>
                </w:p>
              </w:tc>
              <w:tc>
                <w:tcPr>
                  <w:tcW w:w="533" w:type="dxa"/>
                  <w:vAlign w:val="center"/>
                </w:tcPr>
                <w:p w14:paraId="4B8423DE">
                  <w:pPr>
                    <w:pStyle w:val="42"/>
                  </w:pPr>
                  <w:r>
                    <w:rPr>
                      <w:rFonts w:hint="eastAsia"/>
                    </w:rPr>
                    <w:t>101.02</w:t>
                  </w:r>
                </w:p>
              </w:tc>
              <w:tc>
                <w:tcPr>
                  <w:tcW w:w="533" w:type="dxa"/>
                  <w:vAlign w:val="center"/>
                </w:tcPr>
                <w:p w14:paraId="2760E66C">
                  <w:pPr>
                    <w:pStyle w:val="42"/>
                  </w:pPr>
                  <w:r>
                    <w:rPr>
                      <w:rFonts w:hint="eastAsia"/>
                    </w:rPr>
                    <w:t>全时段</w:t>
                  </w:r>
                </w:p>
              </w:tc>
              <w:tc>
                <w:tcPr>
                  <w:tcW w:w="735" w:type="dxa"/>
                  <w:vAlign w:val="center"/>
                </w:tcPr>
                <w:p w14:paraId="4B7490DB">
                  <w:pPr>
                    <w:pStyle w:val="42"/>
                  </w:pPr>
                  <w:r>
                    <w:rPr>
                      <w:rFonts w:hint="eastAsia"/>
                    </w:rPr>
                    <w:t>10</w:t>
                  </w:r>
                </w:p>
              </w:tc>
              <w:tc>
                <w:tcPr>
                  <w:tcW w:w="531" w:type="dxa"/>
                  <w:vAlign w:val="center"/>
                </w:tcPr>
                <w:p w14:paraId="51E5F04F">
                  <w:pPr>
                    <w:pStyle w:val="42"/>
                  </w:pPr>
                  <w:r>
                    <w:rPr>
                      <w:rFonts w:hint="eastAsia"/>
                    </w:rPr>
                    <w:t>90.02</w:t>
                  </w:r>
                </w:p>
              </w:tc>
              <w:tc>
                <w:tcPr>
                  <w:tcW w:w="531" w:type="dxa"/>
                  <w:vAlign w:val="center"/>
                </w:tcPr>
                <w:p w14:paraId="7D40DCDD">
                  <w:pPr>
                    <w:pStyle w:val="42"/>
                  </w:pPr>
                  <w:r>
                    <w:rPr>
                      <w:rFonts w:hint="eastAsia"/>
                    </w:rPr>
                    <w:t>1</w:t>
                  </w:r>
                </w:p>
              </w:tc>
            </w:tr>
          </w:tbl>
          <w:p w14:paraId="310676A9">
            <w:pPr>
              <w:pStyle w:val="41"/>
              <w:ind w:firstLine="480"/>
            </w:pPr>
          </w:p>
          <w:p w14:paraId="6002F43B">
            <w:pPr>
              <w:pStyle w:val="41"/>
              <w:ind w:firstLine="480"/>
            </w:pPr>
            <w:r>
              <w:rPr>
                <w:rFonts w:hint="eastAsia"/>
              </w:rPr>
              <w:t>根据《环境影响评价技术导则</w:t>
            </w:r>
            <w:r>
              <w:t xml:space="preserve"> </w:t>
            </w:r>
            <w:r>
              <w:rPr>
                <w:rFonts w:hint="eastAsia"/>
              </w:rPr>
              <w:t>声环境》（</w:t>
            </w:r>
            <w:r>
              <w:t>HJ2.4-2021</w:t>
            </w:r>
            <w:r>
              <w:rPr>
                <w:rFonts w:hint="eastAsia"/>
              </w:rPr>
              <w:t>），工业企业的噪声预测模式和计算公式如下：</w:t>
            </w:r>
          </w:p>
          <w:p w14:paraId="6C60562B">
            <w:pPr>
              <w:pStyle w:val="41"/>
              <w:ind w:firstLine="480"/>
            </w:pPr>
            <w:r>
              <w:rPr>
                <w:rFonts w:hint="eastAsia"/>
              </w:rPr>
              <w:t>（</w:t>
            </w:r>
            <w:r>
              <w:t>1</w:t>
            </w:r>
            <w:r>
              <w:rPr>
                <w:rFonts w:hint="eastAsia"/>
              </w:rPr>
              <w:t>）室内声源计算公式</w:t>
            </w:r>
          </w:p>
          <w:p w14:paraId="46D6AE8D">
            <w:pPr>
              <w:pStyle w:val="41"/>
              <w:ind w:firstLine="480"/>
            </w:pPr>
            <w:r>
              <w:t>a</w:t>
            </w:r>
            <w:r>
              <w:rPr>
                <w:rFonts w:hint="eastAsia"/>
              </w:rPr>
              <w:t>、计算出某一个室内声源靠近围护结构处产生的倍频带声压级或</w:t>
            </w:r>
            <w:r>
              <w:t>A</w:t>
            </w:r>
            <w:r>
              <w:rPr>
                <w:rFonts w:hint="eastAsia"/>
              </w:rPr>
              <w:t>声级：</w:t>
            </w:r>
          </w:p>
          <w:p w14:paraId="34F325AC">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+10lg</m:t>
                </m:r>
                <m:d>
                  <m:dPr>
                    <m:ctrlPr>
                      <w:rPr>
                        <w:rFonts w:ascii="Cambria Math" w:hAnsi="Cambria Math"/>
                        <w:i/>
                      </w:rPr>
                    </m:ctrlPr>
                  </m:dPr>
                  <m:e>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4π</m:t>
                        </m:r>
                        <m:sSup>
                          <m:sSupPr>
                            <m:ctrlPr>
                              <w:rPr>
                                <w:rFonts w:ascii="Cambria Math" w:hAnsi="Cambria Math"/>
                                <w:i/>
                              </w:rPr>
                            </m:ctrlPr>
                          </m:sSupPr>
                          <m:e>
                            <m:r>
                              <m:rPr/>
                              <w:rPr>
                                <w:rFonts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R</m:t>
                        </m:r>
                        <m:ctrlPr>
                          <w:rPr>
                            <w:rFonts w:ascii="Cambria Math" w:hAnsi="Cambria Math"/>
                            <w:i/>
                          </w:rPr>
                        </m:ctrlPr>
                      </m:den>
                    </m:f>
                    <m:ctrlPr>
                      <w:rPr>
                        <w:rFonts w:ascii="Cambria Math" w:hAnsi="Cambria Math"/>
                        <w:i/>
                      </w:rPr>
                    </m:ctrlPr>
                  </m:e>
                </m:d>
              </m:oMath>
            </m:oMathPara>
          </w:p>
          <w:p w14:paraId="7C31471E">
            <w:pPr>
              <w:pStyle w:val="41"/>
              <w:ind w:firstLine="480"/>
            </w:pPr>
            <w:r>
              <w:rPr>
                <w:rFonts w:hint="eastAsia"/>
              </w:rPr>
              <w:t>式中：</w:t>
            </w:r>
            <w:r>
              <w:t>L</w:t>
            </w:r>
            <w:r>
              <w:rPr>
                <w:vertAlign w:val="subscript"/>
              </w:rPr>
              <w:t>p1</w:t>
            </w:r>
            <w:r>
              <w:rPr>
                <w:rFonts w:hint="eastAsia"/>
              </w:rPr>
              <w:t>——靠近开口处（或窗户）室内某倍频带的声压级或</w:t>
            </w:r>
            <w:r>
              <w:t>A</w:t>
            </w:r>
            <w:r>
              <w:rPr>
                <w:rFonts w:hint="eastAsia"/>
              </w:rPr>
              <w:t>声级，</w:t>
            </w:r>
            <w:r>
              <w:t>dB</w:t>
            </w:r>
            <w:r>
              <w:rPr>
                <w:rFonts w:hint="eastAsia"/>
              </w:rPr>
              <w:t>；</w:t>
            </w:r>
          </w:p>
          <w:p w14:paraId="098232A7">
            <w:pPr>
              <w:pStyle w:val="41"/>
              <w:ind w:firstLine="1200" w:firstLineChars="500"/>
            </w:pPr>
            <w:r>
              <w:t>L</w:t>
            </w:r>
            <w:r>
              <w:rPr>
                <w:vertAlign w:val="subscript"/>
              </w:rPr>
              <w:t>w</w:t>
            </w:r>
            <w:r>
              <w:t>——</w:t>
            </w:r>
            <w:r>
              <w:rPr>
                <w:rFonts w:hint="eastAsia"/>
              </w:rPr>
              <w:t>为点声源声功率级（</w:t>
            </w:r>
            <w:r>
              <w:t>A</w:t>
            </w:r>
            <w:r>
              <w:rPr>
                <w:rFonts w:hint="eastAsia"/>
              </w:rPr>
              <w:t>计权或倍频带），</w:t>
            </w:r>
            <w:r>
              <w:t>dB</w:t>
            </w:r>
            <w:r>
              <w:rPr>
                <w:rFonts w:hint="eastAsia"/>
              </w:rPr>
              <w:t>；</w:t>
            </w:r>
          </w:p>
          <w:p w14:paraId="62DDE1BF">
            <w:pPr>
              <w:pStyle w:val="41"/>
              <w:ind w:firstLine="1200" w:firstLineChars="500"/>
            </w:pPr>
            <w:r>
              <w:t>Q——</w:t>
            </w:r>
            <w:r>
              <w:rPr>
                <w:rFonts w:hint="eastAsia"/>
              </w:rPr>
              <w:t>指向性因数，通常对无指向性声源，当声源放在房间中心时，</w:t>
            </w:r>
            <w:r>
              <w:t>Q=1</w:t>
            </w:r>
            <w:r>
              <w:rPr>
                <w:rFonts w:hint="eastAsia"/>
              </w:rPr>
              <w:t>；当放在一面墙的中心时，</w:t>
            </w:r>
            <w:r>
              <w:t>Q=2</w:t>
            </w:r>
            <w:r>
              <w:rPr>
                <w:rFonts w:hint="eastAsia"/>
              </w:rPr>
              <w:t>；当放在两面墙夹角处时，</w:t>
            </w:r>
            <w:r>
              <w:t>Q=4</w:t>
            </w:r>
            <w:r>
              <w:rPr>
                <w:rFonts w:hint="eastAsia"/>
              </w:rPr>
              <w:t>；当放在三面墙夹角处时，</w:t>
            </w:r>
            <w:r>
              <w:t>Q=8</w:t>
            </w:r>
            <w:r>
              <w:rPr>
                <w:rFonts w:hint="eastAsia"/>
              </w:rPr>
              <w:t>；</w:t>
            </w:r>
          </w:p>
          <w:p w14:paraId="752A3540">
            <w:pPr>
              <w:pStyle w:val="41"/>
              <w:ind w:firstLine="1200" w:firstLineChars="500"/>
            </w:pPr>
            <w:r>
              <w:t>R——</w:t>
            </w:r>
            <w:r>
              <w:rPr>
                <w:rFonts w:hint="eastAsia"/>
              </w:rPr>
              <w:t>房间常数，</w:t>
            </w:r>
            <w:r>
              <w:t>R=S</w:t>
            </w:r>
            <w:r>
              <w:rPr>
                <w:rFonts w:hint="eastAsia"/>
              </w:rPr>
              <w:t>α</w:t>
            </w:r>
            <w:r>
              <w:t>/(1-</w:t>
            </w:r>
            <w:r>
              <w:rPr>
                <w:rFonts w:hint="eastAsia"/>
              </w:rPr>
              <w:t>α</w:t>
            </w:r>
            <w:r>
              <w:t>)</w:t>
            </w:r>
            <w:r>
              <w:rPr>
                <w:rFonts w:hint="eastAsia"/>
              </w:rPr>
              <w:t>，</w:t>
            </w:r>
            <w:r>
              <w:t>S</w:t>
            </w:r>
            <w:r>
              <w:rPr>
                <w:rFonts w:hint="eastAsia"/>
              </w:rPr>
              <w:t>为房间内表面面积，</w:t>
            </w:r>
            <w:r>
              <w:t>m</w:t>
            </w:r>
            <w:r>
              <w:rPr>
                <w:vertAlign w:val="superscript"/>
              </w:rPr>
              <w:t>2</w:t>
            </w:r>
            <w:r>
              <w:rPr>
                <w:rFonts w:hint="eastAsia"/>
              </w:rPr>
              <w:t>，α为平均吸声系数；</w:t>
            </w:r>
          </w:p>
          <w:p w14:paraId="6F49C26C">
            <w:pPr>
              <w:pStyle w:val="41"/>
              <w:ind w:firstLine="1200" w:firstLineChars="500"/>
            </w:pPr>
            <w:r>
              <w:t>r——</w:t>
            </w:r>
            <w:r>
              <w:rPr>
                <w:rFonts w:hint="eastAsia"/>
              </w:rPr>
              <w:t>为声源到靠近围护结构某点处的距离，</w:t>
            </w:r>
            <w:r>
              <w:t>m</w:t>
            </w:r>
            <w:r>
              <w:rPr>
                <w:rFonts w:hint="eastAsia"/>
              </w:rPr>
              <w:t>。</w:t>
            </w:r>
          </w:p>
          <w:p w14:paraId="7BB491E8">
            <w:pPr>
              <w:pStyle w:val="41"/>
              <w:ind w:firstLine="480"/>
            </w:pPr>
            <w:r>
              <w:t>b</w:t>
            </w:r>
            <w:r>
              <w:rPr>
                <w:rFonts w:hint="eastAsia"/>
              </w:rPr>
              <w:t>、计算出所有室内声源在靠近围护结构处产生的</w:t>
            </w:r>
            <w:r>
              <w:t>i</w:t>
            </w:r>
            <w:r>
              <w:rPr>
                <w:rFonts w:hint="eastAsia"/>
              </w:rPr>
              <w:t>倍频带叠加声压级：</w:t>
            </w:r>
          </w:p>
          <w:p w14:paraId="594E680B">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j=1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sSub>
                              <m:sSubPr>
                                <m:ctrlPr>
                                  <w:rPr>
                                    <w:rFonts w:ascii="Cambria Math" w:hAnsi="Cambria Math"/>
                                    <w:i/>
                                  </w:rPr>
                                </m:ctrlPr>
                              </m:sSubPr>
                              <m:e>
                                <m:r>
                                  <m:rPr/>
                                  <w:rPr>
                                    <w:rFonts w:ascii="Cambria Math" w:hAnsi="Cambria Math"/>
                                  </w:rPr>
                                  <m:t>0.1L</m:t>
                                </m:r>
                                <m:ctrlPr>
                                  <w:rPr>
                                    <w:rFonts w:ascii="Cambria Math" w:hAnsi="Cambria Math"/>
                                    <w:i/>
                                  </w:rPr>
                                </m:ctrlPr>
                              </m:e>
                              <m:sub>
                                <m:r>
                                  <m:rPr/>
                                  <w:rPr>
                                    <w:rFonts w:ascii="Cambria Math" w:hAnsi="Cambria Math"/>
                                  </w:rPr>
                                  <m:t>p1ij</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d>
              </m:oMath>
            </m:oMathPara>
          </w:p>
          <w:p w14:paraId="3A555AEE">
            <w:pPr>
              <w:pStyle w:val="41"/>
              <w:ind w:firstLine="480"/>
            </w:pPr>
            <w:r>
              <w:rPr>
                <w:rFonts w:hint="eastAsia"/>
              </w:rPr>
              <w:t>式中：</w:t>
            </w:r>
            <w:r>
              <w:t>L</w:t>
            </w:r>
            <w:r>
              <w:rPr>
                <w:vertAlign w:val="subscript"/>
              </w:rPr>
              <w:t>p1i</w:t>
            </w:r>
            <w:r>
              <w:t>(T)</w:t>
            </w:r>
            <w:r>
              <w:rPr>
                <w:rFonts w:hint="eastAsia"/>
              </w:rPr>
              <w:t xml:space="preserve"> ——靠近围护结构处室内</w:t>
            </w:r>
            <w:r>
              <w:t>N</w:t>
            </w:r>
            <w:r>
              <w:rPr>
                <w:rFonts w:hint="eastAsia"/>
              </w:rPr>
              <w:t>个声源</w:t>
            </w:r>
            <w:r>
              <w:t>i</w:t>
            </w:r>
            <w:r>
              <w:rPr>
                <w:rFonts w:hint="eastAsia"/>
              </w:rPr>
              <w:t>倍频带的叠加声压级，</w:t>
            </w:r>
            <w:r>
              <w:t>dB</w:t>
            </w:r>
            <w:r>
              <w:rPr>
                <w:rFonts w:hint="eastAsia"/>
              </w:rPr>
              <w:t>；</w:t>
            </w:r>
          </w:p>
          <w:p w14:paraId="778E2E48">
            <w:pPr>
              <w:pStyle w:val="41"/>
              <w:ind w:firstLine="1200" w:firstLineChars="500"/>
            </w:pPr>
            <w:r>
              <w:t>L</w:t>
            </w:r>
            <w:r>
              <w:rPr>
                <w:vertAlign w:val="subscript"/>
              </w:rPr>
              <w:t>p1tj</w:t>
            </w:r>
            <w:r>
              <w:t>——</w:t>
            </w:r>
            <w:r>
              <w:rPr>
                <w:rFonts w:hint="eastAsia"/>
              </w:rPr>
              <w:t>室内</w:t>
            </w:r>
            <w:r>
              <w:t>j</w:t>
            </w:r>
            <w:r>
              <w:rPr>
                <w:rFonts w:hint="eastAsia"/>
              </w:rPr>
              <w:t>声源</w:t>
            </w:r>
            <w:r>
              <w:t>i</w:t>
            </w:r>
            <w:r>
              <w:rPr>
                <w:rFonts w:hint="eastAsia"/>
              </w:rPr>
              <w:t>频带的声压级，</w:t>
            </w:r>
            <w:r>
              <w:t>dB</w:t>
            </w:r>
            <w:r>
              <w:rPr>
                <w:rFonts w:hint="eastAsia"/>
              </w:rPr>
              <w:t>；</w:t>
            </w:r>
          </w:p>
          <w:p w14:paraId="2492677C">
            <w:pPr>
              <w:pStyle w:val="41"/>
              <w:ind w:firstLine="1200" w:firstLineChars="500"/>
            </w:pPr>
            <w:r>
              <w:t>N——</w:t>
            </w:r>
            <w:r>
              <w:rPr>
                <w:rFonts w:hint="eastAsia"/>
              </w:rPr>
              <w:t>室内声源总数。</w:t>
            </w:r>
          </w:p>
          <w:p w14:paraId="1F98C61B">
            <w:pPr>
              <w:pStyle w:val="41"/>
              <w:ind w:firstLine="480"/>
            </w:pPr>
            <w:r>
              <w:rPr>
                <w:rFonts w:hint="eastAsia"/>
              </w:rPr>
              <w:t>（</w:t>
            </w:r>
            <w:r>
              <w:t>2</w:t>
            </w:r>
            <w:r>
              <w:rPr>
                <w:rFonts w:hint="eastAsia"/>
              </w:rPr>
              <w:t>）户外声源传播衰减公式</w:t>
            </w:r>
          </w:p>
          <w:p w14:paraId="42F4CD47">
            <w:pPr>
              <w:pStyle w:val="41"/>
              <w:ind w:firstLine="480"/>
            </w:pPr>
            <w:r>
              <w:rPr>
                <w:rFonts w:hint="eastAsia"/>
              </w:rPr>
              <w:t>在环境影响评价中，应根据声源声功率或参考位置处的声压级、户外声传播衰减，计算预测点的声级，按下式计算：</w:t>
            </w:r>
          </w:p>
          <w:p w14:paraId="447403F8">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m:t>
                </m:r>
                <m:d>
                  <m:dPr>
                    <m:ctrlPr>
                      <w:rPr>
                        <w:rFonts w:ascii="Cambria Math" w:hAnsi="Cambria Math"/>
                        <w:i/>
                      </w:rPr>
                    </m:ctrlPr>
                  </m:dPr>
                  <m:e>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gr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bar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misc</m:t>
                        </m:r>
                        <m:ctrlPr>
                          <w:rPr>
                            <w:rFonts w:ascii="Cambria Math" w:hAnsi="Cambria Math"/>
                            <w:i/>
                          </w:rPr>
                        </m:ctrlPr>
                      </m:sub>
                    </m:sSub>
                    <m:ctrlPr>
                      <w:rPr>
                        <w:rFonts w:ascii="Cambria Math" w:hAnsi="Cambria Math"/>
                        <w:i/>
                      </w:rPr>
                    </m:ctrlPr>
                  </m:e>
                </m:d>
              </m:oMath>
            </m:oMathPara>
          </w:p>
          <w:p w14:paraId="59A50ED6">
            <w:pPr>
              <w:pStyle w:val="41"/>
              <w:ind w:firstLine="480"/>
            </w:pPr>
            <w:r>
              <w:rPr>
                <w:rFonts w:hint="eastAsia"/>
              </w:rPr>
              <w:t>式中：</w:t>
            </w:r>
            <w:r>
              <w:t>L</w:t>
            </w:r>
            <w:r>
              <w:rPr>
                <w:vertAlign w:val="subscript"/>
              </w:rPr>
              <w:t>p</w:t>
            </w:r>
            <w:r>
              <w:t>(r)——</w:t>
            </w:r>
            <w:r>
              <w:rPr>
                <w:rFonts w:hint="eastAsia"/>
              </w:rPr>
              <w:t>预测点处声压级，</w:t>
            </w:r>
            <w:r>
              <w:t>dB</w:t>
            </w:r>
            <w:r>
              <w:rPr>
                <w:rFonts w:hint="eastAsia"/>
              </w:rPr>
              <w:t>；</w:t>
            </w:r>
          </w:p>
          <w:p w14:paraId="2C371AAF">
            <w:pPr>
              <w:pStyle w:val="41"/>
              <w:ind w:firstLine="1200" w:firstLineChars="500"/>
            </w:pPr>
            <w:r>
              <w:t>L</w:t>
            </w:r>
            <w:r>
              <w:rPr>
                <w:vertAlign w:val="subscript"/>
              </w:rPr>
              <w:t>w</w:t>
            </w:r>
            <w:r>
              <w:t>——</w:t>
            </w:r>
            <w:r>
              <w:rPr>
                <w:rFonts w:hint="eastAsia"/>
              </w:rPr>
              <w:t>由点声源产生的声功率级（</w:t>
            </w:r>
            <w:r>
              <w:t>A</w:t>
            </w:r>
            <w:r>
              <w:rPr>
                <w:rFonts w:hint="eastAsia"/>
              </w:rPr>
              <w:t>计权或倍频带），</w:t>
            </w:r>
            <w:r>
              <w:t>dB</w:t>
            </w:r>
            <w:r>
              <w:rPr>
                <w:rFonts w:hint="eastAsia"/>
              </w:rPr>
              <w:t>；</w:t>
            </w:r>
          </w:p>
          <w:p w14:paraId="5907777A">
            <w:pPr>
              <w:pStyle w:val="41"/>
              <w:ind w:firstLine="1200" w:firstLineChars="500"/>
            </w:pPr>
            <w:r>
              <w:t>D</w:t>
            </w:r>
            <w:r>
              <w:rPr>
                <w:vertAlign w:val="subscript"/>
              </w:rPr>
              <w:t>C</w:t>
            </w:r>
            <w:r>
              <w:t>——</w:t>
            </w:r>
            <w:r>
              <w:rPr>
                <w:rFonts w:hint="eastAsia"/>
              </w:rPr>
              <w:t>指向性校正，它描述点声源的等效连续声压级与产生声功率级</w:t>
            </w:r>
            <w:r>
              <w:t>L</w:t>
            </w:r>
            <w:r>
              <w:rPr>
                <w:vertAlign w:val="subscript"/>
              </w:rPr>
              <w:t>w</w:t>
            </w:r>
            <w:r>
              <w:rPr>
                <w:rFonts w:hint="eastAsia"/>
              </w:rPr>
              <w:t>的全向点声源在规定方向的声级的偏差程度，</w:t>
            </w:r>
            <w:r>
              <w:t>dB</w:t>
            </w:r>
            <w:r>
              <w:rPr>
                <w:rFonts w:hint="eastAsia"/>
              </w:rPr>
              <w:t>；</w:t>
            </w:r>
          </w:p>
          <w:p w14:paraId="0E7F5D3D">
            <w:pPr>
              <w:pStyle w:val="41"/>
              <w:ind w:firstLine="1200" w:firstLineChars="500"/>
            </w:pPr>
            <w:r>
              <w:t>A</w:t>
            </w:r>
            <w:r>
              <w:rPr>
                <w:vertAlign w:val="subscript"/>
              </w:rPr>
              <w:t>div</w:t>
            </w:r>
            <w:r>
              <w:t>——</w:t>
            </w:r>
            <w:r>
              <w:rPr>
                <w:rFonts w:hint="eastAsia"/>
              </w:rPr>
              <w:t>几何发散引起的衰减，</w:t>
            </w:r>
            <w:r>
              <w:t>dB</w:t>
            </w:r>
            <w:r>
              <w:rPr>
                <w:rFonts w:hint="eastAsia"/>
              </w:rPr>
              <w:t>；</w:t>
            </w:r>
          </w:p>
          <w:p w14:paraId="47289F70">
            <w:pPr>
              <w:pStyle w:val="41"/>
              <w:ind w:firstLine="1200" w:firstLineChars="500"/>
            </w:pPr>
            <w:r>
              <w:t>A</w:t>
            </w:r>
            <w:r>
              <w:rPr>
                <w:vertAlign w:val="subscript"/>
              </w:rPr>
              <w:t>atm</w:t>
            </w:r>
            <w:r>
              <w:t>——</w:t>
            </w:r>
            <w:r>
              <w:rPr>
                <w:rFonts w:hint="eastAsia"/>
              </w:rPr>
              <w:t>大气吸收引起的衰减，</w:t>
            </w:r>
            <w:r>
              <w:t>dB</w:t>
            </w:r>
            <w:r>
              <w:rPr>
                <w:rFonts w:hint="eastAsia"/>
              </w:rPr>
              <w:t>；</w:t>
            </w:r>
          </w:p>
          <w:p w14:paraId="7C7960F4">
            <w:pPr>
              <w:pStyle w:val="41"/>
              <w:ind w:firstLine="1200" w:firstLineChars="500"/>
            </w:pPr>
            <w:r>
              <w:t>A</w:t>
            </w:r>
            <w:r>
              <w:rPr>
                <w:vertAlign w:val="subscript"/>
              </w:rPr>
              <w:t>gr</w:t>
            </w:r>
            <w:r>
              <w:t>——</w:t>
            </w:r>
            <w:r>
              <w:rPr>
                <w:rFonts w:hint="eastAsia"/>
              </w:rPr>
              <w:t>地面效应引起的衰减，</w:t>
            </w:r>
            <w:r>
              <w:t>dB</w:t>
            </w:r>
            <w:r>
              <w:rPr>
                <w:rFonts w:hint="eastAsia"/>
              </w:rPr>
              <w:t>；</w:t>
            </w:r>
          </w:p>
          <w:p w14:paraId="5789659A">
            <w:pPr>
              <w:pStyle w:val="41"/>
              <w:ind w:firstLine="1200" w:firstLineChars="500"/>
            </w:pPr>
            <w:r>
              <w:t>A</w:t>
            </w:r>
            <w:r>
              <w:rPr>
                <w:vertAlign w:val="subscript"/>
              </w:rPr>
              <w:t>bar</w:t>
            </w:r>
            <w:r>
              <w:t>——</w:t>
            </w:r>
            <w:r>
              <w:rPr>
                <w:rFonts w:hint="eastAsia"/>
              </w:rPr>
              <w:t>障碍物屏蔽引起的衰减，</w:t>
            </w:r>
            <w:r>
              <w:t>dB</w:t>
            </w:r>
            <w:r>
              <w:rPr>
                <w:rFonts w:hint="eastAsia"/>
              </w:rPr>
              <w:t>；</w:t>
            </w:r>
          </w:p>
          <w:p w14:paraId="4D0BB39D">
            <w:pPr>
              <w:pStyle w:val="41"/>
              <w:ind w:firstLine="1200" w:firstLineChars="500"/>
            </w:pPr>
            <w:r>
              <w:t>A</w:t>
            </w:r>
            <w:r>
              <w:rPr>
                <w:vertAlign w:val="subscript"/>
              </w:rPr>
              <w:t>misc</w:t>
            </w:r>
            <w:r>
              <w:t>——</w:t>
            </w:r>
            <w:r>
              <w:rPr>
                <w:rFonts w:hint="eastAsia"/>
              </w:rPr>
              <w:t>其他多方面效应引起的衰减，</w:t>
            </w:r>
            <w:r>
              <w:t>dB</w:t>
            </w:r>
            <w:r>
              <w:rPr>
                <w:rFonts w:hint="eastAsia"/>
              </w:rPr>
              <w:t>。</w:t>
            </w:r>
          </w:p>
          <w:p w14:paraId="54F672BD">
            <w:pPr>
              <w:pStyle w:val="41"/>
              <w:ind w:firstLine="480"/>
            </w:pPr>
            <w:r>
              <w:rPr>
                <w:rFonts w:hint="eastAsia"/>
              </w:rPr>
              <w:t>无指向性点声源几何发散的基本公式是：</w:t>
            </w:r>
          </w:p>
          <w:p w14:paraId="0D9C9B4C">
            <w:pPr>
              <w:pStyle w:val="41"/>
              <w:ind w:firstLine="48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=20lg</m:t>
                </m:r>
                <m:d>
                  <m:dPr>
                    <m:ctrlPr>
                      <w:rPr>
                        <w:rFonts w:ascii="Cambria Math" w:hAnsi="Cambria Math"/>
                        <w:i/>
                      </w:rPr>
                    </m:ctrlPr>
                  </m:dPr>
                  <m:e>
                    <m:f>
                      <m:fPr>
                        <m:ctrlPr>
                          <w:rPr>
                            <w:rFonts w:ascii="Cambria Math" w:hAnsi="Cambria Math"/>
                            <w:i/>
                          </w:rPr>
                        </m:ctrlPr>
                      </m:fPr>
                      <m:num>
                        <m:r>
                          <m:rPr/>
                          <w:rPr>
                            <w:rFonts w:ascii="Cambria Math" w:hAnsi="Cambria Math"/>
                          </w:rPr>
                          <m:t>r</m:t>
                        </m:r>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14:paraId="09946816">
            <w:pPr>
              <w:pStyle w:val="41"/>
              <w:ind w:firstLine="480"/>
            </w:pPr>
            <w:r>
              <w:rPr>
                <w:rFonts w:hint="eastAsia"/>
              </w:rPr>
              <w:t>式中：</w:t>
            </w:r>
            <w:r>
              <w:t>r</w:t>
            </w:r>
            <w:r>
              <w:rPr>
                <w:rFonts w:hint="eastAsia"/>
              </w:rPr>
              <w:t>——预测点距声源的距离；</w:t>
            </w:r>
          </w:p>
          <w:p w14:paraId="1D69BC75">
            <w:pPr>
              <w:pStyle w:val="41"/>
              <w:ind w:firstLine="1200" w:firstLineChars="500"/>
            </w:pPr>
            <w:r>
              <w:t>r</w:t>
            </w:r>
            <w:r>
              <w:rPr>
                <w:vertAlign w:val="subscript"/>
              </w:rPr>
              <w:t>0</w:t>
            </w:r>
            <w:r>
              <w:t>——</w:t>
            </w:r>
            <w:r>
              <w:rPr>
                <w:rFonts w:hint="eastAsia"/>
              </w:rPr>
              <w:t>参考位置距声源的距离。</w:t>
            </w:r>
          </w:p>
          <w:p w14:paraId="7C6F8B46">
            <w:pPr>
              <w:pStyle w:val="41"/>
              <w:ind w:firstLine="480"/>
            </w:pPr>
            <w:r>
              <w:rPr>
                <w:rFonts w:hint="eastAsia"/>
              </w:rPr>
              <w:t>大气吸收引起的衰减的计算公式为：</w:t>
            </w:r>
          </w:p>
          <w:p w14:paraId="5E3EF42A">
            <w:pPr>
              <w:pStyle w:val="41"/>
              <w:ind w:firstLine="48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α</m:t>
                    </m:r>
                    <m:d>
                      <m:dPr>
                        <m:ctrlPr>
                          <w:rPr>
                            <w:rFonts w:ascii="Cambria Math" w:hAnsi="Cambria Math"/>
                            <w:i/>
                          </w:rPr>
                        </m:ctrlPr>
                      </m:dPr>
                      <m:e>
                        <m:r>
                          <m:rPr/>
                          <w:rPr>
                            <w:rFonts w:ascii="Cambria Math" w:hAnsi="Cambria Math"/>
                          </w:rPr>
                          <m:t>r−</m:t>
                        </m:r>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ctrlPr>
                      <w:rPr>
                        <w:rFonts w:ascii="Cambria Math" w:hAnsi="Cambria Math"/>
                        <w:i/>
                      </w:rPr>
                    </m:ctrlPr>
                  </m:num>
                  <m:den>
                    <m:r>
                      <m:rPr/>
                      <w:rPr>
                        <w:rFonts w:ascii="Cambria Math" w:hAnsi="Cambria Math"/>
                      </w:rPr>
                      <m:t>1000</m:t>
                    </m:r>
                    <m:ctrlPr>
                      <w:rPr>
                        <w:rFonts w:ascii="Cambria Math" w:hAnsi="Cambria Math"/>
                        <w:i/>
                      </w:rPr>
                    </m:ctrlPr>
                  </m:den>
                </m:f>
              </m:oMath>
            </m:oMathPara>
          </w:p>
          <w:p w14:paraId="61316393">
            <w:pPr>
              <w:pStyle w:val="41"/>
              <w:ind w:firstLine="480"/>
            </w:pPr>
            <w:r>
              <w:rPr>
                <w:rFonts w:hint="eastAsia"/>
              </w:rPr>
              <w:t>式中：α——与温度、湿度和声波频率有关的大气吸收衰减系数，预测计算中一般根据建设项目所处区域常年平均气温和湿度选择相应的大气吸收衰减系数（见导则</w:t>
            </w:r>
            <w:r>
              <w:t>HJ2.4-2021</w:t>
            </w:r>
            <w:r>
              <w:rPr>
                <w:rFonts w:hint="eastAsia"/>
              </w:rPr>
              <w:t>的附录</w:t>
            </w:r>
            <w:r>
              <w:t>A</w:t>
            </w:r>
            <w:r>
              <w:rPr>
                <w:rFonts w:hint="eastAsia"/>
              </w:rPr>
              <w:t>中表</w:t>
            </w:r>
            <w:r>
              <w:t>A.2</w:t>
            </w:r>
            <w:r>
              <w:rPr>
                <w:rFonts w:hint="eastAsia"/>
              </w:rPr>
              <w:t>）。</w:t>
            </w:r>
          </w:p>
          <w:p w14:paraId="3EC5ED39">
            <w:pPr>
              <w:pStyle w:val="41"/>
              <w:ind w:firstLine="480"/>
            </w:pPr>
            <w:r>
              <w:rPr>
                <w:rFonts w:hint="eastAsia"/>
              </w:rPr>
              <w:t>地面效应引起的衰减的计算公式为：</w:t>
            </w:r>
          </w:p>
          <w:p w14:paraId="4A2A6FFC">
            <w:pPr>
              <w:pStyle w:val="41"/>
              <w:ind w:firstLine="48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gr</m:t>
                    </m:r>
                    <m:ctrlPr>
                      <w:rPr>
                        <w:rFonts w:ascii="Cambria Math" w:hAnsi="Cambria Math"/>
                        <w:i/>
                      </w:rPr>
                    </m:ctrlPr>
                  </m:sub>
                </m:sSub>
                <m:r>
                  <m:rPr/>
                  <w:rPr>
                    <w:rFonts w:ascii="Cambria Math" w:hAnsi="Cambria Math"/>
                  </w:rPr>
                  <m:t>=4.8−</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w:rPr>
                                <w:rFonts w:ascii="Cambria Math" w:hAnsi="Cambria Math"/>
                              </w:rPr>
                              <m:t>2ℎ</m:t>
                            </m:r>
                            <m:ctrlPr>
                              <w:rPr>
                                <w:rFonts w:ascii="Cambria Math" w:hAnsi="Cambria Math"/>
                                <w:i/>
                              </w:rPr>
                            </m:ctrlPr>
                          </m:e>
                          <m:sub>
                            <m:r>
                              <m:rPr/>
                              <w:rPr>
                                <w:rFonts w:ascii="Cambria Math" w:hAnsi="Cambria Math"/>
                              </w:rPr>
                              <m:t>m</m:t>
                            </m:r>
                            <m:ctrlPr>
                              <w:rPr>
                                <w:rFonts w:ascii="Cambria Math" w:hAnsi="Cambria Math"/>
                                <w:i/>
                              </w:rPr>
                            </m:ctrlPr>
                          </m:sub>
                        </m:sSub>
                        <m:ctrlPr>
                          <w:rPr>
                            <w:rFonts w:ascii="Cambria Math" w:hAnsi="Cambria Math"/>
                            <w:i/>
                          </w:rPr>
                        </m:ctrlPr>
                      </m:num>
                      <m:den>
                        <m:r>
                          <m:rPr/>
                          <w:rPr>
                            <w:rFonts w:ascii="Cambria Math" w:hAnsi="Cambria Math"/>
                          </w:rPr>
                          <m:t>r</m:t>
                        </m:r>
                        <m:ctrlPr>
                          <w:rPr>
                            <w:rFonts w:ascii="Cambria Math" w:hAnsi="Cambria Math"/>
                            <w:i/>
                          </w:rPr>
                        </m:ctrlPr>
                      </m:den>
                    </m:f>
                    <m:ctrlPr>
                      <w:rPr>
                        <w:rFonts w:ascii="Cambria Math" w:hAnsi="Cambria Math"/>
                        <w:i/>
                      </w:rPr>
                    </m:ctrlPr>
                  </m:e>
                </m:d>
                <m:d>
                  <m:dPr>
                    <m:ctrlPr>
                      <w:rPr>
                        <w:rFonts w:ascii="Cambria Math" w:hAnsi="Cambria Math"/>
                        <w:i/>
                      </w:rPr>
                    </m:ctrlPr>
                  </m:dPr>
                  <m:e>
                    <m:r>
                      <m:rPr/>
                      <w:rPr>
                        <w:rFonts w:ascii="Cambria Math" w:hAnsi="Cambria Math"/>
                      </w:rPr>
                      <m:t>17+</m:t>
                    </m:r>
                    <m:f>
                      <m:fPr>
                        <m:ctrlPr>
                          <w:rPr>
                            <w:rFonts w:ascii="Cambria Math" w:hAnsi="Cambria Math"/>
                            <w:i/>
                          </w:rPr>
                        </m:ctrlPr>
                      </m:fPr>
                      <m:num>
                        <m:r>
                          <m:rPr/>
                          <w:rPr>
                            <w:rFonts w:ascii="Cambria Math" w:hAnsi="Cambria Math"/>
                          </w:rPr>
                          <m:t>300</m:t>
                        </m:r>
                        <m:ctrlPr>
                          <w:rPr>
                            <w:rFonts w:ascii="Cambria Math" w:hAnsi="Cambria Math"/>
                            <w:i/>
                          </w:rPr>
                        </m:ctrlPr>
                      </m:num>
                      <m:den>
                        <m:r>
                          <m:rPr/>
                          <w:rPr>
                            <w:rFonts w:ascii="Cambria Math" w:hAnsi="Cambria Math"/>
                          </w:rPr>
                          <m:t>r</m:t>
                        </m:r>
                        <m:ctrlPr>
                          <w:rPr>
                            <w:rFonts w:ascii="Cambria Math" w:hAnsi="Cambria Math"/>
                            <w:i/>
                          </w:rPr>
                        </m:ctrlPr>
                      </m:den>
                    </m:f>
                    <m:ctrlPr>
                      <w:rPr>
                        <w:rFonts w:ascii="Cambria Math" w:hAnsi="Cambria Math"/>
                        <w:i/>
                      </w:rPr>
                    </m:ctrlPr>
                  </m:e>
                </m:d>
              </m:oMath>
            </m:oMathPara>
          </w:p>
          <w:p w14:paraId="3F9B5149">
            <w:pPr>
              <w:pStyle w:val="41"/>
              <w:ind w:firstLine="480"/>
            </w:pPr>
            <w:r>
              <w:rPr>
                <w:rFonts w:hint="eastAsia"/>
              </w:rPr>
              <w:t>式中：</w:t>
            </w:r>
            <w:r>
              <w:t>h</w:t>
            </w:r>
            <w:r>
              <w:rPr>
                <w:vertAlign w:val="subscript"/>
              </w:rPr>
              <w:t>m</w:t>
            </w:r>
            <w:r>
              <w:rPr>
                <w:rFonts w:hint="eastAsia"/>
              </w:rPr>
              <w:t>——传播路径的平均离地高度，</w:t>
            </w:r>
            <w:r>
              <w:t>m</w:t>
            </w:r>
            <w:r>
              <w:rPr>
                <w:rFonts w:hint="eastAsia"/>
              </w:rPr>
              <w:t>；</w:t>
            </w:r>
            <w:r>
              <w:t>h</w:t>
            </w:r>
            <w:r>
              <w:rPr>
                <w:vertAlign w:val="subscript"/>
              </w:rPr>
              <w:t>m</w:t>
            </w:r>
            <w:r>
              <w:t>=F/r</w:t>
            </w:r>
            <w:r>
              <w:rPr>
                <w:rFonts w:hint="eastAsia"/>
              </w:rPr>
              <w:t>，其中</w:t>
            </w:r>
            <w:r>
              <w:t>F</w:t>
            </w:r>
            <w:r>
              <w:rPr>
                <w:rFonts w:hint="eastAsia"/>
              </w:rPr>
              <w:t>为面积</w:t>
            </w:r>
            <w:r>
              <w:t>m</w:t>
            </w:r>
            <w:r>
              <w:rPr>
                <w:vertAlign w:val="superscript"/>
              </w:rPr>
              <w:t>2</w:t>
            </w:r>
            <w:r>
              <w:rPr>
                <w:rFonts w:hint="eastAsia"/>
              </w:rPr>
              <w:t>，若</w:t>
            </w:r>
            <w:r>
              <w:t>A</w:t>
            </w:r>
            <w:r>
              <w:rPr>
                <w:vertAlign w:val="subscript"/>
              </w:rPr>
              <w:t>gr</w:t>
            </w:r>
            <w:r>
              <w:rPr>
                <w:rFonts w:hint="eastAsia"/>
              </w:rPr>
              <w:t>计算出负值，则</w:t>
            </w:r>
            <w:r>
              <w:t>A</w:t>
            </w:r>
            <w:r>
              <w:rPr>
                <w:vertAlign w:val="subscript"/>
              </w:rPr>
              <w:t>gr</w:t>
            </w:r>
            <w:r>
              <w:rPr>
                <w:rFonts w:hint="eastAsia"/>
              </w:rPr>
              <w:t>可用“</w:t>
            </w:r>
            <w:r>
              <w:t>0</w:t>
            </w:r>
            <w:r>
              <w:rPr>
                <w:rFonts w:hint="eastAsia"/>
              </w:rPr>
              <w:t>”代替。</w:t>
            </w:r>
          </w:p>
          <w:p w14:paraId="448A3C61">
            <w:pPr>
              <w:pStyle w:val="41"/>
              <w:ind w:firstLine="480"/>
            </w:pPr>
            <w:r>
              <w:rPr>
                <w:rFonts w:hint="eastAsia"/>
              </w:rPr>
              <w:t>障碍物屏蔽引起的衰减：位于声源和预测点之间的实体障碍物，如围墙、建筑物、土坡或地堑等起声屏障作用，从而引起声能量的较大衰减。在环境影响评价中，可将各种形式的屏障简化为具有一定高度的薄屏障。定义δ</w:t>
            </w:r>
            <w:r>
              <w:t>=SO+OP-SP</w:t>
            </w:r>
            <w:r>
              <w:rPr>
                <w:rFonts w:hint="eastAsia"/>
              </w:rPr>
              <w:t>为声程差，</w:t>
            </w:r>
            <w:r>
              <w:t>N=2</w:t>
            </w:r>
            <w:r>
              <w:rPr>
                <w:rFonts w:hint="eastAsia"/>
              </w:rPr>
              <w:t>δ</w:t>
            </w:r>
            <w:r>
              <w:t>/</w:t>
            </w:r>
            <w:r>
              <w:rPr>
                <w:rFonts w:hint="eastAsia"/>
              </w:rPr>
              <w:t>λ为菲涅尔数，其中λ为声波波长。在噪声预测中，声屏障插入损失的计算方法需要根据实际情况</w:t>
            </w:r>
            <w:r>
              <w:rPr>
                <w:rFonts w:hint="eastAsia"/>
                <w:lang w:eastAsia="zh-CN"/>
              </w:rPr>
              <w:t>做</w:t>
            </w:r>
            <w:r>
              <w:rPr>
                <w:rFonts w:hint="eastAsia"/>
              </w:rPr>
              <w:t>简化处理。屏障衰减在单绕射（即薄屏障）情况，衰减最大取</w:t>
            </w:r>
            <w:r>
              <w:t>20dB</w:t>
            </w:r>
            <w:r>
              <w:rPr>
                <w:rFonts w:hint="eastAsia"/>
              </w:rPr>
              <w:t>；在双绕射（即厚屏障）情况，衰减最大取</w:t>
            </w:r>
            <w:r>
              <w:t>25dB</w:t>
            </w:r>
            <w:r>
              <w:rPr>
                <w:rFonts w:hint="eastAsia"/>
              </w:rPr>
              <w:t>。</w:t>
            </w:r>
          </w:p>
          <w:p w14:paraId="063B2D6F">
            <w:pPr>
              <w:pStyle w:val="41"/>
              <w:ind w:firstLine="480"/>
            </w:pPr>
            <w:r>
              <w:rPr>
                <w:rFonts w:hint="eastAsia"/>
              </w:rPr>
              <w:t>其他多方面效应引起的衰减：包括通过工业场所的衰减、通过建筑物群的衰减等。在声环境影响评价中，一般情况下不考虑自然条件变化引起的附加修正。工业场所的衰减可参照</w:t>
            </w:r>
            <w:r>
              <w:t>GB/T17427.2</w:t>
            </w:r>
            <w:r>
              <w:rPr>
                <w:rFonts w:hint="eastAsia"/>
              </w:rPr>
              <w:t>进行计算。</w:t>
            </w:r>
          </w:p>
          <w:p w14:paraId="274AA6C9">
            <w:pPr>
              <w:pStyle w:val="41"/>
              <w:ind w:firstLine="480"/>
            </w:pPr>
            <w:r>
              <w:rPr>
                <w:rFonts w:hint="eastAsia"/>
              </w:rPr>
              <w:t>（</w:t>
            </w:r>
            <w:r>
              <w:t>3</w:t>
            </w:r>
            <w:r>
              <w:rPr>
                <w:rFonts w:hint="eastAsia"/>
              </w:rPr>
              <w:t>）工业企业噪声计算</w:t>
            </w:r>
          </w:p>
          <w:p w14:paraId="75ED2DFB">
            <w:pPr>
              <w:pStyle w:val="41"/>
              <w:ind w:firstLine="480"/>
            </w:pPr>
            <w:r>
              <w:rPr>
                <w:rFonts w:hint="eastAsia"/>
              </w:rPr>
              <w:t>设第</w:t>
            </w:r>
            <w:r>
              <w:t>i</w:t>
            </w:r>
            <w:r>
              <w:rPr>
                <w:rFonts w:hint="eastAsia"/>
              </w:rPr>
              <w:t>个室外声源在预测点产生的</w:t>
            </w:r>
            <w:r>
              <w:t>A</w:t>
            </w:r>
            <w:r>
              <w:rPr>
                <w:rFonts w:hint="eastAsia"/>
              </w:rPr>
              <w:t>声级为</w:t>
            </w:r>
            <w:r>
              <w:t>L</w:t>
            </w:r>
            <w:r>
              <w:rPr>
                <w:vertAlign w:val="subscript"/>
              </w:rPr>
              <w:t>Ai</w:t>
            </w:r>
            <w:r>
              <w:rPr>
                <w:rFonts w:hint="eastAsia"/>
              </w:rPr>
              <w:t>，在</w:t>
            </w:r>
            <w:r>
              <w:t>T</w:t>
            </w:r>
            <w:r>
              <w:rPr>
                <w:rFonts w:hint="eastAsia"/>
              </w:rPr>
              <w:t>时间内该声源工作时间为</w:t>
            </w:r>
            <w:r>
              <w:t>t</w:t>
            </w:r>
            <w:r>
              <w:rPr>
                <w:vertAlign w:val="subscript"/>
              </w:rPr>
              <w:t>i</w:t>
            </w:r>
            <w:r>
              <w:rPr>
                <w:rFonts w:hint="eastAsia"/>
              </w:rPr>
              <w:t>；第</w:t>
            </w:r>
            <w:r>
              <w:t>j</w:t>
            </w:r>
            <w:r>
              <w:rPr>
                <w:rFonts w:hint="eastAsia"/>
              </w:rPr>
              <w:t>个等效室外声源在预测点产生的</w:t>
            </w:r>
            <w:r>
              <w:t>A</w:t>
            </w:r>
            <w:r>
              <w:rPr>
                <w:rFonts w:hint="eastAsia"/>
              </w:rPr>
              <w:t>声级为</w:t>
            </w:r>
            <w:r>
              <w:t>L</w:t>
            </w:r>
            <w:r>
              <w:rPr>
                <w:vertAlign w:val="subscript"/>
              </w:rPr>
              <w:t>Aj</w:t>
            </w:r>
            <w:r>
              <w:rPr>
                <w:rFonts w:hint="eastAsia"/>
              </w:rPr>
              <w:t>，在</w:t>
            </w:r>
            <w:r>
              <w:t>T</w:t>
            </w:r>
            <w:r>
              <w:rPr>
                <w:rFonts w:hint="eastAsia"/>
              </w:rPr>
              <w:t>时间内该声源工作时间为</w:t>
            </w:r>
            <w:r>
              <w:t>t</w:t>
            </w:r>
            <w:r>
              <w:rPr>
                <w:vertAlign w:val="subscript"/>
              </w:rPr>
              <w:t>j</w:t>
            </w:r>
            <w:r>
              <w:rPr>
                <w:rFonts w:hint="eastAsia"/>
              </w:rPr>
              <w:t>，则拟建工程声源对预测点产生的贡献值（</w:t>
            </w:r>
            <w:r>
              <w:t>L</w:t>
            </w:r>
            <w:r>
              <w:rPr>
                <w:vertAlign w:val="subscript"/>
              </w:rPr>
              <w:t>eqg</w:t>
            </w:r>
            <w:r>
              <w:rPr>
                <w:rFonts w:hint="eastAsia"/>
              </w:rPr>
              <w:t>）为：</w:t>
            </w:r>
          </w:p>
          <w:p w14:paraId="2709E288">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r>
                  <m:rPr/>
                  <w:rPr>
                    <w:rFonts w:ascii="Cambria Math" w:hAnsi="Cambria Math"/>
                  </w:rPr>
                  <m:t>=10lg</m:t>
                </m:r>
                <m:d>
                  <m:dPr>
                    <m:begChr m:val="["/>
                    <m:endChr m:val="]"/>
                    <m:ctrlPr>
                      <w:rPr>
                        <w:rFonts w:ascii="Cambria Math" w:hAnsi="Cambria Math"/>
                        <w:i/>
                      </w:rPr>
                    </m:ctrlPr>
                  </m:dPr>
                  <m:e>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T</m:t>
                        </m:r>
                        <m:ctrlPr>
                          <w:rPr>
                            <w:rFonts w:ascii="Cambria Math" w:hAnsi="Cambria Math"/>
                            <w:i/>
                          </w:rPr>
                        </m:ctrlPr>
                      </m:den>
                    </m:f>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i</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sSub>
                                  <m:sSubPr>
                                    <m:ctrlPr>
                                      <w:rPr>
                                        <w:rFonts w:ascii="Cambria Math" w:hAnsi="Cambria Math"/>
                                        <w:i/>
                                      </w:rPr>
                                    </m:ctrlPr>
                                  </m:sSubPr>
                                  <m:e>
                                    <m:r>
                                      <m:rPr/>
                                      <w:rPr>
                                        <w:rFonts w:ascii="Cambria Math" w:hAnsi="Cambria Math"/>
                                      </w:rPr>
                                      <m:t>0.1L</m:t>
                                    </m:r>
                                    <m:ctrlPr>
                                      <w:rPr>
                                        <w:rFonts w:ascii="Cambria Math" w:hAnsi="Cambria Math"/>
                                        <w:i/>
                                      </w:rPr>
                                    </m:ctrlPr>
                                  </m:e>
                                  <m:sub>
                                    <m:r>
                                      <m:rPr/>
                                      <w:rPr>
                                        <w:rFonts w:ascii="Cambria Math" w:hAnsi="Cambria Math"/>
                                      </w:rPr>
                                      <m:t>Ai</m:t>
                                    </m:r>
                                    <m:ctrlPr>
                                      <w:rPr>
                                        <w:rFonts w:ascii="Cambria Math" w:hAnsi="Cambria Math"/>
                                        <w:i/>
                                      </w:rPr>
                                    </m:ctrlPr>
                                  </m:sub>
                                </m:sSub>
                                <m:ctrlPr>
                                  <w:rPr>
                                    <w:rFonts w:ascii="Cambria Math" w:hAnsi="Cambria Math"/>
                                    <w:i/>
                                  </w:rPr>
                                </m:ctrlPr>
                              </m:sup>
                            </m:sSup>
                            <m:ctrlPr>
                              <w:rPr>
                                <w:rFonts w:ascii="Cambria Math" w:hAnsi="Cambria Math"/>
                                <w:i/>
                              </w:rPr>
                            </m:ctrlPr>
                          </m:e>
                        </m:nary>
                        <m:r>
                          <m:rPr/>
                          <w:rPr>
                            <w:rFonts w:ascii="Cambria Math" w:hAnsi="Cambria Math"/>
                          </w:rPr>
                          <m:t>+</m:t>
                        </m:r>
                        <m:nary>
                          <m:naryPr>
                            <m:chr m:val="∑"/>
                            <m:limLoc m:val="undOvr"/>
                            <m:ctrlPr>
                              <w:rPr>
                                <w:rFonts w:ascii="Cambria Math" w:hAnsi="Cambria Math"/>
                                <w:i/>
                              </w:rPr>
                            </m:ctrlPr>
                          </m:naryPr>
                          <m:sub>
                            <m:r>
                              <m:rPr/>
                              <w:rPr>
                                <w:rFonts w:ascii="Cambria Math" w:hAnsi="Cambria Math"/>
                              </w:rPr>
                              <m:t>j=1</m:t>
                            </m:r>
                            <m:ctrlPr>
                              <w:rPr>
                                <w:rFonts w:ascii="Cambria Math" w:hAnsi="Cambria Math"/>
                                <w:i/>
                              </w:rPr>
                            </m:ctrlPr>
                          </m:sub>
                          <m:sup>
                            <m:r>
                              <m:rPr/>
                              <w:rPr>
                                <w:rFonts w:ascii="Cambria Math" w:hAnsi="Cambria Math"/>
                              </w:rPr>
                              <m:t>M</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j</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sSub>
                                  <m:sSubPr>
                                    <m:ctrlPr>
                                      <w:rPr>
                                        <w:rFonts w:ascii="Cambria Math" w:hAnsi="Cambria Math"/>
                                        <w:i/>
                                      </w:rPr>
                                    </m:ctrlPr>
                                  </m:sSubPr>
                                  <m:e>
                                    <m:r>
                                      <m:rPr/>
                                      <w:rPr>
                                        <w:rFonts w:ascii="Cambria Math" w:hAnsi="Cambria Math"/>
                                      </w:rPr>
                                      <m:t>0.1L</m:t>
                                    </m:r>
                                    <m:ctrlPr>
                                      <w:rPr>
                                        <w:rFonts w:ascii="Cambria Math" w:hAnsi="Cambria Math"/>
                                        <w:i/>
                                      </w:rPr>
                                    </m:ctrlPr>
                                  </m:e>
                                  <m:sub>
                                    <m:r>
                                      <m:rPr/>
                                      <w:rPr>
                                        <w:rFonts w:ascii="Cambria Math" w:hAnsi="Cambria Math"/>
                                      </w:rPr>
                                      <m:t>Aj</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d>
                    <m:ctrlPr>
                      <w:rPr>
                        <w:rFonts w:ascii="Cambria Math" w:hAnsi="Cambria Math"/>
                        <w:i/>
                      </w:rPr>
                    </m:ctrlPr>
                  </m:e>
                </m:d>
              </m:oMath>
            </m:oMathPara>
          </w:p>
          <w:p w14:paraId="684AD6C1">
            <w:pPr>
              <w:pStyle w:val="41"/>
              <w:ind w:firstLine="480"/>
            </w:pPr>
            <w:r>
              <w:rPr>
                <w:rFonts w:hint="eastAsia"/>
              </w:rPr>
              <w:t>式中：</w:t>
            </w:r>
            <w:r>
              <w:t>L</w:t>
            </w:r>
            <w:r>
              <w:rPr>
                <w:vertAlign w:val="subscript"/>
              </w:rPr>
              <w:t>eqg</w:t>
            </w:r>
            <w:r>
              <w:rPr>
                <w:rFonts w:hint="eastAsia"/>
              </w:rPr>
              <w:t>——建设项目声源在预测点产生的噪声贡献值，</w:t>
            </w:r>
            <w:r>
              <w:t>dB</w:t>
            </w:r>
            <w:r>
              <w:rPr>
                <w:rFonts w:hint="eastAsia"/>
              </w:rPr>
              <w:t>；</w:t>
            </w:r>
          </w:p>
          <w:p w14:paraId="1A1DA29A">
            <w:pPr>
              <w:pStyle w:val="41"/>
              <w:ind w:firstLine="1200" w:firstLineChars="500"/>
            </w:pPr>
            <w:r>
              <w:t>T</w:t>
            </w:r>
            <w:r>
              <w:rPr>
                <w:rFonts w:hint="eastAsia"/>
              </w:rPr>
              <w:t>——用于计算等效声级的时间，</w:t>
            </w:r>
            <w:r>
              <w:t>s</w:t>
            </w:r>
            <w:r>
              <w:rPr>
                <w:rFonts w:hint="eastAsia"/>
              </w:rPr>
              <w:t>；</w:t>
            </w:r>
          </w:p>
          <w:p w14:paraId="7DF3A46A">
            <w:pPr>
              <w:pStyle w:val="41"/>
              <w:ind w:firstLine="1200" w:firstLineChars="500"/>
            </w:pPr>
            <w:r>
              <w:t>N——</w:t>
            </w:r>
            <w:r>
              <w:rPr>
                <w:rFonts w:hint="eastAsia"/>
              </w:rPr>
              <w:t>室外声源个数；</w:t>
            </w:r>
          </w:p>
          <w:p w14:paraId="06F778BD">
            <w:pPr>
              <w:pStyle w:val="41"/>
              <w:ind w:firstLine="1200" w:firstLineChars="500"/>
            </w:pPr>
            <w:r>
              <w:t>t</w:t>
            </w:r>
            <w:r>
              <w:rPr>
                <w:vertAlign w:val="subscript"/>
              </w:rPr>
              <w:t>i</w:t>
            </w:r>
            <w:r>
              <w:t>——</w:t>
            </w:r>
            <w:r>
              <w:rPr>
                <w:rFonts w:hint="eastAsia"/>
              </w:rPr>
              <w:t>在</w:t>
            </w:r>
            <w:r>
              <w:t>T</w:t>
            </w:r>
            <w:r>
              <w:rPr>
                <w:rFonts w:hint="eastAsia"/>
              </w:rPr>
              <w:t>时间内</w:t>
            </w:r>
            <w:r>
              <w:t>i</w:t>
            </w:r>
            <w:r>
              <w:rPr>
                <w:rFonts w:hint="eastAsia"/>
              </w:rPr>
              <w:t>声源工作时间，</w:t>
            </w:r>
            <w:r>
              <w:t>s</w:t>
            </w:r>
            <w:r>
              <w:rPr>
                <w:rFonts w:hint="eastAsia"/>
              </w:rPr>
              <w:t>；</w:t>
            </w:r>
          </w:p>
          <w:p w14:paraId="5EDF9272">
            <w:pPr>
              <w:pStyle w:val="41"/>
              <w:ind w:firstLine="1200" w:firstLineChars="500"/>
            </w:pPr>
            <w:r>
              <w:t>M——</w:t>
            </w:r>
            <w:r>
              <w:rPr>
                <w:rFonts w:hint="eastAsia"/>
              </w:rPr>
              <w:t>等效室外声源个数；</w:t>
            </w:r>
          </w:p>
          <w:p w14:paraId="42020A90">
            <w:pPr>
              <w:pStyle w:val="41"/>
              <w:ind w:firstLine="1200" w:firstLineChars="500"/>
            </w:pPr>
            <w:r>
              <w:t>t</w:t>
            </w:r>
            <w:r>
              <w:rPr>
                <w:vertAlign w:val="subscript"/>
              </w:rPr>
              <w:t>j</w:t>
            </w:r>
            <w:r>
              <w:t>——</w:t>
            </w:r>
            <w:r>
              <w:rPr>
                <w:rFonts w:hint="eastAsia"/>
              </w:rPr>
              <w:t>在</w:t>
            </w:r>
            <w:r>
              <w:t>T</w:t>
            </w:r>
            <w:r>
              <w:rPr>
                <w:rFonts w:hint="eastAsia"/>
              </w:rPr>
              <w:t>时间内</w:t>
            </w:r>
            <w:r>
              <w:t>j</w:t>
            </w:r>
            <w:r>
              <w:rPr>
                <w:rFonts w:hint="eastAsia"/>
              </w:rPr>
              <w:t>声源工作时间，</w:t>
            </w:r>
            <w:r>
              <w:t>s</w:t>
            </w:r>
            <w:r>
              <w:rPr>
                <w:rFonts w:hint="eastAsia"/>
              </w:rPr>
              <w:t>。</w:t>
            </w:r>
          </w:p>
          <w:p w14:paraId="635C0669">
            <w:pPr>
              <w:pStyle w:val="41"/>
              <w:ind w:firstLine="480"/>
            </w:pPr>
            <w:r>
              <w:rPr>
                <w:rFonts w:hint="eastAsia"/>
              </w:rPr>
              <w:t>（</w:t>
            </w:r>
            <w:r>
              <w:t>4</w:t>
            </w:r>
            <w:r>
              <w:rPr>
                <w:rFonts w:hint="eastAsia"/>
              </w:rPr>
              <w:t>）噪声预测值</w:t>
            </w:r>
          </w:p>
          <w:p w14:paraId="5C6ECAA7">
            <w:pPr>
              <w:pStyle w:val="41"/>
              <w:ind w:firstLine="480"/>
            </w:pPr>
            <w:r>
              <w:rPr>
                <w:rFonts w:hint="eastAsia"/>
              </w:rPr>
              <w:t>噪声预测值（</w:t>
            </w:r>
            <w:r>
              <w:t>L</w:t>
            </w:r>
            <w:r>
              <w:rPr>
                <w:vertAlign w:val="subscript"/>
              </w:rPr>
              <w:t>eq</w:t>
            </w:r>
            <w:r>
              <w:rPr>
                <w:rFonts w:hint="eastAsia"/>
              </w:rPr>
              <w:t>）计算公式为：</w:t>
            </w:r>
          </w:p>
          <w:p w14:paraId="216140B6">
            <w:pPr>
              <w:pStyle w:val="41"/>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m:t>
                    </m:r>
                    <m:ctrlPr>
                      <w:rPr>
                        <w:rFonts w:ascii="Cambria Math" w:hAnsi="Cambria Math"/>
                        <w:i/>
                      </w:rPr>
                    </m:ctrlPr>
                  </m:sub>
                </m:sSub>
                <m:r>
                  <m:rPr/>
                  <w:rPr>
                    <w:rFonts w:ascii="Cambria Math" w:hAnsi="Cambria Math"/>
                  </w:rPr>
                  <m:t>=10lg</m:t>
                </m:r>
                <m:d>
                  <m:dPr>
                    <m:ctrlPr>
                      <w:rPr>
                        <w:rFonts w:ascii="Cambria Math" w:hAnsi="Cambria Math"/>
                        <w:i/>
                      </w:rPr>
                    </m:ctrlPr>
                  </m:dPr>
                  <m:e>
                    <m:sSup>
                      <m:sSupPr>
                        <m:ctrlPr>
                          <w:rPr>
                            <w:rFonts w:ascii="Cambria Math" w:hAnsi="Cambria Math"/>
                            <w:i/>
                          </w:rPr>
                        </m:ctrlPr>
                      </m:sSupPr>
                      <m:e>
                        <m:r>
                          <m:rPr/>
                          <w:rPr>
                            <w:rFonts w:ascii="Cambria Math" w:hAnsi="Cambria Math"/>
                          </w:rPr>
                          <m:t>10</m:t>
                        </m:r>
                        <m:ctrlPr>
                          <w:rPr>
                            <w:rFonts w:ascii="Cambria Math" w:hAnsi="Cambria Math"/>
                            <w:i/>
                          </w:rPr>
                        </m:ctrlPr>
                      </m:e>
                      <m:sup>
                        <m:sSub>
                          <m:sSubPr>
                            <m:ctrlPr>
                              <w:rPr>
                                <w:rFonts w:ascii="Cambria Math" w:hAnsi="Cambria Math"/>
                                <w:i/>
                              </w:rPr>
                            </m:ctrlPr>
                          </m:sSubPr>
                          <m:e>
                            <m:r>
                              <m:rPr/>
                              <w:rPr>
                                <w:rFonts w:ascii="Cambria Math" w:hAnsi="Cambria Math"/>
                              </w:rPr>
                              <m:t>0.1L</m:t>
                            </m:r>
                            <m:ctrlPr>
                              <w:rPr>
                                <w:rFonts w:ascii="Cambria Math" w:hAnsi="Cambria Math"/>
                                <w:i/>
                              </w:rPr>
                            </m:ctrlPr>
                          </m:e>
                          <m:sub>
                            <m:r>
                              <m:rPr/>
                              <w:rPr>
                                <w:rFonts w:ascii="Cambria Math" w:hAnsi="Cambria Math"/>
                              </w:rPr>
                              <m:t>eqg</m:t>
                            </m:r>
                            <m:ctrlPr>
                              <w:rPr>
                                <w:rFonts w:ascii="Cambria Math" w:hAnsi="Cambria Math"/>
                                <w:i/>
                              </w:rPr>
                            </m:ctrlPr>
                          </m:sub>
                        </m:sSub>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sSub>
                          <m:sSubPr>
                            <m:ctrlPr>
                              <w:rPr>
                                <w:rFonts w:ascii="Cambria Math" w:hAnsi="Cambria Math"/>
                                <w:i/>
                              </w:rPr>
                            </m:ctrlPr>
                          </m:sSubPr>
                          <m:e>
                            <m:r>
                              <m:rPr/>
                              <w:rPr>
                                <w:rFonts w:ascii="Cambria Math" w:hAnsi="Cambria Math"/>
                              </w:rPr>
                              <m:t>0.1L</m:t>
                            </m:r>
                            <m:ctrlPr>
                              <w:rPr>
                                <w:rFonts w:ascii="Cambria Math" w:hAnsi="Cambria Math"/>
                                <w:i/>
                              </w:rPr>
                            </m:ctrlPr>
                          </m:e>
                          <m:sub>
                            <m:r>
                              <m:rPr/>
                              <w:rPr>
                                <w:rFonts w:ascii="Cambria Math" w:hAnsi="Cambria Math"/>
                              </w:rPr>
                              <m:t>eqb</m:t>
                            </m:r>
                            <m:ctrlPr>
                              <w:rPr>
                                <w:rFonts w:ascii="Cambria Math" w:hAnsi="Cambria Math"/>
                                <w:i/>
                              </w:rPr>
                            </m:ctrlPr>
                          </m:sub>
                        </m:sSub>
                        <m:ctrlPr>
                          <w:rPr>
                            <w:rFonts w:ascii="Cambria Math" w:hAnsi="Cambria Math"/>
                            <w:i/>
                          </w:rPr>
                        </m:ctrlPr>
                      </m:sup>
                    </m:sSup>
                    <m:ctrlPr>
                      <w:rPr>
                        <w:rFonts w:ascii="Cambria Math" w:hAnsi="Cambria Math"/>
                        <w:i/>
                      </w:rPr>
                    </m:ctrlPr>
                  </m:e>
                </m:d>
              </m:oMath>
            </m:oMathPara>
          </w:p>
          <w:p w14:paraId="1942CF92">
            <w:pPr>
              <w:pStyle w:val="41"/>
              <w:ind w:firstLine="480"/>
            </w:pPr>
            <w:r>
              <w:rPr>
                <w:rFonts w:hint="eastAsia"/>
              </w:rPr>
              <w:t>式中：</w:t>
            </w:r>
            <w:r>
              <w:t>L</w:t>
            </w:r>
            <w:r>
              <w:rPr>
                <w:vertAlign w:val="subscript"/>
              </w:rPr>
              <w:t>eq</w:t>
            </w:r>
            <w:r>
              <w:t>——</w:t>
            </w:r>
            <w:r>
              <w:rPr>
                <w:rFonts w:hint="eastAsia"/>
              </w:rPr>
              <w:t>预测点的噪声预测值，</w:t>
            </w:r>
            <w:r>
              <w:t>dB</w:t>
            </w:r>
            <w:r>
              <w:rPr>
                <w:rFonts w:hint="eastAsia"/>
              </w:rPr>
              <w:t>；</w:t>
            </w:r>
          </w:p>
          <w:p w14:paraId="3321C09F">
            <w:pPr>
              <w:pStyle w:val="41"/>
              <w:ind w:firstLine="1200" w:firstLineChars="500"/>
            </w:pPr>
            <w:r>
              <w:t>L</w:t>
            </w:r>
            <w:r>
              <w:rPr>
                <w:vertAlign w:val="subscript"/>
              </w:rPr>
              <w:t>eqg</w:t>
            </w:r>
            <w:r>
              <w:t>——</w:t>
            </w:r>
            <w:r>
              <w:rPr>
                <w:rFonts w:hint="eastAsia"/>
              </w:rPr>
              <w:t>建设项目声源在预测点产生的噪声贡献值，</w:t>
            </w:r>
            <w:r>
              <w:t>dB</w:t>
            </w:r>
            <w:r>
              <w:rPr>
                <w:rFonts w:hint="eastAsia"/>
              </w:rPr>
              <w:t>；</w:t>
            </w:r>
          </w:p>
          <w:p w14:paraId="30E77086">
            <w:pPr>
              <w:pStyle w:val="41"/>
              <w:ind w:firstLine="1200" w:firstLineChars="500"/>
            </w:pPr>
            <w:r>
              <w:t>L</w:t>
            </w:r>
            <w:r>
              <w:rPr>
                <w:vertAlign w:val="subscript"/>
              </w:rPr>
              <w:t>eqb</w:t>
            </w:r>
            <w:r>
              <w:t>——</w:t>
            </w:r>
            <w:r>
              <w:rPr>
                <w:rFonts w:hint="eastAsia"/>
              </w:rPr>
              <w:t>预测点的背景噪声值，</w:t>
            </w:r>
            <w:r>
              <w:t>dB</w:t>
            </w:r>
            <w:r>
              <w:rPr>
                <w:rFonts w:hint="eastAsia"/>
              </w:rPr>
              <w:t>。</w:t>
            </w:r>
          </w:p>
          <w:p w14:paraId="39D49993">
            <w:pPr>
              <w:pStyle w:val="41"/>
              <w:ind w:firstLine="480"/>
            </w:pPr>
            <w:r>
              <w:rPr>
                <w:rFonts w:hint="eastAsia"/>
              </w:rPr>
              <w:t>本项目运行后声环境预测结果见下图和下表。</w:t>
            </w:r>
          </w:p>
          <w:p w14:paraId="2C146E86">
            <w:pPr>
              <w:pStyle w:val="41"/>
              <w:ind w:firstLine="0" w:firstLineChars="0"/>
              <w:jc w:val="center"/>
              <w:rPr>
                <w:highlight w:val="yellow"/>
              </w:rPr>
            </w:pPr>
            <w:r>
              <w:drawing>
                <wp:inline distT="0" distB="0" distL="0" distR="0">
                  <wp:extent cx="5377815" cy="4382135"/>
                  <wp:effectExtent l="0" t="0" r="0" b="0"/>
                  <wp:docPr id="19686465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46564" name="图片 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377815" cy="4382135"/>
                          </a:xfrm>
                          <a:prstGeom prst="rect">
                            <a:avLst/>
                          </a:prstGeom>
                        </pic:spPr>
                      </pic:pic>
                    </a:graphicData>
                  </a:graphic>
                </wp:inline>
              </w:drawing>
            </w:r>
          </w:p>
          <w:p w14:paraId="26E0E785">
            <w:pPr>
              <w:pStyle w:val="41"/>
              <w:numPr>
                <w:ilvl w:val="0"/>
                <w:numId w:val="9"/>
              </w:numPr>
              <w:spacing w:line="240" w:lineRule="auto"/>
              <w:ind w:left="0" w:firstLine="0" w:firstLineChars="0"/>
              <w:jc w:val="center"/>
              <w:rPr>
                <w:b/>
                <w:bCs/>
                <w:sz w:val="21"/>
                <w:szCs w:val="21"/>
              </w:rPr>
            </w:pPr>
            <w:r>
              <w:rPr>
                <w:rFonts w:hint="eastAsia"/>
                <w:b/>
                <w:bCs/>
                <w:sz w:val="21"/>
                <w:szCs w:val="21"/>
              </w:rPr>
              <w:t>项目厂区声环境预测结果示意图</w:t>
            </w:r>
          </w:p>
          <w:p w14:paraId="1D1E8ED1">
            <w:pPr>
              <w:pStyle w:val="41"/>
              <w:ind w:firstLine="480"/>
              <w:rPr>
                <w:highlight w:val="yellow"/>
              </w:rPr>
            </w:pPr>
          </w:p>
          <w:p w14:paraId="3859B5ED">
            <w:pPr>
              <w:pStyle w:val="41"/>
              <w:numPr>
                <w:ilvl w:val="0"/>
                <w:numId w:val="8"/>
              </w:numPr>
              <w:spacing w:line="240" w:lineRule="auto"/>
              <w:ind w:left="0" w:firstLine="0" w:firstLineChars="0"/>
              <w:jc w:val="center"/>
              <w:rPr>
                <w:b/>
                <w:bCs/>
                <w:sz w:val="21"/>
                <w:szCs w:val="21"/>
              </w:rPr>
            </w:pPr>
            <w:r>
              <w:rPr>
                <w:rFonts w:hint="eastAsia"/>
                <w:b/>
                <w:bCs/>
                <w:sz w:val="21"/>
                <w:szCs w:val="21"/>
              </w:rPr>
              <w:t>项目厂区声环境预测结果一览表  单位：dB（A）</w:t>
            </w:r>
          </w:p>
          <w:tbl>
            <w:tblPr>
              <w:tblStyle w:val="18"/>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134"/>
              <w:gridCol w:w="1134"/>
              <w:gridCol w:w="1134"/>
              <w:gridCol w:w="1275"/>
              <w:gridCol w:w="993"/>
              <w:gridCol w:w="1364"/>
            </w:tblGrid>
            <w:tr w14:paraId="21CC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trPr>
              <w:tc>
                <w:tcPr>
                  <w:tcW w:w="1447" w:type="dxa"/>
                  <w:vMerge w:val="restart"/>
                  <w:vAlign w:val="center"/>
                </w:tcPr>
                <w:p w14:paraId="64A5224E">
                  <w:pPr>
                    <w:pStyle w:val="42"/>
                    <w:rPr>
                      <w:b/>
                      <w:bCs/>
                    </w:rPr>
                  </w:pPr>
                  <w:r>
                    <w:rPr>
                      <w:rFonts w:hint="eastAsia"/>
                      <w:b/>
                      <w:bCs/>
                    </w:rPr>
                    <w:t>预测点</w:t>
                  </w:r>
                </w:p>
              </w:tc>
              <w:tc>
                <w:tcPr>
                  <w:tcW w:w="3402" w:type="dxa"/>
                  <w:gridSpan w:val="3"/>
                  <w:vAlign w:val="center"/>
                </w:tcPr>
                <w:p w14:paraId="2E22090B">
                  <w:pPr>
                    <w:pStyle w:val="42"/>
                    <w:rPr>
                      <w:b/>
                      <w:bCs/>
                    </w:rPr>
                  </w:pPr>
                  <w:r>
                    <w:rPr>
                      <w:rFonts w:hint="eastAsia"/>
                      <w:b/>
                      <w:bCs/>
                    </w:rPr>
                    <w:t>昼间</w:t>
                  </w:r>
                </w:p>
              </w:tc>
              <w:tc>
                <w:tcPr>
                  <w:tcW w:w="3632" w:type="dxa"/>
                  <w:gridSpan w:val="3"/>
                  <w:vAlign w:val="center"/>
                </w:tcPr>
                <w:p w14:paraId="6AC1A464">
                  <w:pPr>
                    <w:pStyle w:val="42"/>
                    <w:rPr>
                      <w:b/>
                      <w:bCs/>
                    </w:rPr>
                  </w:pPr>
                  <w:r>
                    <w:rPr>
                      <w:rFonts w:hint="eastAsia"/>
                      <w:b/>
                      <w:bCs/>
                    </w:rPr>
                    <w:t>夜间</w:t>
                  </w:r>
                </w:p>
              </w:tc>
            </w:tr>
            <w:tr w14:paraId="7DC9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trPr>
              <w:tc>
                <w:tcPr>
                  <w:tcW w:w="1447" w:type="dxa"/>
                  <w:vMerge w:val="continue"/>
                  <w:vAlign w:val="center"/>
                </w:tcPr>
                <w:p w14:paraId="3ADAFC3E">
                  <w:pPr>
                    <w:pStyle w:val="42"/>
                    <w:rPr>
                      <w:b/>
                      <w:bCs/>
                    </w:rPr>
                  </w:pPr>
                </w:p>
              </w:tc>
              <w:tc>
                <w:tcPr>
                  <w:tcW w:w="1134" w:type="dxa"/>
                  <w:vAlign w:val="center"/>
                </w:tcPr>
                <w:p w14:paraId="7E0B9BFA">
                  <w:pPr>
                    <w:pStyle w:val="42"/>
                    <w:rPr>
                      <w:b/>
                      <w:bCs/>
                    </w:rPr>
                  </w:pPr>
                  <w:r>
                    <w:rPr>
                      <w:rFonts w:hint="eastAsia"/>
                      <w:b/>
                      <w:bCs/>
                    </w:rPr>
                    <w:t>贡献值</w:t>
                  </w:r>
                </w:p>
              </w:tc>
              <w:tc>
                <w:tcPr>
                  <w:tcW w:w="1134" w:type="dxa"/>
                  <w:vAlign w:val="center"/>
                </w:tcPr>
                <w:p w14:paraId="1E6BD4A3">
                  <w:pPr>
                    <w:pStyle w:val="42"/>
                    <w:rPr>
                      <w:b/>
                      <w:bCs/>
                    </w:rPr>
                  </w:pPr>
                  <w:r>
                    <w:rPr>
                      <w:rFonts w:hint="eastAsia"/>
                      <w:b/>
                      <w:bCs/>
                    </w:rPr>
                    <w:t>标准值</w:t>
                  </w:r>
                </w:p>
              </w:tc>
              <w:tc>
                <w:tcPr>
                  <w:tcW w:w="1134" w:type="dxa"/>
                  <w:vAlign w:val="center"/>
                </w:tcPr>
                <w:p w14:paraId="29C92CC9">
                  <w:pPr>
                    <w:pStyle w:val="42"/>
                    <w:rPr>
                      <w:b/>
                      <w:bCs/>
                    </w:rPr>
                  </w:pPr>
                  <w:r>
                    <w:rPr>
                      <w:rFonts w:hint="eastAsia"/>
                      <w:b/>
                      <w:bCs/>
                    </w:rPr>
                    <w:t>评价结果</w:t>
                  </w:r>
                </w:p>
              </w:tc>
              <w:tc>
                <w:tcPr>
                  <w:tcW w:w="1275" w:type="dxa"/>
                  <w:vAlign w:val="center"/>
                </w:tcPr>
                <w:p w14:paraId="25C7DE02">
                  <w:pPr>
                    <w:pStyle w:val="42"/>
                    <w:rPr>
                      <w:b/>
                      <w:bCs/>
                    </w:rPr>
                  </w:pPr>
                  <w:r>
                    <w:rPr>
                      <w:rFonts w:hint="eastAsia"/>
                      <w:b/>
                      <w:bCs/>
                    </w:rPr>
                    <w:t>贡献值</w:t>
                  </w:r>
                </w:p>
              </w:tc>
              <w:tc>
                <w:tcPr>
                  <w:tcW w:w="993" w:type="dxa"/>
                  <w:vAlign w:val="center"/>
                </w:tcPr>
                <w:p w14:paraId="7F9CB509">
                  <w:pPr>
                    <w:pStyle w:val="42"/>
                    <w:rPr>
                      <w:b/>
                      <w:bCs/>
                    </w:rPr>
                  </w:pPr>
                  <w:r>
                    <w:rPr>
                      <w:rFonts w:hint="eastAsia"/>
                      <w:b/>
                      <w:bCs/>
                    </w:rPr>
                    <w:t>标准值</w:t>
                  </w:r>
                </w:p>
              </w:tc>
              <w:tc>
                <w:tcPr>
                  <w:tcW w:w="1364" w:type="dxa"/>
                  <w:vAlign w:val="center"/>
                </w:tcPr>
                <w:p w14:paraId="39DA10F5">
                  <w:pPr>
                    <w:pStyle w:val="42"/>
                    <w:rPr>
                      <w:b/>
                      <w:bCs/>
                    </w:rPr>
                  </w:pPr>
                  <w:r>
                    <w:rPr>
                      <w:rFonts w:hint="eastAsia"/>
                      <w:b/>
                      <w:bCs/>
                    </w:rPr>
                    <w:t>评价结果</w:t>
                  </w:r>
                </w:p>
              </w:tc>
            </w:tr>
            <w:tr w14:paraId="0867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47" w:type="dxa"/>
                  <w:vAlign w:val="center"/>
                </w:tcPr>
                <w:p w14:paraId="2FF722C4">
                  <w:pPr>
                    <w:pStyle w:val="42"/>
                  </w:pPr>
                  <w:r>
                    <w:rPr>
                      <w:rFonts w:hint="eastAsia"/>
                    </w:rPr>
                    <w:t>厂界东面</w:t>
                  </w:r>
                </w:p>
              </w:tc>
              <w:tc>
                <w:tcPr>
                  <w:tcW w:w="1134" w:type="dxa"/>
                  <w:vAlign w:val="center"/>
                </w:tcPr>
                <w:p w14:paraId="36FD7E5D">
                  <w:pPr>
                    <w:pStyle w:val="42"/>
                  </w:pPr>
                  <w:r>
                    <w:rPr>
                      <w:rFonts w:hint="eastAsia"/>
                    </w:rPr>
                    <w:t>54.7</w:t>
                  </w:r>
                </w:p>
              </w:tc>
              <w:tc>
                <w:tcPr>
                  <w:tcW w:w="1134" w:type="dxa"/>
                  <w:vAlign w:val="center"/>
                </w:tcPr>
                <w:p w14:paraId="35E5825D">
                  <w:pPr>
                    <w:pStyle w:val="42"/>
                  </w:pPr>
                  <w:r>
                    <w:rPr>
                      <w:rFonts w:hint="eastAsia"/>
                    </w:rPr>
                    <w:t>65</w:t>
                  </w:r>
                </w:p>
              </w:tc>
              <w:tc>
                <w:tcPr>
                  <w:tcW w:w="1134" w:type="dxa"/>
                  <w:vAlign w:val="center"/>
                </w:tcPr>
                <w:p w14:paraId="40C6F5B0">
                  <w:pPr>
                    <w:pStyle w:val="42"/>
                  </w:pPr>
                  <w:r>
                    <w:rPr>
                      <w:rFonts w:hint="eastAsia"/>
                    </w:rPr>
                    <w:t>达标</w:t>
                  </w:r>
                </w:p>
              </w:tc>
              <w:tc>
                <w:tcPr>
                  <w:tcW w:w="1275" w:type="dxa"/>
                  <w:vAlign w:val="center"/>
                </w:tcPr>
                <w:p w14:paraId="2BCC3ADA">
                  <w:pPr>
                    <w:pStyle w:val="42"/>
                  </w:pPr>
                  <w:r>
                    <w:rPr>
                      <w:rFonts w:hint="eastAsia"/>
                    </w:rPr>
                    <w:t>54.7</w:t>
                  </w:r>
                </w:p>
              </w:tc>
              <w:tc>
                <w:tcPr>
                  <w:tcW w:w="993" w:type="dxa"/>
                  <w:vAlign w:val="center"/>
                </w:tcPr>
                <w:p w14:paraId="54FA95D6">
                  <w:pPr>
                    <w:pStyle w:val="42"/>
                  </w:pPr>
                  <w:r>
                    <w:rPr>
                      <w:rFonts w:hint="eastAsia"/>
                    </w:rPr>
                    <w:t>55</w:t>
                  </w:r>
                </w:p>
              </w:tc>
              <w:tc>
                <w:tcPr>
                  <w:tcW w:w="1364" w:type="dxa"/>
                  <w:vAlign w:val="center"/>
                </w:tcPr>
                <w:p w14:paraId="2C530803">
                  <w:pPr>
                    <w:pStyle w:val="42"/>
                  </w:pPr>
                  <w:r>
                    <w:rPr>
                      <w:rFonts w:hint="eastAsia"/>
                    </w:rPr>
                    <w:t>达标</w:t>
                  </w:r>
                </w:p>
              </w:tc>
            </w:tr>
            <w:tr w14:paraId="0CEA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47" w:type="dxa"/>
                  <w:vAlign w:val="center"/>
                </w:tcPr>
                <w:p w14:paraId="78B73387">
                  <w:pPr>
                    <w:pStyle w:val="42"/>
                  </w:pPr>
                  <w:r>
                    <w:rPr>
                      <w:rFonts w:hint="eastAsia"/>
                    </w:rPr>
                    <w:t>厂界南面</w:t>
                  </w:r>
                </w:p>
              </w:tc>
              <w:tc>
                <w:tcPr>
                  <w:tcW w:w="1134" w:type="dxa"/>
                  <w:vAlign w:val="center"/>
                </w:tcPr>
                <w:p w14:paraId="2740C625">
                  <w:pPr>
                    <w:pStyle w:val="42"/>
                  </w:pPr>
                  <w:r>
                    <w:rPr>
                      <w:rFonts w:hint="eastAsia"/>
                    </w:rPr>
                    <w:t>43.12</w:t>
                  </w:r>
                </w:p>
              </w:tc>
              <w:tc>
                <w:tcPr>
                  <w:tcW w:w="1134" w:type="dxa"/>
                  <w:vAlign w:val="center"/>
                </w:tcPr>
                <w:p w14:paraId="7AFE35E8">
                  <w:pPr>
                    <w:pStyle w:val="42"/>
                  </w:pPr>
                  <w:r>
                    <w:rPr>
                      <w:rFonts w:hint="eastAsia"/>
                    </w:rPr>
                    <w:t>65</w:t>
                  </w:r>
                </w:p>
              </w:tc>
              <w:tc>
                <w:tcPr>
                  <w:tcW w:w="1134" w:type="dxa"/>
                  <w:vAlign w:val="center"/>
                </w:tcPr>
                <w:p w14:paraId="0566F587">
                  <w:pPr>
                    <w:pStyle w:val="42"/>
                  </w:pPr>
                  <w:r>
                    <w:rPr>
                      <w:rFonts w:hint="eastAsia"/>
                    </w:rPr>
                    <w:t>达标</w:t>
                  </w:r>
                </w:p>
              </w:tc>
              <w:tc>
                <w:tcPr>
                  <w:tcW w:w="1275" w:type="dxa"/>
                  <w:vAlign w:val="center"/>
                </w:tcPr>
                <w:p w14:paraId="59E5F36A">
                  <w:pPr>
                    <w:pStyle w:val="42"/>
                  </w:pPr>
                  <w:r>
                    <w:rPr>
                      <w:rFonts w:hint="eastAsia"/>
                    </w:rPr>
                    <w:t>43.12</w:t>
                  </w:r>
                </w:p>
              </w:tc>
              <w:tc>
                <w:tcPr>
                  <w:tcW w:w="993" w:type="dxa"/>
                  <w:vAlign w:val="center"/>
                </w:tcPr>
                <w:p w14:paraId="65B80C43">
                  <w:pPr>
                    <w:pStyle w:val="42"/>
                  </w:pPr>
                  <w:r>
                    <w:rPr>
                      <w:rFonts w:hint="eastAsia"/>
                    </w:rPr>
                    <w:t>55</w:t>
                  </w:r>
                </w:p>
              </w:tc>
              <w:tc>
                <w:tcPr>
                  <w:tcW w:w="1364" w:type="dxa"/>
                  <w:vAlign w:val="center"/>
                </w:tcPr>
                <w:p w14:paraId="60BB4F9D">
                  <w:pPr>
                    <w:pStyle w:val="42"/>
                  </w:pPr>
                  <w:r>
                    <w:rPr>
                      <w:rFonts w:hint="eastAsia"/>
                    </w:rPr>
                    <w:t>达标</w:t>
                  </w:r>
                </w:p>
              </w:tc>
            </w:tr>
            <w:tr w14:paraId="0346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47" w:type="dxa"/>
                  <w:vAlign w:val="center"/>
                </w:tcPr>
                <w:p w14:paraId="0C371C79">
                  <w:pPr>
                    <w:pStyle w:val="42"/>
                  </w:pPr>
                  <w:r>
                    <w:rPr>
                      <w:rFonts w:hint="eastAsia"/>
                    </w:rPr>
                    <w:t>厂界西面</w:t>
                  </w:r>
                </w:p>
              </w:tc>
              <w:tc>
                <w:tcPr>
                  <w:tcW w:w="1134" w:type="dxa"/>
                  <w:vAlign w:val="center"/>
                </w:tcPr>
                <w:p w14:paraId="394BF645">
                  <w:pPr>
                    <w:pStyle w:val="42"/>
                  </w:pPr>
                  <w:r>
                    <w:rPr>
                      <w:rFonts w:hint="eastAsia"/>
                    </w:rPr>
                    <w:t>51.6</w:t>
                  </w:r>
                </w:p>
              </w:tc>
              <w:tc>
                <w:tcPr>
                  <w:tcW w:w="1134" w:type="dxa"/>
                  <w:vAlign w:val="center"/>
                </w:tcPr>
                <w:p w14:paraId="32338444">
                  <w:pPr>
                    <w:pStyle w:val="42"/>
                  </w:pPr>
                  <w:r>
                    <w:rPr>
                      <w:rFonts w:hint="eastAsia"/>
                    </w:rPr>
                    <w:t>65</w:t>
                  </w:r>
                </w:p>
              </w:tc>
              <w:tc>
                <w:tcPr>
                  <w:tcW w:w="1134" w:type="dxa"/>
                  <w:vAlign w:val="center"/>
                </w:tcPr>
                <w:p w14:paraId="7D65FE50">
                  <w:pPr>
                    <w:pStyle w:val="42"/>
                  </w:pPr>
                  <w:r>
                    <w:rPr>
                      <w:rFonts w:hint="eastAsia"/>
                    </w:rPr>
                    <w:t>达标</w:t>
                  </w:r>
                </w:p>
              </w:tc>
              <w:tc>
                <w:tcPr>
                  <w:tcW w:w="1275" w:type="dxa"/>
                  <w:vAlign w:val="center"/>
                </w:tcPr>
                <w:p w14:paraId="4CDA4C8E">
                  <w:pPr>
                    <w:pStyle w:val="42"/>
                  </w:pPr>
                  <w:r>
                    <w:rPr>
                      <w:rFonts w:hint="eastAsia"/>
                    </w:rPr>
                    <w:t>51.6</w:t>
                  </w:r>
                </w:p>
              </w:tc>
              <w:tc>
                <w:tcPr>
                  <w:tcW w:w="993" w:type="dxa"/>
                  <w:vAlign w:val="center"/>
                </w:tcPr>
                <w:p w14:paraId="6DB7C969">
                  <w:pPr>
                    <w:pStyle w:val="42"/>
                  </w:pPr>
                  <w:r>
                    <w:rPr>
                      <w:rFonts w:hint="eastAsia"/>
                    </w:rPr>
                    <w:t>55</w:t>
                  </w:r>
                </w:p>
              </w:tc>
              <w:tc>
                <w:tcPr>
                  <w:tcW w:w="1364" w:type="dxa"/>
                  <w:vAlign w:val="center"/>
                </w:tcPr>
                <w:p w14:paraId="3EB6BB94">
                  <w:pPr>
                    <w:pStyle w:val="42"/>
                  </w:pPr>
                  <w:r>
                    <w:rPr>
                      <w:rFonts w:hint="eastAsia"/>
                    </w:rPr>
                    <w:t>达标</w:t>
                  </w:r>
                </w:p>
              </w:tc>
            </w:tr>
            <w:tr w14:paraId="1B43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47" w:type="dxa"/>
                  <w:vAlign w:val="center"/>
                </w:tcPr>
                <w:p w14:paraId="534FF6EA">
                  <w:pPr>
                    <w:pStyle w:val="42"/>
                  </w:pPr>
                  <w:r>
                    <w:rPr>
                      <w:rFonts w:hint="eastAsia"/>
                    </w:rPr>
                    <w:t>厂界北面</w:t>
                  </w:r>
                </w:p>
              </w:tc>
              <w:tc>
                <w:tcPr>
                  <w:tcW w:w="1134" w:type="dxa"/>
                  <w:vAlign w:val="center"/>
                </w:tcPr>
                <w:p w14:paraId="3DC03E82">
                  <w:pPr>
                    <w:pStyle w:val="42"/>
                  </w:pPr>
                  <w:r>
                    <w:rPr>
                      <w:rFonts w:hint="eastAsia"/>
                    </w:rPr>
                    <w:t>52.34</w:t>
                  </w:r>
                </w:p>
              </w:tc>
              <w:tc>
                <w:tcPr>
                  <w:tcW w:w="1134" w:type="dxa"/>
                  <w:vAlign w:val="center"/>
                </w:tcPr>
                <w:p w14:paraId="132AE75B">
                  <w:pPr>
                    <w:pStyle w:val="42"/>
                  </w:pPr>
                  <w:r>
                    <w:rPr>
                      <w:rFonts w:hint="eastAsia"/>
                    </w:rPr>
                    <w:t>65</w:t>
                  </w:r>
                </w:p>
              </w:tc>
              <w:tc>
                <w:tcPr>
                  <w:tcW w:w="1134" w:type="dxa"/>
                  <w:vAlign w:val="center"/>
                </w:tcPr>
                <w:p w14:paraId="6FFA57A3">
                  <w:pPr>
                    <w:pStyle w:val="42"/>
                  </w:pPr>
                  <w:r>
                    <w:rPr>
                      <w:rFonts w:hint="eastAsia"/>
                    </w:rPr>
                    <w:t>达标</w:t>
                  </w:r>
                </w:p>
              </w:tc>
              <w:tc>
                <w:tcPr>
                  <w:tcW w:w="1275" w:type="dxa"/>
                  <w:vAlign w:val="center"/>
                </w:tcPr>
                <w:p w14:paraId="7200F04A">
                  <w:pPr>
                    <w:pStyle w:val="42"/>
                  </w:pPr>
                  <w:r>
                    <w:rPr>
                      <w:rFonts w:hint="eastAsia"/>
                    </w:rPr>
                    <w:t>52.34</w:t>
                  </w:r>
                </w:p>
              </w:tc>
              <w:tc>
                <w:tcPr>
                  <w:tcW w:w="993" w:type="dxa"/>
                  <w:vAlign w:val="center"/>
                </w:tcPr>
                <w:p w14:paraId="290F2C43">
                  <w:pPr>
                    <w:pStyle w:val="42"/>
                  </w:pPr>
                  <w:r>
                    <w:rPr>
                      <w:rFonts w:hint="eastAsia"/>
                    </w:rPr>
                    <w:t>55</w:t>
                  </w:r>
                </w:p>
              </w:tc>
              <w:tc>
                <w:tcPr>
                  <w:tcW w:w="1364" w:type="dxa"/>
                  <w:vAlign w:val="center"/>
                </w:tcPr>
                <w:p w14:paraId="4621D70A">
                  <w:pPr>
                    <w:pStyle w:val="42"/>
                  </w:pPr>
                  <w:r>
                    <w:rPr>
                      <w:rFonts w:hint="eastAsia"/>
                    </w:rPr>
                    <w:t>达标</w:t>
                  </w:r>
                </w:p>
              </w:tc>
            </w:tr>
          </w:tbl>
          <w:p w14:paraId="03B31056">
            <w:pPr>
              <w:pStyle w:val="41"/>
              <w:ind w:firstLine="480"/>
              <w:rPr>
                <w:highlight w:val="yellow"/>
              </w:rPr>
            </w:pPr>
          </w:p>
          <w:p w14:paraId="078653C4">
            <w:pPr>
              <w:pStyle w:val="41"/>
              <w:ind w:firstLine="480"/>
            </w:pPr>
            <w:r>
              <w:rPr>
                <w:rFonts w:hint="eastAsia"/>
              </w:rPr>
              <w:t>由预测结果可知，项目建成投运后，厂界噪声贡献预测值均能满足</w:t>
            </w:r>
            <w:r>
              <w:rPr>
                <w:rFonts w:hint="eastAsia"/>
                <w:u w:val="single"/>
              </w:rPr>
              <w:t>《工业企业厂界环境噪声排放标准》（</w:t>
            </w:r>
            <w:r>
              <w:rPr>
                <w:u w:val="single"/>
              </w:rPr>
              <w:t>GB123</w:t>
            </w:r>
            <w:r>
              <w:rPr>
                <w:rFonts w:hint="eastAsia"/>
                <w:u w:val="single"/>
              </w:rPr>
              <w:t>48</w:t>
            </w:r>
            <w:r>
              <w:rPr>
                <w:u w:val="single"/>
              </w:rPr>
              <w:t>-20</w:t>
            </w:r>
            <w:r>
              <w:rPr>
                <w:rFonts w:hint="eastAsia"/>
                <w:u w:val="single"/>
              </w:rPr>
              <w:t>08）表1中3类标准限值要求</w:t>
            </w:r>
            <w:r>
              <w:rPr>
                <w:rFonts w:hint="eastAsia"/>
              </w:rPr>
              <w:t>。项目厂区外200m范围内无声环境保护目标分布，因此，项目运营期间产生的噪声对周边声环境影响较小。</w:t>
            </w:r>
          </w:p>
          <w:p w14:paraId="37E26501">
            <w:pPr>
              <w:pStyle w:val="41"/>
              <w:ind w:firstLine="482"/>
              <w:rPr>
                <w:b/>
                <w:bCs/>
              </w:rPr>
            </w:pPr>
            <w:r>
              <w:rPr>
                <w:b/>
                <w:bCs/>
              </w:rPr>
              <w:t>5</w:t>
            </w:r>
            <w:r>
              <w:rPr>
                <w:rFonts w:hint="eastAsia"/>
                <w:b/>
                <w:bCs/>
              </w:rPr>
              <w:t>营运期地下水环境影响分析</w:t>
            </w:r>
          </w:p>
          <w:p w14:paraId="0349B9E6">
            <w:pPr>
              <w:pStyle w:val="41"/>
              <w:ind w:firstLine="480"/>
            </w:pPr>
            <w:r>
              <w:rPr>
                <w:rFonts w:hint="eastAsia"/>
              </w:rPr>
              <w:t>本项目为氮气供应项目，涉及氮气的主要设备为液氮储罐和压缩氮气输送管道。本项目新建</w:t>
            </w:r>
            <w:r>
              <w:t>1</w:t>
            </w:r>
            <w:r>
              <w:rPr>
                <w:rFonts w:hint="eastAsia"/>
              </w:rPr>
              <w:t>个中压液氮储罐、</w:t>
            </w:r>
            <w:r>
              <w:t>1</w:t>
            </w:r>
            <w:r>
              <w:rPr>
                <w:rFonts w:hint="eastAsia"/>
              </w:rPr>
              <w:t>个常压液氮储罐，储存的液氮泄漏后直接由液态转换成气态，不会对地下水造成影响；管道中运输的为中压氮气，泄漏后为气态，不会对地下水造成影响。生产废水主要是循环冷却废水，主要成分为</w:t>
            </w:r>
            <w:r>
              <w:t>COD</w:t>
            </w:r>
            <w:r>
              <w:rPr>
                <w:rFonts w:hint="eastAsia"/>
              </w:rPr>
              <w:t>、</w:t>
            </w:r>
            <w:r>
              <w:t>SS</w:t>
            </w:r>
            <w:r>
              <w:rPr>
                <w:rFonts w:hint="eastAsia"/>
              </w:rPr>
              <w:t>，浓度较低，先排入广西华谊能源化工配套空分项目生产污水池，后排入广西华谊能源化工配套空分项目管网，经管网排入天宜污水处理厂一期处理。处理达标后，近期近岸排放，远期依托园区深海排放管道于金鼓江污水深海排放区排放，泄漏对地下水影响较小。</w:t>
            </w:r>
          </w:p>
          <w:p w14:paraId="3E6D5A90">
            <w:pPr>
              <w:pStyle w:val="41"/>
              <w:ind w:firstLine="480"/>
            </w:pPr>
            <w:r>
              <w:rPr>
                <w:rFonts w:hint="eastAsia"/>
              </w:rPr>
              <w:t>综上，项目对地下水环境影响不大。</w:t>
            </w:r>
          </w:p>
          <w:p w14:paraId="04380E06">
            <w:pPr>
              <w:pStyle w:val="41"/>
              <w:ind w:firstLine="482"/>
              <w:rPr>
                <w:b/>
                <w:bCs/>
              </w:rPr>
            </w:pPr>
            <w:r>
              <w:rPr>
                <w:rFonts w:hint="eastAsia"/>
                <w:b/>
                <w:bCs/>
              </w:rPr>
              <w:t>6运营期固体废物影响分析</w:t>
            </w:r>
          </w:p>
          <w:p w14:paraId="757EC023">
            <w:pPr>
              <w:pStyle w:val="41"/>
              <w:ind w:firstLine="480"/>
              <w:rPr>
                <w:highlight w:val="yellow"/>
              </w:rPr>
            </w:pPr>
            <w:r>
              <w:rPr>
                <w:rFonts w:hint="eastAsia"/>
              </w:rPr>
              <w:t>项目建成运行后，新增固体废弃物主要是废机油、含油抹布、手套及新增人员产生的生活垃圾。</w:t>
            </w:r>
          </w:p>
          <w:p w14:paraId="1A9DF541">
            <w:pPr>
              <w:pStyle w:val="41"/>
              <w:ind w:firstLine="480"/>
            </w:pPr>
            <w:r>
              <w:rPr>
                <w:rFonts w:hint="eastAsia"/>
              </w:rPr>
              <w:t>项目运行过程中设备日常保养维护会产生少量的废机油及含油抹布、手套等，参考建设单位现有工程运行情况估算，废机油及含油抹布产生量约为2t/a，产生的废机油及含油抹布收集后暂存于空分项目厂区内现有危废暂存间，定期委托有资质单位进行处置。</w:t>
            </w:r>
          </w:p>
          <w:p w14:paraId="38D67FE0">
            <w:pPr>
              <w:pStyle w:val="41"/>
              <w:numPr>
                <w:ilvl w:val="0"/>
                <w:numId w:val="8"/>
              </w:numPr>
              <w:spacing w:line="240" w:lineRule="auto"/>
              <w:ind w:left="0" w:firstLine="0" w:firstLineChars="0"/>
              <w:jc w:val="center"/>
              <w:rPr>
                <w:b/>
                <w:bCs/>
                <w:sz w:val="21"/>
                <w:szCs w:val="21"/>
                <w:u w:val="single"/>
              </w:rPr>
            </w:pPr>
            <w:r>
              <w:rPr>
                <w:rFonts w:hint="eastAsia"/>
                <w:b/>
                <w:bCs/>
                <w:sz w:val="21"/>
                <w:szCs w:val="21"/>
                <w:u w:val="single"/>
              </w:rPr>
              <w:t>危险废物汇总表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710"/>
              <w:gridCol w:w="872"/>
              <w:gridCol w:w="721"/>
              <w:gridCol w:w="872"/>
              <w:gridCol w:w="923"/>
              <w:gridCol w:w="456"/>
              <w:gridCol w:w="513"/>
              <w:gridCol w:w="513"/>
              <w:gridCol w:w="513"/>
              <w:gridCol w:w="513"/>
              <w:gridCol w:w="1496"/>
            </w:tblGrid>
            <w:tr w14:paraId="0A47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17F4963C">
                  <w:pPr>
                    <w:pStyle w:val="42"/>
                    <w:rPr>
                      <w:u w:val="single"/>
                    </w:rPr>
                  </w:pPr>
                  <w:r>
                    <w:rPr>
                      <w:rFonts w:hint="eastAsia"/>
                      <w:b/>
                      <w:bCs/>
                      <w:u w:val="single"/>
                    </w:rPr>
                    <w:t>序号</w:t>
                  </w:r>
                </w:p>
              </w:tc>
              <w:tc>
                <w:tcPr>
                  <w:tcW w:w="710" w:type="dxa"/>
                  <w:vAlign w:val="center"/>
                </w:tcPr>
                <w:p w14:paraId="1D3437D1">
                  <w:pPr>
                    <w:pStyle w:val="42"/>
                    <w:rPr>
                      <w:u w:val="single"/>
                    </w:rPr>
                  </w:pPr>
                  <w:r>
                    <w:rPr>
                      <w:rFonts w:hint="eastAsia"/>
                      <w:b/>
                      <w:bCs/>
                      <w:u w:val="single"/>
                    </w:rPr>
                    <w:t>危险废物名称</w:t>
                  </w:r>
                </w:p>
              </w:tc>
              <w:tc>
                <w:tcPr>
                  <w:tcW w:w="0" w:type="auto"/>
                  <w:vAlign w:val="center"/>
                </w:tcPr>
                <w:p w14:paraId="774E135B">
                  <w:pPr>
                    <w:pStyle w:val="42"/>
                    <w:rPr>
                      <w:u w:val="single"/>
                    </w:rPr>
                  </w:pPr>
                  <w:r>
                    <w:rPr>
                      <w:rFonts w:hint="eastAsia"/>
                      <w:b/>
                      <w:bCs/>
                      <w:u w:val="single"/>
                    </w:rPr>
                    <w:t>危险废物类别</w:t>
                  </w:r>
                </w:p>
              </w:tc>
              <w:tc>
                <w:tcPr>
                  <w:tcW w:w="0" w:type="auto"/>
                  <w:vAlign w:val="center"/>
                </w:tcPr>
                <w:p w14:paraId="09498060">
                  <w:pPr>
                    <w:pStyle w:val="42"/>
                    <w:rPr>
                      <w:u w:val="single"/>
                    </w:rPr>
                  </w:pPr>
                  <w:r>
                    <w:rPr>
                      <w:rFonts w:hint="eastAsia"/>
                      <w:b/>
                      <w:bCs/>
                      <w:u w:val="single"/>
                    </w:rPr>
                    <w:t>危险废物代码</w:t>
                  </w:r>
                </w:p>
              </w:tc>
              <w:tc>
                <w:tcPr>
                  <w:tcW w:w="697" w:type="dxa"/>
                  <w:vAlign w:val="center"/>
                </w:tcPr>
                <w:p w14:paraId="63CE8F28">
                  <w:pPr>
                    <w:pStyle w:val="42"/>
                    <w:rPr>
                      <w:u w:val="single"/>
                    </w:rPr>
                  </w:pPr>
                  <w:r>
                    <w:rPr>
                      <w:rFonts w:hint="eastAsia"/>
                      <w:b/>
                      <w:bCs/>
                      <w:u w:val="single"/>
                    </w:rPr>
                    <w:t>产生量（t/a）</w:t>
                  </w:r>
                </w:p>
              </w:tc>
              <w:tc>
                <w:tcPr>
                  <w:tcW w:w="922" w:type="dxa"/>
                  <w:vAlign w:val="center"/>
                </w:tcPr>
                <w:p w14:paraId="0656D8C9">
                  <w:pPr>
                    <w:pStyle w:val="42"/>
                    <w:rPr>
                      <w:u w:val="single"/>
                    </w:rPr>
                  </w:pPr>
                  <w:r>
                    <w:rPr>
                      <w:rFonts w:hint="eastAsia"/>
                      <w:b/>
                      <w:bCs/>
                      <w:u w:val="single"/>
                    </w:rPr>
                    <w:t>产生工序及装置</w:t>
                  </w:r>
                </w:p>
              </w:tc>
              <w:tc>
                <w:tcPr>
                  <w:tcW w:w="0" w:type="auto"/>
                  <w:vAlign w:val="center"/>
                </w:tcPr>
                <w:p w14:paraId="4CC75609">
                  <w:pPr>
                    <w:pStyle w:val="42"/>
                    <w:rPr>
                      <w:u w:val="single"/>
                    </w:rPr>
                  </w:pPr>
                  <w:r>
                    <w:rPr>
                      <w:rFonts w:hint="eastAsia"/>
                      <w:b/>
                      <w:bCs/>
                      <w:u w:val="single"/>
                    </w:rPr>
                    <w:t>形态</w:t>
                  </w:r>
                </w:p>
              </w:tc>
              <w:tc>
                <w:tcPr>
                  <w:tcW w:w="0" w:type="auto"/>
                  <w:vAlign w:val="center"/>
                </w:tcPr>
                <w:p w14:paraId="163C67E5">
                  <w:pPr>
                    <w:pStyle w:val="42"/>
                    <w:rPr>
                      <w:u w:val="single"/>
                    </w:rPr>
                  </w:pPr>
                  <w:r>
                    <w:rPr>
                      <w:rFonts w:hint="eastAsia"/>
                      <w:b/>
                      <w:bCs/>
                      <w:u w:val="single"/>
                    </w:rPr>
                    <w:t>主要成分</w:t>
                  </w:r>
                </w:p>
              </w:tc>
              <w:tc>
                <w:tcPr>
                  <w:tcW w:w="0" w:type="auto"/>
                  <w:vAlign w:val="center"/>
                </w:tcPr>
                <w:p w14:paraId="266A80C1">
                  <w:pPr>
                    <w:pStyle w:val="42"/>
                    <w:rPr>
                      <w:u w:val="single"/>
                    </w:rPr>
                  </w:pPr>
                  <w:r>
                    <w:rPr>
                      <w:rFonts w:hint="eastAsia"/>
                      <w:b/>
                      <w:bCs/>
                      <w:u w:val="single"/>
                    </w:rPr>
                    <w:t>有害成分</w:t>
                  </w:r>
                </w:p>
              </w:tc>
              <w:tc>
                <w:tcPr>
                  <w:tcW w:w="0" w:type="auto"/>
                  <w:vAlign w:val="center"/>
                </w:tcPr>
                <w:p w14:paraId="5EDA274E">
                  <w:pPr>
                    <w:pStyle w:val="42"/>
                    <w:rPr>
                      <w:u w:val="single"/>
                    </w:rPr>
                  </w:pPr>
                  <w:r>
                    <w:rPr>
                      <w:rFonts w:hint="eastAsia"/>
                      <w:b/>
                      <w:bCs/>
                      <w:u w:val="single"/>
                    </w:rPr>
                    <w:t>产废周期</w:t>
                  </w:r>
                </w:p>
              </w:tc>
              <w:tc>
                <w:tcPr>
                  <w:tcW w:w="0" w:type="auto"/>
                  <w:vAlign w:val="center"/>
                </w:tcPr>
                <w:p w14:paraId="7222C834">
                  <w:pPr>
                    <w:pStyle w:val="42"/>
                    <w:rPr>
                      <w:u w:val="single"/>
                    </w:rPr>
                  </w:pPr>
                  <w:r>
                    <w:rPr>
                      <w:rFonts w:hint="eastAsia"/>
                      <w:b/>
                      <w:bCs/>
                      <w:u w:val="single"/>
                    </w:rPr>
                    <w:t>危险特性</w:t>
                  </w:r>
                </w:p>
              </w:tc>
              <w:tc>
                <w:tcPr>
                  <w:tcW w:w="0" w:type="auto"/>
                  <w:vAlign w:val="center"/>
                </w:tcPr>
                <w:p w14:paraId="3B67702C">
                  <w:pPr>
                    <w:pStyle w:val="42"/>
                    <w:rPr>
                      <w:u w:val="single"/>
                    </w:rPr>
                  </w:pPr>
                  <w:r>
                    <w:rPr>
                      <w:rFonts w:hint="eastAsia"/>
                      <w:b/>
                      <w:bCs/>
                      <w:u w:val="single"/>
                    </w:rPr>
                    <w:t>污染防治措施</w:t>
                  </w:r>
                </w:p>
              </w:tc>
            </w:tr>
            <w:tr w14:paraId="51A8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643480FB">
                  <w:pPr>
                    <w:pStyle w:val="42"/>
                    <w:rPr>
                      <w:u w:val="single"/>
                    </w:rPr>
                  </w:pPr>
                  <w:r>
                    <w:rPr>
                      <w:rFonts w:hint="eastAsia"/>
                      <w:u w:val="single"/>
                    </w:rPr>
                    <w:t>1</w:t>
                  </w:r>
                </w:p>
              </w:tc>
              <w:tc>
                <w:tcPr>
                  <w:tcW w:w="710" w:type="dxa"/>
                  <w:vAlign w:val="center"/>
                </w:tcPr>
                <w:p w14:paraId="4D450329">
                  <w:pPr>
                    <w:pStyle w:val="42"/>
                    <w:rPr>
                      <w:u w:val="single"/>
                    </w:rPr>
                  </w:pPr>
                  <w:r>
                    <w:rPr>
                      <w:rFonts w:hint="eastAsia"/>
                      <w:u w:val="single"/>
                    </w:rPr>
                    <w:t>废机油</w:t>
                  </w:r>
                </w:p>
              </w:tc>
              <w:tc>
                <w:tcPr>
                  <w:tcW w:w="0" w:type="auto"/>
                  <w:vAlign w:val="center"/>
                </w:tcPr>
                <w:p w14:paraId="6B971DE6">
                  <w:pPr>
                    <w:pStyle w:val="42"/>
                    <w:rPr>
                      <w:u w:val="single"/>
                    </w:rPr>
                  </w:pPr>
                  <w:r>
                    <w:rPr>
                      <w:rFonts w:hint="eastAsia"/>
                      <w:u w:val="single"/>
                    </w:rPr>
                    <w:t>HW08</w:t>
                  </w:r>
                </w:p>
              </w:tc>
              <w:tc>
                <w:tcPr>
                  <w:tcW w:w="0" w:type="auto"/>
                  <w:vAlign w:val="center"/>
                </w:tcPr>
                <w:p w14:paraId="1F62F0E0">
                  <w:pPr>
                    <w:pStyle w:val="42"/>
                    <w:rPr>
                      <w:u w:val="single"/>
                    </w:rPr>
                  </w:pPr>
                  <w:r>
                    <w:rPr>
                      <w:rFonts w:hint="eastAsia"/>
                      <w:u w:val="single"/>
                    </w:rPr>
                    <w:t>900</w:t>
                  </w:r>
                </w:p>
                <w:p w14:paraId="31BF7FA4">
                  <w:pPr>
                    <w:pStyle w:val="42"/>
                    <w:rPr>
                      <w:u w:val="single"/>
                    </w:rPr>
                  </w:pPr>
                  <w:r>
                    <w:rPr>
                      <w:rFonts w:hint="eastAsia"/>
                      <w:u w:val="single"/>
                    </w:rPr>
                    <w:t>-249</w:t>
                  </w:r>
                </w:p>
                <w:p w14:paraId="1A908E3F">
                  <w:pPr>
                    <w:pStyle w:val="42"/>
                    <w:rPr>
                      <w:u w:val="single"/>
                    </w:rPr>
                  </w:pPr>
                  <w:r>
                    <w:rPr>
                      <w:rFonts w:hint="eastAsia"/>
                      <w:u w:val="single"/>
                    </w:rPr>
                    <w:t>-08</w:t>
                  </w:r>
                </w:p>
              </w:tc>
              <w:tc>
                <w:tcPr>
                  <w:tcW w:w="697" w:type="dxa"/>
                  <w:vAlign w:val="center"/>
                </w:tcPr>
                <w:p w14:paraId="36ADCE4B">
                  <w:pPr>
                    <w:pStyle w:val="42"/>
                    <w:rPr>
                      <w:u w:val="single"/>
                    </w:rPr>
                  </w:pPr>
                  <w:r>
                    <w:rPr>
                      <w:rFonts w:hint="eastAsia"/>
                      <w:u w:val="single"/>
                    </w:rPr>
                    <w:t>1.5</w:t>
                  </w:r>
                </w:p>
              </w:tc>
              <w:tc>
                <w:tcPr>
                  <w:tcW w:w="922" w:type="dxa"/>
                  <w:vAlign w:val="center"/>
                </w:tcPr>
                <w:p w14:paraId="44CFF10E">
                  <w:pPr>
                    <w:pStyle w:val="42"/>
                    <w:rPr>
                      <w:u w:val="single"/>
                    </w:rPr>
                  </w:pPr>
                  <w:r>
                    <w:rPr>
                      <w:rFonts w:hint="eastAsia"/>
                      <w:u w:val="single"/>
                    </w:rPr>
                    <w:t>设备日常保养维护</w:t>
                  </w:r>
                </w:p>
              </w:tc>
              <w:tc>
                <w:tcPr>
                  <w:tcW w:w="0" w:type="auto"/>
                  <w:vAlign w:val="center"/>
                </w:tcPr>
                <w:p w14:paraId="785F8FCF">
                  <w:pPr>
                    <w:pStyle w:val="42"/>
                    <w:rPr>
                      <w:u w:val="single"/>
                    </w:rPr>
                  </w:pPr>
                  <w:r>
                    <w:rPr>
                      <w:rFonts w:hint="eastAsia"/>
                      <w:u w:val="single"/>
                    </w:rPr>
                    <w:t>液态</w:t>
                  </w:r>
                </w:p>
              </w:tc>
              <w:tc>
                <w:tcPr>
                  <w:tcW w:w="0" w:type="auto"/>
                  <w:vAlign w:val="center"/>
                </w:tcPr>
                <w:p w14:paraId="051CDD5B">
                  <w:pPr>
                    <w:pStyle w:val="42"/>
                    <w:rPr>
                      <w:u w:val="single"/>
                    </w:rPr>
                  </w:pPr>
                  <w:r>
                    <w:rPr>
                      <w:rFonts w:hint="eastAsia"/>
                      <w:u w:val="single"/>
                    </w:rPr>
                    <w:t>油类物质</w:t>
                  </w:r>
                </w:p>
              </w:tc>
              <w:tc>
                <w:tcPr>
                  <w:tcW w:w="0" w:type="auto"/>
                  <w:vAlign w:val="center"/>
                </w:tcPr>
                <w:p w14:paraId="3F64A7ED">
                  <w:pPr>
                    <w:pStyle w:val="42"/>
                    <w:rPr>
                      <w:u w:val="single"/>
                    </w:rPr>
                  </w:pPr>
                  <w:r>
                    <w:rPr>
                      <w:rFonts w:hint="eastAsia"/>
                      <w:u w:val="single"/>
                    </w:rPr>
                    <w:t>油类物质</w:t>
                  </w:r>
                </w:p>
              </w:tc>
              <w:tc>
                <w:tcPr>
                  <w:tcW w:w="0" w:type="auto"/>
                  <w:vAlign w:val="center"/>
                </w:tcPr>
                <w:p w14:paraId="138B0DF6">
                  <w:pPr>
                    <w:pStyle w:val="42"/>
                    <w:rPr>
                      <w:u w:val="single"/>
                    </w:rPr>
                  </w:pPr>
                  <w:r>
                    <w:rPr>
                      <w:rFonts w:hint="eastAsia"/>
                      <w:u w:val="single"/>
                    </w:rPr>
                    <w:t>1个月</w:t>
                  </w:r>
                </w:p>
              </w:tc>
              <w:tc>
                <w:tcPr>
                  <w:tcW w:w="0" w:type="auto"/>
                  <w:vAlign w:val="center"/>
                </w:tcPr>
                <w:p w14:paraId="58A34831">
                  <w:pPr>
                    <w:pStyle w:val="42"/>
                    <w:rPr>
                      <w:u w:val="single"/>
                    </w:rPr>
                  </w:pPr>
                  <w:r>
                    <w:rPr>
                      <w:rFonts w:hint="eastAsia"/>
                      <w:u w:val="single"/>
                    </w:rPr>
                    <w:t>T</w:t>
                  </w:r>
                </w:p>
              </w:tc>
              <w:tc>
                <w:tcPr>
                  <w:tcW w:w="0" w:type="auto"/>
                  <w:vAlign w:val="center"/>
                </w:tcPr>
                <w:p w14:paraId="0B1577FD">
                  <w:pPr>
                    <w:pStyle w:val="42"/>
                    <w:rPr>
                      <w:u w:val="single"/>
                    </w:rPr>
                  </w:pPr>
                  <w:r>
                    <w:rPr>
                      <w:rFonts w:hint="eastAsia"/>
                      <w:u w:val="single"/>
                    </w:rPr>
                    <w:t>密闭油桶收集后暂存于厂区内现有危废暂存间，定期委托有资质单位处置</w:t>
                  </w:r>
                </w:p>
              </w:tc>
            </w:tr>
            <w:tr w14:paraId="4A51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5787885B">
                  <w:pPr>
                    <w:pStyle w:val="42"/>
                    <w:rPr>
                      <w:u w:val="single"/>
                    </w:rPr>
                  </w:pPr>
                  <w:r>
                    <w:rPr>
                      <w:rFonts w:hint="eastAsia"/>
                      <w:u w:val="single"/>
                    </w:rPr>
                    <w:t>2</w:t>
                  </w:r>
                </w:p>
              </w:tc>
              <w:tc>
                <w:tcPr>
                  <w:tcW w:w="710" w:type="dxa"/>
                  <w:vAlign w:val="center"/>
                </w:tcPr>
                <w:p w14:paraId="0586FDED">
                  <w:pPr>
                    <w:pStyle w:val="42"/>
                    <w:rPr>
                      <w:u w:val="single"/>
                    </w:rPr>
                  </w:pPr>
                  <w:r>
                    <w:rPr>
                      <w:rFonts w:hint="eastAsia"/>
                      <w:u w:val="single"/>
                    </w:rPr>
                    <w:t>含油抹布、手套</w:t>
                  </w:r>
                </w:p>
              </w:tc>
              <w:tc>
                <w:tcPr>
                  <w:tcW w:w="0" w:type="auto"/>
                  <w:vAlign w:val="center"/>
                </w:tcPr>
                <w:p w14:paraId="26C83209">
                  <w:pPr>
                    <w:pStyle w:val="42"/>
                    <w:rPr>
                      <w:u w:val="single"/>
                    </w:rPr>
                  </w:pPr>
                  <w:r>
                    <w:rPr>
                      <w:rFonts w:hint="eastAsia"/>
                      <w:u w:val="single"/>
                    </w:rPr>
                    <w:t>HW49</w:t>
                  </w:r>
                </w:p>
              </w:tc>
              <w:tc>
                <w:tcPr>
                  <w:tcW w:w="0" w:type="auto"/>
                  <w:vAlign w:val="center"/>
                </w:tcPr>
                <w:p w14:paraId="69343AF0">
                  <w:pPr>
                    <w:pStyle w:val="42"/>
                    <w:rPr>
                      <w:u w:val="single"/>
                    </w:rPr>
                  </w:pPr>
                  <w:r>
                    <w:rPr>
                      <w:rFonts w:hint="eastAsia"/>
                      <w:u w:val="single"/>
                    </w:rPr>
                    <w:t>900</w:t>
                  </w:r>
                </w:p>
                <w:p w14:paraId="13C607D2">
                  <w:pPr>
                    <w:pStyle w:val="42"/>
                    <w:rPr>
                      <w:u w:val="single"/>
                    </w:rPr>
                  </w:pPr>
                  <w:r>
                    <w:rPr>
                      <w:rFonts w:hint="eastAsia"/>
                      <w:u w:val="single"/>
                    </w:rPr>
                    <w:t>-041</w:t>
                  </w:r>
                </w:p>
                <w:p w14:paraId="2F26B5B8">
                  <w:pPr>
                    <w:pStyle w:val="42"/>
                    <w:rPr>
                      <w:u w:val="single"/>
                    </w:rPr>
                  </w:pPr>
                  <w:r>
                    <w:rPr>
                      <w:rFonts w:hint="eastAsia"/>
                      <w:u w:val="single"/>
                    </w:rPr>
                    <w:t>-49</w:t>
                  </w:r>
                </w:p>
              </w:tc>
              <w:tc>
                <w:tcPr>
                  <w:tcW w:w="697" w:type="dxa"/>
                  <w:vAlign w:val="center"/>
                </w:tcPr>
                <w:p w14:paraId="7B1610AF">
                  <w:pPr>
                    <w:pStyle w:val="42"/>
                    <w:rPr>
                      <w:u w:val="single"/>
                    </w:rPr>
                  </w:pPr>
                  <w:r>
                    <w:rPr>
                      <w:rFonts w:hint="eastAsia"/>
                      <w:u w:val="single"/>
                    </w:rPr>
                    <w:t>0.5</w:t>
                  </w:r>
                </w:p>
              </w:tc>
              <w:tc>
                <w:tcPr>
                  <w:tcW w:w="922" w:type="dxa"/>
                  <w:vAlign w:val="center"/>
                </w:tcPr>
                <w:p w14:paraId="188AF64C">
                  <w:pPr>
                    <w:pStyle w:val="42"/>
                    <w:rPr>
                      <w:u w:val="single"/>
                    </w:rPr>
                  </w:pPr>
                  <w:r>
                    <w:rPr>
                      <w:rFonts w:hint="eastAsia"/>
                      <w:u w:val="single"/>
                    </w:rPr>
                    <w:t>设备日常保养维护</w:t>
                  </w:r>
                </w:p>
              </w:tc>
              <w:tc>
                <w:tcPr>
                  <w:tcW w:w="0" w:type="auto"/>
                  <w:vAlign w:val="center"/>
                </w:tcPr>
                <w:p w14:paraId="26178AAB">
                  <w:pPr>
                    <w:pStyle w:val="42"/>
                    <w:rPr>
                      <w:u w:val="single"/>
                    </w:rPr>
                  </w:pPr>
                  <w:r>
                    <w:rPr>
                      <w:rFonts w:hint="eastAsia"/>
                      <w:u w:val="single"/>
                    </w:rPr>
                    <w:t>固态</w:t>
                  </w:r>
                </w:p>
              </w:tc>
              <w:tc>
                <w:tcPr>
                  <w:tcW w:w="0" w:type="auto"/>
                  <w:vAlign w:val="center"/>
                </w:tcPr>
                <w:p w14:paraId="702F796A">
                  <w:pPr>
                    <w:pStyle w:val="42"/>
                    <w:rPr>
                      <w:u w:val="single"/>
                    </w:rPr>
                  </w:pPr>
                  <w:r>
                    <w:rPr>
                      <w:rFonts w:hint="eastAsia"/>
                      <w:u w:val="single"/>
                    </w:rPr>
                    <w:t>油类物质</w:t>
                  </w:r>
                </w:p>
              </w:tc>
              <w:tc>
                <w:tcPr>
                  <w:tcW w:w="0" w:type="auto"/>
                  <w:vAlign w:val="center"/>
                </w:tcPr>
                <w:p w14:paraId="6851D9A8">
                  <w:pPr>
                    <w:pStyle w:val="42"/>
                    <w:rPr>
                      <w:u w:val="single"/>
                    </w:rPr>
                  </w:pPr>
                  <w:r>
                    <w:rPr>
                      <w:rFonts w:hint="eastAsia"/>
                      <w:u w:val="single"/>
                    </w:rPr>
                    <w:t>油类物质</w:t>
                  </w:r>
                </w:p>
              </w:tc>
              <w:tc>
                <w:tcPr>
                  <w:tcW w:w="0" w:type="auto"/>
                  <w:vAlign w:val="center"/>
                </w:tcPr>
                <w:p w14:paraId="2717EF81">
                  <w:pPr>
                    <w:pStyle w:val="42"/>
                    <w:rPr>
                      <w:u w:val="single"/>
                    </w:rPr>
                  </w:pPr>
                  <w:r>
                    <w:rPr>
                      <w:rFonts w:hint="eastAsia"/>
                      <w:u w:val="single"/>
                    </w:rPr>
                    <w:t>1个月</w:t>
                  </w:r>
                </w:p>
              </w:tc>
              <w:tc>
                <w:tcPr>
                  <w:tcW w:w="0" w:type="auto"/>
                  <w:vAlign w:val="center"/>
                </w:tcPr>
                <w:p w14:paraId="5C4BE9CC">
                  <w:pPr>
                    <w:pStyle w:val="42"/>
                    <w:rPr>
                      <w:u w:val="single"/>
                    </w:rPr>
                  </w:pPr>
                  <w:r>
                    <w:rPr>
                      <w:rFonts w:hint="eastAsia"/>
                      <w:u w:val="single"/>
                    </w:rPr>
                    <w:t>T</w:t>
                  </w:r>
                </w:p>
              </w:tc>
              <w:tc>
                <w:tcPr>
                  <w:tcW w:w="0" w:type="auto"/>
                  <w:vAlign w:val="center"/>
                </w:tcPr>
                <w:p w14:paraId="67553151">
                  <w:pPr>
                    <w:pStyle w:val="42"/>
                    <w:rPr>
                      <w:u w:val="single"/>
                    </w:rPr>
                  </w:pPr>
                  <w:r>
                    <w:rPr>
                      <w:rFonts w:hint="eastAsia"/>
                      <w:u w:val="single"/>
                    </w:rPr>
                    <w:t>收集后暂存于厂区内现有危废暂存间，定期委托有资质单位处置</w:t>
                  </w:r>
                </w:p>
              </w:tc>
            </w:tr>
          </w:tbl>
          <w:p w14:paraId="4041F36F">
            <w:pPr>
              <w:pStyle w:val="41"/>
              <w:ind w:firstLine="480"/>
            </w:pPr>
          </w:p>
          <w:p w14:paraId="3D24BFF1">
            <w:pPr>
              <w:pStyle w:val="41"/>
              <w:ind w:firstLine="480"/>
              <w:rPr>
                <w:u w:val="single"/>
              </w:rPr>
            </w:pPr>
            <w:r>
              <w:rPr>
                <w:rFonts w:hint="eastAsia"/>
              </w:rPr>
              <w:t>空分厂区内现有危废暂存间1个，面积约为46m</w:t>
            </w:r>
            <w:r>
              <w:rPr>
                <w:rFonts w:hint="eastAsia"/>
                <w:vertAlign w:val="superscript"/>
              </w:rPr>
              <w:t>2</w:t>
            </w:r>
            <w:r>
              <w:rPr>
                <w:rFonts w:hint="eastAsia"/>
              </w:rPr>
              <w:t>，危废间已采取防风、防晒、防雨、防渗等污染防治措施，并根据危险废物的类别、数量、形态、物理化学性质和污染防治等要求设置了相应的贮存分区。</w:t>
            </w:r>
            <w:r>
              <w:rPr>
                <w:rFonts w:hint="eastAsia"/>
                <w:u w:val="single"/>
              </w:rPr>
              <w:t>危废间主要暂存危险废物包括废机油（HW08，900-249-08）、含油抹布、手套（HW49，900-041-49）、废药剂桶（HW49，900-041-49）、废油桶（HW49，900-041-49）、实验室废弃物（HW49，900-041-49）。本项目建成后依托现有危废间暂存的危险废物主要为废机油、含油抹布、手套，未新增危废间暂存的危废种类，现有危废间可满足本项目的危废贮存需要。</w:t>
            </w:r>
          </w:p>
          <w:p w14:paraId="45E4597E">
            <w:pPr>
              <w:pStyle w:val="41"/>
              <w:numPr>
                <w:ilvl w:val="0"/>
                <w:numId w:val="8"/>
              </w:numPr>
              <w:spacing w:line="240" w:lineRule="auto"/>
              <w:ind w:left="0" w:firstLine="0" w:firstLineChars="0"/>
              <w:jc w:val="center"/>
              <w:rPr>
                <w:b/>
                <w:bCs/>
                <w:sz w:val="21"/>
                <w:szCs w:val="21"/>
                <w:u w:val="single"/>
              </w:rPr>
            </w:pPr>
            <w:r>
              <w:rPr>
                <w:rFonts w:hint="eastAsia"/>
                <w:b/>
                <w:bCs/>
                <w:sz w:val="21"/>
                <w:szCs w:val="21"/>
                <w:u w:val="single"/>
              </w:rPr>
              <w:t>建设项目危险废物贮存场所（设施）基本情况表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992"/>
              <w:gridCol w:w="1065"/>
              <w:gridCol w:w="845"/>
              <w:gridCol w:w="845"/>
              <w:gridCol w:w="845"/>
              <w:gridCol w:w="846"/>
              <w:gridCol w:w="846"/>
              <w:gridCol w:w="846"/>
              <w:gridCol w:w="846"/>
            </w:tblGrid>
            <w:tr w14:paraId="1DB5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Align w:val="center"/>
                </w:tcPr>
                <w:p w14:paraId="644A018D">
                  <w:pPr>
                    <w:pStyle w:val="42"/>
                    <w:rPr>
                      <w:b/>
                      <w:bCs/>
                      <w:u w:val="single"/>
                    </w:rPr>
                  </w:pPr>
                  <w:r>
                    <w:rPr>
                      <w:rFonts w:hint="eastAsia"/>
                      <w:b/>
                      <w:bCs/>
                      <w:u w:val="single"/>
                    </w:rPr>
                    <w:t>序号</w:t>
                  </w:r>
                </w:p>
              </w:tc>
              <w:tc>
                <w:tcPr>
                  <w:tcW w:w="992" w:type="dxa"/>
                  <w:vAlign w:val="center"/>
                </w:tcPr>
                <w:p w14:paraId="062A62B5">
                  <w:pPr>
                    <w:pStyle w:val="42"/>
                    <w:rPr>
                      <w:b/>
                      <w:bCs/>
                      <w:u w:val="single"/>
                    </w:rPr>
                  </w:pPr>
                  <w:r>
                    <w:rPr>
                      <w:rFonts w:hint="eastAsia"/>
                      <w:b/>
                      <w:bCs/>
                      <w:u w:val="single"/>
                    </w:rPr>
                    <w:t>贮存场所（设施）名称</w:t>
                  </w:r>
                </w:p>
              </w:tc>
              <w:tc>
                <w:tcPr>
                  <w:tcW w:w="1065" w:type="dxa"/>
                  <w:vAlign w:val="center"/>
                </w:tcPr>
                <w:p w14:paraId="23195D1F">
                  <w:pPr>
                    <w:pStyle w:val="42"/>
                    <w:rPr>
                      <w:b/>
                      <w:bCs/>
                      <w:u w:val="single"/>
                    </w:rPr>
                  </w:pPr>
                  <w:r>
                    <w:rPr>
                      <w:rFonts w:hint="eastAsia"/>
                      <w:b/>
                      <w:bCs/>
                      <w:u w:val="single"/>
                    </w:rPr>
                    <w:t>危险废物名称</w:t>
                  </w:r>
                </w:p>
              </w:tc>
              <w:tc>
                <w:tcPr>
                  <w:tcW w:w="845" w:type="dxa"/>
                  <w:vAlign w:val="center"/>
                </w:tcPr>
                <w:p w14:paraId="1F163DEA">
                  <w:pPr>
                    <w:pStyle w:val="42"/>
                    <w:rPr>
                      <w:b/>
                      <w:bCs/>
                      <w:u w:val="single"/>
                    </w:rPr>
                  </w:pPr>
                  <w:r>
                    <w:rPr>
                      <w:rFonts w:hint="eastAsia"/>
                      <w:b/>
                      <w:bCs/>
                      <w:u w:val="single"/>
                    </w:rPr>
                    <w:t>危险废物类别</w:t>
                  </w:r>
                </w:p>
              </w:tc>
              <w:tc>
                <w:tcPr>
                  <w:tcW w:w="845" w:type="dxa"/>
                  <w:vAlign w:val="center"/>
                </w:tcPr>
                <w:p w14:paraId="3351F0B5">
                  <w:pPr>
                    <w:pStyle w:val="42"/>
                    <w:rPr>
                      <w:b/>
                      <w:bCs/>
                      <w:u w:val="single"/>
                    </w:rPr>
                  </w:pPr>
                  <w:r>
                    <w:rPr>
                      <w:rFonts w:hint="eastAsia"/>
                      <w:b/>
                      <w:bCs/>
                      <w:u w:val="single"/>
                    </w:rPr>
                    <w:t>危险废物代码</w:t>
                  </w:r>
                </w:p>
              </w:tc>
              <w:tc>
                <w:tcPr>
                  <w:tcW w:w="845" w:type="dxa"/>
                  <w:vAlign w:val="center"/>
                </w:tcPr>
                <w:p w14:paraId="698C1A28">
                  <w:pPr>
                    <w:pStyle w:val="42"/>
                    <w:rPr>
                      <w:b/>
                      <w:bCs/>
                      <w:u w:val="single"/>
                    </w:rPr>
                  </w:pPr>
                  <w:r>
                    <w:rPr>
                      <w:rFonts w:hint="eastAsia"/>
                      <w:b/>
                      <w:bCs/>
                      <w:u w:val="single"/>
                    </w:rPr>
                    <w:t>位置</w:t>
                  </w:r>
                </w:p>
              </w:tc>
              <w:tc>
                <w:tcPr>
                  <w:tcW w:w="846" w:type="dxa"/>
                  <w:vAlign w:val="center"/>
                </w:tcPr>
                <w:p w14:paraId="3ED45888">
                  <w:pPr>
                    <w:pStyle w:val="42"/>
                    <w:rPr>
                      <w:b/>
                      <w:bCs/>
                      <w:u w:val="single"/>
                    </w:rPr>
                  </w:pPr>
                  <w:r>
                    <w:rPr>
                      <w:rFonts w:hint="eastAsia"/>
                      <w:b/>
                      <w:bCs/>
                      <w:u w:val="single"/>
                    </w:rPr>
                    <w:t>占地面积</w:t>
                  </w:r>
                </w:p>
              </w:tc>
              <w:tc>
                <w:tcPr>
                  <w:tcW w:w="846" w:type="dxa"/>
                  <w:vAlign w:val="center"/>
                </w:tcPr>
                <w:p w14:paraId="735537BD">
                  <w:pPr>
                    <w:pStyle w:val="42"/>
                    <w:rPr>
                      <w:b/>
                      <w:bCs/>
                      <w:u w:val="single"/>
                    </w:rPr>
                  </w:pPr>
                  <w:r>
                    <w:rPr>
                      <w:rFonts w:hint="eastAsia"/>
                      <w:b/>
                      <w:bCs/>
                      <w:u w:val="single"/>
                    </w:rPr>
                    <w:t>贮存方式</w:t>
                  </w:r>
                </w:p>
              </w:tc>
              <w:tc>
                <w:tcPr>
                  <w:tcW w:w="846" w:type="dxa"/>
                  <w:vAlign w:val="center"/>
                </w:tcPr>
                <w:p w14:paraId="274841CD">
                  <w:pPr>
                    <w:pStyle w:val="42"/>
                    <w:rPr>
                      <w:b/>
                      <w:bCs/>
                      <w:u w:val="single"/>
                    </w:rPr>
                  </w:pPr>
                  <w:r>
                    <w:rPr>
                      <w:rFonts w:hint="eastAsia"/>
                      <w:b/>
                      <w:bCs/>
                      <w:u w:val="single"/>
                    </w:rPr>
                    <w:t>贮存能力</w:t>
                  </w:r>
                </w:p>
              </w:tc>
              <w:tc>
                <w:tcPr>
                  <w:tcW w:w="846" w:type="dxa"/>
                  <w:vAlign w:val="center"/>
                </w:tcPr>
                <w:p w14:paraId="1A111DEE">
                  <w:pPr>
                    <w:pStyle w:val="42"/>
                    <w:rPr>
                      <w:b/>
                      <w:bCs/>
                      <w:u w:val="single"/>
                    </w:rPr>
                  </w:pPr>
                  <w:r>
                    <w:rPr>
                      <w:rFonts w:hint="eastAsia"/>
                      <w:b/>
                      <w:bCs/>
                      <w:u w:val="single"/>
                    </w:rPr>
                    <w:t>贮存周期</w:t>
                  </w:r>
                </w:p>
              </w:tc>
            </w:tr>
            <w:tr w14:paraId="5421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vAlign w:val="center"/>
                </w:tcPr>
                <w:p w14:paraId="6A20CC0D">
                  <w:pPr>
                    <w:pStyle w:val="42"/>
                    <w:rPr>
                      <w:u w:val="single"/>
                    </w:rPr>
                  </w:pPr>
                  <w:r>
                    <w:rPr>
                      <w:rFonts w:hint="eastAsia"/>
                      <w:u w:val="single"/>
                    </w:rPr>
                    <w:t>1</w:t>
                  </w:r>
                </w:p>
              </w:tc>
              <w:tc>
                <w:tcPr>
                  <w:tcW w:w="992" w:type="dxa"/>
                  <w:vMerge w:val="restart"/>
                  <w:vAlign w:val="center"/>
                </w:tcPr>
                <w:p w14:paraId="0740F920">
                  <w:pPr>
                    <w:pStyle w:val="42"/>
                    <w:rPr>
                      <w:u w:val="single"/>
                    </w:rPr>
                  </w:pPr>
                  <w:r>
                    <w:rPr>
                      <w:rFonts w:hint="eastAsia"/>
                      <w:u w:val="single"/>
                    </w:rPr>
                    <w:t>危废暂存间</w:t>
                  </w:r>
                </w:p>
              </w:tc>
              <w:tc>
                <w:tcPr>
                  <w:tcW w:w="1065" w:type="dxa"/>
                  <w:vAlign w:val="center"/>
                </w:tcPr>
                <w:p w14:paraId="62A1F167">
                  <w:pPr>
                    <w:pStyle w:val="42"/>
                    <w:rPr>
                      <w:u w:val="single"/>
                    </w:rPr>
                  </w:pPr>
                  <w:r>
                    <w:rPr>
                      <w:rFonts w:hint="eastAsia"/>
                      <w:u w:val="single"/>
                    </w:rPr>
                    <w:t>废机油</w:t>
                  </w:r>
                </w:p>
              </w:tc>
              <w:tc>
                <w:tcPr>
                  <w:tcW w:w="845" w:type="dxa"/>
                  <w:vAlign w:val="center"/>
                </w:tcPr>
                <w:p w14:paraId="79B6DFC5">
                  <w:pPr>
                    <w:pStyle w:val="42"/>
                    <w:rPr>
                      <w:u w:val="single"/>
                    </w:rPr>
                  </w:pPr>
                  <w:r>
                    <w:rPr>
                      <w:rFonts w:hint="eastAsia"/>
                      <w:u w:val="single"/>
                    </w:rPr>
                    <w:t>HW08</w:t>
                  </w:r>
                </w:p>
              </w:tc>
              <w:tc>
                <w:tcPr>
                  <w:tcW w:w="845" w:type="dxa"/>
                  <w:vAlign w:val="center"/>
                </w:tcPr>
                <w:p w14:paraId="77B38339">
                  <w:pPr>
                    <w:pStyle w:val="42"/>
                    <w:rPr>
                      <w:u w:val="single"/>
                    </w:rPr>
                  </w:pPr>
                  <w:r>
                    <w:rPr>
                      <w:rFonts w:hint="eastAsia"/>
                      <w:u w:val="single"/>
                    </w:rPr>
                    <w:t>900</w:t>
                  </w:r>
                </w:p>
                <w:p w14:paraId="3CBE08E2">
                  <w:pPr>
                    <w:pStyle w:val="42"/>
                    <w:rPr>
                      <w:u w:val="single"/>
                    </w:rPr>
                  </w:pPr>
                  <w:r>
                    <w:rPr>
                      <w:rFonts w:hint="eastAsia"/>
                      <w:u w:val="single"/>
                    </w:rPr>
                    <w:t>-249</w:t>
                  </w:r>
                </w:p>
                <w:p w14:paraId="6167A496">
                  <w:pPr>
                    <w:pStyle w:val="42"/>
                    <w:rPr>
                      <w:u w:val="single"/>
                    </w:rPr>
                  </w:pPr>
                  <w:r>
                    <w:rPr>
                      <w:rFonts w:hint="eastAsia"/>
                      <w:u w:val="single"/>
                    </w:rPr>
                    <w:t>-08</w:t>
                  </w:r>
                </w:p>
              </w:tc>
              <w:tc>
                <w:tcPr>
                  <w:tcW w:w="845" w:type="dxa"/>
                  <w:vMerge w:val="restart"/>
                  <w:vAlign w:val="center"/>
                </w:tcPr>
                <w:p w14:paraId="6021EA34">
                  <w:pPr>
                    <w:pStyle w:val="42"/>
                    <w:rPr>
                      <w:u w:val="single"/>
                    </w:rPr>
                  </w:pPr>
                  <w:r>
                    <w:rPr>
                      <w:rFonts w:hint="eastAsia"/>
                      <w:u w:val="single"/>
                    </w:rPr>
                    <w:t>空分项目厂区内北面</w:t>
                  </w:r>
                </w:p>
              </w:tc>
              <w:tc>
                <w:tcPr>
                  <w:tcW w:w="846" w:type="dxa"/>
                  <w:vMerge w:val="restart"/>
                  <w:vAlign w:val="center"/>
                </w:tcPr>
                <w:p w14:paraId="1022B352">
                  <w:pPr>
                    <w:pStyle w:val="42"/>
                    <w:rPr>
                      <w:u w:val="single"/>
                    </w:rPr>
                  </w:pPr>
                  <w:r>
                    <w:rPr>
                      <w:rFonts w:hint="eastAsia"/>
                      <w:u w:val="single"/>
                    </w:rPr>
                    <w:t>46m</w:t>
                  </w:r>
                  <w:r>
                    <w:rPr>
                      <w:rFonts w:hint="eastAsia"/>
                      <w:u w:val="single"/>
                      <w:vertAlign w:val="superscript"/>
                    </w:rPr>
                    <w:t>2</w:t>
                  </w:r>
                </w:p>
              </w:tc>
              <w:tc>
                <w:tcPr>
                  <w:tcW w:w="846" w:type="dxa"/>
                  <w:vAlign w:val="center"/>
                </w:tcPr>
                <w:p w14:paraId="1E460FE2">
                  <w:pPr>
                    <w:pStyle w:val="42"/>
                    <w:rPr>
                      <w:u w:val="single"/>
                    </w:rPr>
                  </w:pPr>
                  <w:r>
                    <w:rPr>
                      <w:rFonts w:hint="eastAsia"/>
                      <w:u w:val="single"/>
                    </w:rPr>
                    <w:t>桶装</w:t>
                  </w:r>
                </w:p>
              </w:tc>
              <w:tc>
                <w:tcPr>
                  <w:tcW w:w="846" w:type="dxa"/>
                  <w:vAlign w:val="center"/>
                </w:tcPr>
                <w:p w14:paraId="00DC0255">
                  <w:pPr>
                    <w:pStyle w:val="42"/>
                    <w:rPr>
                      <w:u w:val="single"/>
                    </w:rPr>
                  </w:pPr>
                  <w:r>
                    <w:rPr>
                      <w:rFonts w:hint="eastAsia"/>
                      <w:u w:val="single"/>
                    </w:rPr>
                    <w:t>10t</w:t>
                  </w:r>
                </w:p>
              </w:tc>
              <w:tc>
                <w:tcPr>
                  <w:tcW w:w="846" w:type="dxa"/>
                  <w:vAlign w:val="center"/>
                </w:tcPr>
                <w:p w14:paraId="13523752">
                  <w:pPr>
                    <w:pStyle w:val="42"/>
                    <w:rPr>
                      <w:u w:val="single"/>
                    </w:rPr>
                  </w:pPr>
                  <w:r>
                    <w:rPr>
                      <w:rFonts w:hint="eastAsia"/>
                      <w:u w:val="single"/>
                    </w:rPr>
                    <w:t>3个月</w:t>
                  </w:r>
                </w:p>
              </w:tc>
            </w:tr>
            <w:tr w14:paraId="308E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vAlign w:val="center"/>
                </w:tcPr>
                <w:p w14:paraId="111797EA">
                  <w:pPr>
                    <w:pStyle w:val="42"/>
                    <w:rPr>
                      <w:u w:val="single"/>
                    </w:rPr>
                  </w:pPr>
                </w:p>
              </w:tc>
              <w:tc>
                <w:tcPr>
                  <w:tcW w:w="992" w:type="dxa"/>
                  <w:vMerge w:val="continue"/>
                  <w:vAlign w:val="center"/>
                </w:tcPr>
                <w:p w14:paraId="512B9691">
                  <w:pPr>
                    <w:pStyle w:val="42"/>
                    <w:rPr>
                      <w:u w:val="single"/>
                    </w:rPr>
                  </w:pPr>
                </w:p>
              </w:tc>
              <w:tc>
                <w:tcPr>
                  <w:tcW w:w="1065" w:type="dxa"/>
                  <w:vAlign w:val="center"/>
                </w:tcPr>
                <w:p w14:paraId="103C191D">
                  <w:pPr>
                    <w:pStyle w:val="42"/>
                    <w:rPr>
                      <w:u w:val="single"/>
                    </w:rPr>
                  </w:pPr>
                  <w:r>
                    <w:rPr>
                      <w:rFonts w:hint="eastAsia"/>
                      <w:u w:val="single"/>
                    </w:rPr>
                    <w:t>含油抹布、手套</w:t>
                  </w:r>
                </w:p>
              </w:tc>
              <w:tc>
                <w:tcPr>
                  <w:tcW w:w="845" w:type="dxa"/>
                  <w:vAlign w:val="center"/>
                </w:tcPr>
                <w:p w14:paraId="6C9C183E">
                  <w:pPr>
                    <w:pStyle w:val="42"/>
                    <w:rPr>
                      <w:u w:val="single"/>
                    </w:rPr>
                  </w:pPr>
                  <w:r>
                    <w:rPr>
                      <w:rFonts w:hint="eastAsia"/>
                      <w:u w:val="single"/>
                    </w:rPr>
                    <w:t>HW49</w:t>
                  </w:r>
                </w:p>
              </w:tc>
              <w:tc>
                <w:tcPr>
                  <w:tcW w:w="845" w:type="dxa"/>
                  <w:vAlign w:val="center"/>
                </w:tcPr>
                <w:p w14:paraId="3B5AF0E5">
                  <w:pPr>
                    <w:pStyle w:val="42"/>
                    <w:rPr>
                      <w:u w:val="single"/>
                    </w:rPr>
                  </w:pPr>
                  <w:r>
                    <w:rPr>
                      <w:rFonts w:hint="eastAsia"/>
                      <w:u w:val="single"/>
                    </w:rPr>
                    <w:t>900</w:t>
                  </w:r>
                </w:p>
                <w:p w14:paraId="2AD84A19">
                  <w:pPr>
                    <w:pStyle w:val="42"/>
                    <w:rPr>
                      <w:u w:val="single"/>
                    </w:rPr>
                  </w:pPr>
                  <w:r>
                    <w:rPr>
                      <w:rFonts w:hint="eastAsia"/>
                      <w:u w:val="single"/>
                    </w:rPr>
                    <w:t>-041</w:t>
                  </w:r>
                </w:p>
                <w:p w14:paraId="469F70CE">
                  <w:pPr>
                    <w:pStyle w:val="42"/>
                    <w:rPr>
                      <w:u w:val="single"/>
                    </w:rPr>
                  </w:pPr>
                  <w:r>
                    <w:rPr>
                      <w:rFonts w:hint="eastAsia"/>
                      <w:u w:val="single"/>
                    </w:rPr>
                    <w:t>-49</w:t>
                  </w:r>
                </w:p>
              </w:tc>
              <w:tc>
                <w:tcPr>
                  <w:tcW w:w="845" w:type="dxa"/>
                  <w:vMerge w:val="continue"/>
                  <w:vAlign w:val="center"/>
                </w:tcPr>
                <w:p w14:paraId="6DB772DD">
                  <w:pPr>
                    <w:pStyle w:val="42"/>
                    <w:rPr>
                      <w:u w:val="single"/>
                    </w:rPr>
                  </w:pPr>
                </w:p>
              </w:tc>
              <w:tc>
                <w:tcPr>
                  <w:tcW w:w="846" w:type="dxa"/>
                  <w:vMerge w:val="continue"/>
                  <w:vAlign w:val="center"/>
                </w:tcPr>
                <w:p w14:paraId="31BE74EF">
                  <w:pPr>
                    <w:pStyle w:val="42"/>
                    <w:rPr>
                      <w:u w:val="single"/>
                    </w:rPr>
                  </w:pPr>
                </w:p>
              </w:tc>
              <w:tc>
                <w:tcPr>
                  <w:tcW w:w="846" w:type="dxa"/>
                  <w:vAlign w:val="center"/>
                </w:tcPr>
                <w:p w14:paraId="7298B6FC">
                  <w:pPr>
                    <w:pStyle w:val="42"/>
                    <w:rPr>
                      <w:u w:val="single"/>
                    </w:rPr>
                  </w:pPr>
                  <w:r>
                    <w:rPr>
                      <w:rFonts w:hint="eastAsia"/>
                      <w:u w:val="single"/>
                    </w:rPr>
                    <w:t>封闭容器贮存</w:t>
                  </w:r>
                </w:p>
              </w:tc>
              <w:tc>
                <w:tcPr>
                  <w:tcW w:w="846" w:type="dxa"/>
                  <w:vAlign w:val="center"/>
                </w:tcPr>
                <w:p w14:paraId="67B0CA4B">
                  <w:pPr>
                    <w:pStyle w:val="42"/>
                    <w:rPr>
                      <w:u w:val="single"/>
                    </w:rPr>
                  </w:pPr>
                  <w:r>
                    <w:rPr>
                      <w:rFonts w:hint="eastAsia"/>
                      <w:u w:val="single"/>
                    </w:rPr>
                    <w:t>3t</w:t>
                  </w:r>
                </w:p>
              </w:tc>
              <w:tc>
                <w:tcPr>
                  <w:tcW w:w="846" w:type="dxa"/>
                  <w:vAlign w:val="center"/>
                </w:tcPr>
                <w:p w14:paraId="044D9D0E">
                  <w:pPr>
                    <w:pStyle w:val="42"/>
                    <w:rPr>
                      <w:u w:val="single"/>
                    </w:rPr>
                  </w:pPr>
                  <w:r>
                    <w:rPr>
                      <w:rFonts w:hint="eastAsia"/>
                      <w:u w:val="single"/>
                    </w:rPr>
                    <w:t>3个月</w:t>
                  </w:r>
                </w:p>
              </w:tc>
            </w:tr>
          </w:tbl>
          <w:p w14:paraId="727E68AA">
            <w:pPr>
              <w:pStyle w:val="41"/>
              <w:ind w:firstLine="480"/>
              <w:rPr>
                <w:u w:val="single"/>
              </w:rPr>
            </w:pPr>
          </w:p>
          <w:p w14:paraId="76822A5B">
            <w:pPr>
              <w:pStyle w:val="41"/>
              <w:ind w:firstLine="480"/>
            </w:pPr>
            <w:r>
              <w:rPr>
                <w:rFonts w:hint="eastAsia"/>
              </w:rPr>
              <w:t>项目新增定员</w:t>
            </w:r>
            <w:r>
              <w:t>5</w:t>
            </w:r>
            <w:r>
              <w:rPr>
                <w:rFonts w:hint="eastAsia"/>
              </w:rPr>
              <w:t>人，按人均垃圾发生量1kg/人·d计算，年生产天数350天，则生活垃圾产生量为1</w:t>
            </w:r>
            <w:r>
              <w:t>.75</w:t>
            </w:r>
            <w:r>
              <w:rPr>
                <w:rFonts w:hint="eastAsia"/>
              </w:rPr>
              <w:t>t/a，集中收集后由当地环卫部门每日统一清运，不会对环境造成严重不良影响。</w:t>
            </w:r>
          </w:p>
          <w:p w14:paraId="7A9FD4C6">
            <w:pPr>
              <w:pStyle w:val="41"/>
              <w:ind w:firstLine="480"/>
            </w:pPr>
            <w:r>
              <w:rPr>
                <w:rFonts w:hint="eastAsia"/>
              </w:rPr>
              <w:t>综上，本项目运营期产生的固体废物均能妥善处置，对周边环境影响较小。</w:t>
            </w:r>
          </w:p>
          <w:p w14:paraId="60B2A989">
            <w:pPr>
              <w:pStyle w:val="41"/>
              <w:ind w:firstLine="482"/>
              <w:rPr>
                <w:b/>
                <w:bCs/>
              </w:rPr>
            </w:pPr>
            <w:r>
              <w:rPr>
                <w:rFonts w:hint="eastAsia"/>
                <w:b/>
                <w:bCs/>
              </w:rPr>
              <w:t>7运营期环境风险影响分析</w:t>
            </w:r>
          </w:p>
          <w:p w14:paraId="411EE57B">
            <w:pPr>
              <w:pStyle w:val="41"/>
              <w:ind w:firstLine="480"/>
            </w:pPr>
            <w:r>
              <w:rPr>
                <w:rFonts w:hint="eastAsia"/>
              </w:rPr>
              <w:t>本项目开展《环境风险专项评价》，评价内容详见专项，主要环境影响评价结论如下：</w:t>
            </w:r>
          </w:p>
          <w:p w14:paraId="59566B0F">
            <w:pPr>
              <w:pStyle w:val="41"/>
              <w:ind w:firstLine="480"/>
            </w:pPr>
            <w:r>
              <w:rPr>
                <w:rFonts w:hint="eastAsia"/>
              </w:rPr>
              <w:t>本项目工艺成熟可靠，选址合理，平面布置、设备设计选型等符合安全要求。依据国家相关法律法规和标准等，应采取相应的安全措施和技术手段。通过落实相应的安全措施，本项目建成后能够安全运行。</w:t>
            </w:r>
          </w:p>
          <w:p w14:paraId="6356144F">
            <w:pPr>
              <w:pStyle w:val="41"/>
              <w:ind w:firstLine="480"/>
            </w:pPr>
          </w:p>
        </w:tc>
      </w:tr>
      <w:tr w14:paraId="1DA74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557" w:type="dxa"/>
            <w:vAlign w:val="center"/>
          </w:tcPr>
          <w:p w14:paraId="18B7D416">
            <w:pPr>
              <w:pStyle w:val="15"/>
              <w:adjustRightInd w:val="0"/>
              <w:snapToGrid w:val="0"/>
              <w:spacing w:before="0" w:beforeAutospacing="0" w:after="0" w:afterAutospacing="0"/>
              <w:jc w:val="center"/>
              <w:rPr>
                <w:rFonts w:hint="eastAsia" w:cs="宋体"/>
                <w:bCs/>
                <w:kern w:val="2"/>
              </w:rPr>
            </w:pPr>
            <w:r>
              <w:rPr>
                <w:rFonts w:hint="eastAsia" w:cs="宋体"/>
                <w:bCs/>
                <w:kern w:val="2"/>
              </w:rPr>
              <w:t>选址选线环境合理性分析</w:t>
            </w:r>
          </w:p>
        </w:tc>
        <w:tc>
          <w:tcPr>
            <w:tcW w:w="8685" w:type="dxa"/>
          </w:tcPr>
          <w:p w14:paraId="5F5010F4">
            <w:pPr>
              <w:pStyle w:val="41"/>
              <w:ind w:firstLine="480"/>
              <w:rPr>
                <w:highlight w:val="yellow"/>
              </w:rPr>
            </w:pPr>
            <w:r>
              <w:rPr>
                <w:rFonts w:hint="eastAsia"/>
              </w:rPr>
              <w:t>本项目位于广西钦州石化产业园内，在广西华谊能源化工配套空分项目现有厂区内建设，管道依托园区公共管廊架空铺设，因此项目建设无新增占地。项目所依托的现有厂区及公共管廊占地区域内无饮用水水源保护区、风景名胜区、自然保护区等法律法规规定的环境敏感区，不涉及占用耕地、基本农田，厂区外200m范围内无环境敏感目标分布，项目选址选线合理。</w:t>
            </w:r>
          </w:p>
        </w:tc>
      </w:tr>
    </w:tbl>
    <w:p w14:paraId="2AEA89E9">
      <w:pPr>
        <w:pStyle w:val="15"/>
        <w:jc w:val="center"/>
        <w:rPr>
          <w:rFonts w:hint="eastAsia" w:ascii="黑体" w:hAnsi="黑体" w:eastAsia="黑体"/>
          <w:snapToGrid w:val="0"/>
          <w:sz w:val="36"/>
          <w:szCs w:val="36"/>
        </w:rPr>
        <w:sectPr>
          <w:pgSz w:w="11906" w:h="16838"/>
          <w:pgMar w:top="1418" w:right="1418" w:bottom="1418" w:left="1418" w:header="851" w:footer="1077" w:gutter="0"/>
          <w:cols w:space="720" w:num="1"/>
          <w:docGrid w:linePitch="312" w:charSpace="0"/>
        </w:sectPr>
      </w:pPr>
    </w:p>
    <w:p w14:paraId="03037172">
      <w:pPr>
        <w:pStyle w:val="15"/>
        <w:numPr>
          <w:ilvl w:val="0"/>
          <w:numId w:val="2"/>
        </w:numPr>
        <w:jc w:val="center"/>
        <w:outlineLvl w:val="0"/>
        <w:rPr>
          <w:rFonts w:hint="eastAsia" w:ascii="黑体" w:hAnsi="黑体" w:eastAsia="黑体"/>
          <w:snapToGrid w:val="0"/>
          <w:sz w:val="30"/>
          <w:szCs w:val="30"/>
        </w:rPr>
      </w:pPr>
      <w:bookmarkStart w:id="43" w:name="_Toc132899299"/>
      <w:bookmarkStart w:id="44" w:name="_Toc132899321"/>
      <w:bookmarkStart w:id="45" w:name="_Toc182815855"/>
      <w:bookmarkStart w:id="46" w:name="_Toc182380109"/>
      <w:bookmarkStart w:id="47" w:name="_Ref141873223"/>
      <w:r>
        <w:rPr>
          <w:rFonts w:hint="eastAsia" w:ascii="黑体" w:hAnsi="黑体" w:eastAsia="黑体"/>
          <w:snapToGrid w:val="0"/>
          <w:sz w:val="30"/>
          <w:szCs w:val="30"/>
        </w:rPr>
        <w:t>主要生态环境保护措施</w:t>
      </w:r>
      <w:bookmarkEnd w:id="43"/>
      <w:bookmarkEnd w:id="44"/>
      <w:bookmarkEnd w:id="45"/>
      <w:bookmarkEnd w:id="46"/>
      <w:bookmarkEnd w:id="47"/>
    </w:p>
    <w:tbl>
      <w:tblPr>
        <w:tblStyle w:val="1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3B0A6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14:paraId="3623DA16">
            <w:pPr>
              <w:adjustRightInd w:val="0"/>
              <w:snapToGrid w:val="0"/>
              <w:jc w:val="center"/>
              <w:rPr>
                <w:rFonts w:hint="eastAsia" w:ascii="宋体" w:hAnsi="宋体"/>
                <w:bCs/>
                <w:sz w:val="24"/>
              </w:rPr>
            </w:pPr>
            <w:r>
              <w:rPr>
                <w:rFonts w:hint="eastAsia" w:ascii="宋体" w:hAnsi="宋体" w:cs="宋体"/>
                <w:bCs/>
                <w:spacing w:val="10"/>
                <w:sz w:val="24"/>
              </w:rPr>
              <w:t>施工期生态环境保护措施</w:t>
            </w:r>
          </w:p>
        </w:tc>
        <w:tc>
          <w:tcPr>
            <w:tcW w:w="8457" w:type="dxa"/>
          </w:tcPr>
          <w:p w14:paraId="18725643">
            <w:pPr>
              <w:pStyle w:val="41"/>
              <w:ind w:firstLine="482"/>
              <w:rPr>
                <w:b/>
                <w:bCs/>
              </w:rPr>
            </w:pPr>
            <w:r>
              <w:rPr>
                <w:rFonts w:hint="eastAsia"/>
                <w:b/>
                <w:bCs/>
              </w:rPr>
              <w:t>1施工期环保措施</w:t>
            </w:r>
          </w:p>
          <w:p w14:paraId="756411C4">
            <w:pPr>
              <w:pStyle w:val="41"/>
              <w:ind w:firstLine="482"/>
              <w:rPr>
                <w:b/>
                <w:bCs/>
              </w:rPr>
            </w:pPr>
            <w:r>
              <w:rPr>
                <w:rFonts w:hint="eastAsia"/>
                <w:b/>
                <w:bCs/>
              </w:rPr>
              <w:t>1.1环境空气污染防治措施</w:t>
            </w:r>
          </w:p>
          <w:p w14:paraId="1B0A8CB5">
            <w:pPr>
              <w:pStyle w:val="41"/>
              <w:ind w:firstLine="480"/>
            </w:pPr>
            <w:r>
              <w:rPr>
                <w:rFonts w:hint="eastAsia"/>
              </w:rPr>
              <w:t>施工期大气污染源主要是施工扬尘和施工机械废气排放。为减轻项目施工废气对周边环境空气质量的影响，本次评价要求项目施工期间积极采取以下措施：</w:t>
            </w:r>
          </w:p>
          <w:p w14:paraId="7EC4C302">
            <w:pPr>
              <w:pStyle w:val="41"/>
              <w:ind w:firstLine="480"/>
            </w:pPr>
            <w:r>
              <w:rPr>
                <w:rFonts w:hint="eastAsia"/>
              </w:rPr>
              <w:t>①施工现场围挡。管线工程铺设沿线边界应设置不低于2.5m的封闭式或半封闭式路栏。对于特殊路段无法设置围挡或围栏的，应设置警示牌。</w:t>
            </w:r>
          </w:p>
          <w:p w14:paraId="5D7A19F6">
            <w:pPr>
              <w:pStyle w:val="41"/>
              <w:ind w:firstLine="480"/>
            </w:pPr>
            <w:r>
              <w:rPr>
                <w:rFonts w:hint="eastAsia"/>
              </w:rPr>
              <w:t>②土方开挖施工时，严格执行分层开挖、分层回填，遇到干燥、易起尘的土方工程作业应辅以洒水压尘，尽量缩短起尘操作时间。遇到四级及以上大风天气，应停止土方作业，同时作业处覆以防尘网。</w:t>
            </w:r>
          </w:p>
          <w:p w14:paraId="3042E47C">
            <w:pPr>
              <w:pStyle w:val="41"/>
              <w:ind w:firstLine="480"/>
            </w:pPr>
            <w:r>
              <w:rPr>
                <w:rFonts w:hint="eastAsia"/>
              </w:rPr>
              <w:t>③施工场地定期洒水，防止产生大量扬尘，在大风日加大洒水量及洒水频次。</w:t>
            </w:r>
          </w:p>
          <w:p w14:paraId="11443507">
            <w:pPr>
              <w:pStyle w:val="41"/>
              <w:ind w:firstLine="480"/>
            </w:pPr>
            <w:r>
              <w:rPr>
                <w:rFonts w:hint="eastAsia"/>
              </w:rPr>
              <w:t>④加强施工区的规划管理：建筑材料的堆场定点定位，并采取防尘、抑尘措施，如在大风天气，对散料堆场采取洒水、密闭存储、围挡、防尘布苫盖等防尘措施，以减少建设过程中使用的建筑材料在装卸、堆放、搅拌过程中的粉尘外逸，降低工程建设对当地的空气污染。</w:t>
            </w:r>
          </w:p>
          <w:p w14:paraId="00B30811">
            <w:pPr>
              <w:pStyle w:val="41"/>
              <w:ind w:firstLine="480"/>
            </w:pPr>
            <w:r>
              <w:rPr>
                <w:rFonts w:hint="eastAsia"/>
              </w:rPr>
              <w:t>⑤涂漆作业过程中，规范施工人员操作，避免非必要的重复涂漆作业。</w:t>
            </w:r>
          </w:p>
          <w:p w14:paraId="6F492254">
            <w:pPr>
              <w:pStyle w:val="41"/>
              <w:ind w:firstLine="480"/>
            </w:pPr>
            <w:r>
              <w:rPr>
                <w:rFonts w:hint="eastAsia"/>
              </w:rPr>
              <w:t>⑥施工期间对于燃柴油的大型运输车辆禁止超载，避免超过车载负荷而使尾气排放量上升。运输车辆不得使用劣质燃料。</w:t>
            </w:r>
          </w:p>
          <w:p w14:paraId="63B6EC85">
            <w:pPr>
              <w:pStyle w:val="41"/>
              <w:ind w:firstLine="480"/>
            </w:pPr>
            <w:r>
              <w:rPr>
                <w:rFonts w:hint="eastAsia"/>
              </w:rPr>
              <w:t>⑦加强对施工机械、车辆的维修保养，禁止以柴油为燃料的施工机械超负荷工作，避免因机械保养不当而导致的尾气排放量增大，对于排放量严重超标的机械应禁止使用。</w:t>
            </w:r>
          </w:p>
          <w:p w14:paraId="7B9CA75E">
            <w:pPr>
              <w:pStyle w:val="41"/>
              <w:ind w:firstLine="480"/>
            </w:pPr>
            <w:r>
              <w:rPr>
                <w:rFonts w:hint="eastAsia"/>
              </w:rPr>
              <w:t>⑧装载水泥、砂料等物料、土石、垃圾的运输车辆，应尽可能采用密闭车斗；若无密闭车斗，装载高度不得超过车辆槽帮上沿，车斗应用苫布或篷布遮盖严实；根据需要装载物料后进行洒水抑尘；卸车时应尽量减少落差，减少扬尘。</w:t>
            </w:r>
          </w:p>
          <w:p w14:paraId="43CDC76C">
            <w:pPr>
              <w:pStyle w:val="41"/>
              <w:ind w:firstLine="482"/>
              <w:rPr>
                <w:b/>
                <w:bCs/>
              </w:rPr>
            </w:pPr>
            <w:r>
              <w:rPr>
                <w:rFonts w:hint="eastAsia"/>
                <w:b/>
                <w:bCs/>
              </w:rPr>
              <w:t>1.2水环境污染防治措施</w:t>
            </w:r>
          </w:p>
          <w:p w14:paraId="486840E4">
            <w:pPr>
              <w:pStyle w:val="41"/>
              <w:ind w:firstLine="480"/>
            </w:pPr>
            <w:r>
              <w:rPr>
                <w:rFonts w:hint="eastAsia"/>
              </w:rPr>
              <w:t>工程施工生产废水主要为施工场地机械、车辆冲洗废水，场地设置临时沉淀池收集沉淀后回用于施工场地洒水降尘，禁止随意排放。</w:t>
            </w:r>
          </w:p>
          <w:p w14:paraId="628E4FAE">
            <w:pPr>
              <w:pStyle w:val="41"/>
              <w:ind w:firstLine="480"/>
            </w:pPr>
            <w:r>
              <w:rPr>
                <w:rFonts w:hint="eastAsia"/>
              </w:rPr>
              <w:t>项目施工期间不设置单独的施工营地，施工人员较少，食宿依托周边厂区生活设施，不单独产生生活污水。</w:t>
            </w:r>
          </w:p>
          <w:p w14:paraId="0893B2C9">
            <w:pPr>
              <w:pStyle w:val="41"/>
              <w:ind w:firstLine="482"/>
              <w:rPr>
                <w:b/>
                <w:bCs/>
              </w:rPr>
            </w:pPr>
            <w:r>
              <w:rPr>
                <w:rFonts w:hint="eastAsia"/>
                <w:b/>
                <w:bCs/>
              </w:rPr>
              <w:t>1.3施工噪声防治措施</w:t>
            </w:r>
          </w:p>
          <w:p w14:paraId="253E8411">
            <w:pPr>
              <w:pStyle w:val="41"/>
              <w:ind w:firstLine="480"/>
            </w:pPr>
            <w:r>
              <w:rPr>
                <w:rFonts w:hint="eastAsia"/>
              </w:rPr>
              <w:t>本工程施工噪声影响主要来源于施工设备机械噪声以及物料运输噪声。</w:t>
            </w:r>
          </w:p>
          <w:p w14:paraId="6A5D38BF">
            <w:pPr>
              <w:pStyle w:val="41"/>
              <w:ind w:firstLine="480"/>
            </w:pPr>
            <w:r>
              <w:rPr>
                <w:rFonts w:hint="eastAsia"/>
              </w:rPr>
              <w:t>（1）施工噪声防治措施</w:t>
            </w:r>
          </w:p>
          <w:p w14:paraId="1556D68C">
            <w:pPr>
              <w:pStyle w:val="41"/>
              <w:ind w:firstLine="480"/>
            </w:pPr>
            <w:r>
              <w:rPr>
                <w:rFonts w:hint="eastAsia"/>
              </w:rPr>
              <w:t>①优先选用低噪声的施工机械，缩短高噪声施工作业、机械设备的使用时间，振动较大的固定机械设备应加装减振机座，同时施工单位应设专人对各类施工设备进行定期维护和保养。</w:t>
            </w:r>
          </w:p>
          <w:p w14:paraId="3F71868F">
            <w:pPr>
              <w:pStyle w:val="41"/>
              <w:ind w:firstLine="480"/>
            </w:pPr>
            <w:r>
              <w:rPr>
                <w:rFonts w:hint="eastAsia"/>
              </w:rPr>
              <w:t>②</w:t>
            </w:r>
            <w:r>
              <w:rPr>
                <w:rFonts w:hint="eastAsia" w:ascii="宋体" w:cs="宋体"/>
              </w:rPr>
              <w:t>各个施工段对作业区设置围挡</w:t>
            </w:r>
            <w:r>
              <w:rPr>
                <w:rFonts w:hint="eastAsia"/>
              </w:rPr>
              <w:t>。</w:t>
            </w:r>
          </w:p>
          <w:p w14:paraId="014403A7">
            <w:pPr>
              <w:pStyle w:val="41"/>
              <w:ind w:firstLine="480"/>
            </w:pPr>
            <w:r>
              <w:rPr>
                <w:rFonts w:hint="eastAsia"/>
              </w:rPr>
              <w:t>③合理安排施工作业时间，禁止在中午12:00~14:00和夜间22:00~次日6:00期间进行施工作业，以防噪声扰民。</w:t>
            </w:r>
          </w:p>
          <w:p w14:paraId="294CE022">
            <w:pPr>
              <w:pStyle w:val="41"/>
              <w:ind w:firstLine="480"/>
            </w:pPr>
            <w:r>
              <w:rPr>
                <w:rFonts w:hint="eastAsia"/>
              </w:rPr>
              <w:t>④特殊情况确需连续作业或夜间作业的，报当地环保局备案后，还要在施工现场张贴告示，将施工时间、施工范围、施工中的噪声影响等情况事先公告附近村民。禁止使用高噪声设备，车辆晚间运输尽量用灯光示警，禁鸣喇叭。</w:t>
            </w:r>
          </w:p>
          <w:p w14:paraId="053F3041">
            <w:pPr>
              <w:pStyle w:val="41"/>
              <w:ind w:firstLine="480"/>
            </w:pPr>
            <w:r>
              <w:rPr>
                <w:rFonts w:hint="eastAsia"/>
              </w:rPr>
              <w:t>（2）交通运输噪声防治措施</w:t>
            </w:r>
          </w:p>
          <w:p w14:paraId="642AD98F">
            <w:pPr>
              <w:pStyle w:val="41"/>
              <w:ind w:firstLine="480"/>
            </w:pPr>
            <w:r>
              <w:rPr>
                <w:rFonts w:hint="eastAsia"/>
              </w:rPr>
              <w:t>①合理安排物料运输时间，物料和设备运输安排在昼间运输，禁止在午间（北京时间12：00~14：00）和夜间（北京时间22</w:t>
            </w:r>
            <w:r>
              <w:t>:</w:t>
            </w:r>
            <w:r>
              <w:rPr>
                <w:rFonts w:hint="eastAsia"/>
              </w:rPr>
              <w:t>00～次日6</w:t>
            </w:r>
            <w:r>
              <w:t>:</w:t>
            </w:r>
            <w:r>
              <w:rPr>
                <w:rFonts w:hint="eastAsia"/>
              </w:rPr>
              <w:t>00）进行运输作业。</w:t>
            </w:r>
          </w:p>
          <w:p w14:paraId="5AE91E06">
            <w:pPr>
              <w:pStyle w:val="41"/>
              <w:ind w:firstLine="480"/>
            </w:pPr>
            <w:r>
              <w:rPr>
                <w:rFonts w:hint="eastAsia"/>
              </w:rPr>
              <w:t>②加强运输车辆的交通管理，当运输车辆经过居民点附近路段时，限速行驶，并禁鸣高音喇叭。</w:t>
            </w:r>
          </w:p>
          <w:p w14:paraId="3C31B0E2">
            <w:pPr>
              <w:pStyle w:val="41"/>
              <w:ind w:firstLine="480"/>
            </w:pPr>
            <w:r>
              <w:rPr>
                <w:rFonts w:hint="eastAsia"/>
              </w:rPr>
              <w:t>③加强道路养护和车辆的维修保养，降低机动车身松动、老化发出的噪声。</w:t>
            </w:r>
          </w:p>
          <w:p w14:paraId="595BACBC">
            <w:pPr>
              <w:pStyle w:val="41"/>
              <w:ind w:firstLine="482"/>
              <w:rPr>
                <w:b/>
                <w:bCs/>
              </w:rPr>
            </w:pPr>
            <w:r>
              <w:rPr>
                <w:rFonts w:hint="eastAsia"/>
                <w:b/>
                <w:bCs/>
              </w:rPr>
              <w:t>1.4固体废物防治措施</w:t>
            </w:r>
          </w:p>
          <w:p w14:paraId="2CFE91F2">
            <w:pPr>
              <w:pStyle w:val="41"/>
              <w:ind w:firstLine="480"/>
            </w:pPr>
            <w:r>
              <w:rPr>
                <w:rFonts w:hint="eastAsia"/>
              </w:rPr>
              <w:t>施工期固体废物主要来源于厂区内施工挖掘土方、废油漆桶、废漆渣、清管灰尘以及施工人员产生的生活垃圾。</w:t>
            </w:r>
          </w:p>
          <w:p w14:paraId="3D31CF19">
            <w:pPr>
              <w:pStyle w:val="41"/>
              <w:ind w:firstLine="480"/>
            </w:pPr>
            <w:r>
              <w:rPr>
                <w:rFonts w:hint="eastAsia"/>
              </w:rPr>
              <w:t>（1）施工挖掘土方大部分用于覆土回填，剩余小部分就近铺平。</w:t>
            </w:r>
          </w:p>
          <w:p w14:paraId="3AE2D849">
            <w:pPr>
              <w:pStyle w:val="41"/>
              <w:ind w:firstLine="480"/>
            </w:pPr>
            <w:r>
              <w:rPr>
                <w:rFonts w:hint="eastAsia"/>
              </w:rPr>
              <w:t>（2）施工期废油漆桶、废漆渣统一收集后暂存于空分项目厂区内危废间，定期委托有资质单位进行处理。</w:t>
            </w:r>
          </w:p>
          <w:p w14:paraId="2B903912">
            <w:pPr>
              <w:pStyle w:val="41"/>
              <w:ind w:firstLine="480"/>
            </w:pPr>
            <w:r>
              <w:rPr>
                <w:rFonts w:hint="eastAsia"/>
              </w:rPr>
              <w:t>（3）施工期的生活垃圾量很少，主要是工人用餐后的废弃饭盒、塑料袋等，与清管灰尘收集到指定的地方，由环卫部门统一清运处理。</w:t>
            </w:r>
          </w:p>
          <w:p w14:paraId="56EA2521">
            <w:pPr>
              <w:pStyle w:val="41"/>
              <w:ind w:firstLine="482"/>
              <w:rPr>
                <w:b/>
                <w:bCs/>
              </w:rPr>
            </w:pPr>
            <w:r>
              <w:rPr>
                <w:rFonts w:hint="eastAsia"/>
                <w:b/>
                <w:bCs/>
              </w:rPr>
              <w:t>1.5生态保护措施</w:t>
            </w:r>
          </w:p>
          <w:p w14:paraId="6F9F48AA">
            <w:pPr>
              <w:pStyle w:val="41"/>
              <w:ind w:firstLine="480"/>
            </w:pPr>
            <w:r>
              <w:rPr>
                <w:rFonts w:hint="eastAsia"/>
              </w:rPr>
              <w:t>①厂区</w:t>
            </w:r>
          </w:p>
          <w:p w14:paraId="4CB38E41">
            <w:pPr>
              <w:pStyle w:val="41"/>
              <w:ind w:firstLine="480"/>
            </w:pPr>
            <w:r>
              <w:rPr>
                <w:rFonts w:hint="eastAsia"/>
              </w:rPr>
              <w:t>（1）对采取开挖方式的施工过程中必须做到对开挖区土石方集中堆放；在施工结束后回填。</w:t>
            </w:r>
          </w:p>
          <w:p w14:paraId="1F652E0E">
            <w:pPr>
              <w:pStyle w:val="41"/>
              <w:ind w:firstLine="480"/>
            </w:pPr>
            <w:r>
              <w:rPr>
                <w:rFonts w:hint="eastAsia"/>
              </w:rPr>
              <w:t>（2）施工结束后，对临时施工场地进行表土回填、土地平整，剩余小部分就近铺平。</w:t>
            </w:r>
          </w:p>
          <w:p w14:paraId="07A48BC8">
            <w:pPr>
              <w:pStyle w:val="41"/>
              <w:ind w:firstLine="480"/>
            </w:pPr>
            <w:r>
              <w:rPr>
                <w:rFonts w:hint="eastAsia"/>
              </w:rPr>
              <w:t>（3）加强对施工人员教育，文明施工、按规范施工。</w:t>
            </w:r>
          </w:p>
          <w:p w14:paraId="4E933014">
            <w:pPr>
              <w:pStyle w:val="41"/>
              <w:ind w:firstLine="480"/>
            </w:pPr>
            <w:r>
              <w:rPr>
                <w:rFonts w:hint="eastAsia"/>
              </w:rPr>
              <w:t>②管道</w:t>
            </w:r>
          </w:p>
          <w:p w14:paraId="7FA8407C">
            <w:pPr>
              <w:pStyle w:val="41"/>
              <w:ind w:firstLine="480"/>
            </w:pPr>
            <w:r>
              <w:rPr>
                <w:rFonts w:hint="eastAsia"/>
              </w:rPr>
              <w:t>（1）施工作业时，控制施工作业带宽度，尽量减少临时占地的面积。</w:t>
            </w:r>
          </w:p>
          <w:p w14:paraId="74BED15A">
            <w:pPr>
              <w:pStyle w:val="41"/>
              <w:ind w:firstLine="480"/>
            </w:pPr>
            <w:r>
              <w:rPr>
                <w:rFonts w:hint="eastAsia"/>
              </w:rPr>
              <w:t>（</w:t>
            </w:r>
            <w:r>
              <w:t>2</w:t>
            </w:r>
            <w:r>
              <w:rPr>
                <w:rFonts w:hint="eastAsia"/>
              </w:rPr>
              <w:t>）施工期间，管道等施工材料的堆放应避免对管廊沿线植被的破坏，若造成沿线植被破坏，应在施工结束后恢复植被。</w:t>
            </w:r>
          </w:p>
          <w:p w14:paraId="577250B8">
            <w:pPr>
              <w:pStyle w:val="41"/>
              <w:ind w:firstLine="480"/>
            </w:pPr>
            <w:r>
              <w:rPr>
                <w:rFonts w:hint="eastAsia"/>
              </w:rPr>
              <w:t>（3）施工结束后，及时清运施工现场的固体废物。</w:t>
            </w:r>
          </w:p>
          <w:p w14:paraId="578F99C1">
            <w:pPr>
              <w:pStyle w:val="41"/>
              <w:ind w:firstLine="480"/>
            </w:pPr>
          </w:p>
        </w:tc>
      </w:tr>
      <w:tr w14:paraId="6F86A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14:paraId="18D422DB">
            <w:pPr>
              <w:adjustRightInd w:val="0"/>
              <w:snapToGrid w:val="0"/>
              <w:jc w:val="center"/>
              <w:rPr>
                <w:rFonts w:hint="eastAsia" w:ascii="宋体" w:hAnsi="宋体" w:cs="宋体"/>
                <w:bCs/>
                <w:spacing w:val="10"/>
                <w:sz w:val="24"/>
              </w:rPr>
            </w:pPr>
            <w:r>
              <w:rPr>
                <w:rFonts w:hint="eastAsia" w:ascii="宋体" w:hAnsi="宋体" w:cs="宋体"/>
                <w:bCs/>
                <w:spacing w:val="10"/>
                <w:sz w:val="24"/>
              </w:rPr>
              <w:t>运营期生态环境保护措施</w:t>
            </w:r>
          </w:p>
        </w:tc>
        <w:tc>
          <w:tcPr>
            <w:tcW w:w="8457" w:type="dxa"/>
          </w:tcPr>
          <w:p w14:paraId="1D49F1B2">
            <w:pPr>
              <w:pStyle w:val="41"/>
              <w:ind w:firstLine="482"/>
              <w:rPr>
                <w:b/>
                <w:bCs/>
              </w:rPr>
            </w:pPr>
            <w:r>
              <w:rPr>
                <w:rFonts w:hint="eastAsia"/>
                <w:b/>
                <w:bCs/>
              </w:rPr>
              <w:t>2运营期环保措施</w:t>
            </w:r>
          </w:p>
          <w:p w14:paraId="38C9EDBD">
            <w:pPr>
              <w:pStyle w:val="41"/>
              <w:ind w:firstLine="482"/>
              <w:rPr>
                <w:b/>
                <w:bCs/>
              </w:rPr>
            </w:pPr>
            <w:r>
              <w:rPr>
                <w:rFonts w:hint="eastAsia"/>
                <w:b/>
                <w:bCs/>
              </w:rPr>
              <w:t>2.1废气污染防治措施</w:t>
            </w:r>
          </w:p>
          <w:p w14:paraId="35B24EB7">
            <w:pPr>
              <w:pStyle w:val="41"/>
              <w:ind w:firstLine="480"/>
            </w:pPr>
            <w:r>
              <w:rPr>
                <w:rFonts w:hint="eastAsia"/>
              </w:rPr>
              <w:t>本项目管道输送的氮气为密闭输送，正常运行时无氮气排放，只有事故状态时会有一定的氮气放散到大气中；液氮储罐为低温液体储罐，为防止储罐超温超压发生爆炸事故，储罐使用过程中需保证良好的密封性，正常运行时无氮气排放。而氮气为空气的组成成分，因此不会对周围大气环境产生不利影响。</w:t>
            </w:r>
          </w:p>
          <w:p w14:paraId="1482A145">
            <w:pPr>
              <w:pStyle w:val="41"/>
              <w:ind w:firstLine="482"/>
              <w:rPr>
                <w:b/>
                <w:bCs/>
              </w:rPr>
            </w:pPr>
            <w:r>
              <w:rPr>
                <w:rFonts w:hint="eastAsia"/>
                <w:b/>
                <w:bCs/>
              </w:rPr>
              <w:t>2.2废水污染防治措施</w:t>
            </w:r>
          </w:p>
          <w:p w14:paraId="72717EEC">
            <w:pPr>
              <w:pStyle w:val="41"/>
              <w:ind w:firstLine="480"/>
            </w:pPr>
            <w:r>
              <w:rPr>
                <w:rFonts w:hint="eastAsia"/>
              </w:rPr>
              <w:t>项目运营期生产废水主要为循环冷却废水，产生量约为2.68m</w:t>
            </w:r>
            <w:r>
              <w:rPr>
                <w:rFonts w:hint="eastAsia"/>
                <w:vertAlign w:val="superscript"/>
              </w:rPr>
              <w:t>3</w:t>
            </w:r>
            <w:r>
              <w:rPr>
                <w:rFonts w:hint="eastAsia"/>
              </w:rPr>
              <w:t>/h。生产废水先排入广西华谊能源化工配套空分项目生产污水池进行暂存，后排入广西华谊能源化工配套空分项目管网，经管网排入天宜污水处理厂一期处理。处理达标后，近期近岸排放，远期依托园区深海排放管道于金鼓江污水深海排放区排放。</w:t>
            </w:r>
          </w:p>
          <w:p w14:paraId="071F200B">
            <w:pPr>
              <w:pStyle w:val="41"/>
              <w:ind w:firstLine="480"/>
            </w:pPr>
            <w:r>
              <w:rPr>
                <w:rFonts w:hint="eastAsia"/>
              </w:rPr>
              <w:t>天宜污水处理厂一期工程废水综合处理采用“预处理+生化处理+深度处理”的主要工艺路线，其中预处理是根据各企业水质特征，分类进行；生化处理阶段采用“曝气池+MBR 反应器”工艺；深度处理阶段采用“臭氧催化氧化+BAF+活性炭滤池”工艺。</w:t>
            </w:r>
          </w:p>
          <w:p w14:paraId="501D06A9">
            <w:pPr>
              <w:pStyle w:val="41"/>
              <w:ind w:firstLine="480"/>
            </w:pPr>
            <w:r>
              <w:rPr>
                <w:rFonts w:hint="eastAsia"/>
              </w:rPr>
              <w:t>运营期新增劳动定员5人，新增生活污水排放量约</w:t>
            </w:r>
            <w:r>
              <w:t>0.274m</w:t>
            </w:r>
            <w:r>
              <w:rPr>
                <w:vertAlign w:val="superscript"/>
              </w:rPr>
              <w:t>3</w:t>
            </w:r>
            <w:r>
              <w:t>/d</w:t>
            </w:r>
            <w:r>
              <w:rPr>
                <w:rFonts w:hint="eastAsia"/>
              </w:rPr>
              <w:t>。新增生活污水经项目现有厂区内化粪池处理后，排入国投钦电生活污水处理系统做进一步处理。国投钦电生活污水处理系统采用“格栅+沉淀+生物曝气过滤”工艺，处理达标后的生活污水用于厂区绿化。</w:t>
            </w:r>
          </w:p>
          <w:p w14:paraId="049551DF">
            <w:pPr>
              <w:pStyle w:val="41"/>
              <w:ind w:firstLine="482"/>
              <w:rPr>
                <w:b/>
                <w:bCs/>
              </w:rPr>
            </w:pPr>
            <w:r>
              <w:rPr>
                <w:rFonts w:hint="eastAsia"/>
                <w:b/>
                <w:bCs/>
              </w:rPr>
              <w:t>2.3噪声污染防治措施</w:t>
            </w:r>
          </w:p>
          <w:p w14:paraId="6F728EA2">
            <w:pPr>
              <w:pStyle w:val="41"/>
              <w:ind w:firstLine="480"/>
            </w:pPr>
            <w:r>
              <w:rPr>
                <w:rFonts w:hint="eastAsia"/>
              </w:rPr>
              <w:t>（1）优先选用低噪声设备。</w:t>
            </w:r>
          </w:p>
          <w:p w14:paraId="18D6C6A7">
            <w:pPr>
              <w:pStyle w:val="41"/>
              <w:ind w:firstLine="480"/>
            </w:pPr>
            <w:r>
              <w:rPr>
                <w:rFonts w:hint="eastAsia"/>
              </w:rPr>
              <w:t>（2）将主要噪声源氮气压缩机等设备设置在室内，装配消声器，对厂房做吸声处理，对冷却塔、水泵等设备采取基础减振措施。</w:t>
            </w:r>
          </w:p>
          <w:p w14:paraId="028FBA6E">
            <w:pPr>
              <w:pStyle w:val="41"/>
              <w:ind w:firstLine="480"/>
            </w:pPr>
            <w:r>
              <w:rPr>
                <w:rFonts w:hint="eastAsia"/>
              </w:rPr>
              <w:t>（3）加强日常维护，保证大噪声部件运行良好。</w:t>
            </w:r>
          </w:p>
          <w:p w14:paraId="5EEFC58E">
            <w:pPr>
              <w:pStyle w:val="41"/>
              <w:ind w:firstLine="482"/>
              <w:rPr>
                <w:b/>
                <w:bCs/>
              </w:rPr>
            </w:pPr>
            <w:r>
              <w:rPr>
                <w:rFonts w:hint="eastAsia"/>
                <w:b/>
                <w:bCs/>
              </w:rPr>
              <w:t>2.4固体废物污染防治措施</w:t>
            </w:r>
          </w:p>
          <w:p w14:paraId="2F7AD040">
            <w:pPr>
              <w:pStyle w:val="41"/>
              <w:ind w:firstLine="480"/>
            </w:pPr>
            <w:r>
              <w:rPr>
                <w:rFonts w:hint="eastAsia"/>
              </w:rPr>
              <w:t>项目运行期间，固体废物主要为废机油、含油抹布、手套及新增劳动定员产生的生活垃圾。设备日常维护保养产生的废机油及含油抹布、手套等收集后暂存于空分项目厂区内现有危废暂存间，定期委托有资质单位进行处置。生活垃圾集中收集后由当地环卫部门每日统一清运。</w:t>
            </w:r>
          </w:p>
          <w:p w14:paraId="1593F4CE">
            <w:pPr>
              <w:pStyle w:val="41"/>
              <w:ind w:firstLine="482"/>
              <w:rPr>
                <w:b/>
                <w:bCs/>
              </w:rPr>
            </w:pPr>
            <w:r>
              <w:rPr>
                <w:rFonts w:hint="eastAsia"/>
                <w:b/>
                <w:bCs/>
              </w:rPr>
              <w:t>2.5生态环境保护措施</w:t>
            </w:r>
          </w:p>
          <w:p w14:paraId="6823363C">
            <w:pPr>
              <w:pStyle w:val="41"/>
              <w:ind w:firstLine="480"/>
            </w:pPr>
            <w:r>
              <w:rPr>
                <w:rFonts w:hint="eastAsia"/>
              </w:rPr>
              <w:t>加强对管线的营运期管理，保证各项工程设施完好和确保安全生产是生态保护最基本的措施。</w:t>
            </w:r>
          </w:p>
          <w:p w14:paraId="29E48CDE">
            <w:pPr>
              <w:pStyle w:val="41"/>
              <w:ind w:firstLine="480"/>
            </w:pPr>
            <w:r>
              <w:rPr>
                <w:rFonts w:hint="eastAsia"/>
              </w:rPr>
              <w:t>加强管线的巡检，定期对员工进行培训，防止氮气泄漏等情况的发生。</w:t>
            </w:r>
          </w:p>
          <w:p w14:paraId="3FFCD7CC">
            <w:pPr>
              <w:pStyle w:val="41"/>
              <w:ind w:firstLine="482"/>
              <w:rPr>
                <w:b/>
                <w:bCs/>
              </w:rPr>
            </w:pPr>
            <w:r>
              <w:rPr>
                <w:rFonts w:hint="eastAsia"/>
                <w:b/>
                <w:bCs/>
              </w:rPr>
              <w:t>2.6</w:t>
            </w:r>
            <w:r>
              <w:rPr>
                <w:b/>
                <w:bCs/>
              </w:rPr>
              <w:t xml:space="preserve"> </w:t>
            </w:r>
            <w:r>
              <w:rPr>
                <w:rFonts w:hint="eastAsia"/>
                <w:b/>
                <w:bCs/>
              </w:rPr>
              <w:t>环境风险防范措施</w:t>
            </w:r>
          </w:p>
          <w:p w14:paraId="61EF7AF5">
            <w:pPr>
              <w:pStyle w:val="41"/>
              <w:ind w:firstLine="480"/>
            </w:pPr>
            <w:r>
              <w:rPr>
                <w:rFonts w:hint="eastAsia"/>
              </w:rPr>
              <w:t>本项目开展《环境风险专项评价》，评价内容详见专项。</w:t>
            </w:r>
          </w:p>
          <w:p w14:paraId="3B4CFEA4">
            <w:pPr>
              <w:pStyle w:val="41"/>
              <w:ind w:firstLine="480"/>
            </w:pPr>
            <w:r>
              <w:rPr>
                <w:rFonts w:hint="eastAsia"/>
              </w:rPr>
              <w:t>项目涉及危险物质为压缩氮气，主要分布在输送管道中，存在危险因素主要为设备及管道腐蚀、材料老化、违章操作等引起危险物质泄漏或爆炸。氮气在常温常压下为惰性气体，一旦泄漏也不会对周边环境产生较大影响。但发生大量氮气泄漏时，可使空气中氧分压下降，极端情况下可能引起缺氧窒息。在落实有效的环境风险措施后，项目环境风险可降至可防控水平。</w:t>
            </w:r>
          </w:p>
          <w:p w14:paraId="6FDF95E7">
            <w:pPr>
              <w:pStyle w:val="41"/>
              <w:ind w:firstLine="480"/>
              <w:rPr>
                <w:highlight w:val="yellow"/>
              </w:rPr>
            </w:pPr>
          </w:p>
        </w:tc>
      </w:tr>
      <w:tr w14:paraId="36387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3" w:type="dxa"/>
            <w:vAlign w:val="center"/>
          </w:tcPr>
          <w:p w14:paraId="1B768704">
            <w:pPr>
              <w:adjustRightInd w:val="0"/>
              <w:snapToGrid w:val="0"/>
              <w:jc w:val="center"/>
              <w:rPr>
                <w:rFonts w:hint="eastAsia" w:ascii="宋体" w:hAnsi="宋体" w:cs="宋体"/>
                <w:bCs/>
                <w:spacing w:val="10"/>
                <w:sz w:val="24"/>
              </w:rPr>
            </w:pPr>
            <w:r>
              <w:rPr>
                <w:rFonts w:hint="eastAsia" w:ascii="宋体" w:hAnsi="宋体"/>
                <w:bCs/>
                <w:sz w:val="24"/>
              </w:rPr>
              <w:t>其他</w:t>
            </w:r>
          </w:p>
        </w:tc>
        <w:tc>
          <w:tcPr>
            <w:tcW w:w="8457" w:type="dxa"/>
            <w:vAlign w:val="center"/>
          </w:tcPr>
          <w:p w14:paraId="2D266D36">
            <w:pPr>
              <w:pStyle w:val="41"/>
              <w:ind w:firstLine="480"/>
            </w:pPr>
            <w:r>
              <w:rPr>
                <w:rFonts w:hint="eastAsia"/>
              </w:rPr>
              <w:t>无</w:t>
            </w:r>
          </w:p>
        </w:tc>
      </w:tr>
      <w:tr w14:paraId="192D8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2E89C5B1">
            <w:pPr>
              <w:adjustRightInd w:val="0"/>
              <w:snapToGrid w:val="0"/>
              <w:jc w:val="center"/>
              <w:rPr>
                <w:rFonts w:hint="eastAsia" w:ascii="宋体" w:hAnsi="宋体" w:cs="宋体"/>
                <w:bCs/>
                <w:spacing w:val="10"/>
                <w:sz w:val="24"/>
              </w:rPr>
            </w:pPr>
            <w:r>
              <w:rPr>
                <w:rFonts w:hint="eastAsia" w:ascii="宋体" w:hAnsi="宋体"/>
                <w:bCs/>
                <w:sz w:val="24"/>
              </w:rPr>
              <w:t>环保投资</w:t>
            </w:r>
          </w:p>
        </w:tc>
        <w:tc>
          <w:tcPr>
            <w:tcW w:w="8457" w:type="dxa"/>
          </w:tcPr>
          <w:p w14:paraId="7671DCD5">
            <w:pPr>
              <w:pStyle w:val="41"/>
              <w:numPr>
                <w:ilvl w:val="0"/>
                <w:numId w:val="10"/>
              </w:numPr>
              <w:spacing w:line="240" w:lineRule="auto"/>
              <w:ind w:left="0" w:firstLine="0" w:firstLineChars="0"/>
              <w:jc w:val="center"/>
              <w:rPr>
                <w:b/>
                <w:bCs/>
                <w:sz w:val="21"/>
                <w:szCs w:val="21"/>
              </w:rPr>
            </w:pPr>
            <w:r>
              <w:rPr>
                <w:rFonts w:hint="eastAsia"/>
                <w:b/>
                <w:bCs/>
                <w:sz w:val="21"/>
                <w:szCs w:val="21"/>
              </w:rPr>
              <w:t>项目环保投资估算一览表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5386"/>
              <w:gridCol w:w="1735"/>
            </w:tblGrid>
            <w:tr w14:paraId="2BE2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0" w:type="dxa"/>
                  <w:vAlign w:val="center"/>
                </w:tcPr>
                <w:p w14:paraId="0931C6CD">
                  <w:pPr>
                    <w:pStyle w:val="42"/>
                    <w:rPr>
                      <w:b/>
                      <w:bCs/>
                    </w:rPr>
                  </w:pPr>
                  <w:r>
                    <w:rPr>
                      <w:rFonts w:hint="eastAsia"/>
                      <w:b/>
                      <w:bCs/>
                    </w:rPr>
                    <w:t>序号</w:t>
                  </w:r>
                </w:p>
              </w:tc>
              <w:tc>
                <w:tcPr>
                  <w:tcW w:w="5386" w:type="dxa"/>
                  <w:vAlign w:val="center"/>
                </w:tcPr>
                <w:p w14:paraId="55A45DD8">
                  <w:pPr>
                    <w:pStyle w:val="42"/>
                    <w:rPr>
                      <w:b/>
                      <w:bCs/>
                    </w:rPr>
                  </w:pPr>
                  <w:r>
                    <w:rPr>
                      <w:rFonts w:hint="eastAsia"/>
                      <w:b/>
                      <w:bCs/>
                    </w:rPr>
                    <w:t>环境保护措施</w:t>
                  </w:r>
                </w:p>
              </w:tc>
              <w:tc>
                <w:tcPr>
                  <w:tcW w:w="1735" w:type="dxa"/>
                  <w:vAlign w:val="center"/>
                </w:tcPr>
                <w:p w14:paraId="1DB10A3A">
                  <w:pPr>
                    <w:pStyle w:val="42"/>
                    <w:rPr>
                      <w:b/>
                      <w:bCs/>
                    </w:rPr>
                  </w:pPr>
                  <w:r>
                    <w:rPr>
                      <w:rFonts w:hint="eastAsia"/>
                      <w:b/>
                      <w:bCs/>
                    </w:rPr>
                    <w:t>费用（万元）</w:t>
                  </w:r>
                </w:p>
              </w:tc>
            </w:tr>
            <w:tr w14:paraId="6381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1B721FE5">
                  <w:pPr>
                    <w:pStyle w:val="42"/>
                    <w:jc w:val="both"/>
                  </w:pPr>
                  <w:r>
                    <w:rPr>
                      <w:rFonts w:hint="eastAsia"/>
                    </w:rPr>
                    <w:t>1水环境保护工程</w:t>
                  </w:r>
                </w:p>
              </w:tc>
              <w:tc>
                <w:tcPr>
                  <w:tcW w:w="1735" w:type="dxa"/>
                  <w:vAlign w:val="center"/>
                </w:tcPr>
                <w:p w14:paraId="043E4247">
                  <w:pPr>
                    <w:pStyle w:val="42"/>
                  </w:pPr>
                </w:p>
              </w:tc>
            </w:tr>
            <w:tr w14:paraId="4C1D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16B4901">
                  <w:pPr>
                    <w:pStyle w:val="42"/>
                  </w:pPr>
                  <w:r>
                    <w:rPr>
                      <w:rFonts w:hint="eastAsia"/>
                    </w:rPr>
                    <w:t>1.1</w:t>
                  </w:r>
                </w:p>
              </w:tc>
              <w:tc>
                <w:tcPr>
                  <w:tcW w:w="5386" w:type="dxa"/>
                  <w:vAlign w:val="center"/>
                </w:tcPr>
                <w:p w14:paraId="3BDCAB57">
                  <w:pPr>
                    <w:pStyle w:val="42"/>
                  </w:pPr>
                  <w:r>
                    <w:rPr>
                      <w:rFonts w:hint="eastAsia"/>
                    </w:rPr>
                    <w:t>施工期水环境保护工程（临时沉淀池等）</w:t>
                  </w:r>
                </w:p>
              </w:tc>
              <w:tc>
                <w:tcPr>
                  <w:tcW w:w="1735" w:type="dxa"/>
                  <w:vAlign w:val="center"/>
                </w:tcPr>
                <w:p w14:paraId="1BA60BBD">
                  <w:pPr>
                    <w:pStyle w:val="42"/>
                  </w:pPr>
                </w:p>
              </w:tc>
            </w:tr>
            <w:tr w14:paraId="6B00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1223ECD4">
                  <w:pPr>
                    <w:pStyle w:val="42"/>
                    <w:jc w:val="both"/>
                  </w:pPr>
                  <w:r>
                    <w:rPr>
                      <w:rFonts w:hint="eastAsia"/>
                    </w:rPr>
                    <w:t>2空气环境保护工程</w:t>
                  </w:r>
                </w:p>
              </w:tc>
              <w:tc>
                <w:tcPr>
                  <w:tcW w:w="1735" w:type="dxa"/>
                  <w:vAlign w:val="center"/>
                </w:tcPr>
                <w:p w14:paraId="074130F9">
                  <w:pPr>
                    <w:pStyle w:val="42"/>
                  </w:pPr>
                </w:p>
              </w:tc>
            </w:tr>
            <w:tr w14:paraId="34B0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0CDC58F2">
                  <w:pPr>
                    <w:pStyle w:val="42"/>
                  </w:pPr>
                  <w:r>
                    <w:rPr>
                      <w:rFonts w:hint="eastAsia"/>
                    </w:rPr>
                    <w:t>2.1</w:t>
                  </w:r>
                </w:p>
              </w:tc>
              <w:tc>
                <w:tcPr>
                  <w:tcW w:w="5386" w:type="dxa"/>
                  <w:vAlign w:val="center"/>
                </w:tcPr>
                <w:p w14:paraId="7C4CF8AD">
                  <w:pPr>
                    <w:pStyle w:val="42"/>
                  </w:pPr>
                  <w:r>
                    <w:rPr>
                      <w:rFonts w:hint="eastAsia"/>
                    </w:rPr>
                    <w:t>施工期场地洒水降尘</w:t>
                  </w:r>
                </w:p>
              </w:tc>
              <w:tc>
                <w:tcPr>
                  <w:tcW w:w="1735" w:type="dxa"/>
                  <w:vAlign w:val="center"/>
                </w:tcPr>
                <w:p w14:paraId="2FED10F7">
                  <w:pPr>
                    <w:pStyle w:val="42"/>
                  </w:pPr>
                </w:p>
              </w:tc>
            </w:tr>
            <w:tr w14:paraId="0C1D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71CA16F">
                  <w:pPr>
                    <w:pStyle w:val="42"/>
                  </w:pPr>
                  <w:r>
                    <w:rPr>
                      <w:rFonts w:hint="eastAsia"/>
                    </w:rPr>
                    <w:t>2.2</w:t>
                  </w:r>
                </w:p>
              </w:tc>
              <w:tc>
                <w:tcPr>
                  <w:tcW w:w="5386" w:type="dxa"/>
                  <w:vAlign w:val="center"/>
                </w:tcPr>
                <w:p w14:paraId="206A20E1">
                  <w:pPr>
                    <w:pStyle w:val="42"/>
                  </w:pPr>
                  <w:r>
                    <w:rPr>
                      <w:rFonts w:hint="eastAsia"/>
                    </w:rPr>
                    <w:t>施工期物料遮盖苫布</w:t>
                  </w:r>
                </w:p>
              </w:tc>
              <w:tc>
                <w:tcPr>
                  <w:tcW w:w="1735" w:type="dxa"/>
                  <w:vAlign w:val="center"/>
                </w:tcPr>
                <w:p w14:paraId="227C0D77">
                  <w:pPr>
                    <w:pStyle w:val="42"/>
                  </w:pPr>
                </w:p>
              </w:tc>
            </w:tr>
            <w:tr w14:paraId="2155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5ACA5EC7">
                  <w:pPr>
                    <w:pStyle w:val="42"/>
                    <w:jc w:val="both"/>
                  </w:pPr>
                  <w:r>
                    <w:rPr>
                      <w:rFonts w:hint="eastAsia"/>
                    </w:rPr>
                    <w:t>3固体废物处理</w:t>
                  </w:r>
                </w:p>
              </w:tc>
              <w:tc>
                <w:tcPr>
                  <w:tcW w:w="1735" w:type="dxa"/>
                  <w:vAlign w:val="center"/>
                </w:tcPr>
                <w:p w14:paraId="20A2D1C2">
                  <w:pPr>
                    <w:pStyle w:val="42"/>
                  </w:pPr>
                </w:p>
              </w:tc>
            </w:tr>
            <w:tr w14:paraId="3189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4CC921D">
                  <w:pPr>
                    <w:pStyle w:val="42"/>
                  </w:pPr>
                  <w:r>
                    <w:rPr>
                      <w:rFonts w:hint="eastAsia"/>
                    </w:rPr>
                    <w:t>3.1</w:t>
                  </w:r>
                </w:p>
              </w:tc>
              <w:tc>
                <w:tcPr>
                  <w:tcW w:w="5386" w:type="dxa"/>
                  <w:vAlign w:val="center"/>
                </w:tcPr>
                <w:p w14:paraId="670E5540">
                  <w:pPr>
                    <w:pStyle w:val="42"/>
                  </w:pPr>
                  <w:r>
                    <w:rPr>
                      <w:rFonts w:hint="eastAsia"/>
                    </w:rPr>
                    <w:t>施工期固废储存、清运</w:t>
                  </w:r>
                </w:p>
              </w:tc>
              <w:tc>
                <w:tcPr>
                  <w:tcW w:w="1735" w:type="dxa"/>
                  <w:vAlign w:val="center"/>
                </w:tcPr>
                <w:p w14:paraId="2BE955B0">
                  <w:pPr>
                    <w:pStyle w:val="42"/>
                  </w:pPr>
                </w:p>
              </w:tc>
            </w:tr>
            <w:tr w14:paraId="1274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0FDD6AE">
                  <w:pPr>
                    <w:pStyle w:val="42"/>
                  </w:pPr>
                  <w:r>
                    <w:t>3.2</w:t>
                  </w:r>
                </w:p>
              </w:tc>
              <w:tc>
                <w:tcPr>
                  <w:tcW w:w="5386" w:type="dxa"/>
                  <w:vAlign w:val="center"/>
                </w:tcPr>
                <w:p w14:paraId="5521D7C8">
                  <w:pPr>
                    <w:pStyle w:val="42"/>
                  </w:pPr>
                  <w:r>
                    <w:rPr>
                      <w:rFonts w:hint="eastAsia"/>
                    </w:rPr>
                    <w:t>运营期固废储存、委托处置</w:t>
                  </w:r>
                </w:p>
              </w:tc>
              <w:tc>
                <w:tcPr>
                  <w:tcW w:w="1735" w:type="dxa"/>
                  <w:vAlign w:val="center"/>
                </w:tcPr>
                <w:p w14:paraId="0E5FF631">
                  <w:pPr>
                    <w:pStyle w:val="42"/>
                  </w:pPr>
                </w:p>
              </w:tc>
            </w:tr>
            <w:tr w14:paraId="4D74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1625C3E9">
                  <w:pPr>
                    <w:pStyle w:val="42"/>
                    <w:jc w:val="both"/>
                  </w:pPr>
                  <w:r>
                    <w:rPr>
                      <w:rFonts w:hint="eastAsia"/>
                    </w:rPr>
                    <w:t>4噪声防护费用</w:t>
                  </w:r>
                </w:p>
              </w:tc>
              <w:tc>
                <w:tcPr>
                  <w:tcW w:w="1735" w:type="dxa"/>
                  <w:vAlign w:val="center"/>
                </w:tcPr>
                <w:p w14:paraId="41D96E9A">
                  <w:pPr>
                    <w:pStyle w:val="42"/>
                  </w:pPr>
                </w:p>
              </w:tc>
            </w:tr>
            <w:tr w14:paraId="6501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183C68BB">
                  <w:pPr>
                    <w:pStyle w:val="42"/>
                  </w:pPr>
                  <w:r>
                    <w:rPr>
                      <w:rFonts w:hint="eastAsia"/>
                    </w:rPr>
                    <w:t>4.1</w:t>
                  </w:r>
                </w:p>
              </w:tc>
              <w:tc>
                <w:tcPr>
                  <w:tcW w:w="5386" w:type="dxa"/>
                  <w:vAlign w:val="center"/>
                </w:tcPr>
                <w:p w14:paraId="608A7B90">
                  <w:pPr>
                    <w:pStyle w:val="42"/>
                  </w:pPr>
                  <w:r>
                    <w:rPr>
                      <w:rFonts w:hint="eastAsia"/>
                    </w:rPr>
                    <w:t>施工期临时围挡、隔声障等</w:t>
                  </w:r>
                </w:p>
              </w:tc>
              <w:tc>
                <w:tcPr>
                  <w:tcW w:w="1735" w:type="dxa"/>
                  <w:vAlign w:val="center"/>
                </w:tcPr>
                <w:p w14:paraId="3BB334E8">
                  <w:pPr>
                    <w:pStyle w:val="42"/>
                  </w:pPr>
                </w:p>
              </w:tc>
            </w:tr>
            <w:tr w14:paraId="09B9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02465AD7">
                  <w:pPr>
                    <w:pStyle w:val="42"/>
                  </w:pPr>
                  <w:r>
                    <w:rPr>
                      <w:rFonts w:hint="eastAsia"/>
                    </w:rPr>
                    <w:t>4.2</w:t>
                  </w:r>
                </w:p>
              </w:tc>
              <w:tc>
                <w:tcPr>
                  <w:tcW w:w="5386" w:type="dxa"/>
                  <w:vAlign w:val="center"/>
                </w:tcPr>
                <w:p w14:paraId="601795A3">
                  <w:pPr>
                    <w:pStyle w:val="42"/>
                  </w:pPr>
                  <w:r>
                    <w:rPr>
                      <w:rFonts w:hint="eastAsia"/>
                    </w:rPr>
                    <w:t>隔声罩、减振设施等</w:t>
                  </w:r>
                </w:p>
              </w:tc>
              <w:tc>
                <w:tcPr>
                  <w:tcW w:w="1735" w:type="dxa"/>
                  <w:vAlign w:val="center"/>
                </w:tcPr>
                <w:p w14:paraId="03D47C84">
                  <w:pPr>
                    <w:pStyle w:val="42"/>
                  </w:pPr>
                </w:p>
              </w:tc>
            </w:tr>
            <w:tr w14:paraId="1564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2D67FA51">
                  <w:pPr>
                    <w:pStyle w:val="42"/>
                    <w:jc w:val="both"/>
                  </w:pPr>
                  <w:r>
                    <w:rPr>
                      <w:rFonts w:hint="eastAsia"/>
                    </w:rPr>
                    <w:t>5环境风险应急处理设备及应急救援物资</w:t>
                  </w:r>
                </w:p>
              </w:tc>
              <w:tc>
                <w:tcPr>
                  <w:tcW w:w="1735" w:type="dxa"/>
                  <w:vAlign w:val="center"/>
                </w:tcPr>
                <w:p w14:paraId="08FAB7AB">
                  <w:pPr>
                    <w:pStyle w:val="42"/>
                  </w:pPr>
                </w:p>
              </w:tc>
            </w:tr>
            <w:tr w14:paraId="6C27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54DE31B4">
                  <w:pPr>
                    <w:pStyle w:val="42"/>
                  </w:pPr>
                  <w:r>
                    <w:rPr>
                      <w:rFonts w:hint="eastAsia"/>
                    </w:rPr>
                    <w:t>5.1</w:t>
                  </w:r>
                </w:p>
              </w:tc>
              <w:tc>
                <w:tcPr>
                  <w:tcW w:w="5386" w:type="dxa"/>
                  <w:vAlign w:val="center"/>
                </w:tcPr>
                <w:p w14:paraId="6B25B80E">
                  <w:pPr>
                    <w:pStyle w:val="42"/>
                  </w:pPr>
                  <w:r>
                    <w:rPr>
                      <w:rFonts w:hint="eastAsia"/>
                    </w:rPr>
                    <w:t>防爆、火灾等风险措施</w:t>
                  </w:r>
                </w:p>
              </w:tc>
              <w:tc>
                <w:tcPr>
                  <w:tcW w:w="1735" w:type="dxa"/>
                  <w:vAlign w:val="center"/>
                </w:tcPr>
                <w:p w14:paraId="2112DFFB">
                  <w:pPr>
                    <w:pStyle w:val="42"/>
                  </w:pPr>
                </w:p>
              </w:tc>
            </w:tr>
            <w:tr w14:paraId="37AA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4084153C">
                  <w:pPr>
                    <w:pStyle w:val="42"/>
                  </w:pPr>
                  <w:r>
                    <w:rPr>
                      <w:rFonts w:hint="eastAsia"/>
                    </w:rPr>
                    <w:t>5.2</w:t>
                  </w:r>
                </w:p>
              </w:tc>
              <w:tc>
                <w:tcPr>
                  <w:tcW w:w="5386" w:type="dxa"/>
                  <w:vAlign w:val="center"/>
                </w:tcPr>
                <w:p w14:paraId="262F635C">
                  <w:pPr>
                    <w:pStyle w:val="42"/>
                  </w:pPr>
                  <w:r>
                    <w:rPr>
                      <w:rFonts w:hint="eastAsia"/>
                    </w:rPr>
                    <w:t>应急救援物资</w:t>
                  </w:r>
                </w:p>
              </w:tc>
              <w:tc>
                <w:tcPr>
                  <w:tcW w:w="1735" w:type="dxa"/>
                  <w:vAlign w:val="center"/>
                </w:tcPr>
                <w:p w14:paraId="03037B9F">
                  <w:pPr>
                    <w:pStyle w:val="42"/>
                  </w:pPr>
                </w:p>
              </w:tc>
            </w:tr>
            <w:tr w14:paraId="27B0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6" w:type="dxa"/>
                  <w:gridSpan w:val="2"/>
                  <w:vAlign w:val="center"/>
                </w:tcPr>
                <w:p w14:paraId="1509F534">
                  <w:pPr>
                    <w:pStyle w:val="42"/>
                  </w:pPr>
                  <w:r>
                    <w:rPr>
                      <w:rFonts w:hint="eastAsia"/>
                    </w:rPr>
                    <w:t>合计</w:t>
                  </w:r>
                </w:p>
              </w:tc>
              <w:tc>
                <w:tcPr>
                  <w:tcW w:w="1735" w:type="dxa"/>
                  <w:vAlign w:val="center"/>
                </w:tcPr>
                <w:p w14:paraId="3A108AFB">
                  <w:pPr>
                    <w:pStyle w:val="42"/>
                  </w:pPr>
                </w:p>
              </w:tc>
            </w:tr>
          </w:tbl>
          <w:p w14:paraId="3C9510BB">
            <w:pPr>
              <w:pStyle w:val="41"/>
              <w:ind w:firstLine="480"/>
            </w:pPr>
          </w:p>
          <w:p w14:paraId="3DAFB7DE">
            <w:pPr>
              <w:pStyle w:val="41"/>
              <w:ind w:firstLine="480"/>
            </w:pPr>
          </w:p>
        </w:tc>
      </w:tr>
    </w:tbl>
    <w:p w14:paraId="52EC63DA">
      <w:pPr>
        <w:sectPr>
          <w:pgSz w:w="11907" w:h="16840"/>
          <w:pgMar w:top="1418" w:right="1418" w:bottom="1418" w:left="1418" w:header="851" w:footer="1077" w:gutter="0"/>
          <w:cols w:space="720" w:num="1"/>
          <w:docGrid w:linePitch="312" w:charSpace="0"/>
        </w:sectPr>
      </w:pPr>
    </w:p>
    <w:p w14:paraId="5852305D">
      <w:pPr>
        <w:pStyle w:val="15"/>
        <w:numPr>
          <w:ilvl w:val="0"/>
          <w:numId w:val="2"/>
        </w:numPr>
        <w:jc w:val="center"/>
        <w:outlineLvl w:val="0"/>
        <w:rPr>
          <w:rFonts w:hint="eastAsia" w:ascii="黑体" w:hAnsi="黑体" w:eastAsia="黑体"/>
          <w:snapToGrid w:val="0"/>
          <w:sz w:val="30"/>
          <w:szCs w:val="30"/>
        </w:rPr>
      </w:pPr>
      <w:bookmarkStart w:id="48" w:name="_Toc182815856"/>
      <w:bookmarkStart w:id="49" w:name="_Toc132899300"/>
      <w:bookmarkStart w:id="50" w:name="_Toc182380110"/>
      <w:bookmarkStart w:id="51" w:name="_Toc132899322"/>
      <w:bookmarkStart w:id="52" w:name="_Ref141873229"/>
      <w:r>
        <w:rPr>
          <w:rFonts w:hint="eastAsia" w:ascii="黑体" w:hAnsi="黑体" w:eastAsia="黑体"/>
          <w:snapToGrid w:val="0"/>
          <w:sz w:val="30"/>
          <w:szCs w:val="30"/>
        </w:rPr>
        <w:t>生态环境保护措施监督检查清单</w:t>
      </w:r>
      <w:bookmarkEnd w:id="48"/>
      <w:bookmarkEnd w:id="49"/>
      <w:bookmarkEnd w:id="50"/>
      <w:bookmarkEnd w:id="51"/>
      <w:bookmarkEnd w:id="52"/>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2756"/>
        <w:gridCol w:w="1796"/>
        <w:gridCol w:w="1619"/>
        <w:gridCol w:w="1943"/>
      </w:tblGrid>
      <w:tr w14:paraId="5F429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Merge w:val="restart"/>
            <w:tcBorders>
              <w:tl2br w:val="single" w:color="auto" w:sz="4" w:space="0"/>
            </w:tcBorders>
          </w:tcPr>
          <w:p w14:paraId="64165533">
            <w:pPr>
              <w:pStyle w:val="15"/>
              <w:adjustRightInd w:val="0"/>
              <w:snapToGrid w:val="0"/>
              <w:spacing w:before="72" w:beforeLines="30" w:beforeAutospacing="0" w:after="0" w:afterAutospacing="0"/>
              <w:jc w:val="right"/>
              <w:outlineLvl w:val="0"/>
              <w:rPr>
                <w:rFonts w:hint="eastAsia" w:ascii="黑体" w:hAnsi="黑体" w:eastAsia="黑体" w:cs="宋体"/>
                <w:kern w:val="2"/>
                <w:sz w:val="21"/>
                <w:szCs w:val="21"/>
              </w:rPr>
            </w:pPr>
            <w:bookmarkStart w:id="53" w:name="_Toc132899323"/>
            <w:bookmarkStart w:id="54" w:name="_Toc132899301"/>
            <w:bookmarkStart w:id="55" w:name="_Toc182815857"/>
            <w:bookmarkStart w:id="56" w:name="_Toc182380111"/>
            <w:r>
              <w:rPr>
                <w:rFonts w:hint="eastAsia" w:ascii="黑体" w:hAnsi="黑体" w:eastAsia="黑体" w:cs="宋体"/>
                <w:kern w:val="2"/>
                <w:sz w:val="21"/>
                <w:szCs w:val="21"/>
              </w:rPr>
              <w:t>内容</w:t>
            </w:r>
            <w:bookmarkEnd w:id="53"/>
            <w:bookmarkEnd w:id="54"/>
            <w:bookmarkEnd w:id="55"/>
            <w:bookmarkEnd w:id="56"/>
          </w:p>
          <w:p w14:paraId="47CF6835">
            <w:pPr>
              <w:pStyle w:val="15"/>
              <w:adjustRightInd w:val="0"/>
              <w:snapToGrid w:val="0"/>
              <w:spacing w:before="72" w:beforeLines="30" w:beforeAutospacing="0" w:after="0" w:afterAutospacing="0"/>
              <w:jc w:val="center"/>
              <w:outlineLvl w:val="0"/>
              <w:rPr>
                <w:rFonts w:hint="eastAsia" w:ascii="黑体" w:hAnsi="黑体" w:eastAsia="黑体" w:cs="宋体"/>
                <w:kern w:val="2"/>
                <w:sz w:val="21"/>
                <w:szCs w:val="21"/>
              </w:rPr>
            </w:pPr>
          </w:p>
          <w:p w14:paraId="7ADD9B8E">
            <w:pPr>
              <w:pStyle w:val="15"/>
              <w:adjustRightInd w:val="0"/>
              <w:snapToGrid w:val="0"/>
              <w:spacing w:before="72" w:beforeLines="30" w:beforeAutospacing="0" w:after="0" w:afterAutospacing="0"/>
              <w:jc w:val="center"/>
              <w:outlineLvl w:val="0"/>
              <w:rPr>
                <w:rFonts w:hint="eastAsia" w:ascii="黑体" w:hAnsi="黑体" w:eastAsia="黑体" w:cs="宋体"/>
                <w:kern w:val="2"/>
                <w:sz w:val="21"/>
                <w:szCs w:val="21"/>
              </w:rPr>
            </w:pPr>
          </w:p>
          <w:p w14:paraId="22A5A2C7">
            <w:pPr>
              <w:pStyle w:val="15"/>
              <w:adjustRightInd w:val="0"/>
              <w:snapToGrid w:val="0"/>
              <w:spacing w:before="0" w:beforeAutospacing="0" w:after="0" w:afterAutospacing="0" w:line="14" w:lineRule="auto"/>
              <w:outlineLvl w:val="0"/>
              <w:rPr>
                <w:rFonts w:hint="eastAsia" w:ascii="黑体" w:hAnsi="黑体" w:eastAsia="黑体" w:cs="宋体"/>
                <w:kern w:val="2"/>
                <w:sz w:val="135"/>
                <w:szCs w:val="21"/>
              </w:rPr>
            </w:pPr>
            <w:r>
              <w:rPr>
                <w:rFonts w:hint="eastAsia" w:ascii="黑体" w:hAnsi="黑体" w:eastAsia="黑体" w:cs="宋体"/>
                <w:kern w:val="2"/>
                <w:sz w:val="21"/>
                <w:szCs w:val="21"/>
              </w:rPr>
              <w:t xml:space="preserve"> </w:t>
            </w:r>
            <w:r>
              <w:rPr>
                <w:rFonts w:hint="eastAsia" w:ascii="黑体" w:hAnsi="黑体" w:eastAsia="黑体" w:cs="宋体"/>
                <w:kern w:val="2"/>
                <w:sz w:val="135"/>
                <w:szCs w:val="21"/>
              </w:rPr>
              <w:t xml:space="preserve"> </w:t>
            </w:r>
          </w:p>
          <w:p w14:paraId="47628070">
            <w:pPr>
              <w:pStyle w:val="15"/>
              <w:adjustRightInd w:val="0"/>
              <w:snapToGrid w:val="0"/>
              <w:spacing w:before="0" w:beforeAutospacing="0" w:after="0" w:afterAutospacing="0"/>
              <w:outlineLvl w:val="0"/>
              <w:rPr>
                <w:rFonts w:hint="eastAsia" w:ascii="黑体" w:hAnsi="黑体" w:eastAsia="黑体" w:cs="宋体"/>
                <w:kern w:val="2"/>
                <w:sz w:val="21"/>
                <w:szCs w:val="21"/>
              </w:rPr>
            </w:pPr>
            <w:bookmarkStart w:id="57" w:name="_Toc132899324"/>
            <w:bookmarkStart w:id="58" w:name="_Toc132899302"/>
            <w:bookmarkStart w:id="59" w:name="_Toc182380112"/>
            <w:bookmarkStart w:id="60" w:name="_Toc182815858"/>
            <w:r>
              <w:rPr>
                <w:rFonts w:hint="eastAsia" w:ascii="黑体" w:hAnsi="黑体" w:eastAsia="黑体" w:cs="宋体"/>
                <w:kern w:val="2"/>
                <w:sz w:val="21"/>
                <w:szCs w:val="21"/>
              </w:rPr>
              <w:t>要素</w:t>
            </w:r>
            <w:bookmarkEnd w:id="57"/>
            <w:bookmarkEnd w:id="58"/>
            <w:bookmarkEnd w:id="59"/>
            <w:bookmarkEnd w:id="60"/>
          </w:p>
        </w:tc>
        <w:tc>
          <w:tcPr>
            <w:tcW w:w="2450" w:type="pct"/>
            <w:gridSpan w:val="2"/>
            <w:vAlign w:val="center"/>
          </w:tcPr>
          <w:p w14:paraId="28E621DB">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61" w:name="_Toc182815859"/>
            <w:bookmarkStart w:id="62" w:name="_Toc132899303"/>
            <w:bookmarkStart w:id="63" w:name="_Toc132899325"/>
            <w:bookmarkStart w:id="64" w:name="_Toc182380113"/>
            <w:r>
              <w:rPr>
                <w:rFonts w:hint="eastAsia" w:ascii="黑体" w:hAnsi="黑体" w:eastAsia="黑体" w:cs="宋体"/>
                <w:kern w:val="2"/>
                <w:sz w:val="21"/>
                <w:szCs w:val="21"/>
              </w:rPr>
              <w:t>施工期</w:t>
            </w:r>
            <w:bookmarkEnd w:id="61"/>
            <w:bookmarkEnd w:id="62"/>
            <w:bookmarkEnd w:id="63"/>
            <w:bookmarkEnd w:id="64"/>
          </w:p>
        </w:tc>
        <w:tc>
          <w:tcPr>
            <w:tcW w:w="1918" w:type="pct"/>
            <w:gridSpan w:val="2"/>
            <w:vAlign w:val="center"/>
          </w:tcPr>
          <w:p w14:paraId="1FAD87E2">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65" w:name="_Toc182815860"/>
            <w:bookmarkStart w:id="66" w:name="_Toc182380114"/>
            <w:bookmarkStart w:id="67" w:name="_Toc132899304"/>
            <w:bookmarkStart w:id="68" w:name="_Toc132899326"/>
            <w:r>
              <w:rPr>
                <w:rFonts w:hint="eastAsia" w:ascii="黑体" w:hAnsi="黑体" w:eastAsia="黑体" w:cs="宋体"/>
                <w:kern w:val="2"/>
                <w:sz w:val="21"/>
                <w:szCs w:val="21"/>
              </w:rPr>
              <w:t>运营期</w:t>
            </w:r>
            <w:bookmarkEnd w:id="65"/>
            <w:bookmarkEnd w:id="66"/>
            <w:bookmarkEnd w:id="67"/>
            <w:bookmarkEnd w:id="68"/>
          </w:p>
        </w:tc>
      </w:tr>
      <w:tr w14:paraId="52934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Merge w:val="continue"/>
          </w:tcPr>
          <w:p w14:paraId="193B8E6A">
            <w:pPr>
              <w:pStyle w:val="15"/>
              <w:adjustRightInd w:val="0"/>
              <w:snapToGrid w:val="0"/>
              <w:spacing w:before="0" w:beforeAutospacing="0" w:after="0" w:afterAutospacing="0"/>
              <w:ind w:firstLine="840"/>
              <w:jc w:val="center"/>
              <w:outlineLvl w:val="0"/>
              <w:rPr>
                <w:rFonts w:hint="eastAsia" w:ascii="黑体" w:hAnsi="黑体" w:eastAsia="黑体" w:cs="宋体"/>
                <w:kern w:val="2"/>
                <w:sz w:val="21"/>
                <w:szCs w:val="21"/>
              </w:rPr>
            </w:pPr>
          </w:p>
        </w:tc>
        <w:tc>
          <w:tcPr>
            <w:tcW w:w="1484" w:type="pct"/>
            <w:vAlign w:val="center"/>
          </w:tcPr>
          <w:p w14:paraId="1CD33D98">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69" w:name="_Toc182815861"/>
            <w:bookmarkStart w:id="70" w:name="_Toc132899327"/>
            <w:bookmarkStart w:id="71" w:name="_Toc132899305"/>
            <w:bookmarkStart w:id="72" w:name="_Toc182380115"/>
            <w:r>
              <w:rPr>
                <w:rFonts w:hint="eastAsia" w:ascii="黑体" w:hAnsi="黑体" w:eastAsia="黑体" w:cs="宋体"/>
                <w:kern w:val="2"/>
                <w:sz w:val="21"/>
                <w:szCs w:val="21"/>
              </w:rPr>
              <w:t>环境保护措施</w:t>
            </w:r>
            <w:bookmarkEnd w:id="69"/>
            <w:bookmarkEnd w:id="70"/>
            <w:bookmarkEnd w:id="71"/>
            <w:bookmarkEnd w:id="72"/>
          </w:p>
        </w:tc>
        <w:tc>
          <w:tcPr>
            <w:tcW w:w="967" w:type="pct"/>
            <w:vAlign w:val="center"/>
          </w:tcPr>
          <w:p w14:paraId="6EEEB5D3">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73" w:name="_Toc132899306"/>
            <w:bookmarkStart w:id="74" w:name="_Toc132899328"/>
            <w:bookmarkStart w:id="75" w:name="_Toc182380116"/>
            <w:bookmarkStart w:id="76" w:name="_Toc182815862"/>
            <w:r>
              <w:rPr>
                <w:rFonts w:hint="eastAsia" w:ascii="黑体" w:hAnsi="黑体" w:eastAsia="黑体" w:cs="宋体"/>
                <w:kern w:val="2"/>
                <w:sz w:val="21"/>
                <w:szCs w:val="21"/>
              </w:rPr>
              <w:t>验收要求</w:t>
            </w:r>
            <w:bookmarkEnd w:id="73"/>
            <w:bookmarkEnd w:id="74"/>
            <w:bookmarkEnd w:id="75"/>
            <w:bookmarkEnd w:id="76"/>
          </w:p>
        </w:tc>
        <w:tc>
          <w:tcPr>
            <w:tcW w:w="872" w:type="pct"/>
            <w:vAlign w:val="center"/>
          </w:tcPr>
          <w:p w14:paraId="56C2560A">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77" w:name="_Toc182380117"/>
            <w:bookmarkStart w:id="78" w:name="_Toc132899307"/>
            <w:bookmarkStart w:id="79" w:name="_Toc182815863"/>
            <w:bookmarkStart w:id="80" w:name="_Toc132899329"/>
            <w:r>
              <w:rPr>
                <w:rFonts w:hint="eastAsia" w:ascii="黑体" w:hAnsi="黑体" w:eastAsia="黑体" w:cs="宋体"/>
                <w:kern w:val="2"/>
                <w:sz w:val="21"/>
                <w:szCs w:val="21"/>
              </w:rPr>
              <w:t>环境保护措施</w:t>
            </w:r>
            <w:bookmarkEnd w:id="77"/>
            <w:bookmarkEnd w:id="78"/>
            <w:bookmarkEnd w:id="79"/>
            <w:bookmarkEnd w:id="80"/>
          </w:p>
        </w:tc>
        <w:tc>
          <w:tcPr>
            <w:tcW w:w="1046" w:type="pct"/>
            <w:vAlign w:val="center"/>
          </w:tcPr>
          <w:p w14:paraId="786B972B">
            <w:pPr>
              <w:pStyle w:val="15"/>
              <w:adjustRightInd w:val="0"/>
              <w:snapToGrid w:val="0"/>
              <w:spacing w:before="0" w:beforeAutospacing="0" w:after="0" w:afterAutospacing="0"/>
              <w:jc w:val="center"/>
              <w:outlineLvl w:val="0"/>
              <w:rPr>
                <w:rFonts w:hint="eastAsia" w:ascii="黑体" w:hAnsi="黑体" w:eastAsia="黑体" w:cs="宋体"/>
                <w:kern w:val="2"/>
                <w:sz w:val="21"/>
                <w:szCs w:val="21"/>
              </w:rPr>
            </w:pPr>
            <w:bookmarkStart w:id="81" w:name="_Toc132899330"/>
            <w:bookmarkStart w:id="82" w:name="_Toc182380118"/>
            <w:bookmarkStart w:id="83" w:name="_Toc182815864"/>
            <w:bookmarkStart w:id="84" w:name="_Toc132899308"/>
            <w:r>
              <w:rPr>
                <w:rFonts w:hint="eastAsia" w:ascii="黑体" w:hAnsi="黑体" w:eastAsia="黑体" w:cs="宋体"/>
                <w:kern w:val="2"/>
                <w:sz w:val="21"/>
                <w:szCs w:val="21"/>
              </w:rPr>
              <w:t>验收要求</w:t>
            </w:r>
            <w:bookmarkEnd w:id="81"/>
            <w:bookmarkEnd w:id="82"/>
            <w:bookmarkEnd w:id="83"/>
            <w:bookmarkEnd w:id="84"/>
          </w:p>
        </w:tc>
      </w:tr>
      <w:tr w14:paraId="772E2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78502876">
            <w:pPr>
              <w:adjustRightInd w:val="0"/>
              <w:snapToGrid w:val="0"/>
              <w:jc w:val="center"/>
              <w:rPr>
                <w:rFonts w:hint="eastAsia" w:ascii="宋体" w:hAnsi="宋体" w:cs="宋体"/>
                <w:szCs w:val="21"/>
              </w:rPr>
            </w:pPr>
            <w:r>
              <w:rPr>
                <w:rFonts w:hint="eastAsia" w:ascii="宋体" w:hAnsi="宋体" w:cs="宋体"/>
                <w:szCs w:val="21"/>
              </w:rPr>
              <w:t>陆生生态</w:t>
            </w:r>
          </w:p>
        </w:tc>
        <w:tc>
          <w:tcPr>
            <w:tcW w:w="1484" w:type="pct"/>
            <w:vAlign w:val="center"/>
          </w:tcPr>
          <w:p w14:paraId="362D37E5">
            <w:pPr>
              <w:adjustRightInd w:val="0"/>
              <w:snapToGrid w:val="0"/>
              <w:jc w:val="center"/>
              <w:rPr>
                <w:rFonts w:hint="eastAsia" w:ascii="宋体" w:hAnsi="宋体" w:cs="宋体"/>
                <w:szCs w:val="21"/>
              </w:rPr>
            </w:pPr>
            <w:r>
              <w:rPr>
                <w:rFonts w:hint="eastAsia" w:ascii="宋体" w:hAnsi="宋体" w:cs="宋体"/>
                <w:szCs w:val="21"/>
              </w:rPr>
              <w:t>减少临时占地面积；避免堆放材料对植被的破坏。</w:t>
            </w:r>
          </w:p>
        </w:tc>
        <w:tc>
          <w:tcPr>
            <w:tcW w:w="967" w:type="pct"/>
            <w:vAlign w:val="center"/>
          </w:tcPr>
          <w:p w14:paraId="7FC61DEF">
            <w:pPr>
              <w:adjustRightInd w:val="0"/>
              <w:snapToGrid w:val="0"/>
              <w:jc w:val="center"/>
              <w:rPr>
                <w:rFonts w:hint="eastAsia" w:ascii="宋体" w:hAnsi="宋体" w:cs="宋体"/>
                <w:szCs w:val="21"/>
              </w:rPr>
            </w:pPr>
            <w:r>
              <w:rPr>
                <w:rFonts w:hint="eastAsia" w:ascii="宋体" w:hAnsi="宋体" w:cs="宋体"/>
                <w:szCs w:val="21"/>
              </w:rPr>
              <w:t>若造成植被破坏，施工结束后进行植被恢复</w:t>
            </w:r>
          </w:p>
        </w:tc>
        <w:tc>
          <w:tcPr>
            <w:tcW w:w="872" w:type="pct"/>
            <w:vAlign w:val="center"/>
          </w:tcPr>
          <w:p w14:paraId="6E77608B">
            <w:pPr>
              <w:adjustRightInd w:val="0"/>
              <w:snapToGrid w:val="0"/>
              <w:jc w:val="center"/>
              <w:rPr>
                <w:rFonts w:hint="eastAsia" w:ascii="宋体" w:hAnsi="宋体" w:cs="宋体"/>
                <w:szCs w:val="21"/>
              </w:rPr>
            </w:pPr>
            <w:r>
              <w:rPr>
                <w:rFonts w:hint="eastAsia" w:ascii="宋体" w:hAnsi="宋体" w:cs="宋体"/>
                <w:szCs w:val="21"/>
              </w:rPr>
              <w:t>/</w:t>
            </w:r>
          </w:p>
        </w:tc>
        <w:tc>
          <w:tcPr>
            <w:tcW w:w="1046" w:type="pct"/>
            <w:vAlign w:val="center"/>
          </w:tcPr>
          <w:p w14:paraId="74BFA51C">
            <w:pPr>
              <w:adjustRightInd w:val="0"/>
              <w:snapToGrid w:val="0"/>
              <w:jc w:val="center"/>
              <w:rPr>
                <w:rFonts w:hint="eastAsia" w:ascii="宋体" w:hAnsi="宋体" w:cs="宋体"/>
                <w:szCs w:val="21"/>
              </w:rPr>
            </w:pPr>
            <w:r>
              <w:rPr>
                <w:rFonts w:hint="eastAsia" w:ascii="宋体" w:hAnsi="宋体" w:cs="宋体"/>
                <w:szCs w:val="21"/>
              </w:rPr>
              <w:t>/</w:t>
            </w:r>
          </w:p>
        </w:tc>
      </w:tr>
      <w:tr w14:paraId="44D96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401B6B1B">
            <w:pPr>
              <w:adjustRightInd w:val="0"/>
              <w:snapToGrid w:val="0"/>
              <w:jc w:val="center"/>
              <w:rPr>
                <w:rFonts w:hint="eastAsia" w:ascii="宋体" w:hAnsi="宋体" w:cs="宋体"/>
                <w:szCs w:val="21"/>
              </w:rPr>
            </w:pPr>
            <w:r>
              <w:rPr>
                <w:rFonts w:hint="eastAsia" w:ascii="宋体" w:hAnsi="宋体" w:cs="宋体"/>
                <w:szCs w:val="21"/>
              </w:rPr>
              <w:t>水生生态</w:t>
            </w:r>
          </w:p>
        </w:tc>
        <w:tc>
          <w:tcPr>
            <w:tcW w:w="1484" w:type="pct"/>
            <w:vAlign w:val="center"/>
          </w:tcPr>
          <w:p w14:paraId="76E8BAC1">
            <w:pPr>
              <w:jc w:val="center"/>
            </w:pPr>
            <w:r>
              <w:t>/</w:t>
            </w:r>
          </w:p>
        </w:tc>
        <w:tc>
          <w:tcPr>
            <w:tcW w:w="967" w:type="pct"/>
            <w:vAlign w:val="center"/>
          </w:tcPr>
          <w:p w14:paraId="5951770C">
            <w:pPr>
              <w:jc w:val="center"/>
            </w:pPr>
            <w:r>
              <w:t>/</w:t>
            </w:r>
          </w:p>
        </w:tc>
        <w:tc>
          <w:tcPr>
            <w:tcW w:w="872" w:type="pct"/>
            <w:vAlign w:val="center"/>
          </w:tcPr>
          <w:p w14:paraId="2550E7CB">
            <w:pPr>
              <w:jc w:val="center"/>
            </w:pPr>
            <w:r>
              <w:t>/</w:t>
            </w:r>
          </w:p>
        </w:tc>
        <w:tc>
          <w:tcPr>
            <w:tcW w:w="1046" w:type="pct"/>
            <w:vAlign w:val="center"/>
          </w:tcPr>
          <w:p w14:paraId="2BD927D2">
            <w:pPr>
              <w:jc w:val="center"/>
            </w:pPr>
            <w:r>
              <w:t>/</w:t>
            </w:r>
          </w:p>
        </w:tc>
      </w:tr>
      <w:tr w14:paraId="7F530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63F60B70">
            <w:pPr>
              <w:adjustRightInd w:val="0"/>
              <w:snapToGrid w:val="0"/>
              <w:jc w:val="center"/>
              <w:rPr>
                <w:rFonts w:hint="eastAsia" w:ascii="宋体" w:hAnsi="宋体" w:cs="宋体"/>
                <w:szCs w:val="21"/>
              </w:rPr>
            </w:pPr>
            <w:r>
              <w:rPr>
                <w:rFonts w:hint="eastAsia" w:ascii="宋体" w:hAnsi="宋体" w:cs="宋体"/>
                <w:szCs w:val="21"/>
              </w:rPr>
              <w:t>地表水环境</w:t>
            </w:r>
          </w:p>
        </w:tc>
        <w:tc>
          <w:tcPr>
            <w:tcW w:w="1484" w:type="pct"/>
            <w:vAlign w:val="center"/>
          </w:tcPr>
          <w:p w14:paraId="7121B6CE">
            <w:pPr>
              <w:adjustRightInd w:val="0"/>
              <w:snapToGrid w:val="0"/>
              <w:jc w:val="center"/>
              <w:rPr>
                <w:rFonts w:hint="eastAsia" w:ascii="宋体" w:hAnsi="宋体" w:cs="宋体"/>
                <w:szCs w:val="21"/>
              </w:rPr>
            </w:pPr>
            <w:r>
              <w:rPr>
                <w:rFonts w:hint="eastAsia" w:ascii="宋体" w:hAnsi="宋体" w:cs="宋体"/>
                <w:szCs w:val="21"/>
              </w:rPr>
              <w:t>①施工废水经沉淀池处理后用于场地洒水降尘，不得外排。</w:t>
            </w:r>
          </w:p>
          <w:p w14:paraId="356EE4FD">
            <w:pPr>
              <w:adjustRightInd w:val="0"/>
              <w:snapToGrid w:val="0"/>
              <w:jc w:val="center"/>
              <w:rPr>
                <w:rFonts w:hint="eastAsia" w:ascii="宋体" w:hAnsi="宋体" w:cs="宋体"/>
                <w:szCs w:val="21"/>
              </w:rPr>
            </w:pPr>
            <w:r>
              <w:rPr>
                <w:rFonts w:hint="eastAsia" w:ascii="宋体" w:hAnsi="宋体" w:cs="宋体"/>
                <w:szCs w:val="21"/>
              </w:rPr>
              <w:t>②加强环境管理，开展环保教育，加强设备维护，严禁施工机械油料泄漏或废油料的倾倒进入水体。</w:t>
            </w:r>
          </w:p>
        </w:tc>
        <w:tc>
          <w:tcPr>
            <w:tcW w:w="967" w:type="pct"/>
            <w:vAlign w:val="center"/>
          </w:tcPr>
          <w:p w14:paraId="7A5383F7">
            <w:pPr>
              <w:jc w:val="center"/>
            </w:pPr>
            <w:r>
              <w:rPr>
                <w:rFonts w:hint="eastAsia"/>
              </w:rPr>
              <w:t>无废水外排</w:t>
            </w:r>
          </w:p>
        </w:tc>
        <w:tc>
          <w:tcPr>
            <w:tcW w:w="872" w:type="pct"/>
            <w:vAlign w:val="center"/>
          </w:tcPr>
          <w:p w14:paraId="70FA9490">
            <w:pPr>
              <w:jc w:val="center"/>
            </w:pPr>
            <w:r>
              <w:rPr>
                <w:rFonts w:hint="eastAsia"/>
              </w:rPr>
              <w:t>生产废水依托天宜污水处理厂一期处理。</w:t>
            </w:r>
          </w:p>
          <w:p w14:paraId="58223FA3">
            <w:pPr>
              <w:jc w:val="center"/>
            </w:pPr>
            <w:r>
              <w:rPr>
                <w:rFonts w:hint="eastAsia"/>
              </w:rPr>
              <w:t>生活污水依托国投钦电生活污水处理系统处理</w:t>
            </w:r>
          </w:p>
        </w:tc>
        <w:tc>
          <w:tcPr>
            <w:tcW w:w="1046" w:type="pct"/>
            <w:vAlign w:val="center"/>
          </w:tcPr>
          <w:p w14:paraId="34F03CA3">
            <w:pPr>
              <w:jc w:val="center"/>
            </w:pPr>
            <w:r>
              <w:rPr>
                <w:rFonts w:hint="eastAsia"/>
              </w:rPr>
              <w:t>废水不得直接外排</w:t>
            </w:r>
          </w:p>
        </w:tc>
      </w:tr>
      <w:tr w14:paraId="54E0C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301A7CC0">
            <w:pPr>
              <w:adjustRightInd w:val="0"/>
              <w:snapToGrid w:val="0"/>
              <w:jc w:val="center"/>
              <w:rPr>
                <w:rFonts w:hint="eastAsia" w:ascii="宋体" w:hAnsi="宋体" w:cs="宋体"/>
                <w:szCs w:val="21"/>
              </w:rPr>
            </w:pPr>
            <w:r>
              <w:rPr>
                <w:rFonts w:hint="eastAsia" w:ascii="宋体" w:hAnsi="宋体" w:cs="宋体"/>
                <w:szCs w:val="21"/>
              </w:rPr>
              <w:t>地下水及土壤环境</w:t>
            </w:r>
          </w:p>
        </w:tc>
        <w:tc>
          <w:tcPr>
            <w:tcW w:w="1484" w:type="pct"/>
            <w:vAlign w:val="center"/>
          </w:tcPr>
          <w:p w14:paraId="0330B03D">
            <w:pPr>
              <w:jc w:val="center"/>
            </w:pPr>
            <w:r>
              <w:t>/</w:t>
            </w:r>
          </w:p>
        </w:tc>
        <w:tc>
          <w:tcPr>
            <w:tcW w:w="967" w:type="pct"/>
            <w:vAlign w:val="center"/>
          </w:tcPr>
          <w:p w14:paraId="7DE5C981">
            <w:pPr>
              <w:jc w:val="center"/>
            </w:pPr>
            <w:r>
              <w:t>/</w:t>
            </w:r>
          </w:p>
        </w:tc>
        <w:tc>
          <w:tcPr>
            <w:tcW w:w="872" w:type="pct"/>
            <w:vAlign w:val="center"/>
          </w:tcPr>
          <w:p w14:paraId="737066A7">
            <w:pPr>
              <w:jc w:val="center"/>
            </w:pPr>
            <w:r>
              <w:t>/</w:t>
            </w:r>
          </w:p>
        </w:tc>
        <w:tc>
          <w:tcPr>
            <w:tcW w:w="1046" w:type="pct"/>
            <w:vAlign w:val="center"/>
          </w:tcPr>
          <w:p w14:paraId="3A1F1120">
            <w:pPr>
              <w:jc w:val="center"/>
            </w:pPr>
            <w:r>
              <w:t>/</w:t>
            </w:r>
          </w:p>
        </w:tc>
      </w:tr>
      <w:tr w14:paraId="4EF3E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4E47C44D">
            <w:pPr>
              <w:adjustRightInd w:val="0"/>
              <w:snapToGrid w:val="0"/>
              <w:jc w:val="center"/>
              <w:rPr>
                <w:rFonts w:hint="eastAsia" w:ascii="宋体" w:hAnsi="宋体" w:cs="宋体"/>
                <w:szCs w:val="21"/>
              </w:rPr>
            </w:pPr>
            <w:r>
              <w:rPr>
                <w:rFonts w:hint="eastAsia" w:ascii="宋体" w:hAnsi="宋体" w:cs="宋体"/>
                <w:szCs w:val="21"/>
              </w:rPr>
              <w:t>声环境</w:t>
            </w:r>
          </w:p>
        </w:tc>
        <w:tc>
          <w:tcPr>
            <w:tcW w:w="1484" w:type="pct"/>
            <w:vAlign w:val="center"/>
          </w:tcPr>
          <w:p w14:paraId="32429BB6">
            <w:pPr>
              <w:adjustRightInd w:val="0"/>
              <w:snapToGrid w:val="0"/>
              <w:rPr>
                <w:rFonts w:hint="eastAsia" w:ascii="宋体" w:hAnsi="宋体" w:cs="宋体"/>
                <w:szCs w:val="21"/>
              </w:rPr>
            </w:pPr>
            <w:r>
              <w:rPr>
                <w:rFonts w:hint="eastAsia" w:ascii="宋体" w:hAnsi="宋体" w:cs="宋体"/>
                <w:szCs w:val="21"/>
              </w:rPr>
              <w:t>①采用符合标准的设备和车辆，加强维护保养。</w:t>
            </w:r>
          </w:p>
          <w:p w14:paraId="405C5182">
            <w:pPr>
              <w:adjustRightInd w:val="0"/>
              <w:snapToGrid w:val="0"/>
              <w:rPr>
                <w:rFonts w:hint="eastAsia" w:ascii="宋体" w:hAnsi="宋体" w:cs="宋体"/>
                <w:szCs w:val="21"/>
              </w:rPr>
            </w:pPr>
            <w:r>
              <w:rPr>
                <w:rFonts w:hint="eastAsia" w:ascii="宋体" w:hAnsi="宋体" w:cs="宋体"/>
                <w:szCs w:val="21"/>
              </w:rPr>
              <w:t>②设置声屏障或施工围挡。</w:t>
            </w:r>
          </w:p>
          <w:p w14:paraId="30AFD181">
            <w:pPr>
              <w:adjustRightInd w:val="0"/>
              <w:snapToGrid w:val="0"/>
              <w:rPr>
                <w:rFonts w:hint="eastAsia" w:ascii="宋体" w:hAnsi="宋体" w:cs="宋体"/>
                <w:szCs w:val="21"/>
              </w:rPr>
            </w:pPr>
            <w:r>
              <w:rPr>
                <w:rFonts w:hint="eastAsia" w:ascii="宋体" w:hAnsi="宋体" w:cs="宋体"/>
                <w:szCs w:val="21"/>
              </w:rPr>
              <w:t>③合理安排作业时间。</w:t>
            </w:r>
          </w:p>
        </w:tc>
        <w:tc>
          <w:tcPr>
            <w:tcW w:w="967" w:type="pct"/>
            <w:vAlign w:val="center"/>
          </w:tcPr>
          <w:p w14:paraId="6404FD34">
            <w:pPr>
              <w:adjustRightInd w:val="0"/>
              <w:snapToGrid w:val="0"/>
              <w:rPr>
                <w:rFonts w:cs="宋体"/>
                <w:szCs w:val="21"/>
              </w:rPr>
            </w:pPr>
            <w:r>
              <w:rPr>
                <w:rFonts w:hint="eastAsia" w:cs="宋体"/>
                <w:szCs w:val="21"/>
              </w:rPr>
              <w:t>《建筑施工场界环境噪声排放标准》</w:t>
            </w:r>
            <w:r>
              <w:rPr>
                <w:rFonts w:cs="宋体"/>
                <w:szCs w:val="21"/>
              </w:rPr>
              <w:t>(GB12523</w:t>
            </w:r>
            <w:r>
              <w:rPr>
                <w:rFonts w:hint="eastAsia" w:cs="宋体"/>
                <w:szCs w:val="21"/>
              </w:rPr>
              <w:t>-2011）</w:t>
            </w:r>
          </w:p>
        </w:tc>
        <w:tc>
          <w:tcPr>
            <w:tcW w:w="872" w:type="pct"/>
            <w:vAlign w:val="center"/>
          </w:tcPr>
          <w:p w14:paraId="2E72AEB3">
            <w:pPr>
              <w:jc w:val="center"/>
            </w:pPr>
            <w:r>
              <w:rPr>
                <w:rFonts w:hint="eastAsia"/>
              </w:rPr>
              <w:t>采用低噪声设备、消声、基础减振、建筑隔声等</w:t>
            </w:r>
          </w:p>
        </w:tc>
        <w:tc>
          <w:tcPr>
            <w:tcW w:w="1046" w:type="pct"/>
            <w:vAlign w:val="center"/>
          </w:tcPr>
          <w:p w14:paraId="00A4D7B5">
            <w:pPr>
              <w:adjustRightInd w:val="0"/>
              <w:snapToGrid w:val="0"/>
              <w:jc w:val="center"/>
              <w:rPr>
                <w:rFonts w:cs="宋体"/>
                <w:szCs w:val="21"/>
              </w:rPr>
            </w:pPr>
            <w:r>
              <w:rPr>
                <w:rFonts w:hint="eastAsia" w:cs="宋体"/>
                <w:szCs w:val="21"/>
              </w:rPr>
              <w:t>《工业企业厂界环境噪声排放标准》（GB12348-2008）中3 类标准</w:t>
            </w:r>
          </w:p>
        </w:tc>
      </w:tr>
      <w:tr w14:paraId="0C7A5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7D6EF178">
            <w:pPr>
              <w:adjustRightInd w:val="0"/>
              <w:snapToGrid w:val="0"/>
              <w:jc w:val="center"/>
              <w:rPr>
                <w:rFonts w:hint="eastAsia" w:ascii="宋体" w:hAnsi="宋体" w:cs="宋体"/>
                <w:szCs w:val="21"/>
              </w:rPr>
            </w:pPr>
            <w:r>
              <w:rPr>
                <w:rFonts w:hint="eastAsia" w:ascii="宋体" w:hAnsi="宋体" w:cs="宋体"/>
                <w:szCs w:val="21"/>
              </w:rPr>
              <w:t>振动</w:t>
            </w:r>
          </w:p>
        </w:tc>
        <w:tc>
          <w:tcPr>
            <w:tcW w:w="1484" w:type="pct"/>
            <w:vAlign w:val="center"/>
          </w:tcPr>
          <w:p w14:paraId="24327731">
            <w:pPr>
              <w:adjustRightInd w:val="0"/>
              <w:snapToGrid w:val="0"/>
              <w:jc w:val="center"/>
              <w:rPr>
                <w:rFonts w:hint="eastAsia" w:ascii="宋体" w:hAnsi="宋体" w:cs="宋体"/>
                <w:szCs w:val="21"/>
              </w:rPr>
            </w:pPr>
            <w:r>
              <w:rPr>
                <w:rFonts w:hint="eastAsia" w:ascii="宋体" w:hAnsi="宋体" w:cs="宋体"/>
                <w:szCs w:val="21"/>
              </w:rPr>
              <w:t>/</w:t>
            </w:r>
          </w:p>
        </w:tc>
        <w:tc>
          <w:tcPr>
            <w:tcW w:w="967" w:type="pct"/>
            <w:vAlign w:val="center"/>
          </w:tcPr>
          <w:p w14:paraId="3F134A2C">
            <w:pPr>
              <w:adjustRightInd w:val="0"/>
              <w:snapToGrid w:val="0"/>
              <w:jc w:val="center"/>
              <w:rPr>
                <w:rFonts w:hint="eastAsia" w:ascii="宋体" w:hAnsi="宋体" w:cs="宋体"/>
                <w:szCs w:val="21"/>
              </w:rPr>
            </w:pPr>
            <w:r>
              <w:rPr>
                <w:rFonts w:hint="eastAsia" w:ascii="宋体" w:hAnsi="宋体" w:cs="宋体"/>
                <w:szCs w:val="21"/>
              </w:rPr>
              <w:t>/</w:t>
            </w:r>
          </w:p>
        </w:tc>
        <w:tc>
          <w:tcPr>
            <w:tcW w:w="872" w:type="pct"/>
            <w:vAlign w:val="center"/>
          </w:tcPr>
          <w:p w14:paraId="62115CBD">
            <w:pPr>
              <w:jc w:val="center"/>
            </w:pPr>
            <w:r>
              <w:rPr>
                <w:rFonts w:hint="eastAsia"/>
              </w:rPr>
              <w:t>/</w:t>
            </w:r>
          </w:p>
        </w:tc>
        <w:tc>
          <w:tcPr>
            <w:tcW w:w="1046" w:type="pct"/>
            <w:vAlign w:val="center"/>
          </w:tcPr>
          <w:p w14:paraId="4F1FA7EF">
            <w:pPr>
              <w:adjustRightInd w:val="0"/>
              <w:snapToGrid w:val="0"/>
              <w:jc w:val="center"/>
              <w:rPr>
                <w:rFonts w:hint="eastAsia" w:ascii="宋体" w:hAnsi="宋体" w:cs="宋体"/>
                <w:szCs w:val="21"/>
                <w:highlight w:val="yellow"/>
              </w:rPr>
            </w:pPr>
            <w:r>
              <w:rPr>
                <w:rFonts w:hint="eastAsia" w:ascii="宋体" w:hAnsi="宋体" w:cs="宋体"/>
                <w:szCs w:val="21"/>
              </w:rPr>
              <w:t>/</w:t>
            </w:r>
          </w:p>
        </w:tc>
      </w:tr>
      <w:tr w14:paraId="5B765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4D62FEDA">
            <w:pPr>
              <w:adjustRightInd w:val="0"/>
              <w:snapToGrid w:val="0"/>
              <w:jc w:val="center"/>
              <w:rPr>
                <w:rFonts w:hint="eastAsia" w:ascii="宋体" w:hAnsi="宋体" w:cs="宋体"/>
                <w:szCs w:val="21"/>
              </w:rPr>
            </w:pPr>
            <w:r>
              <w:rPr>
                <w:rFonts w:hint="eastAsia" w:ascii="宋体" w:hAnsi="宋体" w:cs="宋体"/>
                <w:szCs w:val="21"/>
              </w:rPr>
              <w:t>大气环境</w:t>
            </w:r>
          </w:p>
        </w:tc>
        <w:tc>
          <w:tcPr>
            <w:tcW w:w="1484" w:type="pct"/>
            <w:vAlign w:val="center"/>
          </w:tcPr>
          <w:p w14:paraId="69D7BFDE">
            <w:pPr>
              <w:adjustRightInd w:val="0"/>
              <w:snapToGrid w:val="0"/>
              <w:rPr>
                <w:rFonts w:hint="eastAsia" w:ascii="宋体" w:hAnsi="宋体" w:cs="宋体"/>
                <w:szCs w:val="21"/>
              </w:rPr>
            </w:pPr>
            <w:r>
              <w:rPr>
                <w:rFonts w:hint="eastAsia" w:ascii="宋体" w:hAnsi="宋体" w:cs="宋体"/>
                <w:szCs w:val="21"/>
              </w:rPr>
              <w:t>①土石方开挖、回填实行湿式作业，定期洒水，减少扬尘。</w:t>
            </w:r>
          </w:p>
          <w:p w14:paraId="14E89D37">
            <w:pPr>
              <w:adjustRightInd w:val="0"/>
              <w:snapToGrid w:val="0"/>
              <w:rPr>
                <w:rFonts w:hint="eastAsia" w:ascii="宋体" w:hAnsi="宋体" w:cs="宋体"/>
                <w:szCs w:val="21"/>
              </w:rPr>
            </w:pPr>
            <w:r>
              <w:rPr>
                <w:rFonts w:hint="eastAsia" w:ascii="宋体" w:hAnsi="宋体" w:cs="宋体"/>
                <w:szCs w:val="21"/>
              </w:rPr>
              <w:t>②加强管理，文明施工， 建筑材料轻装轻卸。</w:t>
            </w:r>
          </w:p>
          <w:p w14:paraId="3AE3FA3B">
            <w:pPr>
              <w:adjustRightInd w:val="0"/>
              <w:snapToGrid w:val="0"/>
              <w:rPr>
                <w:rFonts w:hint="eastAsia" w:ascii="宋体" w:hAnsi="宋体" w:cs="宋体"/>
                <w:szCs w:val="21"/>
              </w:rPr>
            </w:pPr>
            <w:r>
              <w:rPr>
                <w:rFonts w:hint="eastAsia" w:ascii="宋体" w:hAnsi="宋体" w:cs="宋体"/>
                <w:szCs w:val="21"/>
              </w:rPr>
              <w:t>③运送物料的车辆用采用塑胶布或帆布等遮盖措施，减少跑漏。</w:t>
            </w:r>
          </w:p>
        </w:tc>
        <w:tc>
          <w:tcPr>
            <w:tcW w:w="967" w:type="pct"/>
          </w:tcPr>
          <w:p w14:paraId="57038C90">
            <w:r>
              <w:rPr>
                <w:rFonts w:hint="eastAsia"/>
              </w:rPr>
              <w:t>减少施工过程中废气、扬尘产生，对项目区大气环境影响较小</w:t>
            </w:r>
          </w:p>
        </w:tc>
        <w:tc>
          <w:tcPr>
            <w:tcW w:w="872" w:type="pct"/>
            <w:vAlign w:val="center"/>
          </w:tcPr>
          <w:p w14:paraId="3E345611">
            <w:pPr>
              <w:jc w:val="center"/>
            </w:pPr>
            <w:r>
              <w:rPr>
                <w:rFonts w:hint="eastAsia"/>
              </w:rPr>
              <w:t>/</w:t>
            </w:r>
          </w:p>
        </w:tc>
        <w:tc>
          <w:tcPr>
            <w:tcW w:w="1046" w:type="pct"/>
            <w:vAlign w:val="center"/>
          </w:tcPr>
          <w:p w14:paraId="78D69746">
            <w:pPr>
              <w:jc w:val="center"/>
            </w:pPr>
            <w:r>
              <w:rPr>
                <w:rFonts w:hint="eastAsia"/>
              </w:rPr>
              <w:t>/</w:t>
            </w:r>
          </w:p>
        </w:tc>
      </w:tr>
      <w:tr w14:paraId="60A34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65ABF69A">
            <w:pPr>
              <w:adjustRightInd w:val="0"/>
              <w:snapToGrid w:val="0"/>
              <w:jc w:val="center"/>
              <w:rPr>
                <w:rFonts w:hint="eastAsia" w:ascii="宋体" w:hAnsi="宋体" w:cs="宋体"/>
                <w:szCs w:val="21"/>
              </w:rPr>
            </w:pPr>
            <w:r>
              <w:rPr>
                <w:rFonts w:hint="eastAsia" w:ascii="宋体" w:hAnsi="宋体" w:cs="宋体"/>
                <w:szCs w:val="21"/>
              </w:rPr>
              <w:t>固体废物</w:t>
            </w:r>
          </w:p>
        </w:tc>
        <w:tc>
          <w:tcPr>
            <w:tcW w:w="1484" w:type="pct"/>
            <w:vAlign w:val="center"/>
          </w:tcPr>
          <w:p w14:paraId="11204D36">
            <w:pPr>
              <w:adjustRightInd w:val="0"/>
              <w:snapToGrid w:val="0"/>
              <w:rPr>
                <w:rFonts w:hint="eastAsia" w:ascii="宋体" w:hAnsi="宋体" w:cs="宋体"/>
                <w:szCs w:val="21"/>
              </w:rPr>
            </w:pPr>
            <w:r>
              <w:rPr>
                <w:rFonts w:hint="eastAsia" w:ascii="宋体" w:hAnsi="宋体" w:cs="宋体"/>
                <w:szCs w:val="21"/>
              </w:rPr>
              <w:t>①施工土石方回填。</w:t>
            </w:r>
          </w:p>
          <w:p w14:paraId="1F3ECD3D">
            <w:pPr>
              <w:adjustRightInd w:val="0"/>
              <w:snapToGrid w:val="0"/>
              <w:rPr>
                <w:rFonts w:hint="eastAsia" w:ascii="宋体" w:hAnsi="宋体" w:cs="宋体"/>
                <w:szCs w:val="21"/>
              </w:rPr>
            </w:pPr>
            <w:r>
              <w:rPr>
                <w:rFonts w:hint="eastAsia" w:ascii="宋体" w:hAnsi="宋体" w:cs="宋体"/>
                <w:szCs w:val="21"/>
              </w:rPr>
              <w:t>②废油漆桶、废漆渣暂存于厂内危废暂存间，定期委托有资质单位处置。</w:t>
            </w:r>
          </w:p>
          <w:p w14:paraId="47544E9D">
            <w:pPr>
              <w:adjustRightInd w:val="0"/>
              <w:snapToGrid w:val="0"/>
              <w:rPr>
                <w:rFonts w:hint="eastAsia" w:ascii="宋体" w:hAnsi="宋体" w:cs="宋体"/>
                <w:szCs w:val="21"/>
              </w:rPr>
            </w:pPr>
            <w:r>
              <w:rPr>
                <w:rFonts w:hint="eastAsia" w:ascii="宋体" w:hAnsi="宋体" w:cs="宋体"/>
                <w:szCs w:val="21"/>
              </w:rPr>
              <w:t>③生活垃圾、清管灰尘收集后由当地环卫部门清运。</w:t>
            </w:r>
          </w:p>
        </w:tc>
        <w:tc>
          <w:tcPr>
            <w:tcW w:w="967" w:type="pct"/>
            <w:vAlign w:val="center"/>
          </w:tcPr>
          <w:p w14:paraId="0858B262">
            <w:pPr>
              <w:jc w:val="center"/>
            </w:pPr>
            <w:r>
              <w:rPr>
                <w:rFonts w:hint="eastAsia"/>
              </w:rPr>
              <w:t>固体废弃物得到妥善处置，不会对周围环境产生影响</w:t>
            </w:r>
          </w:p>
        </w:tc>
        <w:tc>
          <w:tcPr>
            <w:tcW w:w="872" w:type="pct"/>
            <w:vAlign w:val="center"/>
          </w:tcPr>
          <w:p w14:paraId="4DC008CE">
            <w:pPr>
              <w:jc w:val="center"/>
            </w:pPr>
            <w:r>
              <w:rPr>
                <w:rFonts w:hint="eastAsia"/>
              </w:rPr>
              <w:t>废机油及含油抹布、手套等暂存于现有危废暂存间，定期委托有资质单位进行处置；</w:t>
            </w:r>
          </w:p>
          <w:p w14:paraId="5B1EB14F">
            <w:pPr>
              <w:jc w:val="center"/>
            </w:pPr>
            <w:r>
              <w:rPr>
                <w:rFonts w:hint="eastAsia"/>
              </w:rPr>
              <w:t>生活垃圾集中收集后由当地环卫部门进行清运。</w:t>
            </w:r>
          </w:p>
        </w:tc>
        <w:tc>
          <w:tcPr>
            <w:tcW w:w="1046" w:type="pct"/>
            <w:vAlign w:val="center"/>
          </w:tcPr>
          <w:p w14:paraId="438501CF">
            <w:pPr>
              <w:jc w:val="center"/>
            </w:pPr>
            <w:r>
              <w:rPr>
                <w:rFonts w:hint="eastAsia"/>
              </w:rPr>
              <w:t>固体废弃物得到妥善处置，不会对周围环境产生影响</w:t>
            </w:r>
          </w:p>
        </w:tc>
      </w:tr>
      <w:tr w14:paraId="06E06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721213FE">
            <w:pPr>
              <w:adjustRightInd w:val="0"/>
              <w:snapToGrid w:val="0"/>
              <w:jc w:val="center"/>
              <w:rPr>
                <w:rFonts w:hint="eastAsia" w:ascii="宋体" w:hAnsi="宋体" w:cs="宋体"/>
                <w:szCs w:val="21"/>
              </w:rPr>
            </w:pPr>
            <w:r>
              <w:rPr>
                <w:rFonts w:hint="eastAsia" w:ascii="宋体" w:hAnsi="宋体" w:cs="宋体"/>
                <w:szCs w:val="21"/>
              </w:rPr>
              <w:t>电磁环境</w:t>
            </w:r>
          </w:p>
        </w:tc>
        <w:tc>
          <w:tcPr>
            <w:tcW w:w="1484" w:type="pct"/>
            <w:vAlign w:val="center"/>
          </w:tcPr>
          <w:p w14:paraId="3A95DADB">
            <w:pPr>
              <w:jc w:val="center"/>
            </w:pPr>
            <w:r>
              <w:rPr>
                <w:rFonts w:hint="eastAsia"/>
              </w:rPr>
              <w:t>/</w:t>
            </w:r>
          </w:p>
        </w:tc>
        <w:tc>
          <w:tcPr>
            <w:tcW w:w="967" w:type="pct"/>
            <w:vAlign w:val="center"/>
          </w:tcPr>
          <w:p w14:paraId="21F9C679">
            <w:pPr>
              <w:jc w:val="center"/>
            </w:pPr>
            <w:r>
              <w:rPr>
                <w:rFonts w:hint="eastAsia"/>
              </w:rPr>
              <w:t>/</w:t>
            </w:r>
          </w:p>
        </w:tc>
        <w:tc>
          <w:tcPr>
            <w:tcW w:w="872" w:type="pct"/>
            <w:vAlign w:val="center"/>
          </w:tcPr>
          <w:p w14:paraId="063FCB4E">
            <w:pPr>
              <w:jc w:val="center"/>
            </w:pPr>
            <w:r>
              <w:rPr>
                <w:rFonts w:hint="eastAsia"/>
              </w:rPr>
              <w:t>/</w:t>
            </w:r>
          </w:p>
        </w:tc>
        <w:tc>
          <w:tcPr>
            <w:tcW w:w="1046" w:type="pct"/>
            <w:vAlign w:val="center"/>
          </w:tcPr>
          <w:p w14:paraId="58671D6A">
            <w:pPr>
              <w:jc w:val="center"/>
            </w:pPr>
            <w:r>
              <w:rPr>
                <w:rFonts w:hint="eastAsia"/>
              </w:rPr>
              <w:t>/</w:t>
            </w:r>
          </w:p>
        </w:tc>
      </w:tr>
      <w:tr w14:paraId="09BB9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68E4AA0E">
            <w:pPr>
              <w:adjustRightInd w:val="0"/>
              <w:snapToGrid w:val="0"/>
              <w:jc w:val="center"/>
              <w:rPr>
                <w:rFonts w:hint="eastAsia" w:ascii="宋体" w:hAnsi="宋体" w:cs="宋体"/>
                <w:szCs w:val="21"/>
              </w:rPr>
            </w:pPr>
            <w:r>
              <w:rPr>
                <w:rFonts w:hint="eastAsia" w:ascii="宋体" w:hAnsi="宋体" w:cs="宋体"/>
                <w:szCs w:val="21"/>
              </w:rPr>
              <w:t>环境风险</w:t>
            </w:r>
          </w:p>
        </w:tc>
        <w:tc>
          <w:tcPr>
            <w:tcW w:w="1484" w:type="pct"/>
            <w:vAlign w:val="center"/>
          </w:tcPr>
          <w:p w14:paraId="275CDB11">
            <w:pPr>
              <w:jc w:val="center"/>
            </w:pPr>
            <w:r>
              <w:rPr>
                <w:rFonts w:hint="eastAsia"/>
              </w:rPr>
              <w:t>/</w:t>
            </w:r>
          </w:p>
        </w:tc>
        <w:tc>
          <w:tcPr>
            <w:tcW w:w="967" w:type="pct"/>
            <w:vAlign w:val="center"/>
          </w:tcPr>
          <w:p w14:paraId="304CD7F2">
            <w:pPr>
              <w:jc w:val="center"/>
            </w:pPr>
            <w:r>
              <w:rPr>
                <w:rFonts w:hint="eastAsia"/>
              </w:rPr>
              <w:t>/</w:t>
            </w:r>
          </w:p>
        </w:tc>
        <w:tc>
          <w:tcPr>
            <w:tcW w:w="872" w:type="pct"/>
            <w:vAlign w:val="center"/>
          </w:tcPr>
          <w:p w14:paraId="0F051E4F">
            <w:pPr>
              <w:adjustRightInd w:val="0"/>
              <w:snapToGrid w:val="0"/>
              <w:jc w:val="center"/>
              <w:rPr>
                <w:rFonts w:hint="eastAsia" w:ascii="宋体" w:hAnsi="宋体" w:cs="宋体"/>
                <w:szCs w:val="21"/>
              </w:rPr>
            </w:pPr>
            <w:r>
              <w:rPr>
                <w:rFonts w:hint="eastAsia" w:ascii="宋体" w:hAnsi="宋体" w:cs="宋体"/>
                <w:szCs w:val="21"/>
              </w:rPr>
              <w:t>定期巡检，设置标识，修订突发环境事件应急预案</w:t>
            </w:r>
          </w:p>
        </w:tc>
        <w:tc>
          <w:tcPr>
            <w:tcW w:w="1046" w:type="pct"/>
            <w:vAlign w:val="center"/>
          </w:tcPr>
          <w:p w14:paraId="52686370">
            <w:pPr>
              <w:adjustRightInd w:val="0"/>
              <w:snapToGrid w:val="0"/>
              <w:jc w:val="center"/>
              <w:rPr>
                <w:rFonts w:hint="eastAsia" w:ascii="宋体" w:hAnsi="宋体" w:cs="宋体"/>
                <w:szCs w:val="21"/>
              </w:rPr>
            </w:pPr>
            <w:r>
              <w:rPr>
                <w:rFonts w:hint="eastAsia" w:ascii="宋体" w:hAnsi="宋体" w:cs="宋体"/>
                <w:szCs w:val="21"/>
              </w:rPr>
              <w:t>定期巡检，设置标识，修订突发环境事件应急预案</w:t>
            </w:r>
          </w:p>
        </w:tc>
      </w:tr>
      <w:tr w14:paraId="50CF0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7C7687CA">
            <w:pPr>
              <w:adjustRightInd w:val="0"/>
              <w:snapToGrid w:val="0"/>
              <w:jc w:val="center"/>
              <w:rPr>
                <w:rFonts w:hint="eastAsia" w:ascii="宋体" w:hAnsi="宋体" w:cs="宋体"/>
                <w:szCs w:val="21"/>
              </w:rPr>
            </w:pPr>
            <w:r>
              <w:rPr>
                <w:rFonts w:hint="eastAsia" w:ascii="宋体" w:hAnsi="宋体" w:cs="宋体"/>
                <w:szCs w:val="21"/>
              </w:rPr>
              <w:t>环境监测</w:t>
            </w:r>
          </w:p>
        </w:tc>
        <w:tc>
          <w:tcPr>
            <w:tcW w:w="1484" w:type="pct"/>
            <w:vAlign w:val="center"/>
          </w:tcPr>
          <w:p w14:paraId="6A445202">
            <w:pPr>
              <w:jc w:val="center"/>
            </w:pPr>
            <w:r>
              <w:rPr>
                <w:rFonts w:hint="eastAsia"/>
              </w:rPr>
              <w:t>/</w:t>
            </w:r>
          </w:p>
        </w:tc>
        <w:tc>
          <w:tcPr>
            <w:tcW w:w="967" w:type="pct"/>
            <w:vAlign w:val="center"/>
          </w:tcPr>
          <w:p w14:paraId="5A0AF9DB">
            <w:pPr>
              <w:jc w:val="center"/>
            </w:pPr>
            <w:r>
              <w:rPr>
                <w:rFonts w:hint="eastAsia"/>
              </w:rPr>
              <w:t>/</w:t>
            </w:r>
          </w:p>
        </w:tc>
        <w:tc>
          <w:tcPr>
            <w:tcW w:w="872" w:type="pct"/>
            <w:vAlign w:val="center"/>
          </w:tcPr>
          <w:p w14:paraId="72202C4F">
            <w:pPr>
              <w:jc w:val="center"/>
            </w:pPr>
            <w:r>
              <w:rPr>
                <w:rFonts w:hint="eastAsia"/>
              </w:rPr>
              <w:t>/</w:t>
            </w:r>
          </w:p>
        </w:tc>
        <w:tc>
          <w:tcPr>
            <w:tcW w:w="1046" w:type="pct"/>
            <w:vAlign w:val="center"/>
          </w:tcPr>
          <w:p w14:paraId="5750C62A">
            <w:pPr>
              <w:jc w:val="center"/>
            </w:pPr>
            <w:r>
              <w:rPr>
                <w:rFonts w:hint="eastAsia"/>
              </w:rPr>
              <w:t>/</w:t>
            </w:r>
          </w:p>
        </w:tc>
      </w:tr>
      <w:tr w14:paraId="09D2C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1" w:type="pct"/>
            <w:vAlign w:val="center"/>
          </w:tcPr>
          <w:p w14:paraId="32983DB4">
            <w:pPr>
              <w:adjustRightInd w:val="0"/>
              <w:snapToGrid w:val="0"/>
              <w:jc w:val="center"/>
              <w:rPr>
                <w:rFonts w:hint="eastAsia" w:ascii="宋体" w:hAnsi="宋体" w:cs="宋体"/>
                <w:szCs w:val="21"/>
              </w:rPr>
            </w:pPr>
            <w:r>
              <w:rPr>
                <w:rFonts w:hint="eastAsia" w:ascii="宋体" w:hAnsi="宋体" w:cs="宋体"/>
                <w:szCs w:val="21"/>
              </w:rPr>
              <w:t>其他</w:t>
            </w:r>
          </w:p>
        </w:tc>
        <w:tc>
          <w:tcPr>
            <w:tcW w:w="1484" w:type="pct"/>
            <w:vAlign w:val="center"/>
          </w:tcPr>
          <w:p w14:paraId="1583F989">
            <w:pPr>
              <w:jc w:val="center"/>
            </w:pPr>
            <w:r>
              <w:t>/</w:t>
            </w:r>
          </w:p>
        </w:tc>
        <w:tc>
          <w:tcPr>
            <w:tcW w:w="967" w:type="pct"/>
            <w:vAlign w:val="center"/>
          </w:tcPr>
          <w:p w14:paraId="0308B9C4">
            <w:pPr>
              <w:jc w:val="center"/>
            </w:pPr>
            <w:r>
              <w:t>/</w:t>
            </w:r>
          </w:p>
        </w:tc>
        <w:tc>
          <w:tcPr>
            <w:tcW w:w="872" w:type="pct"/>
            <w:vAlign w:val="center"/>
          </w:tcPr>
          <w:p w14:paraId="00CB4223">
            <w:pPr>
              <w:jc w:val="center"/>
            </w:pPr>
            <w:r>
              <w:t>/</w:t>
            </w:r>
          </w:p>
        </w:tc>
        <w:tc>
          <w:tcPr>
            <w:tcW w:w="1046" w:type="pct"/>
            <w:vAlign w:val="center"/>
          </w:tcPr>
          <w:p w14:paraId="10B4F975">
            <w:pPr>
              <w:jc w:val="center"/>
            </w:pPr>
            <w:r>
              <w:t>/</w:t>
            </w:r>
          </w:p>
        </w:tc>
      </w:tr>
    </w:tbl>
    <w:p w14:paraId="75F2A1CD">
      <w:pPr>
        <w:pStyle w:val="5"/>
        <w:rPr>
          <w:snapToGrid w:val="0"/>
        </w:rPr>
      </w:pPr>
    </w:p>
    <w:p w14:paraId="78361C1A">
      <w:pPr>
        <w:pStyle w:val="15"/>
        <w:spacing w:before="0" w:beforeAutospacing="0" w:line="14" w:lineRule="auto"/>
        <w:jc w:val="center"/>
        <w:outlineLvl w:val="0"/>
        <w:rPr>
          <w:rFonts w:hint="eastAsia" w:ascii="黑体" w:hAnsi="黑体" w:eastAsia="黑体"/>
          <w:snapToGrid w:val="0"/>
          <w:sz w:val="30"/>
          <w:szCs w:val="30"/>
        </w:rPr>
      </w:pPr>
      <w:r>
        <w:rPr>
          <w:rFonts w:ascii="黑体" w:hAnsi="黑体" w:eastAsia="黑体"/>
          <w:snapToGrid w:val="0"/>
          <w:sz w:val="30"/>
          <w:szCs w:val="30"/>
        </w:rPr>
        <w:br w:type="page"/>
      </w:r>
    </w:p>
    <w:p w14:paraId="4EE113BF">
      <w:pPr>
        <w:pStyle w:val="15"/>
        <w:numPr>
          <w:ilvl w:val="0"/>
          <w:numId w:val="2"/>
        </w:numPr>
        <w:jc w:val="center"/>
        <w:outlineLvl w:val="0"/>
        <w:rPr>
          <w:rFonts w:hint="eastAsia" w:ascii="黑体" w:hAnsi="黑体" w:eastAsia="黑体"/>
          <w:snapToGrid w:val="0"/>
          <w:sz w:val="30"/>
          <w:szCs w:val="30"/>
        </w:rPr>
      </w:pPr>
      <w:bookmarkStart w:id="85" w:name="_Toc182815865"/>
      <w:bookmarkStart w:id="86" w:name="_Toc132899309"/>
      <w:bookmarkStart w:id="87" w:name="_Toc182380119"/>
      <w:bookmarkStart w:id="88" w:name="_Ref141873234"/>
      <w:bookmarkStart w:id="89" w:name="_Toc132899331"/>
      <w:r>
        <w:rPr>
          <w:rFonts w:hint="eastAsia" w:ascii="黑体" w:hAnsi="黑体" w:eastAsia="黑体"/>
          <w:snapToGrid w:val="0"/>
          <w:sz w:val="30"/>
          <w:szCs w:val="30"/>
        </w:rPr>
        <w:t>结论</w:t>
      </w:r>
      <w:bookmarkEnd w:id="85"/>
      <w:bookmarkEnd w:id="86"/>
      <w:bookmarkEnd w:id="87"/>
      <w:bookmarkEnd w:id="88"/>
      <w:bookmarkEnd w:id="89"/>
    </w:p>
    <w:tbl>
      <w:tblPr>
        <w:tblStyle w:val="1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67236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2BBF5B6F">
            <w:pPr>
              <w:pStyle w:val="41"/>
              <w:ind w:firstLine="480"/>
              <w:rPr>
                <w:highlight w:val="yellow"/>
              </w:rPr>
            </w:pPr>
            <w:r>
              <w:rPr>
                <w:rFonts w:hint="eastAsia"/>
              </w:rPr>
              <w:t>本项目建设符合国家产业政策，符合园区规划、规划环评及规划环评审查意见，项目选址选线环境上可行。项目施工期的影响随着施工期的结束而结束，对周边环境影响不大；运营期的废气、废水、噪声等排放对周边环境影响较小，环境风险可防可控。在严格执行国家各项环保规章制度，认真执行建设项目“三同时”制度，并切实落实本报告所提出的各项污染物防治措施的前提下，从环境保护角度考虑，本项目建设可行。</w:t>
            </w:r>
          </w:p>
        </w:tc>
      </w:tr>
    </w:tbl>
    <w:p w14:paraId="54CD7369">
      <w:pPr>
        <w:widowControl/>
        <w:adjustRightInd w:val="0"/>
        <w:snapToGrid w:val="0"/>
        <w:spacing w:before="192" w:beforeLines="80"/>
        <w:jc w:val="left"/>
        <w:rPr>
          <w:rFonts w:ascii="宋体"/>
        </w:rPr>
      </w:pPr>
    </w:p>
    <w:p w14:paraId="1B5336B4">
      <w:pPr>
        <w:widowControl/>
        <w:adjustRightInd w:val="0"/>
        <w:snapToGrid w:val="0"/>
        <w:spacing w:before="192" w:beforeLines="80"/>
        <w:jc w:val="left"/>
        <w:rPr>
          <w:rFonts w:ascii="宋体"/>
        </w:rPr>
        <w:sectPr>
          <w:pgSz w:w="11906" w:h="16838"/>
          <w:pgMar w:top="1418" w:right="1418" w:bottom="1418" w:left="1418" w:header="851" w:footer="1077" w:gutter="0"/>
          <w:cols w:space="720" w:num="1"/>
          <w:docGrid w:linePitch="312" w:charSpace="0"/>
        </w:sectPr>
      </w:pPr>
    </w:p>
    <w:p w14:paraId="43535C6F">
      <w:pPr>
        <w:pStyle w:val="14"/>
        <w:spacing w:line="240" w:lineRule="auto"/>
        <w:jc w:val="right"/>
        <w:rPr>
          <w:b/>
          <w:bCs/>
          <w:sz w:val="28"/>
          <w:szCs w:val="28"/>
        </w:rPr>
      </w:pPr>
      <w:r>
        <w:rPr>
          <w:rFonts w:hint="eastAsia"/>
          <w:b/>
          <w:bCs/>
          <w:sz w:val="28"/>
          <w:szCs w:val="28"/>
        </w:rPr>
        <w:t>专题1</w:t>
      </w:r>
    </w:p>
    <w:p w14:paraId="700DE8AF">
      <w:pPr>
        <w:pStyle w:val="14"/>
        <w:spacing w:before="312" w:beforeLines="100" w:after="312" w:afterLines="100" w:line="700" w:lineRule="exact"/>
        <w:rPr>
          <w:sz w:val="30"/>
        </w:rPr>
      </w:pPr>
    </w:p>
    <w:p w14:paraId="60A48406">
      <w:pPr>
        <w:pStyle w:val="14"/>
        <w:spacing w:before="312" w:beforeLines="100" w:after="312" w:afterLines="100" w:line="700" w:lineRule="exact"/>
        <w:ind w:left="105" w:leftChars="50" w:right="105" w:rightChars="50"/>
        <w:jc w:val="center"/>
        <w:rPr>
          <w:rFonts w:ascii="黑体" w:eastAsia="黑体"/>
          <w:sz w:val="48"/>
          <w:szCs w:val="48"/>
        </w:rPr>
      </w:pPr>
      <w:r>
        <w:rPr>
          <w:rFonts w:hint="eastAsia" w:ascii="黑体" w:eastAsia="黑体"/>
          <w:sz w:val="48"/>
          <w:szCs w:val="48"/>
        </w:rPr>
        <w:t>林德气体（广西）有限公司钦州园区三期氮气供应项目</w:t>
      </w:r>
    </w:p>
    <w:p w14:paraId="2269BD29">
      <w:pPr>
        <w:pStyle w:val="14"/>
        <w:spacing w:before="312" w:beforeLines="100" w:after="312" w:afterLines="100" w:line="700" w:lineRule="exact"/>
        <w:jc w:val="center"/>
        <w:rPr>
          <w:rFonts w:ascii="黑体" w:eastAsia="黑体"/>
          <w:sz w:val="72"/>
        </w:rPr>
      </w:pPr>
      <w:r>
        <w:rPr>
          <w:rFonts w:hint="eastAsia" w:ascii="黑体" w:eastAsia="黑体"/>
          <w:sz w:val="72"/>
        </w:rPr>
        <w:t>环境风险影响专项评价</w:t>
      </w:r>
    </w:p>
    <w:p w14:paraId="4D8AA5B6">
      <w:pPr>
        <w:spacing w:line="360" w:lineRule="auto"/>
        <w:jc w:val="center"/>
        <w:rPr>
          <w:sz w:val="72"/>
        </w:rPr>
      </w:pPr>
    </w:p>
    <w:p w14:paraId="5B040C76">
      <w:pPr>
        <w:spacing w:line="360" w:lineRule="auto"/>
        <w:jc w:val="center"/>
        <w:rPr>
          <w:sz w:val="72"/>
        </w:rPr>
      </w:pPr>
    </w:p>
    <w:p w14:paraId="455EE06F">
      <w:pPr>
        <w:spacing w:line="360" w:lineRule="auto"/>
        <w:jc w:val="center"/>
        <w:rPr>
          <w:rFonts w:ascii="黑体" w:eastAsia="黑体"/>
          <w:sz w:val="72"/>
        </w:rPr>
      </w:pPr>
    </w:p>
    <w:p w14:paraId="63D4ECCC">
      <w:pPr>
        <w:spacing w:line="360" w:lineRule="auto"/>
        <w:jc w:val="center"/>
        <w:rPr>
          <w:rFonts w:ascii="黑体" w:eastAsia="黑体"/>
          <w:sz w:val="72"/>
        </w:rPr>
      </w:pPr>
    </w:p>
    <w:p w14:paraId="7A8D2C37">
      <w:pPr>
        <w:spacing w:line="360" w:lineRule="auto"/>
        <w:jc w:val="center"/>
        <w:rPr>
          <w:rFonts w:ascii="黑体" w:eastAsia="黑体"/>
          <w:sz w:val="72"/>
        </w:rPr>
      </w:pPr>
    </w:p>
    <w:p w14:paraId="14E63F95">
      <w:pPr>
        <w:spacing w:line="360" w:lineRule="auto"/>
        <w:jc w:val="center"/>
        <w:rPr>
          <w:rFonts w:ascii="黑体" w:eastAsia="黑体"/>
          <w:sz w:val="72"/>
        </w:rPr>
      </w:pPr>
    </w:p>
    <w:p w14:paraId="6021E582">
      <w:pPr>
        <w:spacing w:line="360" w:lineRule="auto"/>
        <w:ind w:firstLine="1280" w:firstLineChars="400"/>
        <w:rPr>
          <w:rFonts w:eastAsia="黑体"/>
          <w:sz w:val="32"/>
          <w:szCs w:val="32"/>
        </w:rPr>
      </w:pPr>
    </w:p>
    <w:p w14:paraId="0F6E96C7">
      <w:pPr>
        <w:spacing w:line="360" w:lineRule="auto"/>
        <w:ind w:firstLine="1280" w:firstLineChars="400"/>
        <w:rPr>
          <w:rFonts w:eastAsia="黑体"/>
          <w:sz w:val="32"/>
          <w:szCs w:val="32"/>
        </w:rPr>
      </w:pPr>
    </w:p>
    <w:p w14:paraId="209B0F03">
      <w:pPr>
        <w:spacing w:line="360" w:lineRule="auto"/>
        <w:ind w:firstLine="1280" w:firstLineChars="400"/>
        <w:rPr>
          <w:rFonts w:eastAsia="黑体"/>
          <w:sz w:val="32"/>
          <w:szCs w:val="32"/>
        </w:rPr>
      </w:pPr>
      <w:r>
        <w:rPr>
          <w:rFonts w:hint="eastAsia" w:eastAsia="黑体"/>
          <w:sz w:val="32"/>
          <w:szCs w:val="32"/>
        </w:rPr>
        <w:t>编制</w:t>
      </w:r>
      <w:r>
        <w:rPr>
          <w:rFonts w:eastAsia="黑体"/>
          <w:sz w:val="32"/>
          <w:szCs w:val="32"/>
        </w:rPr>
        <w:t>单位：</w:t>
      </w:r>
      <w:r>
        <w:rPr>
          <w:rFonts w:hint="eastAsia" w:eastAsia="黑体"/>
          <w:sz w:val="32"/>
          <w:szCs w:val="32"/>
        </w:rPr>
        <w:t>广西博环环境咨询服务有限公司</w:t>
      </w:r>
    </w:p>
    <w:p w14:paraId="779B9AD6">
      <w:pPr>
        <w:spacing w:line="360" w:lineRule="auto"/>
        <w:ind w:firstLine="1280" w:firstLineChars="400"/>
        <w:rPr>
          <w:rFonts w:eastAsia="黑体"/>
          <w:sz w:val="32"/>
          <w:szCs w:val="32"/>
        </w:rPr>
      </w:pPr>
      <w:r>
        <w:rPr>
          <w:rFonts w:hint="eastAsia" w:eastAsia="黑体"/>
          <w:sz w:val="32"/>
          <w:szCs w:val="32"/>
        </w:rPr>
        <w:t>编制</w:t>
      </w:r>
      <w:r>
        <w:rPr>
          <w:rFonts w:eastAsia="黑体"/>
          <w:sz w:val="32"/>
          <w:szCs w:val="32"/>
        </w:rPr>
        <w:t>时间：</w:t>
      </w:r>
      <w:r>
        <w:rPr>
          <w:rFonts w:hint="eastAsia" w:eastAsia="黑体"/>
          <w:sz w:val="32"/>
          <w:szCs w:val="32"/>
        </w:rPr>
        <w:t>二○二四</w:t>
      </w:r>
      <w:r>
        <w:rPr>
          <w:rFonts w:eastAsia="黑体"/>
          <w:sz w:val="32"/>
          <w:szCs w:val="32"/>
        </w:rPr>
        <w:t>年</w:t>
      </w:r>
      <w:r>
        <w:rPr>
          <w:rFonts w:hint="eastAsia" w:eastAsia="黑体"/>
          <w:sz w:val="32"/>
          <w:szCs w:val="32"/>
        </w:rPr>
        <w:t>十一</w:t>
      </w:r>
      <w:r>
        <w:rPr>
          <w:rFonts w:eastAsia="黑体"/>
          <w:sz w:val="32"/>
          <w:szCs w:val="32"/>
        </w:rPr>
        <w:t>月</w:t>
      </w:r>
    </w:p>
    <w:p w14:paraId="278FFF27">
      <w:pPr>
        <w:tabs>
          <w:tab w:val="left" w:pos="600"/>
        </w:tabs>
      </w:pPr>
      <w:r>
        <w:tab/>
      </w:r>
    </w:p>
    <w:p w14:paraId="5D0E5DF7">
      <w:pPr>
        <w:tabs>
          <w:tab w:val="left" w:pos="600"/>
        </w:tabs>
        <w:sectPr>
          <w:headerReference r:id="rId18" w:type="default"/>
          <w:footerReference r:id="rId20" w:type="default"/>
          <w:headerReference r:id="rId19" w:type="even"/>
          <w:footerReference r:id="rId21" w:type="even"/>
          <w:pgSz w:w="11906" w:h="16838"/>
          <w:pgMar w:top="1418" w:right="1418" w:bottom="1418" w:left="1418" w:header="851" w:footer="992" w:gutter="0"/>
          <w:cols w:space="425" w:num="1"/>
          <w:docGrid w:type="lines" w:linePitch="312" w:charSpace="0"/>
        </w:sectPr>
      </w:pPr>
      <w:r>
        <w:tab/>
      </w:r>
    </w:p>
    <w:sdt>
      <w:sdtPr>
        <w:rPr>
          <w:rFonts w:ascii="Times New Roman" w:hAnsi="Times New Roman" w:eastAsia="宋体"/>
          <w:color w:val="auto"/>
          <w:kern w:val="2"/>
          <w:sz w:val="21"/>
          <w:szCs w:val="24"/>
          <w:lang w:val="zh-CN"/>
        </w:rPr>
        <w:id w:val="267822010"/>
        <w:docPartObj>
          <w:docPartGallery w:val="Table of Contents"/>
          <w:docPartUnique/>
        </w:docPartObj>
      </w:sdtPr>
      <w:sdtEndPr>
        <w:rPr>
          <w:rFonts w:ascii="Times New Roman" w:hAnsi="Times New Roman" w:eastAsia="宋体"/>
          <w:b/>
          <w:bCs/>
          <w:color w:val="auto"/>
          <w:kern w:val="2"/>
          <w:sz w:val="21"/>
          <w:szCs w:val="24"/>
          <w:lang w:val="zh-CN"/>
        </w:rPr>
      </w:sdtEndPr>
      <w:sdtContent>
        <w:p w14:paraId="6E14566B">
          <w:pPr>
            <w:pStyle w:val="40"/>
            <w:spacing w:after="156" w:afterLines="50"/>
            <w:jc w:val="center"/>
            <w:rPr>
              <w:rFonts w:ascii="Times New Roman" w:hAnsi="Times New Roman" w:eastAsia="黑体"/>
              <w:bCs/>
              <w:color w:val="auto"/>
              <w:sz w:val="36"/>
              <w:szCs w:val="36"/>
            </w:rPr>
          </w:pPr>
          <w:r>
            <w:rPr>
              <w:rFonts w:ascii="Times New Roman" w:hAnsi="Times New Roman" w:eastAsia="黑体"/>
              <w:bCs/>
              <w:color w:val="auto"/>
              <w:sz w:val="36"/>
              <w:szCs w:val="36"/>
              <w:lang w:val="zh-CN"/>
            </w:rPr>
            <w:t>目</w:t>
          </w:r>
          <w:r>
            <w:rPr>
              <w:rFonts w:hint="eastAsia" w:ascii="Times New Roman" w:hAnsi="Times New Roman" w:eastAsia="黑体"/>
              <w:bCs/>
              <w:color w:val="auto"/>
              <w:sz w:val="36"/>
              <w:szCs w:val="36"/>
              <w:lang w:val="zh-CN"/>
            </w:rPr>
            <w:t xml:space="preserve"> </w:t>
          </w:r>
          <w:r>
            <w:rPr>
              <w:rFonts w:ascii="Times New Roman" w:hAnsi="Times New Roman" w:eastAsia="黑体"/>
              <w:bCs/>
              <w:color w:val="auto"/>
              <w:sz w:val="36"/>
              <w:szCs w:val="36"/>
              <w:lang w:val="zh-CN"/>
            </w:rPr>
            <w:t>录</w:t>
          </w:r>
        </w:p>
        <w:p w14:paraId="1D443B16">
          <w:pPr>
            <w:pStyle w:val="12"/>
            <w:tabs>
              <w:tab w:val="right" w:leader="dot" w:pos="9060"/>
            </w:tabs>
            <w:rPr>
              <w:rFonts w:hint="eastAsia" w:asciiTheme="minorHAnsi" w:hAnsiTheme="minorHAnsi" w:eastAsiaTheme="minorEastAsia" w:cstheme="minorBidi"/>
              <w:szCs w:val="22"/>
              <w14:ligatures w14:val="standardContextual"/>
            </w:rPr>
          </w:pPr>
          <w:r>
            <w:rPr>
              <w:sz w:val="24"/>
            </w:rPr>
            <w:fldChar w:fldCharType="begin"/>
          </w:r>
          <w:r>
            <w:rPr>
              <w:sz w:val="24"/>
            </w:rPr>
            <w:instrText xml:space="preserve"> TOC \o "1-2" \h \z \u </w:instrText>
          </w:r>
          <w:r>
            <w:rPr>
              <w:sz w:val="24"/>
            </w:rPr>
            <w:fldChar w:fldCharType="separate"/>
          </w:r>
        </w:p>
        <w:p w14:paraId="5D9B8A57">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"_Toc182815866" </w:instrText>
          </w:r>
          <w:r>
            <w:fldChar w:fldCharType="separate"/>
          </w:r>
          <w:r>
            <w:rPr>
              <w:rStyle w:val="22"/>
              <w:rFonts w:hint="eastAsia"/>
              <w:sz w:val="24"/>
            </w:rPr>
            <w:t>1 总则</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_Toc182815866 \h</w:instrText>
          </w:r>
          <w:r>
            <w:rPr>
              <w:rFonts w:hint="eastAsia"/>
              <w:sz w:val="24"/>
            </w:rPr>
            <w:instrText xml:space="preserve"> </w:instrText>
          </w:r>
          <w:r>
            <w:rPr>
              <w:rFonts w:hint="eastAsia"/>
              <w:sz w:val="24"/>
            </w:rPr>
            <w:fldChar w:fldCharType="separate"/>
          </w:r>
          <w:r>
            <w:rPr>
              <w:sz w:val="24"/>
            </w:rPr>
            <w:t>1</w:t>
          </w:r>
          <w:r>
            <w:rPr>
              <w:rFonts w:hint="eastAsia"/>
              <w:sz w:val="24"/>
            </w:rPr>
            <w:fldChar w:fldCharType="end"/>
          </w:r>
          <w:r>
            <w:rPr>
              <w:rFonts w:hint="eastAsia"/>
              <w:sz w:val="24"/>
            </w:rPr>
            <w:fldChar w:fldCharType="end"/>
          </w:r>
        </w:p>
        <w:p w14:paraId="33171328">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"_Toc182815867" </w:instrText>
          </w:r>
          <w:r>
            <w:fldChar w:fldCharType="separate"/>
          </w:r>
          <w:r>
            <w:rPr>
              <w:rStyle w:val="22"/>
              <w:rFonts w:hint="eastAsia" w:ascii="Times New Roman" w:hAnsi="Times New Roman" w:eastAsia="宋体"/>
              <w:sz w:val="24"/>
            </w:rPr>
            <w:t>1.1 项目由来</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_Toc182815867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1</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1746C06C">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"_Toc182815868" </w:instrText>
          </w:r>
          <w:r>
            <w:fldChar w:fldCharType="separate"/>
          </w:r>
          <w:r>
            <w:rPr>
              <w:rStyle w:val="22"/>
              <w:rFonts w:hint="eastAsia" w:ascii="Times New Roman" w:hAnsi="Times New Roman" w:eastAsia="宋体"/>
              <w:sz w:val="24"/>
            </w:rPr>
            <w:t>1.2 编制依据</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_Toc182815868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1</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1050AF60">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"_Toc182815869" </w:instrText>
          </w:r>
          <w:r>
            <w:fldChar w:fldCharType="separate"/>
          </w:r>
          <w:r>
            <w:rPr>
              <w:rStyle w:val="22"/>
              <w:rFonts w:hint="eastAsia" w:ascii="Times New Roman" w:hAnsi="Times New Roman" w:eastAsia="宋体"/>
              <w:sz w:val="24"/>
            </w:rPr>
            <w:t>1.3 评价程序</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_Toc182815869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2</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0264BBF0">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"_Toc182815870" </w:instrText>
          </w:r>
          <w:r>
            <w:fldChar w:fldCharType="separate"/>
          </w:r>
          <w:r>
            <w:rPr>
              <w:rStyle w:val="22"/>
              <w:rFonts w:hint="eastAsia" w:ascii="Times New Roman" w:hAnsi="Times New Roman" w:eastAsia="宋体"/>
              <w:sz w:val="24"/>
            </w:rPr>
            <w:t>1.4 风险调查</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_Toc182815870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3</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6D8A934B">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"_Toc182815871" </w:instrText>
          </w:r>
          <w:r>
            <w:fldChar w:fldCharType="separate"/>
          </w:r>
          <w:r>
            <w:rPr>
              <w:rStyle w:val="22"/>
              <w:rFonts w:hint="eastAsia" w:ascii="Times New Roman" w:hAnsi="Times New Roman" w:eastAsia="宋体"/>
              <w:sz w:val="24"/>
            </w:rPr>
            <w:t>1.5 评价工作等级</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_Toc182815871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3</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78418B6C">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"_Toc182815872" </w:instrText>
          </w:r>
          <w:r>
            <w:fldChar w:fldCharType="separate"/>
          </w:r>
          <w:r>
            <w:rPr>
              <w:rStyle w:val="22"/>
              <w:rFonts w:hint="eastAsia" w:ascii="Times New Roman" w:hAnsi="Times New Roman" w:eastAsia="宋体"/>
              <w:sz w:val="24"/>
            </w:rPr>
            <w:t>1.6 评价范围</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_Toc182815872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4</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058EA3A7">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"_Toc182815873" </w:instrText>
          </w:r>
          <w:r>
            <w:fldChar w:fldCharType="separate"/>
          </w:r>
          <w:r>
            <w:rPr>
              <w:rStyle w:val="22"/>
              <w:rFonts w:hint="eastAsia" w:ascii="Times New Roman" w:hAnsi="Times New Roman" w:eastAsia="宋体"/>
              <w:sz w:val="24"/>
            </w:rPr>
            <w:t>1.7 环境敏感目标概况</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_Toc182815873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4</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4C28E30F">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"_Toc182815874" </w:instrText>
          </w:r>
          <w:r>
            <w:fldChar w:fldCharType="separate"/>
          </w:r>
          <w:r>
            <w:rPr>
              <w:rStyle w:val="22"/>
              <w:rFonts w:hint="eastAsia"/>
              <w:sz w:val="24"/>
            </w:rPr>
            <w:t>2 项目概况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_Toc182815874 \h</w:instrText>
          </w:r>
          <w:r>
            <w:rPr>
              <w:rFonts w:hint="eastAsia"/>
              <w:sz w:val="24"/>
            </w:rPr>
            <w:instrText xml:space="preserve"> </w:instrText>
          </w:r>
          <w:r>
            <w:rPr>
              <w:rFonts w:hint="eastAsia"/>
              <w:sz w:val="24"/>
            </w:rPr>
            <w:fldChar w:fldCharType="separate"/>
          </w:r>
          <w:r>
            <w:rPr>
              <w:sz w:val="24"/>
            </w:rPr>
            <w:t>5</w:t>
          </w:r>
          <w:r>
            <w:rPr>
              <w:rFonts w:hint="eastAsia"/>
              <w:sz w:val="24"/>
            </w:rPr>
            <w:fldChar w:fldCharType="end"/>
          </w:r>
          <w:r>
            <w:rPr>
              <w:rFonts w:hint="eastAsia"/>
              <w:sz w:val="24"/>
            </w:rPr>
            <w:fldChar w:fldCharType="end"/>
          </w:r>
        </w:p>
        <w:p w14:paraId="579B826D">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"_Toc182815875" </w:instrText>
          </w:r>
          <w:r>
            <w:fldChar w:fldCharType="separate"/>
          </w:r>
          <w:r>
            <w:rPr>
              <w:rStyle w:val="22"/>
              <w:rFonts w:hint="eastAsia"/>
              <w:sz w:val="24"/>
            </w:rPr>
            <w:t>3 风险识别</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_Toc182815875 \h</w:instrText>
          </w:r>
          <w:r>
            <w:rPr>
              <w:rFonts w:hint="eastAsia"/>
              <w:sz w:val="24"/>
            </w:rPr>
            <w:instrText xml:space="preserve"> </w:instrText>
          </w:r>
          <w:r>
            <w:rPr>
              <w:rFonts w:hint="eastAsia"/>
              <w:sz w:val="24"/>
            </w:rPr>
            <w:fldChar w:fldCharType="separate"/>
          </w:r>
          <w:r>
            <w:rPr>
              <w:sz w:val="24"/>
            </w:rPr>
            <w:t>5</w:t>
          </w:r>
          <w:r>
            <w:rPr>
              <w:rFonts w:hint="eastAsia"/>
              <w:sz w:val="24"/>
            </w:rPr>
            <w:fldChar w:fldCharType="end"/>
          </w:r>
          <w:r>
            <w:rPr>
              <w:rFonts w:hint="eastAsia"/>
              <w:sz w:val="24"/>
            </w:rPr>
            <w:fldChar w:fldCharType="end"/>
          </w:r>
        </w:p>
        <w:p w14:paraId="03E7707C">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"_Toc182815876" </w:instrText>
          </w:r>
          <w:r>
            <w:fldChar w:fldCharType="separate"/>
          </w:r>
          <w:r>
            <w:rPr>
              <w:rStyle w:val="22"/>
              <w:rFonts w:hint="eastAsia" w:ascii="Times New Roman" w:hAnsi="Times New Roman" w:eastAsia="宋体"/>
              <w:sz w:val="24"/>
            </w:rPr>
            <w:t>3.1 物质风险识别</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_Toc182815876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6</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60D2F333">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"_Toc182815877" </w:instrText>
          </w:r>
          <w:r>
            <w:fldChar w:fldCharType="separate"/>
          </w:r>
          <w:r>
            <w:rPr>
              <w:rStyle w:val="22"/>
              <w:rFonts w:hint="eastAsia" w:ascii="Times New Roman" w:hAnsi="Times New Roman" w:eastAsia="宋体"/>
              <w:sz w:val="24"/>
            </w:rPr>
            <w:t>3.2 生产风险识别</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_Toc182815877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6</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17C8E789">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"_Toc182815878" </w:instrText>
          </w:r>
          <w:r>
            <w:fldChar w:fldCharType="separate"/>
          </w:r>
          <w:r>
            <w:rPr>
              <w:rStyle w:val="22"/>
              <w:rFonts w:hint="eastAsia"/>
              <w:sz w:val="24"/>
            </w:rPr>
            <w:t>4 运营期风险环境影响分析</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_Toc182815878 \h</w:instrText>
          </w:r>
          <w:r>
            <w:rPr>
              <w:rFonts w:hint="eastAsia"/>
              <w:sz w:val="24"/>
            </w:rPr>
            <w:instrText xml:space="preserve"> </w:instrText>
          </w:r>
          <w:r>
            <w:rPr>
              <w:rFonts w:hint="eastAsia"/>
              <w:sz w:val="24"/>
            </w:rPr>
            <w:fldChar w:fldCharType="separate"/>
          </w:r>
          <w:r>
            <w:rPr>
              <w:sz w:val="24"/>
            </w:rPr>
            <w:t>7</w:t>
          </w:r>
          <w:r>
            <w:rPr>
              <w:rFonts w:hint="eastAsia"/>
              <w:sz w:val="24"/>
            </w:rPr>
            <w:fldChar w:fldCharType="end"/>
          </w:r>
          <w:r>
            <w:rPr>
              <w:rFonts w:hint="eastAsia"/>
              <w:sz w:val="24"/>
            </w:rPr>
            <w:fldChar w:fldCharType="end"/>
          </w:r>
        </w:p>
        <w:p w14:paraId="11673DDA">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"_Toc182815879" </w:instrText>
          </w:r>
          <w:r>
            <w:fldChar w:fldCharType="separate"/>
          </w:r>
          <w:r>
            <w:rPr>
              <w:rStyle w:val="22"/>
              <w:rFonts w:hint="eastAsia" w:ascii="Times New Roman" w:hAnsi="Times New Roman" w:eastAsia="宋体"/>
              <w:sz w:val="24"/>
            </w:rPr>
            <w:t>4.1 大气影响</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_Toc182815879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7</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40BC87D2">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"_Toc182815880" </w:instrText>
          </w:r>
          <w:r>
            <w:fldChar w:fldCharType="separate"/>
          </w:r>
          <w:r>
            <w:rPr>
              <w:rStyle w:val="22"/>
              <w:rFonts w:hint="eastAsia" w:ascii="Times New Roman" w:hAnsi="Times New Roman" w:eastAsia="宋体"/>
              <w:sz w:val="24"/>
            </w:rPr>
            <w:t>4.2 管道泄漏事故对沿线敏感点影响分析</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_Toc182815880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8</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1BB362E6">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"_Toc182815881" </w:instrText>
          </w:r>
          <w:r>
            <w:fldChar w:fldCharType="separate"/>
          </w:r>
          <w:r>
            <w:rPr>
              <w:rStyle w:val="22"/>
              <w:rFonts w:hint="eastAsia"/>
              <w:sz w:val="24"/>
            </w:rPr>
            <w:t>5 环境风险防范措施及应急要求</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_Toc182815881 \h</w:instrText>
          </w:r>
          <w:r>
            <w:rPr>
              <w:rFonts w:hint="eastAsia"/>
              <w:sz w:val="24"/>
            </w:rPr>
            <w:instrText xml:space="preserve"> </w:instrText>
          </w:r>
          <w:r>
            <w:rPr>
              <w:rFonts w:hint="eastAsia"/>
              <w:sz w:val="24"/>
            </w:rPr>
            <w:fldChar w:fldCharType="separate"/>
          </w:r>
          <w:r>
            <w:rPr>
              <w:sz w:val="24"/>
            </w:rPr>
            <w:t>8</w:t>
          </w:r>
          <w:r>
            <w:rPr>
              <w:rFonts w:hint="eastAsia"/>
              <w:sz w:val="24"/>
            </w:rPr>
            <w:fldChar w:fldCharType="end"/>
          </w:r>
          <w:r>
            <w:rPr>
              <w:rFonts w:hint="eastAsia"/>
              <w:sz w:val="24"/>
            </w:rPr>
            <w:fldChar w:fldCharType="end"/>
          </w:r>
        </w:p>
        <w:p w14:paraId="4BE5E2B4">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"_Toc182815882" </w:instrText>
          </w:r>
          <w:r>
            <w:fldChar w:fldCharType="separate"/>
          </w:r>
          <w:r>
            <w:rPr>
              <w:rStyle w:val="22"/>
              <w:rFonts w:hint="eastAsia" w:ascii="Times New Roman" w:hAnsi="Times New Roman" w:eastAsia="宋体"/>
              <w:sz w:val="24"/>
            </w:rPr>
            <w:t>5.1 环境风险防范措施</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_Toc182815882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8</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4D36E25D">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"_Toc182815883" </w:instrText>
          </w:r>
          <w:r>
            <w:fldChar w:fldCharType="separate"/>
          </w:r>
          <w:r>
            <w:rPr>
              <w:rStyle w:val="22"/>
              <w:rFonts w:hint="eastAsia" w:ascii="Times New Roman" w:hAnsi="Times New Roman" w:eastAsia="宋体"/>
              <w:sz w:val="24"/>
            </w:rPr>
            <w:t>5.2 突发环境事件应急预案</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_Toc182815883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12</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4D96F4DB">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"_Toc182815884" </w:instrText>
          </w:r>
          <w:r>
            <w:fldChar w:fldCharType="separate"/>
          </w:r>
          <w:r>
            <w:rPr>
              <w:rStyle w:val="22"/>
              <w:rFonts w:hint="eastAsia" w:ascii="Times New Roman" w:hAnsi="Times New Roman" w:eastAsia="宋体"/>
              <w:sz w:val="24"/>
            </w:rPr>
            <w:t>5.3 事故应急救援</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_Toc182815884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14</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333C650E">
          <w:pPr>
            <w:pStyle w:val="12"/>
            <w:tabs>
              <w:tab w:val="right" w:leader="dot" w:pos="9060"/>
            </w:tabs>
            <w:spacing w:line="360" w:lineRule="auto"/>
            <w:rPr>
              <w:rFonts w:cstheme="minorBidi"/>
              <w:sz w:val="24"/>
              <w:szCs w:val="22"/>
              <w14:ligatures w14:val="standardContextual"/>
            </w:rPr>
          </w:pPr>
          <w:r>
            <w:fldChar w:fldCharType="begin"/>
          </w:r>
          <w:r>
            <w:instrText xml:space="preserve"> HYPERLINK \l "_Toc182815885" </w:instrText>
          </w:r>
          <w:r>
            <w:fldChar w:fldCharType="separate"/>
          </w:r>
          <w:r>
            <w:rPr>
              <w:rStyle w:val="22"/>
              <w:rFonts w:hint="eastAsia"/>
              <w:sz w:val="24"/>
            </w:rPr>
            <w:t>6 风险评价小结及结论</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_Toc182815885 \h</w:instrText>
          </w:r>
          <w:r>
            <w:rPr>
              <w:rFonts w:hint="eastAsia"/>
              <w:sz w:val="24"/>
            </w:rPr>
            <w:instrText xml:space="preserve"> </w:instrText>
          </w:r>
          <w:r>
            <w:rPr>
              <w:rFonts w:hint="eastAsia"/>
              <w:sz w:val="24"/>
            </w:rPr>
            <w:fldChar w:fldCharType="separate"/>
          </w:r>
          <w:r>
            <w:rPr>
              <w:sz w:val="24"/>
            </w:rPr>
            <w:t>15</w:t>
          </w:r>
          <w:r>
            <w:rPr>
              <w:rFonts w:hint="eastAsia"/>
              <w:sz w:val="24"/>
            </w:rPr>
            <w:fldChar w:fldCharType="end"/>
          </w:r>
          <w:r>
            <w:rPr>
              <w:rFonts w:hint="eastAsia"/>
              <w:sz w:val="24"/>
            </w:rPr>
            <w:fldChar w:fldCharType="end"/>
          </w:r>
        </w:p>
        <w:p w14:paraId="2EFD885A">
          <w:pPr>
            <w:pStyle w:val="13"/>
            <w:tabs>
              <w:tab w:val="right" w:leader="dot" w:pos="9060"/>
            </w:tabs>
            <w:spacing w:after="0" w:line="360" w:lineRule="auto"/>
            <w:rPr>
              <w:rFonts w:ascii="Times New Roman" w:hAnsi="Times New Roman" w:eastAsia="宋体" w:cstheme="minorBidi"/>
              <w:kern w:val="2"/>
              <w:sz w:val="24"/>
              <w14:ligatures w14:val="standardContextual"/>
            </w:rPr>
          </w:pPr>
          <w:r>
            <w:fldChar w:fldCharType="begin"/>
          </w:r>
          <w:r>
            <w:instrText xml:space="preserve"> HYPERLINK \l "_Toc182815886" </w:instrText>
          </w:r>
          <w:r>
            <w:fldChar w:fldCharType="separate"/>
          </w:r>
          <w:r>
            <w:rPr>
              <w:rStyle w:val="22"/>
              <w:rFonts w:hint="eastAsia" w:ascii="Times New Roman" w:hAnsi="Times New Roman" w:eastAsia="宋体"/>
              <w:sz w:val="24"/>
            </w:rPr>
            <w:t>6.1 结论</w:t>
          </w:r>
          <w:r>
            <w:rPr>
              <w:rFonts w:hint="eastAsia" w:ascii="Times New Roman" w:hAnsi="Times New Roman" w:eastAsia="宋体"/>
              <w:sz w:val="24"/>
            </w:rPr>
            <w:tab/>
          </w:r>
          <w:r>
            <w:rPr>
              <w:rFonts w:hint="eastAsia" w:ascii="Times New Roman" w:hAnsi="Times New Roman" w:eastAsia="宋体"/>
              <w:sz w:val="24"/>
            </w:rPr>
            <w:fldChar w:fldCharType="begin"/>
          </w:r>
          <w:r>
            <w:rPr>
              <w:rFonts w:hint="eastAsia" w:ascii="Times New Roman" w:hAnsi="Times New Roman" w:eastAsia="宋体"/>
              <w:sz w:val="24"/>
            </w:rPr>
            <w:instrText xml:space="preserve"> </w:instrText>
          </w:r>
          <w:r>
            <w:rPr>
              <w:rFonts w:ascii="Times New Roman" w:hAnsi="Times New Roman" w:eastAsia="宋体"/>
              <w:sz w:val="24"/>
            </w:rPr>
            <w:instrText xml:space="preserve">PAGEREF _Toc182815886 \h</w:instrText>
          </w:r>
          <w:r>
            <w:rPr>
              <w:rFonts w:hint="eastAsia" w:ascii="Times New Roman" w:hAnsi="Times New Roman" w:eastAsia="宋体"/>
              <w:sz w:val="24"/>
            </w:rPr>
            <w:instrText xml:space="preserve"> </w:instrText>
          </w:r>
          <w:r>
            <w:rPr>
              <w:rFonts w:hint="eastAsia" w:ascii="Times New Roman" w:hAnsi="Times New Roman" w:eastAsia="宋体"/>
              <w:sz w:val="24"/>
            </w:rPr>
            <w:fldChar w:fldCharType="separate"/>
          </w:r>
          <w:r>
            <w:rPr>
              <w:rFonts w:ascii="Times New Roman" w:hAnsi="Times New Roman" w:eastAsia="宋体"/>
              <w:sz w:val="24"/>
            </w:rPr>
            <w:t>17</w:t>
          </w:r>
          <w:r>
            <w:rPr>
              <w:rFonts w:hint="eastAsia" w:ascii="Times New Roman" w:hAnsi="Times New Roman" w:eastAsia="宋体"/>
              <w:sz w:val="24"/>
            </w:rPr>
            <w:fldChar w:fldCharType="end"/>
          </w:r>
          <w:r>
            <w:rPr>
              <w:rFonts w:hint="eastAsia" w:ascii="Times New Roman" w:hAnsi="Times New Roman" w:eastAsia="宋体"/>
              <w:sz w:val="24"/>
            </w:rPr>
            <w:fldChar w:fldCharType="end"/>
          </w:r>
        </w:p>
        <w:p w14:paraId="4F64BC5C">
          <w:pPr>
            <w:spacing w:line="360" w:lineRule="auto"/>
          </w:pPr>
          <w:r>
            <w:rPr>
              <w:sz w:val="24"/>
            </w:rPr>
            <w:fldChar w:fldCharType="end"/>
          </w:r>
        </w:p>
      </w:sdtContent>
    </w:sdt>
    <w:p w14:paraId="669B0331">
      <w:pPr>
        <w:pStyle w:val="54"/>
        <w:tabs>
          <w:tab w:val="right" w:leader="dot" w:pos="9030"/>
        </w:tabs>
        <w:ind w:firstLine="480"/>
      </w:pPr>
    </w:p>
    <w:p w14:paraId="4AE91E72">
      <w:pPr>
        <w:sectPr>
          <w:footerReference r:id="rId23" w:type="default"/>
          <w:headerReference r:id="rId22" w:type="even"/>
          <w:footerReference r:id="rId24" w:type="even"/>
          <w:pgSz w:w="11906" w:h="16838"/>
          <w:pgMar w:top="1418" w:right="1418" w:bottom="1418" w:left="1418" w:header="851" w:footer="992" w:gutter="0"/>
          <w:pgNumType w:fmt="upperRoman" w:start="1"/>
          <w:cols w:space="425" w:num="1"/>
          <w:docGrid w:type="lines" w:linePitch="312" w:charSpace="0"/>
        </w:sectPr>
      </w:pPr>
    </w:p>
    <w:p w14:paraId="28B97EE0">
      <w:pPr>
        <w:pStyle w:val="55"/>
      </w:pPr>
      <w:bookmarkStart w:id="90" w:name="_Ref141641972"/>
      <w:bookmarkStart w:id="91" w:name="_Toc182815866"/>
      <w:r>
        <w:rPr>
          <w:rFonts w:hint="eastAsia"/>
        </w:rPr>
        <w:t>总则</w:t>
      </w:r>
      <w:bookmarkEnd w:id="90"/>
      <w:bookmarkEnd w:id="91"/>
    </w:p>
    <w:p w14:paraId="6F452885">
      <w:pPr>
        <w:pStyle w:val="57"/>
      </w:pPr>
      <w:bookmarkStart w:id="92" w:name="_Toc182815867"/>
      <w:r>
        <w:rPr>
          <w:rFonts w:hint="eastAsia"/>
        </w:rPr>
        <w:t>项目由来</w:t>
      </w:r>
      <w:bookmarkEnd w:id="92"/>
    </w:p>
    <w:p w14:paraId="4B306BA7">
      <w:pPr>
        <w:pStyle w:val="54"/>
        <w:ind w:firstLine="480"/>
      </w:pPr>
      <w:r>
        <w:rPr>
          <w:rFonts w:hint="eastAsia"/>
        </w:rPr>
        <w:t>林德气体（广西）有限公司钦州园区三期氮气供应项目（即本项目）于2024年5月31日在广西自贸区钦州港片区行政审批局备案（项目代码为：2405-450704-04-01-880737），本项目拟在空分项目现有厂区内安装2台20000Nm</w:t>
      </w:r>
      <w:r>
        <w:rPr>
          <w:rFonts w:hint="eastAsia"/>
          <w:vertAlign w:val="superscript"/>
        </w:rPr>
        <w:t>3</w:t>
      </w:r>
      <w:r>
        <w:rPr>
          <w:rFonts w:hint="eastAsia"/>
        </w:rPr>
        <w:t>/hr的中压氮气压缩机，及后备装置、建设配套设施和公用工程，以及厂区外7公里的DN500氮气管道，向钦州园区企业供应氮气。</w:t>
      </w:r>
    </w:p>
    <w:p w14:paraId="1B9ED0E5">
      <w:pPr>
        <w:pStyle w:val="54"/>
        <w:ind w:firstLine="480"/>
      </w:pPr>
      <w:r>
        <w:rPr>
          <w:rFonts w:hint="eastAsia"/>
        </w:rPr>
        <w:t>根据《建设项目环境影响评价分类管理名录》（2021年版），本项目属于</w:t>
      </w:r>
      <w:r>
        <w:rPr>
          <w:rFonts w:hint="eastAsia"/>
          <w:u w:val="single"/>
        </w:rPr>
        <w:t>“二十三、化学原料和化学制品制造业，44 基础化学原料制造 261”中的“单纯物理分离、物理提纯、混合、分装的（不产生废水或挥发性有机物的除外）”、</w:t>
      </w:r>
      <w:r>
        <w:rPr>
          <w:rFonts w:hint="eastAsia"/>
        </w:rPr>
        <w:t>“五十二、交通运输业、管道运输业，148 危险化学品输送管线（不含企业厂区内管线）”中的“其他”、“五十三、装卸搬运和仓储业，149 危险品仓储594”中的“其他”，应编制环境影响报告表。根据《建设项目环境影响报告表编制技术指南（生态影响类）（试行）》中表1要求，危险化学品输送管线应当设置环境风险专项评价。项目输送来自普莱克斯生产的压缩氮气，属于《危险化学品目录》（2022调整版）中的172氮[压缩的或液化的]（CAS号：7727-37-9），因此编制环境风险专项评价。</w:t>
      </w:r>
    </w:p>
    <w:p w14:paraId="14A9DA95">
      <w:pPr>
        <w:pStyle w:val="57"/>
      </w:pPr>
      <w:bookmarkStart w:id="93" w:name="_Ref141642165"/>
      <w:bookmarkStart w:id="94" w:name="_Toc182815868"/>
      <w:r>
        <w:rPr>
          <w:rFonts w:hint="eastAsia"/>
        </w:rPr>
        <w:t>编制依据</w:t>
      </w:r>
      <w:bookmarkEnd w:id="93"/>
      <w:bookmarkEnd w:id="94"/>
    </w:p>
    <w:p w14:paraId="5333382E">
      <w:pPr>
        <w:pStyle w:val="59"/>
      </w:pPr>
      <w:r>
        <w:rPr>
          <w:rFonts w:hint="eastAsia"/>
        </w:rPr>
        <w:t>国家法律法规</w:t>
      </w:r>
    </w:p>
    <w:p w14:paraId="6EFF236F">
      <w:pPr>
        <w:pStyle w:val="54"/>
        <w:numPr>
          <w:ilvl w:val="0"/>
          <w:numId w:val="11"/>
        </w:numPr>
        <w:ind w:left="0" w:firstLine="480"/>
      </w:pPr>
      <w:r>
        <w:rPr>
          <w:rFonts w:hint="eastAsia"/>
        </w:rPr>
        <w:t>《中华人民共和国环境保护法》（2014年4月24日修订，2015年1月1日起施行）；</w:t>
      </w:r>
    </w:p>
    <w:p w14:paraId="4CFF5AA6">
      <w:pPr>
        <w:pStyle w:val="54"/>
        <w:numPr>
          <w:ilvl w:val="0"/>
          <w:numId w:val="11"/>
        </w:numPr>
        <w:ind w:left="0" w:firstLine="480"/>
      </w:pPr>
      <w:r>
        <w:rPr>
          <w:rFonts w:hint="eastAsia"/>
        </w:rPr>
        <w:t>《中华人民共和国环境影响评价法》（2018年12月29日修订）；</w:t>
      </w:r>
    </w:p>
    <w:p w14:paraId="7B457FEC">
      <w:pPr>
        <w:pStyle w:val="54"/>
        <w:numPr>
          <w:ilvl w:val="0"/>
          <w:numId w:val="11"/>
        </w:numPr>
        <w:ind w:left="0" w:firstLine="480"/>
      </w:pPr>
      <w:r>
        <w:rPr>
          <w:rFonts w:hint="eastAsia"/>
        </w:rPr>
        <w:t>《建设项目环境保护管理条例》（2017年7月16日修订）；</w:t>
      </w:r>
    </w:p>
    <w:p w14:paraId="344976F9">
      <w:pPr>
        <w:pStyle w:val="54"/>
        <w:numPr>
          <w:ilvl w:val="0"/>
          <w:numId w:val="11"/>
        </w:numPr>
        <w:ind w:left="0" w:firstLine="480"/>
      </w:pPr>
      <w:r>
        <w:rPr>
          <w:rFonts w:hint="eastAsia"/>
        </w:rPr>
        <w:t>《关于切实加强风险防范严格环境影响评价管理的通知》（环发〔2012〕98号）；</w:t>
      </w:r>
    </w:p>
    <w:p w14:paraId="0165FA37">
      <w:pPr>
        <w:pStyle w:val="54"/>
        <w:numPr>
          <w:ilvl w:val="0"/>
          <w:numId w:val="11"/>
        </w:numPr>
        <w:ind w:left="0" w:firstLine="480"/>
      </w:pPr>
      <w:r>
        <w:rPr>
          <w:rFonts w:hint="eastAsia"/>
        </w:rPr>
        <w:t>《建设项目环境影响报告表编制技术指南（生态影响类）》（试行）；</w:t>
      </w:r>
    </w:p>
    <w:p w14:paraId="403CB598">
      <w:pPr>
        <w:pStyle w:val="54"/>
        <w:numPr>
          <w:ilvl w:val="0"/>
          <w:numId w:val="11"/>
        </w:numPr>
        <w:ind w:left="0" w:firstLine="480"/>
      </w:pPr>
      <w:r>
        <w:rPr>
          <w:rFonts w:hint="eastAsia"/>
        </w:rPr>
        <w:t>《危险化学品目录》（2022年调整版）；</w:t>
      </w:r>
    </w:p>
    <w:p w14:paraId="740F6919">
      <w:pPr>
        <w:pStyle w:val="54"/>
        <w:numPr>
          <w:ilvl w:val="0"/>
          <w:numId w:val="11"/>
        </w:numPr>
        <w:ind w:left="0" w:firstLine="480"/>
      </w:pPr>
      <w:r>
        <w:rPr>
          <w:rFonts w:hint="eastAsia"/>
        </w:rPr>
        <w:t>《企业事业单位突发环境事件应急预案备案管理办法（试行）》（环发〔2015〕4号）。</w:t>
      </w:r>
    </w:p>
    <w:p w14:paraId="0E3FEA6F">
      <w:pPr>
        <w:pStyle w:val="59"/>
      </w:pPr>
      <w:r>
        <w:rPr>
          <w:rFonts w:hint="eastAsia"/>
        </w:rPr>
        <w:t>地方法律法规</w:t>
      </w:r>
    </w:p>
    <w:p w14:paraId="45114BA9">
      <w:pPr>
        <w:pStyle w:val="54"/>
        <w:numPr>
          <w:ilvl w:val="0"/>
          <w:numId w:val="12"/>
        </w:numPr>
        <w:ind w:left="0" w:firstLine="480"/>
      </w:pPr>
      <w:r>
        <w:rPr>
          <w:rFonts w:hint="eastAsia"/>
        </w:rPr>
        <w:t>《广西壮族自治区环境保护条例》（2019年7月修改）；</w:t>
      </w:r>
    </w:p>
    <w:p w14:paraId="43907A18">
      <w:pPr>
        <w:pStyle w:val="54"/>
        <w:numPr>
          <w:ilvl w:val="0"/>
          <w:numId w:val="12"/>
        </w:numPr>
        <w:ind w:left="0" w:firstLine="480"/>
      </w:pPr>
      <w:r>
        <w:rPr>
          <w:rFonts w:hint="eastAsia"/>
        </w:rPr>
        <w:t>《广西壮族自治区大气污染防治条例》（2019年1月1日起施行）；</w:t>
      </w:r>
    </w:p>
    <w:p w14:paraId="18A8D38C">
      <w:pPr>
        <w:pStyle w:val="54"/>
        <w:numPr>
          <w:ilvl w:val="0"/>
          <w:numId w:val="12"/>
        </w:numPr>
        <w:ind w:left="0" w:firstLine="480"/>
      </w:pPr>
      <w:r>
        <w:rPr>
          <w:rFonts w:hint="eastAsia"/>
        </w:rPr>
        <w:t>《广西壮族自治区水污染防治条例》（2020年5月1日起施行）；</w:t>
      </w:r>
    </w:p>
    <w:p w14:paraId="1FC859C2">
      <w:pPr>
        <w:pStyle w:val="54"/>
        <w:numPr>
          <w:ilvl w:val="0"/>
          <w:numId w:val="12"/>
        </w:numPr>
        <w:ind w:left="0" w:firstLine="480"/>
      </w:pPr>
      <w:r>
        <w:rPr>
          <w:rFonts w:hint="eastAsia"/>
        </w:rPr>
        <w:t>《广西壮族自治区海洋环境保护条例》（2014年2月1日）；</w:t>
      </w:r>
    </w:p>
    <w:p w14:paraId="64282E48">
      <w:pPr>
        <w:pStyle w:val="54"/>
        <w:numPr>
          <w:ilvl w:val="0"/>
          <w:numId w:val="12"/>
        </w:numPr>
        <w:ind w:left="0" w:firstLine="480"/>
      </w:pPr>
      <w:r>
        <w:rPr>
          <w:rFonts w:hint="eastAsia"/>
        </w:rPr>
        <w:t>《广西壮族自治区“十四五” 空气质量全面改善规划》（桂环发〔2022〕27号）；</w:t>
      </w:r>
    </w:p>
    <w:p w14:paraId="748472F2">
      <w:pPr>
        <w:pStyle w:val="54"/>
        <w:numPr>
          <w:ilvl w:val="0"/>
          <w:numId w:val="12"/>
        </w:numPr>
        <w:ind w:left="0" w:firstLine="480"/>
      </w:pPr>
      <w:r>
        <w:rPr>
          <w:rFonts w:hint="eastAsia"/>
        </w:rPr>
        <w:t>《广西地下水污染防治“十四五”规划》（桂环发〔2022〕8号）。</w:t>
      </w:r>
    </w:p>
    <w:p w14:paraId="183A923F">
      <w:pPr>
        <w:pStyle w:val="59"/>
      </w:pPr>
      <w:r>
        <w:rPr>
          <w:rFonts w:hint="eastAsia"/>
        </w:rPr>
        <w:t>技术规范</w:t>
      </w:r>
    </w:p>
    <w:p w14:paraId="1A0936C2">
      <w:pPr>
        <w:pStyle w:val="54"/>
        <w:numPr>
          <w:ilvl w:val="0"/>
          <w:numId w:val="13"/>
        </w:numPr>
        <w:ind w:left="0" w:firstLine="480"/>
      </w:pPr>
      <w:r>
        <w:rPr>
          <w:rFonts w:hint="eastAsia"/>
        </w:rPr>
        <w:t>《建设项目环境影响评价技术导则 总纲》（HJ2.1-2016）;</w:t>
      </w:r>
    </w:p>
    <w:p w14:paraId="6E8668F8">
      <w:pPr>
        <w:pStyle w:val="54"/>
        <w:numPr>
          <w:ilvl w:val="0"/>
          <w:numId w:val="13"/>
        </w:numPr>
        <w:ind w:left="0" w:firstLine="480"/>
      </w:pPr>
      <w:r>
        <w:rPr>
          <w:rFonts w:hint="eastAsia"/>
        </w:rPr>
        <w:t>《建设项目环境风险评价技术导则》（HJ 169-2018）。</w:t>
      </w:r>
    </w:p>
    <w:p w14:paraId="3575F0A6">
      <w:pPr>
        <w:pStyle w:val="59"/>
      </w:pPr>
      <w:r>
        <w:rPr>
          <w:rFonts w:hint="eastAsia"/>
        </w:rPr>
        <w:t>其他依据</w:t>
      </w:r>
    </w:p>
    <w:p w14:paraId="089DE234">
      <w:pPr>
        <w:pStyle w:val="54"/>
        <w:numPr>
          <w:ilvl w:val="0"/>
          <w:numId w:val="14"/>
        </w:numPr>
        <w:ind w:left="0" w:firstLine="480"/>
      </w:pPr>
      <w:r>
        <w:rPr>
          <w:rFonts w:hint="eastAsia"/>
        </w:rPr>
        <w:t>项目可行性研究报告；</w:t>
      </w:r>
    </w:p>
    <w:p w14:paraId="2BFBACD3">
      <w:pPr>
        <w:pStyle w:val="54"/>
        <w:numPr>
          <w:ilvl w:val="0"/>
          <w:numId w:val="14"/>
        </w:numPr>
        <w:ind w:left="0" w:firstLine="480"/>
      </w:pPr>
      <w:r>
        <w:rPr>
          <w:rFonts w:hint="eastAsia"/>
        </w:rPr>
        <w:t>建设单位提供的其他项目资料。</w:t>
      </w:r>
    </w:p>
    <w:p w14:paraId="7121DC83">
      <w:pPr>
        <w:pStyle w:val="57"/>
      </w:pPr>
      <w:bookmarkStart w:id="95" w:name="_Toc182815869"/>
      <w:r>
        <w:rPr>
          <w:rFonts w:hint="eastAsia"/>
        </w:rPr>
        <w:t>评价程序</w:t>
      </w:r>
      <w:bookmarkEnd w:id="95"/>
    </w:p>
    <w:p w14:paraId="3B1580D5">
      <w:pPr>
        <w:pStyle w:val="68"/>
      </w:pPr>
      <w:r>
        <w:drawing>
          <wp:inline distT="0" distB="0" distL="114300" distR="114300">
            <wp:extent cx="5276215" cy="5415915"/>
            <wp:effectExtent l="0" t="0" r="635"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8"/>
                    <a:stretch>
                      <a:fillRect/>
                    </a:stretch>
                  </pic:blipFill>
                  <pic:spPr>
                    <a:xfrm>
                      <a:off x="0" y="0"/>
                      <a:ext cx="5276215" cy="5415915"/>
                    </a:xfrm>
                    <a:prstGeom prst="rect">
                      <a:avLst/>
                    </a:prstGeom>
                    <a:noFill/>
                    <a:ln>
                      <a:noFill/>
                    </a:ln>
                  </pic:spPr>
                </pic:pic>
              </a:graphicData>
            </a:graphic>
          </wp:inline>
        </w:drawing>
      </w:r>
    </w:p>
    <w:p w14:paraId="42FC2CF1">
      <w:pPr>
        <w:pStyle w:val="65"/>
      </w:pPr>
      <w:r>
        <w:rPr>
          <w:rFonts w:hint="eastAsia"/>
        </w:rPr>
        <w:t>评价工作程序</w:t>
      </w:r>
    </w:p>
    <w:p w14:paraId="5F54F0EA">
      <w:pPr>
        <w:pStyle w:val="57"/>
      </w:pPr>
      <w:bookmarkStart w:id="96" w:name="_Toc182815870"/>
      <w:r>
        <w:rPr>
          <w:rFonts w:hint="eastAsia"/>
        </w:rPr>
        <w:t>风险调查</w:t>
      </w:r>
      <w:bookmarkEnd w:id="96"/>
    </w:p>
    <w:p w14:paraId="58AB3944">
      <w:pPr>
        <w:pStyle w:val="54"/>
        <w:ind w:firstLine="480"/>
      </w:pPr>
      <w:r>
        <w:rPr>
          <w:rFonts w:hint="eastAsia"/>
        </w:rPr>
        <w:t>项目为钦州石化产业园园区内的氮气供应工程，涉及液氮储存、加压氮气和加压氮气管道运输。项目新安装2台20000Nm</w:t>
      </w:r>
      <w:r>
        <w:rPr>
          <w:rFonts w:hint="eastAsia"/>
          <w:vertAlign w:val="superscript"/>
        </w:rPr>
        <w:t>3</w:t>
      </w:r>
      <w:r>
        <w:rPr>
          <w:rFonts w:hint="eastAsia"/>
        </w:rPr>
        <w:t>/hr的中压氮气压缩机，及一套液氮后备系统，包括：1000m</w:t>
      </w:r>
      <w:r>
        <w:rPr>
          <w:rFonts w:hint="eastAsia"/>
          <w:vertAlign w:val="superscript"/>
        </w:rPr>
        <w:t>3</w:t>
      </w:r>
      <w:r>
        <w:rPr>
          <w:rFonts w:hint="eastAsia"/>
        </w:rPr>
        <w:t>液氮储罐1台、液氮后备泵（2台）、80m</w:t>
      </w:r>
      <w:r>
        <w:rPr>
          <w:rFonts w:hint="eastAsia"/>
          <w:vertAlign w:val="superscript"/>
        </w:rPr>
        <w:t>3</w:t>
      </w:r>
      <w:r>
        <w:rPr>
          <w:rFonts w:hint="eastAsia"/>
        </w:rPr>
        <w:t>液氮中压储罐1台、液氮气化器1台，一台冷却水塔，以及厂区外7公里的DN500氮气管道。</w:t>
      </w:r>
    </w:p>
    <w:p w14:paraId="3BC0D400">
      <w:pPr>
        <w:pStyle w:val="54"/>
        <w:ind w:firstLine="480"/>
      </w:pPr>
      <w:r>
        <w:rPr>
          <w:rFonts w:hint="eastAsia"/>
        </w:rPr>
        <w:t>根据《危险化学品目录》（2022调整版）对项目所涉及的危险物质进行调查和识别，筛选出工程危险物质为172氮[压缩的或液化的]（CAS号：7727-37-9）。</w:t>
      </w:r>
    </w:p>
    <w:p w14:paraId="6F91C5DC">
      <w:pPr>
        <w:pStyle w:val="57"/>
      </w:pPr>
      <w:bookmarkStart w:id="97" w:name="_Toc182815871"/>
      <w:r>
        <w:rPr>
          <w:rFonts w:hint="eastAsia"/>
        </w:rPr>
        <w:t>评价工作等级</w:t>
      </w:r>
      <w:bookmarkEnd w:id="97"/>
    </w:p>
    <w:p w14:paraId="46607C29">
      <w:pPr>
        <w:pStyle w:val="59"/>
      </w:pPr>
      <w:r>
        <w:rPr>
          <w:rFonts w:hint="eastAsia"/>
        </w:rPr>
        <w:t>环境风险潜势初判</w:t>
      </w:r>
    </w:p>
    <w:p w14:paraId="7E8818D1">
      <w:pPr>
        <w:pStyle w:val="54"/>
        <w:ind w:firstLine="480"/>
      </w:pPr>
      <w:r>
        <w:rPr>
          <w:rFonts w:hint="eastAsia"/>
        </w:rPr>
        <w:t>根据《建设项目环境风险评价技术导则》（HJ169-2018）中附录B-重点关注的危险物质，计算所涉及的每种危险物质在厂界内的最大存在总量与其对应临界量的比值Q。</w:t>
      </w:r>
    </w:p>
    <w:p w14:paraId="462D07A8">
      <w:pPr>
        <w:pStyle w:val="54"/>
        <w:ind w:firstLine="480"/>
      </w:pPr>
      <w:r>
        <w:rPr>
          <w:rFonts w:hint="eastAsia"/>
        </w:rPr>
        <w:t>当只涉及一种危险物质时，计算该物质的总量与其临界量比值，即为Q；</w:t>
      </w:r>
    </w:p>
    <w:p w14:paraId="488B8A14">
      <w:pPr>
        <w:pStyle w:val="54"/>
        <w:ind w:firstLine="480"/>
      </w:pPr>
      <w:r>
        <w:rPr>
          <w:rFonts w:hint="eastAsia"/>
        </w:rPr>
        <w:t>当存在多种危险物质时，则按下面公式计算物质总量与其临界量比值（Q）：</w:t>
      </w:r>
    </w:p>
    <w:p w14:paraId="2C3CF723">
      <w:pPr>
        <w:pStyle w:val="68"/>
        <w:ind w:firstLine="480"/>
      </w:pPr>
      <w:r>
        <w:t>Q=q1/Q1+q2/Q2+…+qn/Qn</w:t>
      </w:r>
    </w:p>
    <w:p w14:paraId="39E1B356">
      <w:pPr>
        <w:pStyle w:val="54"/>
        <w:ind w:firstLine="480"/>
      </w:pPr>
      <w:r>
        <w:rPr>
          <w:rFonts w:hint="eastAsia"/>
        </w:rPr>
        <w:t>式中：</w:t>
      </w:r>
    </w:p>
    <w:p w14:paraId="22A9B7DF">
      <w:pPr>
        <w:pStyle w:val="54"/>
        <w:ind w:firstLine="480"/>
      </w:pPr>
      <w:r>
        <w:rPr>
          <w:rFonts w:hint="eastAsia"/>
        </w:rPr>
        <w:t>q1，q2……qn</w:t>
      </w:r>
      <w:r>
        <w:t>——</w:t>
      </w:r>
      <w:r>
        <w:rPr>
          <w:rFonts w:hint="eastAsia"/>
        </w:rPr>
        <w:t>每种危险物质的最大存在总量，t；</w:t>
      </w:r>
    </w:p>
    <w:p w14:paraId="63FFA061">
      <w:pPr>
        <w:pStyle w:val="54"/>
        <w:ind w:firstLine="480"/>
      </w:pPr>
      <w:r>
        <w:rPr>
          <w:rFonts w:hint="eastAsia"/>
        </w:rPr>
        <w:t>Q1，Q2……Qn</w:t>
      </w:r>
      <w:r>
        <w:t>——</w:t>
      </w:r>
      <w:r>
        <w:rPr>
          <w:rFonts w:hint="eastAsia"/>
        </w:rPr>
        <w:t>每种危险物质的临界量，t。</w:t>
      </w:r>
    </w:p>
    <w:p w14:paraId="60B8962F">
      <w:pPr>
        <w:pStyle w:val="54"/>
        <w:ind w:firstLine="480"/>
      </w:pPr>
      <w:r>
        <w:rPr>
          <w:rFonts w:hint="eastAsia"/>
        </w:rPr>
        <w:t>当Q＜1时，该项目环境风险潜势为Ⅰ。</w:t>
      </w:r>
    </w:p>
    <w:p w14:paraId="246666F6">
      <w:pPr>
        <w:pStyle w:val="54"/>
        <w:ind w:firstLine="480"/>
      </w:pPr>
      <w:r>
        <w:rPr>
          <w:rFonts w:hint="eastAsia"/>
        </w:rPr>
        <w:t>当Q≥1时，将Q值划分为：（1）1≤Q＜10；（2）10≤Q＜100；（3）Q≥100。</w:t>
      </w:r>
    </w:p>
    <w:p w14:paraId="0788B5B3">
      <w:pPr>
        <w:pStyle w:val="54"/>
        <w:ind w:firstLine="480"/>
      </w:pPr>
      <w:r>
        <w:rPr>
          <w:rFonts w:hint="eastAsia"/>
        </w:rPr>
        <w:t>本项目危险化学品主要为管道运输的压缩氮气以及储罐区的液氮。对照《建设项目环境风险评价技术导则》（HJ169-2018）附录B.1 表1“突发环境事件风险物质及临界量”，压缩氮气及液氮均未列入风险物质，故Q&lt;1。</w:t>
      </w:r>
    </w:p>
    <w:p w14:paraId="22AF4EB3">
      <w:pPr>
        <w:pStyle w:val="59"/>
      </w:pPr>
      <w:r>
        <w:rPr>
          <w:rFonts w:hint="eastAsia"/>
        </w:rPr>
        <w:t>评价等级</w:t>
      </w:r>
    </w:p>
    <w:p w14:paraId="3A6AE51F">
      <w:pPr>
        <w:pStyle w:val="54"/>
        <w:ind w:firstLine="480"/>
      </w:pPr>
      <w:r>
        <w:rPr>
          <w:rFonts w:hint="eastAsia"/>
        </w:rPr>
        <w:t>当Q&lt;1时，该项目环境风险潜势为Ⅰ，环境风险评价等级为“简单分析”。</w:t>
      </w:r>
    </w:p>
    <w:p w14:paraId="31E4A3AA">
      <w:pPr>
        <w:pStyle w:val="63"/>
      </w:pPr>
      <w:r>
        <w:rPr>
          <w:rFonts w:hint="eastAsia"/>
        </w:rPr>
        <w:t>评价工作等级划分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14:paraId="404A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2B677C96">
            <w:pPr>
              <w:pStyle w:val="42"/>
            </w:pPr>
            <w:r>
              <w:rPr>
                <w:rFonts w:hint="eastAsia"/>
              </w:rPr>
              <w:t>环境风险潜势</w:t>
            </w:r>
          </w:p>
        </w:tc>
        <w:tc>
          <w:tcPr>
            <w:tcW w:w="1812" w:type="dxa"/>
            <w:vAlign w:val="center"/>
          </w:tcPr>
          <w:p w14:paraId="3C235970">
            <w:pPr>
              <w:pStyle w:val="42"/>
            </w:pPr>
            <w:r>
              <w:rPr>
                <w:rFonts w:hint="eastAsia"/>
              </w:rPr>
              <w:t>Ⅳ+、Ⅳ</w:t>
            </w:r>
          </w:p>
        </w:tc>
        <w:tc>
          <w:tcPr>
            <w:tcW w:w="1812" w:type="dxa"/>
            <w:vAlign w:val="center"/>
          </w:tcPr>
          <w:p w14:paraId="332AFA73">
            <w:pPr>
              <w:pStyle w:val="42"/>
            </w:pPr>
            <w:r>
              <w:rPr>
                <w:rFonts w:hint="eastAsia"/>
              </w:rPr>
              <w:t>Ⅲ</w:t>
            </w:r>
          </w:p>
        </w:tc>
        <w:tc>
          <w:tcPr>
            <w:tcW w:w="1812" w:type="dxa"/>
            <w:vAlign w:val="center"/>
          </w:tcPr>
          <w:p w14:paraId="12D6E2AD">
            <w:pPr>
              <w:pStyle w:val="42"/>
            </w:pPr>
            <w:r>
              <w:rPr>
                <w:rFonts w:hint="eastAsia"/>
              </w:rPr>
              <w:t>Ⅱ</w:t>
            </w:r>
          </w:p>
        </w:tc>
        <w:tc>
          <w:tcPr>
            <w:tcW w:w="1812" w:type="dxa"/>
            <w:vAlign w:val="center"/>
          </w:tcPr>
          <w:p w14:paraId="58C2B29B">
            <w:pPr>
              <w:pStyle w:val="42"/>
            </w:pPr>
            <w:r>
              <w:rPr>
                <w:rFonts w:hint="eastAsia"/>
              </w:rPr>
              <w:t>Ⅰ</w:t>
            </w:r>
          </w:p>
        </w:tc>
      </w:tr>
      <w:tr w14:paraId="7A9A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0EE0844F">
            <w:pPr>
              <w:pStyle w:val="42"/>
            </w:pPr>
            <w:r>
              <w:rPr>
                <w:rFonts w:hint="eastAsia"/>
              </w:rPr>
              <w:t>评价工作等级</w:t>
            </w:r>
          </w:p>
        </w:tc>
        <w:tc>
          <w:tcPr>
            <w:tcW w:w="1812" w:type="dxa"/>
            <w:vAlign w:val="center"/>
          </w:tcPr>
          <w:p w14:paraId="56407256">
            <w:pPr>
              <w:pStyle w:val="42"/>
            </w:pPr>
            <w:r>
              <w:rPr>
                <w:rFonts w:hint="eastAsia"/>
              </w:rPr>
              <w:t>一</w:t>
            </w:r>
          </w:p>
        </w:tc>
        <w:tc>
          <w:tcPr>
            <w:tcW w:w="1812" w:type="dxa"/>
            <w:vAlign w:val="center"/>
          </w:tcPr>
          <w:p w14:paraId="016F2A75">
            <w:pPr>
              <w:pStyle w:val="42"/>
            </w:pPr>
            <w:r>
              <w:rPr>
                <w:rFonts w:hint="eastAsia"/>
              </w:rPr>
              <w:t>二</w:t>
            </w:r>
          </w:p>
        </w:tc>
        <w:tc>
          <w:tcPr>
            <w:tcW w:w="1812" w:type="dxa"/>
            <w:vAlign w:val="center"/>
          </w:tcPr>
          <w:p w14:paraId="20BC7C7C">
            <w:pPr>
              <w:pStyle w:val="42"/>
            </w:pPr>
            <w:r>
              <w:rPr>
                <w:rFonts w:hint="eastAsia"/>
              </w:rPr>
              <w:t>三</w:t>
            </w:r>
          </w:p>
        </w:tc>
        <w:tc>
          <w:tcPr>
            <w:tcW w:w="1812" w:type="dxa"/>
            <w:vAlign w:val="center"/>
          </w:tcPr>
          <w:p w14:paraId="7A005A71">
            <w:pPr>
              <w:pStyle w:val="42"/>
            </w:pPr>
            <w:r>
              <w:rPr>
                <w:rFonts w:hint="eastAsia"/>
              </w:rPr>
              <w:t>简单分析</w:t>
            </w:r>
            <w:r>
              <w:rPr>
                <w:rFonts w:hint="eastAsia"/>
                <w:vertAlign w:val="superscript"/>
              </w:rPr>
              <w:t>a</w:t>
            </w:r>
          </w:p>
        </w:tc>
      </w:tr>
    </w:tbl>
    <w:p w14:paraId="15EBC1B6">
      <w:pPr>
        <w:pStyle w:val="57"/>
      </w:pPr>
      <w:bookmarkStart w:id="98" w:name="_Toc182815872"/>
      <w:r>
        <w:rPr>
          <w:rFonts w:hint="eastAsia"/>
        </w:rPr>
        <w:t>评价范围</w:t>
      </w:r>
      <w:bookmarkEnd w:id="98"/>
    </w:p>
    <w:p w14:paraId="10732056">
      <w:pPr>
        <w:pStyle w:val="54"/>
        <w:ind w:firstLine="480"/>
      </w:pPr>
      <w:r>
        <w:rPr>
          <w:rFonts w:hint="eastAsia"/>
        </w:rPr>
        <w:t>大气环境风险评价范围：项目环境风险评价等级为“简单分析”，不设定评价范围。</w:t>
      </w:r>
    </w:p>
    <w:p w14:paraId="2BAC4614">
      <w:pPr>
        <w:pStyle w:val="54"/>
        <w:ind w:firstLine="480"/>
      </w:pPr>
      <w:r>
        <w:rPr>
          <w:rFonts w:hint="eastAsia"/>
        </w:rPr>
        <w:t>地表水环境风险评价范围：项目生产废水、生活污水均为间接排放，地表水环境评价工作等级为三级B，故不设定评价范围。</w:t>
      </w:r>
    </w:p>
    <w:p w14:paraId="0B094802">
      <w:pPr>
        <w:pStyle w:val="54"/>
        <w:ind w:firstLine="480"/>
      </w:pPr>
      <w:r>
        <w:rPr>
          <w:rFonts w:hint="eastAsia"/>
        </w:rPr>
        <w:t>地下水环境风险评价范围：项目不涉及地下水影响，不设评价范围。</w:t>
      </w:r>
    </w:p>
    <w:p w14:paraId="7E1C26ED">
      <w:pPr>
        <w:pStyle w:val="57"/>
        <w:rPr>
          <w:u w:val="single"/>
        </w:rPr>
      </w:pPr>
      <w:bookmarkStart w:id="99" w:name="_Toc182815873"/>
      <w:r>
        <w:rPr>
          <w:rFonts w:hint="eastAsia"/>
          <w:u w:val="single"/>
        </w:rPr>
        <w:t>环境敏感目标概况</w:t>
      </w:r>
      <w:bookmarkEnd w:id="99"/>
    </w:p>
    <w:p w14:paraId="190E46C4">
      <w:pPr>
        <w:pStyle w:val="54"/>
        <w:ind w:firstLine="480"/>
        <w:rPr>
          <w:u w:val="single"/>
        </w:rPr>
      </w:pPr>
      <w:r>
        <w:rPr>
          <w:rFonts w:hint="eastAsia"/>
          <w:u w:val="single"/>
        </w:rPr>
        <w:t>项目新建氮气输送管线沿线分布有旧村、南港村等村庄的部分民房，旧村的部分民房位于华谊钦州化工新材料一体化基地30万吨/年烧碱、40万吨/年聚氯乙烯项目设置的1km卫生防护距离内，南港村及新港村位于中国石油广西石化公司炼化一体化转型升级项目设置的580m大气防护距离内，上述村庄民房计划搬迁，考虑到搬迁计划的实施通常具有滞后性，故将新建氮气输送管道沿线分布的居民点作为本次评价的环境敏感目标。搬迁完成后，项目的实施对上述村庄的风险影响随之消失。</w:t>
      </w:r>
    </w:p>
    <w:p w14:paraId="53BD79A2">
      <w:pPr>
        <w:pStyle w:val="63"/>
        <w:rPr>
          <w:u w:val="single"/>
        </w:rPr>
      </w:pPr>
      <w:r>
        <w:rPr>
          <w:rFonts w:hint="eastAsia"/>
          <w:u w:val="single"/>
        </w:rPr>
        <w:t>建设项目环境敏感特征表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92"/>
        <w:gridCol w:w="1985"/>
        <w:gridCol w:w="1511"/>
        <w:gridCol w:w="1327"/>
        <w:gridCol w:w="1327"/>
        <w:gridCol w:w="1327"/>
      </w:tblGrid>
      <w:tr w14:paraId="06CD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vAlign w:val="center"/>
          </w:tcPr>
          <w:p w14:paraId="26F0310B">
            <w:pPr>
              <w:pStyle w:val="42"/>
              <w:rPr>
                <w:b/>
                <w:bCs/>
                <w:u w:val="single"/>
              </w:rPr>
            </w:pPr>
            <w:r>
              <w:rPr>
                <w:rFonts w:hint="eastAsia"/>
                <w:b/>
                <w:bCs/>
                <w:u w:val="single"/>
              </w:rPr>
              <w:t>类别</w:t>
            </w:r>
          </w:p>
        </w:tc>
        <w:tc>
          <w:tcPr>
            <w:tcW w:w="8469" w:type="dxa"/>
            <w:gridSpan w:val="6"/>
            <w:vAlign w:val="center"/>
          </w:tcPr>
          <w:p w14:paraId="679629C4">
            <w:pPr>
              <w:pStyle w:val="42"/>
              <w:rPr>
                <w:b/>
                <w:bCs/>
                <w:u w:val="single"/>
              </w:rPr>
            </w:pPr>
            <w:r>
              <w:rPr>
                <w:rFonts w:hint="eastAsia"/>
                <w:b/>
                <w:bCs/>
                <w:u w:val="single"/>
              </w:rPr>
              <w:t>环境敏感特征</w:t>
            </w:r>
          </w:p>
        </w:tc>
      </w:tr>
      <w:tr w14:paraId="22A9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0A814A12">
            <w:pPr>
              <w:pStyle w:val="42"/>
              <w:rPr>
                <w:u w:val="single"/>
              </w:rPr>
            </w:pPr>
            <w:r>
              <w:rPr>
                <w:rFonts w:hint="eastAsia"/>
                <w:u w:val="single"/>
              </w:rPr>
              <w:t>环境空气</w:t>
            </w:r>
          </w:p>
        </w:tc>
        <w:tc>
          <w:tcPr>
            <w:tcW w:w="8469" w:type="dxa"/>
            <w:gridSpan w:val="6"/>
            <w:vAlign w:val="center"/>
          </w:tcPr>
          <w:p w14:paraId="1D034CE3">
            <w:pPr>
              <w:pStyle w:val="42"/>
              <w:rPr>
                <w:u w:val="single"/>
              </w:rPr>
            </w:pPr>
            <w:r>
              <w:rPr>
                <w:rFonts w:hint="eastAsia"/>
                <w:u w:val="single"/>
              </w:rPr>
              <w:t>厂址周边5km范围内</w:t>
            </w:r>
          </w:p>
        </w:tc>
      </w:tr>
      <w:tr w14:paraId="4202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86FEEE8">
            <w:pPr>
              <w:pStyle w:val="42"/>
              <w:rPr>
                <w:u w:val="single"/>
              </w:rPr>
            </w:pPr>
          </w:p>
        </w:tc>
        <w:tc>
          <w:tcPr>
            <w:tcW w:w="992" w:type="dxa"/>
            <w:vAlign w:val="center"/>
          </w:tcPr>
          <w:p w14:paraId="592D20DB">
            <w:pPr>
              <w:pStyle w:val="42"/>
              <w:rPr>
                <w:u w:val="single"/>
              </w:rPr>
            </w:pPr>
            <w:r>
              <w:rPr>
                <w:rFonts w:hint="eastAsia"/>
                <w:u w:val="single"/>
              </w:rPr>
              <w:t>序号</w:t>
            </w:r>
          </w:p>
        </w:tc>
        <w:tc>
          <w:tcPr>
            <w:tcW w:w="1985" w:type="dxa"/>
            <w:vAlign w:val="center"/>
          </w:tcPr>
          <w:p w14:paraId="335264F3">
            <w:pPr>
              <w:pStyle w:val="42"/>
              <w:rPr>
                <w:u w:val="single"/>
              </w:rPr>
            </w:pPr>
            <w:r>
              <w:rPr>
                <w:rFonts w:hint="eastAsia"/>
                <w:u w:val="single"/>
              </w:rPr>
              <w:t>敏感目标名称</w:t>
            </w:r>
          </w:p>
        </w:tc>
        <w:tc>
          <w:tcPr>
            <w:tcW w:w="1511" w:type="dxa"/>
            <w:vAlign w:val="center"/>
          </w:tcPr>
          <w:p w14:paraId="7AF78DA0">
            <w:pPr>
              <w:pStyle w:val="42"/>
              <w:rPr>
                <w:u w:val="single"/>
              </w:rPr>
            </w:pPr>
            <w:r>
              <w:rPr>
                <w:rFonts w:hint="eastAsia"/>
                <w:u w:val="single"/>
              </w:rPr>
              <w:t>相对方位</w:t>
            </w:r>
          </w:p>
        </w:tc>
        <w:tc>
          <w:tcPr>
            <w:tcW w:w="1327" w:type="dxa"/>
            <w:vAlign w:val="center"/>
          </w:tcPr>
          <w:p w14:paraId="06011AAE">
            <w:pPr>
              <w:pStyle w:val="42"/>
              <w:rPr>
                <w:u w:val="single"/>
              </w:rPr>
            </w:pPr>
            <w:r>
              <w:rPr>
                <w:rFonts w:hint="eastAsia"/>
                <w:u w:val="single"/>
              </w:rPr>
              <w:t>距离/m</w:t>
            </w:r>
          </w:p>
        </w:tc>
        <w:tc>
          <w:tcPr>
            <w:tcW w:w="1327" w:type="dxa"/>
            <w:vAlign w:val="center"/>
          </w:tcPr>
          <w:p w14:paraId="736939E2">
            <w:pPr>
              <w:pStyle w:val="42"/>
              <w:rPr>
                <w:u w:val="single"/>
              </w:rPr>
            </w:pPr>
            <w:r>
              <w:rPr>
                <w:rFonts w:hint="eastAsia"/>
                <w:u w:val="single"/>
              </w:rPr>
              <w:t>属性</w:t>
            </w:r>
          </w:p>
        </w:tc>
        <w:tc>
          <w:tcPr>
            <w:tcW w:w="1327" w:type="dxa"/>
            <w:vAlign w:val="center"/>
          </w:tcPr>
          <w:p w14:paraId="26DE878B">
            <w:pPr>
              <w:pStyle w:val="42"/>
              <w:rPr>
                <w:u w:val="single"/>
              </w:rPr>
            </w:pPr>
            <w:r>
              <w:rPr>
                <w:rFonts w:hint="eastAsia"/>
                <w:u w:val="single"/>
              </w:rPr>
              <w:t>人口数</w:t>
            </w:r>
          </w:p>
        </w:tc>
      </w:tr>
      <w:tr w14:paraId="7870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95F9A05">
            <w:pPr>
              <w:pStyle w:val="42"/>
              <w:rPr>
                <w:u w:val="single"/>
              </w:rPr>
            </w:pPr>
          </w:p>
        </w:tc>
        <w:tc>
          <w:tcPr>
            <w:tcW w:w="992" w:type="dxa"/>
            <w:vAlign w:val="center"/>
          </w:tcPr>
          <w:p w14:paraId="63A4B012">
            <w:pPr>
              <w:pStyle w:val="42"/>
              <w:rPr>
                <w:u w:val="single"/>
              </w:rPr>
            </w:pPr>
            <w:r>
              <w:rPr>
                <w:rFonts w:hint="eastAsia"/>
                <w:u w:val="single"/>
              </w:rPr>
              <w:t>/</w:t>
            </w:r>
          </w:p>
        </w:tc>
        <w:tc>
          <w:tcPr>
            <w:tcW w:w="1985" w:type="dxa"/>
            <w:vAlign w:val="center"/>
          </w:tcPr>
          <w:p w14:paraId="40037EED">
            <w:pPr>
              <w:pStyle w:val="42"/>
              <w:rPr>
                <w:u w:val="single"/>
              </w:rPr>
            </w:pPr>
            <w:r>
              <w:rPr>
                <w:rFonts w:hint="eastAsia"/>
                <w:u w:val="single"/>
              </w:rPr>
              <w:t>/</w:t>
            </w:r>
          </w:p>
        </w:tc>
        <w:tc>
          <w:tcPr>
            <w:tcW w:w="1511" w:type="dxa"/>
            <w:vAlign w:val="center"/>
          </w:tcPr>
          <w:p w14:paraId="61292283">
            <w:pPr>
              <w:pStyle w:val="42"/>
              <w:rPr>
                <w:u w:val="single"/>
              </w:rPr>
            </w:pPr>
            <w:r>
              <w:rPr>
                <w:rFonts w:hint="eastAsia"/>
                <w:u w:val="single"/>
              </w:rPr>
              <w:t>/</w:t>
            </w:r>
          </w:p>
        </w:tc>
        <w:tc>
          <w:tcPr>
            <w:tcW w:w="1327" w:type="dxa"/>
            <w:vAlign w:val="center"/>
          </w:tcPr>
          <w:p w14:paraId="021DE252">
            <w:pPr>
              <w:pStyle w:val="42"/>
              <w:rPr>
                <w:u w:val="single"/>
              </w:rPr>
            </w:pPr>
            <w:r>
              <w:rPr>
                <w:rFonts w:hint="eastAsia"/>
                <w:u w:val="single"/>
              </w:rPr>
              <w:t>/</w:t>
            </w:r>
          </w:p>
        </w:tc>
        <w:tc>
          <w:tcPr>
            <w:tcW w:w="1327" w:type="dxa"/>
            <w:vAlign w:val="center"/>
          </w:tcPr>
          <w:p w14:paraId="4F801863">
            <w:pPr>
              <w:pStyle w:val="42"/>
              <w:rPr>
                <w:u w:val="single"/>
              </w:rPr>
            </w:pPr>
            <w:r>
              <w:rPr>
                <w:rFonts w:hint="eastAsia"/>
                <w:u w:val="single"/>
              </w:rPr>
              <w:t>/</w:t>
            </w:r>
          </w:p>
        </w:tc>
        <w:tc>
          <w:tcPr>
            <w:tcW w:w="1327" w:type="dxa"/>
            <w:vAlign w:val="center"/>
          </w:tcPr>
          <w:p w14:paraId="00347B71">
            <w:pPr>
              <w:pStyle w:val="42"/>
              <w:rPr>
                <w:u w:val="single"/>
              </w:rPr>
            </w:pPr>
            <w:r>
              <w:rPr>
                <w:rFonts w:hint="eastAsia"/>
                <w:u w:val="single"/>
              </w:rPr>
              <w:t>/</w:t>
            </w:r>
          </w:p>
        </w:tc>
      </w:tr>
      <w:tr w14:paraId="2679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7D1FB46">
            <w:pPr>
              <w:pStyle w:val="42"/>
              <w:rPr>
                <w:u w:val="single"/>
              </w:rPr>
            </w:pPr>
          </w:p>
        </w:tc>
        <w:tc>
          <w:tcPr>
            <w:tcW w:w="7142" w:type="dxa"/>
            <w:gridSpan w:val="5"/>
            <w:vAlign w:val="center"/>
          </w:tcPr>
          <w:p w14:paraId="1DA15292">
            <w:pPr>
              <w:pStyle w:val="42"/>
              <w:rPr>
                <w:u w:val="single"/>
              </w:rPr>
            </w:pPr>
            <w:r>
              <w:rPr>
                <w:rFonts w:hint="eastAsia"/>
                <w:u w:val="single"/>
              </w:rPr>
              <w:t>厂址周边500m范围内人口数小计</w:t>
            </w:r>
          </w:p>
        </w:tc>
        <w:tc>
          <w:tcPr>
            <w:tcW w:w="1327" w:type="dxa"/>
            <w:vAlign w:val="center"/>
          </w:tcPr>
          <w:p w14:paraId="50E96FF9">
            <w:pPr>
              <w:pStyle w:val="42"/>
              <w:rPr>
                <w:u w:val="single"/>
              </w:rPr>
            </w:pPr>
            <w:r>
              <w:rPr>
                <w:rFonts w:hint="eastAsia"/>
                <w:u w:val="single"/>
              </w:rPr>
              <w:t>/</w:t>
            </w:r>
          </w:p>
        </w:tc>
      </w:tr>
      <w:tr w14:paraId="4D9C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E69970B">
            <w:pPr>
              <w:pStyle w:val="42"/>
              <w:rPr>
                <w:u w:val="single"/>
              </w:rPr>
            </w:pPr>
          </w:p>
        </w:tc>
        <w:tc>
          <w:tcPr>
            <w:tcW w:w="7142" w:type="dxa"/>
            <w:gridSpan w:val="5"/>
            <w:vAlign w:val="center"/>
          </w:tcPr>
          <w:p w14:paraId="53D4336C">
            <w:pPr>
              <w:pStyle w:val="42"/>
              <w:rPr>
                <w:u w:val="single"/>
              </w:rPr>
            </w:pPr>
            <w:r>
              <w:rPr>
                <w:rFonts w:hint="eastAsia"/>
                <w:u w:val="single"/>
              </w:rPr>
              <w:t>厂址周边5km范围内人口数小计</w:t>
            </w:r>
          </w:p>
        </w:tc>
        <w:tc>
          <w:tcPr>
            <w:tcW w:w="1327" w:type="dxa"/>
            <w:vAlign w:val="center"/>
          </w:tcPr>
          <w:p w14:paraId="0EC59971">
            <w:pPr>
              <w:pStyle w:val="42"/>
              <w:rPr>
                <w:u w:val="single"/>
              </w:rPr>
            </w:pPr>
            <w:r>
              <w:rPr>
                <w:rFonts w:hint="eastAsia"/>
                <w:u w:val="single"/>
              </w:rPr>
              <w:t>/</w:t>
            </w:r>
          </w:p>
        </w:tc>
      </w:tr>
      <w:tr w14:paraId="3CFF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FDF671F">
            <w:pPr>
              <w:pStyle w:val="42"/>
              <w:rPr>
                <w:u w:val="single"/>
              </w:rPr>
            </w:pPr>
          </w:p>
        </w:tc>
        <w:tc>
          <w:tcPr>
            <w:tcW w:w="8469" w:type="dxa"/>
            <w:gridSpan w:val="6"/>
            <w:vAlign w:val="center"/>
          </w:tcPr>
          <w:p w14:paraId="38840D51">
            <w:pPr>
              <w:pStyle w:val="42"/>
              <w:rPr>
                <w:u w:val="single"/>
              </w:rPr>
            </w:pPr>
            <w:r>
              <w:rPr>
                <w:rFonts w:hint="eastAsia"/>
                <w:u w:val="single"/>
              </w:rPr>
              <w:t>氮气输送管段周边200m范围内</w:t>
            </w:r>
          </w:p>
        </w:tc>
      </w:tr>
      <w:tr w14:paraId="740E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9EBD5C5">
            <w:pPr>
              <w:pStyle w:val="42"/>
              <w:rPr>
                <w:u w:val="single"/>
              </w:rPr>
            </w:pPr>
          </w:p>
        </w:tc>
        <w:tc>
          <w:tcPr>
            <w:tcW w:w="992" w:type="dxa"/>
            <w:vAlign w:val="center"/>
          </w:tcPr>
          <w:p w14:paraId="2774C74D">
            <w:pPr>
              <w:pStyle w:val="42"/>
              <w:rPr>
                <w:u w:val="single"/>
              </w:rPr>
            </w:pPr>
            <w:r>
              <w:rPr>
                <w:rFonts w:hint="eastAsia"/>
                <w:u w:val="single"/>
              </w:rPr>
              <w:t>序号</w:t>
            </w:r>
          </w:p>
        </w:tc>
        <w:tc>
          <w:tcPr>
            <w:tcW w:w="1985" w:type="dxa"/>
            <w:vAlign w:val="center"/>
          </w:tcPr>
          <w:p w14:paraId="460E9B8E">
            <w:pPr>
              <w:pStyle w:val="42"/>
              <w:rPr>
                <w:u w:val="single"/>
              </w:rPr>
            </w:pPr>
            <w:r>
              <w:rPr>
                <w:rFonts w:hint="eastAsia"/>
                <w:u w:val="single"/>
              </w:rPr>
              <w:t>敏感目标名称</w:t>
            </w:r>
          </w:p>
        </w:tc>
        <w:tc>
          <w:tcPr>
            <w:tcW w:w="1511" w:type="dxa"/>
            <w:vAlign w:val="center"/>
          </w:tcPr>
          <w:p w14:paraId="39727479">
            <w:pPr>
              <w:pStyle w:val="42"/>
              <w:rPr>
                <w:u w:val="single"/>
              </w:rPr>
            </w:pPr>
            <w:r>
              <w:rPr>
                <w:rFonts w:hint="eastAsia"/>
                <w:u w:val="single"/>
              </w:rPr>
              <w:t>相对方位</w:t>
            </w:r>
          </w:p>
        </w:tc>
        <w:tc>
          <w:tcPr>
            <w:tcW w:w="1327" w:type="dxa"/>
            <w:vAlign w:val="center"/>
          </w:tcPr>
          <w:p w14:paraId="76EB1048">
            <w:pPr>
              <w:pStyle w:val="42"/>
              <w:rPr>
                <w:u w:val="single"/>
              </w:rPr>
            </w:pPr>
            <w:r>
              <w:rPr>
                <w:rFonts w:hint="eastAsia"/>
                <w:u w:val="single"/>
              </w:rPr>
              <w:t>距离/m</w:t>
            </w:r>
          </w:p>
        </w:tc>
        <w:tc>
          <w:tcPr>
            <w:tcW w:w="1327" w:type="dxa"/>
            <w:vAlign w:val="center"/>
          </w:tcPr>
          <w:p w14:paraId="32DCA18E">
            <w:pPr>
              <w:pStyle w:val="42"/>
              <w:rPr>
                <w:u w:val="single"/>
              </w:rPr>
            </w:pPr>
            <w:r>
              <w:rPr>
                <w:rFonts w:hint="eastAsia"/>
                <w:u w:val="single"/>
              </w:rPr>
              <w:t>属性</w:t>
            </w:r>
          </w:p>
        </w:tc>
        <w:tc>
          <w:tcPr>
            <w:tcW w:w="1327" w:type="dxa"/>
            <w:vAlign w:val="center"/>
          </w:tcPr>
          <w:p w14:paraId="552E80C1">
            <w:pPr>
              <w:pStyle w:val="42"/>
              <w:rPr>
                <w:u w:val="single"/>
              </w:rPr>
            </w:pPr>
            <w:r>
              <w:rPr>
                <w:rFonts w:hint="eastAsia"/>
                <w:u w:val="single"/>
              </w:rPr>
              <w:t>人口数</w:t>
            </w:r>
          </w:p>
        </w:tc>
      </w:tr>
      <w:tr w14:paraId="5511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1CC9CC0">
            <w:pPr>
              <w:pStyle w:val="42"/>
              <w:rPr>
                <w:u w:val="single"/>
              </w:rPr>
            </w:pPr>
          </w:p>
        </w:tc>
        <w:tc>
          <w:tcPr>
            <w:tcW w:w="992" w:type="dxa"/>
            <w:vAlign w:val="center"/>
          </w:tcPr>
          <w:p w14:paraId="01A66B83">
            <w:pPr>
              <w:pStyle w:val="42"/>
              <w:rPr>
                <w:u w:val="single"/>
              </w:rPr>
            </w:pPr>
            <w:r>
              <w:rPr>
                <w:rFonts w:hint="eastAsia"/>
                <w:u w:val="single"/>
              </w:rPr>
              <w:t>1</w:t>
            </w:r>
          </w:p>
        </w:tc>
        <w:tc>
          <w:tcPr>
            <w:tcW w:w="1985" w:type="dxa"/>
            <w:vAlign w:val="center"/>
          </w:tcPr>
          <w:p w14:paraId="68773A6F">
            <w:pPr>
              <w:pStyle w:val="42"/>
              <w:rPr>
                <w:u w:val="single"/>
              </w:rPr>
            </w:pPr>
            <w:r>
              <w:rPr>
                <w:rFonts w:hint="eastAsia"/>
                <w:u w:val="single"/>
              </w:rPr>
              <w:t>旧村（部分民房）</w:t>
            </w:r>
          </w:p>
        </w:tc>
        <w:tc>
          <w:tcPr>
            <w:tcW w:w="1511" w:type="dxa"/>
            <w:vAlign w:val="center"/>
          </w:tcPr>
          <w:p w14:paraId="410996DB">
            <w:pPr>
              <w:pStyle w:val="42"/>
              <w:rPr>
                <w:u w:val="single"/>
              </w:rPr>
            </w:pPr>
            <w:r>
              <w:rPr>
                <w:rFonts w:hint="eastAsia"/>
                <w:u w:val="single"/>
              </w:rPr>
              <w:t>东</w:t>
            </w:r>
          </w:p>
        </w:tc>
        <w:tc>
          <w:tcPr>
            <w:tcW w:w="1327" w:type="dxa"/>
            <w:vAlign w:val="center"/>
          </w:tcPr>
          <w:p w14:paraId="27ED2F65">
            <w:pPr>
              <w:pStyle w:val="42"/>
              <w:rPr>
                <w:u w:val="single"/>
              </w:rPr>
            </w:pPr>
            <w:r>
              <w:rPr>
                <w:rFonts w:hint="eastAsia"/>
                <w:u w:val="single"/>
              </w:rPr>
              <w:t>20</w:t>
            </w:r>
          </w:p>
        </w:tc>
        <w:tc>
          <w:tcPr>
            <w:tcW w:w="1327" w:type="dxa"/>
            <w:vAlign w:val="center"/>
          </w:tcPr>
          <w:p w14:paraId="513FF561">
            <w:pPr>
              <w:pStyle w:val="42"/>
              <w:rPr>
                <w:u w:val="single"/>
              </w:rPr>
            </w:pPr>
            <w:r>
              <w:rPr>
                <w:rFonts w:hint="eastAsia"/>
                <w:u w:val="single"/>
              </w:rPr>
              <w:t>居住区</w:t>
            </w:r>
          </w:p>
        </w:tc>
        <w:tc>
          <w:tcPr>
            <w:tcW w:w="1327" w:type="dxa"/>
            <w:vAlign w:val="center"/>
          </w:tcPr>
          <w:p w14:paraId="1DB57337">
            <w:pPr>
              <w:pStyle w:val="42"/>
              <w:rPr>
                <w:u w:val="single"/>
              </w:rPr>
            </w:pPr>
            <w:r>
              <w:rPr>
                <w:rFonts w:hint="eastAsia"/>
                <w:u w:val="single"/>
              </w:rPr>
              <w:t>168</w:t>
            </w:r>
          </w:p>
        </w:tc>
      </w:tr>
      <w:tr w14:paraId="7E67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69E727E">
            <w:pPr>
              <w:pStyle w:val="42"/>
              <w:rPr>
                <w:u w:val="single"/>
              </w:rPr>
            </w:pPr>
          </w:p>
        </w:tc>
        <w:tc>
          <w:tcPr>
            <w:tcW w:w="992" w:type="dxa"/>
            <w:vAlign w:val="center"/>
          </w:tcPr>
          <w:p w14:paraId="279B18F4">
            <w:pPr>
              <w:pStyle w:val="42"/>
              <w:rPr>
                <w:u w:val="single"/>
              </w:rPr>
            </w:pPr>
            <w:r>
              <w:rPr>
                <w:rFonts w:hint="eastAsia"/>
                <w:u w:val="single"/>
              </w:rPr>
              <w:t>2</w:t>
            </w:r>
          </w:p>
        </w:tc>
        <w:tc>
          <w:tcPr>
            <w:tcW w:w="1985" w:type="dxa"/>
            <w:vAlign w:val="center"/>
          </w:tcPr>
          <w:p w14:paraId="0418FF91">
            <w:pPr>
              <w:pStyle w:val="42"/>
              <w:rPr>
                <w:u w:val="single"/>
              </w:rPr>
            </w:pPr>
            <w:r>
              <w:rPr>
                <w:rFonts w:hint="eastAsia"/>
                <w:u w:val="single"/>
              </w:rPr>
              <w:t>南港村（部分民房）</w:t>
            </w:r>
          </w:p>
        </w:tc>
        <w:tc>
          <w:tcPr>
            <w:tcW w:w="1511" w:type="dxa"/>
            <w:vAlign w:val="center"/>
          </w:tcPr>
          <w:p w14:paraId="4E11169F">
            <w:pPr>
              <w:pStyle w:val="42"/>
              <w:rPr>
                <w:u w:val="single"/>
              </w:rPr>
            </w:pPr>
            <w:r>
              <w:rPr>
                <w:rFonts w:hint="eastAsia"/>
                <w:u w:val="single"/>
              </w:rPr>
              <w:t>西</w:t>
            </w:r>
          </w:p>
        </w:tc>
        <w:tc>
          <w:tcPr>
            <w:tcW w:w="1327" w:type="dxa"/>
            <w:vAlign w:val="center"/>
          </w:tcPr>
          <w:p w14:paraId="009DAD67">
            <w:pPr>
              <w:pStyle w:val="42"/>
              <w:rPr>
                <w:u w:val="single"/>
              </w:rPr>
            </w:pPr>
            <w:r>
              <w:rPr>
                <w:rFonts w:hint="eastAsia"/>
                <w:u w:val="single"/>
              </w:rPr>
              <w:t>100</w:t>
            </w:r>
          </w:p>
        </w:tc>
        <w:tc>
          <w:tcPr>
            <w:tcW w:w="1327" w:type="dxa"/>
            <w:vAlign w:val="center"/>
          </w:tcPr>
          <w:p w14:paraId="3C120184">
            <w:pPr>
              <w:pStyle w:val="42"/>
              <w:rPr>
                <w:u w:val="single"/>
              </w:rPr>
            </w:pPr>
            <w:r>
              <w:rPr>
                <w:rFonts w:hint="eastAsia"/>
                <w:u w:val="single"/>
              </w:rPr>
              <w:t>居住区</w:t>
            </w:r>
          </w:p>
        </w:tc>
        <w:tc>
          <w:tcPr>
            <w:tcW w:w="1327" w:type="dxa"/>
            <w:vAlign w:val="center"/>
          </w:tcPr>
          <w:p w14:paraId="19D0E82B">
            <w:pPr>
              <w:pStyle w:val="42"/>
              <w:rPr>
                <w:u w:val="single"/>
              </w:rPr>
            </w:pPr>
            <w:r>
              <w:rPr>
                <w:rFonts w:hint="eastAsia"/>
                <w:u w:val="single"/>
              </w:rPr>
              <w:t>76</w:t>
            </w:r>
          </w:p>
        </w:tc>
      </w:tr>
      <w:tr w14:paraId="60A6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2245A7E">
            <w:pPr>
              <w:pStyle w:val="42"/>
              <w:rPr>
                <w:u w:val="single"/>
              </w:rPr>
            </w:pPr>
          </w:p>
        </w:tc>
        <w:tc>
          <w:tcPr>
            <w:tcW w:w="992" w:type="dxa"/>
            <w:vAlign w:val="center"/>
          </w:tcPr>
          <w:p w14:paraId="27B0799A">
            <w:pPr>
              <w:pStyle w:val="42"/>
              <w:rPr>
                <w:u w:val="single"/>
              </w:rPr>
            </w:pPr>
            <w:r>
              <w:rPr>
                <w:rFonts w:hint="eastAsia"/>
                <w:u w:val="single"/>
              </w:rPr>
              <w:t>3</w:t>
            </w:r>
          </w:p>
        </w:tc>
        <w:tc>
          <w:tcPr>
            <w:tcW w:w="1985" w:type="dxa"/>
            <w:vAlign w:val="center"/>
          </w:tcPr>
          <w:p w14:paraId="3835DD04">
            <w:pPr>
              <w:pStyle w:val="42"/>
              <w:rPr>
                <w:u w:val="single"/>
              </w:rPr>
            </w:pPr>
            <w:r>
              <w:rPr>
                <w:rFonts w:hint="eastAsia"/>
                <w:u w:val="single"/>
              </w:rPr>
              <w:t>新港村</w:t>
            </w:r>
          </w:p>
        </w:tc>
        <w:tc>
          <w:tcPr>
            <w:tcW w:w="1511" w:type="dxa"/>
            <w:vAlign w:val="center"/>
          </w:tcPr>
          <w:p w14:paraId="056CB4A7">
            <w:pPr>
              <w:pStyle w:val="42"/>
              <w:rPr>
                <w:u w:val="single"/>
              </w:rPr>
            </w:pPr>
            <w:r>
              <w:rPr>
                <w:rFonts w:hint="eastAsia"/>
                <w:u w:val="single"/>
              </w:rPr>
              <w:t>北</w:t>
            </w:r>
          </w:p>
        </w:tc>
        <w:tc>
          <w:tcPr>
            <w:tcW w:w="1327" w:type="dxa"/>
            <w:vAlign w:val="center"/>
          </w:tcPr>
          <w:p w14:paraId="365B281C">
            <w:pPr>
              <w:pStyle w:val="42"/>
              <w:rPr>
                <w:u w:val="single"/>
              </w:rPr>
            </w:pPr>
            <w:r>
              <w:rPr>
                <w:rFonts w:hint="eastAsia"/>
                <w:u w:val="single"/>
              </w:rPr>
              <w:t>90</w:t>
            </w:r>
          </w:p>
        </w:tc>
        <w:tc>
          <w:tcPr>
            <w:tcW w:w="1327" w:type="dxa"/>
            <w:vAlign w:val="center"/>
          </w:tcPr>
          <w:p w14:paraId="621E91E9">
            <w:pPr>
              <w:pStyle w:val="42"/>
              <w:rPr>
                <w:u w:val="single"/>
              </w:rPr>
            </w:pPr>
            <w:r>
              <w:rPr>
                <w:rFonts w:hint="eastAsia"/>
                <w:u w:val="single"/>
              </w:rPr>
              <w:t>居住区</w:t>
            </w:r>
          </w:p>
        </w:tc>
        <w:tc>
          <w:tcPr>
            <w:tcW w:w="1327" w:type="dxa"/>
            <w:vAlign w:val="center"/>
          </w:tcPr>
          <w:p w14:paraId="49D08C62">
            <w:pPr>
              <w:pStyle w:val="42"/>
              <w:rPr>
                <w:u w:val="single"/>
              </w:rPr>
            </w:pPr>
            <w:r>
              <w:rPr>
                <w:rFonts w:hint="eastAsia"/>
                <w:u w:val="single"/>
              </w:rPr>
              <w:t>284</w:t>
            </w:r>
          </w:p>
        </w:tc>
      </w:tr>
      <w:tr w14:paraId="6C5B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A88B1FB">
            <w:pPr>
              <w:pStyle w:val="42"/>
              <w:rPr>
                <w:u w:val="single"/>
              </w:rPr>
            </w:pPr>
          </w:p>
        </w:tc>
        <w:tc>
          <w:tcPr>
            <w:tcW w:w="7142" w:type="dxa"/>
            <w:gridSpan w:val="5"/>
            <w:vAlign w:val="center"/>
          </w:tcPr>
          <w:p w14:paraId="1920CBD1">
            <w:pPr>
              <w:pStyle w:val="42"/>
              <w:rPr>
                <w:u w:val="single"/>
              </w:rPr>
            </w:pPr>
            <w:r>
              <w:rPr>
                <w:rFonts w:hint="eastAsia"/>
                <w:u w:val="single"/>
              </w:rPr>
              <w:t>每公里管段人口数（最大）</w:t>
            </w:r>
          </w:p>
        </w:tc>
        <w:tc>
          <w:tcPr>
            <w:tcW w:w="1327" w:type="dxa"/>
            <w:vAlign w:val="center"/>
          </w:tcPr>
          <w:p w14:paraId="1A37DE67">
            <w:pPr>
              <w:pStyle w:val="42"/>
              <w:rPr>
                <w:u w:val="single"/>
              </w:rPr>
            </w:pPr>
            <w:r>
              <w:rPr>
                <w:rFonts w:hint="eastAsia"/>
                <w:u w:val="single"/>
              </w:rPr>
              <w:t>284</w:t>
            </w:r>
          </w:p>
        </w:tc>
      </w:tr>
      <w:tr w14:paraId="5ED7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CE854CF">
            <w:pPr>
              <w:pStyle w:val="42"/>
              <w:rPr>
                <w:u w:val="single"/>
              </w:rPr>
            </w:pPr>
          </w:p>
        </w:tc>
        <w:tc>
          <w:tcPr>
            <w:tcW w:w="7142" w:type="dxa"/>
            <w:gridSpan w:val="5"/>
            <w:vAlign w:val="center"/>
          </w:tcPr>
          <w:p w14:paraId="180A3FF9">
            <w:pPr>
              <w:pStyle w:val="42"/>
              <w:rPr>
                <w:u w:val="single"/>
              </w:rPr>
            </w:pPr>
            <w:r>
              <w:rPr>
                <w:rFonts w:hint="eastAsia"/>
                <w:u w:val="single"/>
              </w:rPr>
              <w:t>大气环境敏感程度E值</w:t>
            </w:r>
          </w:p>
        </w:tc>
        <w:tc>
          <w:tcPr>
            <w:tcW w:w="1327" w:type="dxa"/>
            <w:vAlign w:val="center"/>
          </w:tcPr>
          <w:p w14:paraId="5C4504D4">
            <w:pPr>
              <w:pStyle w:val="42"/>
              <w:rPr>
                <w:u w:val="single"/>
              </w:rPr>
            </w:pPr>
            <w:r>
              <w:rPr>
                <w:rFonts w:hint="eastAsia"/>
                <w:u w:val="single"/>
              </w:rPr>
              <w:t>E1</w:t>
            </w:r>
          </w:p>
        </w:tc>
      </w:tr>
      <w:tr w14:paraId="3F8E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D7C5BE6">
            <w:pPr>
              <w:pStyle w:val="42"/>
              <w:rPr>
                <w:u w:val="single"/>
              </w:rPr>
            </w:pPr>
            <w:r>
              <w:rPr>
                <w:rFonts w:hint="eastAsia"/>
                <w:u w:val="single"/>
              </w:rPr>
              <w:t>地表水</w:t>
            </w:r>
          </w:p>
        </w:tc>
        <w:tc>
          <w:tcPr>
            <w:tcW w:w="8469" w:type="dxa"/>
            <w:gridSpan w:val="6"/>
            <w:vAlign w:val="center"/>
          </w:tcPr>
          <w:p w14:paraId="26DE772C">
            <w:pPr>
              <w:pStyle w:val="42"/>
              <w:rPr>
                <w:u w:val="single"/>
              </w:rPr>
            </w:pPr>
            <w:r>
              <w:rPr>
                <w:rFonts w:hint="eastAsia"/>
                <w:u w:val="single"/>
              </w:rPr>
              <w:t>受纳水体</w:t>
            </w:r>
          </w:p>
        </w:tc>
      </w:tr>
      <w:tr w14:paraId="2722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F946BCE">
            <w:pPr>
              <w:pStyle w:val="42"/>
              <w:rPr>
                <w:u w:val="single"/>
              </w:rPr>
            </w:pPr>
          </w:p>
        </w:tc>
        <w:tc>
          <w:tcPr>
            <w:tcW w:w="992" w:type="dxa"/>
            <w:vAlign w:val="center"/>
          </w:tcPr>
          <w:p w14:paraId="5BF8AD1A">
            <w:pPr>
              <w:pStyle w:val="42"/>
              <w:rPr>
                <w:u w:val="single"/>
              </w:rPr>
            </w:pPr>
            <w:r>
              <w:rPr>
                <w:rFonts w:hint="eastAsia"/>
                <w:u w:val="single"/>
              </w:rPr>
              <w:t>序号</w:t>
            </w:r>
          </w:p>
        </w:tc>
        <w:tc>
          <w:tcPr>
            <w:tcW w:w="1985" w:type="dxa"/>
            <w:vAlign w:val="center"/>
          </w:tcPr>
          <w:p w14:paraId="6E15B488">
            <w:pPr>
              <w:pStyle w:val="42"/>
              <w:rPr>
                <w:u w:val="single"/>
              </w:rPr>
            </w:pPr>
            <w:r>
              <w:rPr>
                <w:rFonts w:hint="eastAsia"/>
                <w:u w:val="single"/>
              </w:rPr>
              <w:t>受纳水体名称</w:t>
            </w:r>
          </w:p>
        </w:tc>
        <w:tc>
          <w:tcPr>
            <w:tcW w:w="2838" w:type="dxa"/>
            <w:gridSpan w:val="2"/>
            <w:vAlign w:val="center"/>
          </w:tcPr>
          <w:p w14:paraId="51BBA96F">
            <w:pPr>
              <w:pStyle w:val="42"/>
              <w:rPr>
                <w:u w:val="single"/>
              </w:rPr>
            </w:pPr>
            <w:r>
              <w:rPr>
                <w:rFonts w:hint="eastAsia"/>
                <w:u w:val="single"/>
              </w:rPr>
              <w:t>排放点水域环境功能</w:t>
            </w:r>
          </w:p>
        </w:tc>
        <w:tc>
          <w:tcPr>
            <w:tcW w:w="2654" w:type="dxa"/>
            <w:gridSpan w:val="2"/>
            <w:vAlign w:val="center"/>
          </w:tcPr>
          <w:p w14:paraId="275FF40C">
            <w:pPr>
              <w:pStyle w:val="42"/>
              <w:rPr>
                <w:u w:val="single"/>
              </w:rPr>
            </w:pPr>
            <w:r>
              <w:rPr>
                <w:rFonts w:hint="eastAsia"/>
                <w:u w:val="single"/>
              </w:rPr>
              <w:t>24h内流经范围/km</w:t>
            </w:r>
          </w:p>
        </w:tc>
      </w:tr>
      <w:tr w14:paraId="5DB7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6FE954C">
            <w:pPr>
              <w:pStyle w:val="42"/>
              <w:rPr>
                <w:u w:val="single"/>
              </w:rPr>
            </w:pPr>
          </w:p>
        </w:tc>
        <w:tc>
          <w:tcPr>
            <w:tcW w:w="992" w:type="dxa"/>
            <w:vAlign w:val="center"/>
          </w:tcPr>
          <w:p w14:paraId="4FB26484">
            <w:pPr>
              <w:pStyle w:val="42"/>
              <w:rPr>
                <w:u w:val="single"/>
              </w:rPr>
            </w:pPr>
            <w:r>
              <w:rPr>
                <w:rFonts w:hint="eastAsia"/>
                <w:u w:val="single"/>
              </w:rPr>
              <w:t>/</w:t>
            </w:r>
          </w:p>
        </w:tc>
        <w:tc>
          <w:tcPr>
            <w:tcW w:w="1985" w:type="dxa"/>
            <w:vAlign w:val="center"/>
          </w:tcPr>
          <w:p w14:paraId="09C708FA">
            <w:pPr>
              <w:pStyle w:val="42"/>
              <w:rPr>
                <w:u w:val="single"/>
              </w:rPr>
            </w:pPr>
            <w:r>
              <w:rPr>
                <w:rFonts w:hint="eastAsia"/>
                <w:u w:val="single"/>
              </w:rPr>
              <w:t>/</w:t>
            </w:r>
          </w:p>
        </w:tc>
        <w:tc>
          <w:tcPr>
            <w:tcW w:w="2838" w:type="dxa"/>
            <w:gridSpan w:val="2"/>
            <w:vAlign w:val="center"/>
          </w:tcPr>
          <w:p w14:paraId="33B01D50">
            <w:pPr>
              <w:pStyle w:val="42"/>
              <w:rPr>
                <w:u w:val="single"/>
              </w:rPr>
            </w:pPr>
            <w:r>
              <w:rPr>
                <w:rFonts w:hint="eastAsia"/>
                <w:u w:val="single"/>
              </w:rPr>
              <w:t>/</w:t>
            </w:r>
          </w:p>
        </w:tc>
        <w:tc>
          <w:tcPr>
            <w:tcW w:w="2654" w:type="dxa"/>
            <w:gridSpan w:val="2"/>
            <w:vAlign w:val="center"/>
          </w:tcPr>
          <w:p w14:paraId="06614C46">
            <w:pPr>
              <w:pStyle w:val="42"/>
              <w:rPr>
                <w:u w:val="single"/>
              </w:rPr>
            </w:pPr>
            <w:r>
              <w:rPr>
                <w:rFonts w:hint="eastAsia"/>
                <w:u w:val="single"/>
              </w:rPr>
              <w:t>/</w:t>
            </w:r>
          </w:p>
        </w:tc>
      </w:tr>
      <w:tr w14:paraId="532D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05F04E3">
            <w:pPr>
              <w:pStyle w:val="42"/>
              <w:rPr>
                <w:u w:val="single"/>
              </w:rPr>
            </w:pPr>
          </w:p>
        </w:tc>
        <w:tc>
          <w:tcPr>
            <w:tcW w:w="8469" w:type="dxa"/>
            <w:gridSpan w:val="6"/>
            <w:vAlign w:val="center"/>
          </w:tcPr>
          <w:p w14:paraId="084B7DFE">
            <w:pPr>
              <w:pStyle w:val="42"/>
              <w:rPr>
                <w:u w:val="single"/>
              </w:rPr>
            </w:pPr>
            <w:r>
              <w:rPr>
                <w:rFonts w:hint="eastAsia"/>
                <w:u w:val="single"/>
              </w:rPr>
              <w:t>内陆水体排放点下游10km（近岸海域一个潮周期最大水平距离两倍）范围内敏感目标</w:t>
            </w:r>
          </w:p>
        </w:tc>
      </w:tr>
      <w:tr w14:paraId="53A8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54EA81E">
            <w:pPr>
              <w:pStyle w:val="42"/>
              <w:rPr>
                <w:u w:val="single"/>
              </w:rPr>
            </w:pPr>
          </w:p>
        </w:tc>
        <w:tc>
          <w:tcPr>
            <w:tcW w:w="992" w:type="dxa"/>
            <w:vAlign w:val="center"/>
          </w:tcPr>
          <w:p w14:paraId="3594411E">
            <w:pPr>
              <w:pStyle w:val="42"/>
              <w:rPr>
                <w:u w:val="single"/>
              </w:rPr>
            </w:pPr>
            <w:r>
              <w:rPr>
                <w:rFonts w:hint="eastAsia"/>
                <w:u w:val="single"/>
              </w:rPr>
              <w:t>序号</w:t>
            </w:r>
          </w:p>
        </w:tc>
        <w:tc>
          <w:tcPr>
            <w:tcW w:w="1985" w:type="dxa"/>
            <w:vAlign w:val="center"/>
          </w:tcPr>
          <w:p w14:paraId="1392FAE9">
            <w:pPr>
              <w:pStyle w:val="42"/>
              <w:rPr>
                <w:u w:val="single"/>
              </w:rPr>
            </w:pPr>
            <w:r>
              <w:rPr>
                <w:rFonts w:hint="eastAsia"/>
                <w:u w:val="single"/>
              </w:rPr>
              <w:t>敏感目标名称</w:t>
            </w:r>
          </w:p>
        </w:tc>
        <w:tc>
          <w:tcPr>
            <w:tcW w:w="1511" w:type="dxa"/>
            <w:vAlign w:val="center"/>
          </w:tcPr>
          <w:p w14:paraId="08B07C6A">
            <w:pPr>
              <w:pStyle w:val="42"/>
              <w:rPr>
                <w:u w:val="single"/>
              </w:rPr>
            </w:pPr>
            <w:r>
              <w:rPr>
                <w:rFonts w:hint="eastAsia"/>
                <w:u w:val="single"/>
              </w:rPr>
              <w:t>环境敏感特征</w:t>
            </w:r>
          </w:p>
        </w:tc>
        <w:tc>
          <w:tcPr>
            <w:tcW w:w="1327" w:type="dxa"/>
            <w:vAlign w:val="center"/>
          </w:tcPr>
          <w:p w14:paraId="75A191B9">
            <w:pPr>
              <w:pStyle w:val="42"/>
              <w:rPr>
                <w:u w:val="single"/>
              </w:rPr>
            </w:pPr>
            <w:r>
              <w:rPr>
                <w:rFonts w:hint="eastAsia"/>
                <w:u w:val="single"/>
              </w:rPr>
              <w:t>水质目标</w:t>
            </w:r>
          </w:p>
        </w:tc>
        <w:tc>
          <w:tcPr>
            <w:tcW w:w="2654" w:type="dxa"/>
            <w:gridSpan w:val="2"/>
            <w:vAlign w:val="center"/>
          </w:tcPr>
          <w:p w14:paraId="52604E48">
            <w:pPr>
              <w:pStyle w:val="42"/>
              <w:rPr>
                <w:u w:val="single"/>
              </w:rPr>
            </w:pPr>
            <w:r>
              <w:rPr>
                <w:rFonts w:hint="eastAsia"/>
                <w:u w:val="single"/>
              </w:rPr>
              <w:t>与排放点距离/m</w:t>
            </w:r>
          </w:p>
        </w:tc>
      </w:tr>
      <w:tr w14:paraId="116C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FE92964">
            <w:pPr>
              <w:pStyle w:val="42"/>
              <w:rPr>
                <w:u w:val="single"/>
              </w:rPr>
            </w:pPr>
          </w:p>
        </w:tc>
        <w:tc>
          <w:tcPr>
            <w:tcW w:w="992" w:type="dxa"/>
            <w:vAlign w:val="center"/>
          </w:tcPr>
          <w:p w14:paraId="5EE5CC40">
            <w:pPr>
              <w:pStyle w:val="42"/>
              <w:rPr>
                <w:u w:val="single"/>
              </w:rPr>
            </w:pPr>
            <w:r>
              <w:rPr>
                <w:rFonts w:hint="eastAsia"/>
                <w:u w:val="single"/>
              </w:rPr>
              <w:t>/</w:t>
            </w:r>
          </w:p>
        </w:tc>
        <w:tc>
          <w:tcPr>
            <w:tcW w:w="1985" w:type="dxa"/>
            <w:vAlign w:val="center"/>
          </w:tcPr>
          <w:p w14:paraId="30D994E2">
            <w:pPr>
              <w:pStyle w:val="42"/>
              <w:rPr>
                <w:u w:val="single"/>
              </w:rPr>
            </w:pPr>
            <w:r>
              <w:rPr>
                <w:rFonts w:hint="eastAsia"/>
                <w:u w:val="single"/>
              </w:rPr>
              <w:t>/</w:t>
            </w:r>
          </w:p>
        </w:tc>
        <w:tc>
          <w:tcPr>
            <w:tcW w:w="1511" w:type="dxa"/>
            <w:vAlign w:val="center"/>
          </w:tcPr>
          <w:p w14:paraId="26316F94">
            <w:pPr>
              <w:pStyle w:val="42"/>
              <w:rPr>
                <w:u w:val="single"/>
              </w:rPr>
            </w:pPr>
            <w:r>
              <w:rPr>
                <w:rFonts w:hint="eastAsia"/>
                <w:u w:val="single"/>
              </w:rPr>
              <w:t>/</w:t>
            </w:r>
          </w:p>
        </w:tc>
        <w:tc>
          <w:tcPr>
            <w:tcW w:w="1327" w:type="dxa"/>
            <w:vAlign w:val="center"/>
          </w:tcPr>
          <w:p w14:paraId="51925390">
            <w:pPr>
              <w:pStyle w:val="42"/>
              <w:rPr>
                <w:u w:val="single"/>
              </w:rPr>
            </w:pPr>
            <w:r>
              <w:rPr>
                <w:rFonts w:hint="eastAsia"/>
                <w:u w:val="single"/>
              </w:rPr>
              <w:t>/</w:t>
            </w:r>
          </w:p>
        </w:tc>
        <w:tc>
          <w:tcPr>
            <w:tcW w:w="2654" w:type="dxa"/>
            <w:gridSpan w:val="2"/>
            <w:vAlign w:val="center"/>
          </w:tcPr>
          <w:p w14:paraId="759C8A22">
            <w:pPr>
              <w:pStyle w:val="42"/>
              <w:rPr>
                <w:u w:val="single"/>
              </w:rPr>
            </w:pPr>
            <w:r>
              <w:rPr>
                <w:rFonts w:hint="eastAsia"/>
                <w:u w:val="single"/>
              </w:rPr>
              <w:t>/</w:t>
            </w:r>
          </w:p>
        </w:tc>
      </w:tr>
      <w:tr w14:paraId="74F0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08DA5A6">
            <w:pPr>
              <w:pStyle w:val="42"/>
              <w:rPr>
                <w:u w:val="single"/>
              </w:rPr>
            </w:pPr>
          </w:p>
        </w:tc>
        <w:tc>
          <w:tcPr>
            <w:tcW w:w="7142" w:type="dxa"/>
            <w:gridSpan w:val="5"/>
            <w:vAlign w:val="center"/>
          </w:tcPr>
          <w:p w14:paraId="55186F6D">
            <w:pPr>
              <w:pStyle w:val="42"/>
              <w:rPr>
                <w:u w:val="single"/>
              </w:rPr>
            </w:pPr>
            <w:r>
              <w:rPr>
                <w:rFonts w:hint="eastAsia"/>
                <w:u w:val="single"/>
              </w:rPr>
              <w:t>地表水环境敏感程度E值</w:t>
            </w:r>
          </w:p>
        </w:tc>
        <w:tc>
          <w:tcPr>
            <w:tcW w:w="1327" w:type="dxa"/>
            <w:vAlign w:val="center"/>
          </w:tcPr>
          <w:p w14:paraId="25778330">
            <w:pPr>
              <w:pStyle w:val="42"/>
              <w:rPr>
                <w:u w:val="single"/>
              </w:rPr>
            </w:pPr>
            <w:r>
              <w:rPr>
                <w:rFonts w:hint="eastAsia"/>
                <w:u w:val="single"/>
              </w:rPr>
              <w:t>/</w:t>
            </w:r>
          </w:p>
        </w:tc>
      </w:tr>
      <w:tr w14:paraId="43D6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4DFE95EE">
            <w:pPr>
              <w:pStyle w:val="42"/>
              <w:rPr>
                <w:u w:val="single"/>
              </w:rPr>
            </w:pPr>
            <w:r>
              <w:rPr>
                <w:rFonts w:hint="eastAsia"/>
                <w:u w:val="single"/>
              </w:rPr>
              <w:t>地下水</w:t>
            </w:r>
          </w:p>
        </w:tc>
        <w:tc>
          <w:tcPr>
            <w:tcW w:w="992" w:type="dxa"/>
            <w:vAlign w:val="center"/>
          </w:tcPr>
          <w:p w14:paraId="3ACAB316">
            <w:pPr>
              <w:pStyle w:val="42"/>
              <w:rPr>
                <w:u w:val="single"/>
              </w:rPr>
            </w:pPr>
            <w:r>
              <w:rPr>
                <w:rFonts w:hint="eastAsia"/>
                <w:u w:val="single"/>
              </w:rPr>
              <w:t>序号</w:t>
            </w:r>
          </w:p>
        </w:tc>
        <w:tc>
          <w:tcPr>
            <w:tcW w:w="1985" w:type="dxa"/>
            <w:vAlign w:val="center"/>
          </w:tcPr>
          <w:p w14:paraId="0D4534DA">
            <w:pPr>
              <w:pStyle w:val="42"/>
              <w:rPr>
                <w:u w:val="single"/>
              </w:rPr>
            </w:pPr>
            <w:r>
              <w:rPr>
                <w:rFonts w:hint="eastAsia"/>
                <w:u w:val="single"/>
              </w:rPr>
              <w:t>环境敏感区名称</w:t>
            </w:r>
          </w:p>
        </w:tc>
        <w:tc>
          <w:tcPr>
            <w:tcW w:w="1511" w:type="dxa"/>
            <w:vAlign w:val="center"/>
          </w:tcPr>
          <w:p w14:paraId="33094B37">
            <w:pPr>
              <w:pStyle w:val="42"/>
              <w:rPr>
                <w:u w:val="single"/>
              </w:rPr>
            </w:pPr>
            <w:r>
              <w:rPr>
                <w:rFonts w:hint="eastAsia"/>
                <w:u w:val="single"/>
              </w:rPr>
              <w:t>环境敏感特征</w:t>
            </w:r>
          </w:p>
        </w:tc>
        <w:tc>
          <w:tcPr>
            <w:tcW w:w="1327" w:type="dxa"/>
            <w:vAlign w:val="center"/>
          </w:tcPr>
          <w:p w14:paraId="0697436B">
            <w:pPr>
              <w:pStyle w:val="42"/>
              <w:rPr>
                <w:u w:val="single"/>
              </w:rPr>
            </w:pPr>
            <w:r>
              <w:rPr>
                <w:rFonts w:hint="eastAsia"/>
                <w:u w:val="single"/>
              </w:rPr>
              <w:t>水质目标</w:t>
            </w:r>
          </w:p>
        </w:tc>
        <w:tc>
          <w:tcPr>
            <w:tcW w:w="1327" w:type="dxa"/>
            <w:vAlign w:val="center"/>
          </w:tcPr>
          <w:p w14:paraId="74020974">
            <w:pPr>
              <w:pStyle w:val="42"/>
              <w:rPr>
                <w:u w:val="single"/>
              </w:rPr>
            </w:pPr>
            <w:r>
              <w:rPr>
                <w:rFonts w:hint="eastAsia"/>
                <w:u w:val="single"/>
              </w:rPr>
              <w:t>包气带防污性能</w:t>
            </w:r>
          </w:p>
        </w:tc>
        <w:tc>
          <w:tcPr>
            <w:tcW w:w="1327" w:type="dxa"/>
            <w:vAlign w:val="center"/>
          </w:tcPr>
          <w:p w14:paraId="0D31A014">
            <w:pPr>
              <w:pStyle w:val="42"/>
              <w:rPr>
                <w:u w:val="single"/>
              </w:rPr>
            </w:pPr>
            <w:r>
              <w:rPr>
                <w:rFonts w:hint="eastAsia"/>
                <w:u w:val="single"/>
              </w:rPr>
              <w:t>与下游厂界距离/m</w:t>
            </w:r>
          </w:p>
        </w:tc>
      </w:tr>
      <w:tr w14:paraId="7FF2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45C8951">
            <w:pPr>
              <w:pStyle w:val="42"/>
              <w:rPr>
                <w:u w:val="single"/>
              </w:rPr>
            </w:pPr>
          </w:p>
        </w:tc>
        <w:tc>
          <w:tcPr>
            <w:tcW w:w="992" w:type="dxa"/>
            <w:vAlign w:val="center"/>
          </w:tcPr>
          <w:p w14:paraId="0D0CB06F">
            <w:pPr>
              <w:pStyle w:val="42"/>
              <w:rPr>
                <w:u w:val="single"/>
              </w:rPr>
            </w:pPr>
            <w:r>
              <w:rPr>
                <w:rFonts w:hint="eastAsia"/>
                <w:u w:val="single"/>
              </w:rPr>
              <w:t>/</w:t>
            </w:r>
          </w:p>
        </w:tc>
        <w:tc>
          <w:tcPr>
            <w:tcW w:w="1985" w:type="dxa"/>
            <w:vAlign w:val="center"/>
          </w:tcPr>
          <w:p w14:paraId="3AD95B28">
            <w:pPr>
              <w:pStyle w:val="42"/>
              <w:rPr>
                <w:u w:val="single"/>
              </w:rPr>
            </w:pPr>
            <w:r>
              <w:rPr>
                <w:rFonts w:hint="eastAsia"/>
                <w:u w:val="single"/>
              </w:rPr>
              <w:t>/</w:t>
            </w:r>
          </w:p>
        </w:tc>
        <w:tc>
          <w:tcPr>
            <w:tcW w:w="1511" w:type="dxa"/>
            <w:vAlign w:val="center"/>
          </w:tcPr>
          <w:p w14:paraId="3F8AD649">
            <w:pPr>
              <w:pStyle w:val="42"/>
              <w:rPr>
                <w:u w:val="single"/>
              </w:rPr>
            </w:pPr>
            <w:r>
              <w:rPr>
                <w:rFonts w:hint="eastAsia"/>
                <w:u w:val="single"/>
              </w:rPr>
              <w:t>/</w:t>
            </w:r>
          </w:p>
        </w:tc>
        <w:tc>
          <w:tcPr>
            <w:tcW w:w="1327" w:type="dxa"/>
            <w:vAlign w:val="center"/>
          </w:tcPr>
          <w:p w14:paraId="4C4B96AB">
            <w:pPr>
              <w:pStyle w:val="42"/>
              <w:rPr>
                <w:u w:val="single"/>
              </w:rPr>
            </w:pPr>
            <w:r>
              <w:rPr>
                <w:rFonts w:hint="eastAsia"/>
                <w:u w:val="single"/>
              </w:rPr>
              <w:t>/</w:t>
            </w:r>
          </w:p>
        </w:tc>
        <w:tc>
          <w:tcPr>
            <w:tcW w:w="1327" w:type="dxa"/>
            <w:vAlign w:val="center"/>
          </w:tcPr>
          <w:p w14:paraId="0AE00A65">
            <w:pPr>
              <w:pStyle w:val="42"/>
              <w:rPr>
                <w:u w:val="single"/>
              </w:rPr>
            </w:pPr>
            <w:r>
              <w:rPr>
                <w:rFonts w:hint="eastAsia"/>
                <w:u w:val="single"/>
              </w:rPr>
              <w:t>/</w:t>
            </w:r>
          </w:p>
        </w:tc>
        <w:tc>
          <w:tcPr>
            <w:tcW w:w="1327" w:type="dxa"/>
            <w:vAlign w:val="center"/>
          </w:tcPr>
          <w:p w14:paraId="4FFB8A39">
            <w:pPr>
              <w:pStyle w:val="42"/>
              <w:rPr>
                <w:u w:val="single"/>
              </w:rPr>
            </w:pPr>
            <w:r>
              <w:rPr>
                <w:rFonts w:hint="eastAsia"/>
                <w:u w:val="single"/>
              </w:rPr>
              <w:t>/</w:t>
            </w:r>
          </w:p>
        </w:tc>
      </w:tr>
      <w:tr w14:paraId="3275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95C554A">
            <w:pPr>
              <w:pStyle w:val="42"/>
              <w:rPr>
                <w:u w:val="single"/>
              </w:rPr>
            </w:pPr>
          </w:p>
        </w:tc>
        <w:tc>
          <w:tcPr>
            <w:tcW w:w="7142" w:type="dxa"/>
            <w:gridSpan w:val="5"/>
            <w:vAlign w:val="center"/>
          </w:tcPr>
          <w:p w14:paraId="0640AD76">
            <w:pPr>
              <w:pStyle w:val="42"/>
              <w:rPr>
                <w:u w:val="single"/>
              </w:rPr>
            </w:pPr>
            <w:r>
              <w:rPr>
                <w:rFonts w:hint="eastAsia"/>
                <w:u w:val="single"/>
              </w:rPr>
              <w:t>地下水环境敏感程度E值</w:t>
            </w:r>
          </w:p>
        </w:tc>
        <w:tc>
          <w:tcPr>
            <w:tcW w:w="1327" w:type="dxa"/>
            <w:vAlign w:val="center"/>
          </w:tcPr>
          <w:p w14:paraId="7A4B3678">
            <w:pPr>
              <w:pStyle w:val="42"/>
              <w:rPr>
                <w:u w:val="single"/>
              </w:rPr>
            </w:pPr>
            <w:r>
              <w:rPr>
                <w:rFonts w:hint="eastAsia"/>
                <w:u w:val="single"/>
              </w:rPr>
              <w:t>/</w:t>
            </w:r>
          </w:p>
        </w:tc>
      </w:tr>
    </w:tbl>
    <w:p w14:paraId="647D3A26">
      <w:pPr>
        <w:pStyle w:val="54"/>
        <w:ind w:firstLine="480"/>
        <w:rPr>
          <w:u w:val="single"/>
        </w:rPr>
      </w:pPr>
    </w:p>
    <w:p w14:paraId="332CA703">
      <w:pPr>
        <w:pStyle w:val="55"/>
      </w:pPr>
      <w:bookmarkStart w:id="100" w:name="_Toc182815874"/>
      <w:r>
        <w:rPr>
          <w:rFonts w:hint="eastAsia"/>
        </w:rPr>
        <w:t>项目概况</w:t>
      </w:r>
      <w:bookmarkEnd w:id="100"/>
    </w:p>
    <w:p w14:paraId="530FE472">
      <w:pPr>
        <w:pStyle w:val="54"/>
        <w:ind w:firstLine="480"/>
      </w:pPr>
      <w:r>
        <w:rPr>
          <w:rFonts w:hint="eastAsia"/>
        </w:rPr>
        <w:t>（1）项目名称：林德气体（广西）有限公司钦州园区三期氮气供应项目</w:t>
      </w:r>
    </w:p>
    <w:p w14:paraId="23BBD8C2">
      <w:pPr>
        <w:pStyle w:val="54"/>
        <w:ind w:firstLine="480"/>
      </w:pPr>
      <w:r>
        <w:rPr>
          <w:rFonts w:hint="eastAsia"/>
        </w:rPr>
        <w:t>（2）建设单位：林德气体（广西）有限公司</w:t>
      </w:r>
    </w:p>
    <w:p w14:paraId="7877612A">
      <w:pPr>
        <w:pStyle w:val="54"/>
        <w:ind w:firstLine="480"/>
      </w:pPr>
      <w:r>
        <w:rPr>
          <w:rFonts w:hint="eastAsia"/>
        </w:rPr>
        <w:t>（3）项目性质：扩建</w:t>
      </w:r>
    </w:p>
    <w:p w14:paraId="16D78E88">
      <w:pPr>
        <w:pStyle w:val="54"/>
        <w:ind w:firstLine="480"/>
      </w:pPr>
      <w:r>
        <w:rPr>
          <w:rFonts w:hint="eastAsia"/>
        </w:rPr>
        <w:t>（4）建设规模：本项目主要安装2台20000Nm</w:t>
      </w:r>
      <w:r>
        <w:rPr>
          <w:rFonts w:hint="eastAsia"/>
          <w:vertAlign w:val="superscript"/>
        </w:rPr>
        <w:t>3</w:t>
      </w:r>
      <w:r>
        <w:rPr>
          <w:rFonts w:hint="eastAsia"/>
        </w:rPr>
        <w:t>/hr的中压氮气压缩机，及后备装置、建设配套设施和公用工程，以及厂区外7公里的DN500氮气管道，向钦州园区企业供应氮气。</w:t>
      </w:r>
    </w:p>
    <w:p w14:paraId="6683BE10">
      <w:pPr>
        <w:pStyle w:val="54"/>
        <w:ind w:firstLine="480"/>
      </w:pPr>
      <w:r>
        <w:rPr>
          <w:rFonts w:hint="eastAsia"/>
        </w:rPr>
        <w:t>（5）项目总投资：万元</w:t>
      </w:r>
    </w:p>
    <w:p w14:paraId="671F50AA">
      <w:pPr>
        <w:pStyle w:val="54"/>
        <w:ind w:firstLine="480"/>
      </w:pPr>
      <w:r>
        <w:rPr>
          <w:rFonts w:hint="eastAsia"/>
        </w:rPr>
        <w:t>（6）生产制度：四班两运转，全年生产8400h</w:t>
      </w:r>
    </w:p>
    <w:p w14:paraId="37667654">
      <w:pPr>
        <w:pStyle w:val="54"/>
        <w:ind w:firstLine="480"/>
      </w:pPr>
      <w:r>
        <w:rPr>
          <w:rFonts w:hint="eastAsia"/>
        </w:rPr>
        <w:t>（7）劳动定员：项目达产后新增定员5人</w:t>
      </w:r>
    </w:p>
    <w:p w14:paraId="70D655EB">
      <w:pPr>
        <w:pStyle w:val="55"/>
      </w:pPr>
      <w:bookmarkStart w:id="101" w:name="_Toc182815875"/>
      <w:r>
        <w:rPr>
          <w:rFonts w:hint="eastAsia"/>
        </w:rPr>
        <w:t>风险识别</w:t>
      </w:r>
      <w:bookmarkEnd w:id="101"/>
    </w:p>
    <w:p w14:paraId="69AB1DAB">
      <w:pPr>
        <w:pStyle w:val="57"/>
      </w:pPr>
      <w:bookmarkStart w:id="102" w:name="_Toc182815876"/>
      <w:r>
        <w:rPr>
          <w:rFonts w:hint="eastAsia"/>
        </w:rPr>
        <w:t>物质风险识别</w:t>
      </w:r>
      <w:bookmarkEnd w:id="102"/>
    </w:p>
    <w:p w14:paraId="649E085A">
      <w:pPr>
        <w:pStyle w:val="54"/>
        <w:ind w:firstLine="480"/>
      </w:pPr>
      <w:r>
        <w:rPr>
          <w:rFonts w:hint="eastAsia"/>
        </w:rPr>
        <w:t>项目涉及危险物质为压缩氮气及液氮，其理化性质及危险特性如下表所示。</w:t>
      </w:r>
    </w:p>
    <w:p w14:paraId="1DB35FBB">
      <w:pPr>
        <w:pStyle w:val="63"/>
      </w:pPr>
      <w:r>
        <w:rPr>
          <w:rFonts w:hint="eastAsia"/>
        </w:rPr>
        <w:t>氮的理化性质及危险特性表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920"/>
        <w:gridCol w:w="1812"/>
        <w:gridCol w:w="796"/>
        <w:gridCol w:w="1016"/>
        <w:gridCol w:w="1812"/>
      </w:tblGrid>
      <w:tr w14:paraId="55EB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056C4627">
            <w:pPr>
              <w:pStyle w:val="42"/>
            </w:pPr>
            <w:r>
              <w:rPr>
                <w:rFonts w:hint="eastAsia"/>
              </w:rPr>
              <w:t>标识</w:t>
            </w:r>
          </w:p>
        </w:tc>
        <w:tc>
          <w:tcPr>
            <w:tcW w:w="2920" w:type="dxa"/>
            <w:vAlign w:val="center"/>
          </w:tcPr>
          <w:p w14:paraId="25CC0902">
            <w:pPr>
              <w:pStyle w:val="42"/>
            </w:pPr>
            <w:r>
              <w:rPr>
                <w:rFonts w:hint="eastAsia"/>
              </w:rPr>
              <w:t>中文名：氮气</w:t>
            </w:r>
          </w:p>
        </w:tc>
        <w:tc>
          <w:tcPr>
            <w:tcW w:w="1812" w:type="dxa"/>
            <w:vAlign w:val="center"/>
          </w:tcPr>
          <w:p w14:paraId="1F82461B">
            <w:pPr>
              <w:pStyle w:val="42"/>
            </w:pPr>
            <w:r>
              <w:rPr>
                <w:rFonts w:hint="eastAsia"/>
              </w:rPr>
              <w:t>英文名：</w:t>
            </w:r>
            <w:r>
              <w:t>Nitrogen</w:t>
            </w:r>
          </w:p>
        </w:tc>
        <w:tc>
          <w:tcPr>
            <w:tcW w:w="1812" w:type="dxa"/>
            <w:gridSpan w:val="2"/>
            <w:vAlign w:val="center"/>
          </w:tcPr>
          <w:p w14:paraId="63C82C02">
            <w:pPr>
              <w:pStyle w:val="42"/>
            </w:pPr>
            <w:r>
              <w:rPr>
                <w:rFonts w:hint="eastAsia"/>
              </w:rPr>
              <w:t>分子式：</w:t>
            </w:r>
          </w:p>
          <w:p w14:paraId="114D3D65">
            <w:pPr>
              <w:pStyle w:val="42"/>
            </w:pPr>
            <w:r>
              <w:rPr>
                <w:rFonts w:hint="eastAsia"/>
              </w:rPr>
              <w:t>N</w:t>
            </w:r>
            <w:r>
              <w:rPr>
                <w:rFonts w:hint="eastAsia"/>
                <w:vertAlign w:val="subscript"/>
              </w:rPr>
              <w:t>2</w:t>
            </w:r>
          </w:p>
        </w:tc>
        <w:tc>
          <w:tcPr>
            <w:tcW w:w="1812" w:type="dxa"/>
            <w:vAlign w:val="center"/>
          </w:tcPr>
          <w:p w14:paraId="5B38F80C">
            <w:pPr>
              <w:pStyle w:val="42"/>
            </w:pPr>
            <w:r>
              <w:rPr>
                <w:rFonts w:hint="eastAsia"/>
              </w:rPr>
              <w:t>分子量：</w:t>
            </w:r>
          </w:p>
          <w:p w14:paraId="3390D294">
            <w:pPr>
              <w:pStyle w:val="42"/>
            </w:pPr>
            <w:r>
              <w:t>28.013</w:t>
            </w:r>
          </w:p>
        </w:tc>
      </w:tr>
      <w:tr w14:paraId="0C5A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0C30C2D">
            <w:pPr>
              <w:pStyle w:val="42"/>
            </w:pPr>
          </w:p>
        </w:tc>
        <w:tc>
          <w:tcPr>
            <w:tcW w:w="4732" w:type="dxa"/>
            <w:gridSpan w:val="2"/>
            <w:vAlign w:val="center"/>
          </w:tcPr>
          <w:p w14:paraId="15B701C0">
            <w:pPr>
              <w:pStyle w:val="42"/>
            </w:pPr>
            <w:r>
              <w:rPr>
                <w:rFonts w:hint="eastAsia"/>
              </w:rPr>
              <w:t>危险性类别：不燃气体</w:t>
            </w:r>
          </w:p>
        </w:tc>
        <w:tc>
          <w:tcPr>
            <w:tcW w:w="3624" w:type="dxa"/>
            <w:gridSpan w:val="3"/>
            <w:vAlign w:val="center"/>
          </w:tcPr>
          <w:p w14:paraId="28CAEFB4">
            <w:pPr>
              <w:pStyle w:val="42"/>
            </w:pPr>
            <w:r>
              <w:rPr>
                <w:rFonts w:hint="eastAsia"/>
              </w:rPr>
              <w:t>CAS号：7727-37-9</w:t>
            </w:r>
          </w:p>
        </w:tc>
      </w:tr>
      <w:tr w14:paraId="13B3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0A0A353E">
            <w:pPr>
              <w:pStyle w:val="42"/>
            </w:pPr>
            <w:r>
              <w:rPr>
                <w:rFonts w:hint="eastAsia"/>
              </w:rPr>
              <w:t>理化性质</w:t>
            </w:r>
          </w:p>
        </w:tc>
        <w:tc>
          <w:tcPr>
            <w:tcW w:w="4732" w:type="dxa"/>
            <w:gridSpan w:val="2"/>
            <w:vAlign w:val="center"/>
          </w:tcPr>
          <w:p w14:paraId="44A93FAC">
            <w:pPr>
              <w:pStyle w:val="42"/>
            </w:pPr>
            <w:r>
              <w:rPr>
                <w:rFonts w:hint="eastAsia"/>
              </w:rPr>
              <w:t>外观与性状：无色无臭气体</w:t>
            </w:r>
          </w:p>
        </w:tc>
        <w:tc>
          <w:tcPr>
            <w:tcW w:w="3624" w:type="dxa"/>
            <w:gridSpan w:val="3"/>
            <w:vAlign w:val="center"/>
          </w:tcPr>
          <w:p w14:paraId="2BFC9382">
            <w:pPr>
              <w:pStyle w:val="42"/>
            </w:pPr>
            <w:r>
              <w:rPr>
                <w:rFonts w:hint="eastAsia"/>
              </w:rPr>
              <w:t>溶解性：难溶于水，微溶于乙醇</w:t>
            </w:r>
          </w:p>
        </w:tc>
      </w:tr>
      <w:tr w14:paraId="7244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7162486C">
            <w:pPr>
              <w:pStyle w:val="42"/>
            </w:pPr>
          </w:p>
        </w:tc>
        <w:tc>
          <w:tcPr>
            <w:tcW w:w="4732" w:type="dxa"/>
            <w:gridSpan w:val="2"/>
            <w:vAlign w:val="center"/>
          </w:tcPr>
          <w:p w14:paraId="62815004">
            <w:pPr>
              <w:pStyle w:val="42"/>
            </w:pPr>
            <w:r>
              <w:rPr>
                <w:rFonts w:hint="eastAsia"/>
              </w:rPr>
              <w:t xml:space="preserve">饱和蒸气压（KPa）：1026.42（-173℃） </w:t>
            </w:r>
          </w:p>
        </w:tc>
        <w:tc>
          <w:tcPr>
            <w:tcW w:w="3624" w:type="dxa"/>
            <w:gridSpan w:val="3"/>
            <w:vAlign w:val="center"/>
          </w:tcPr>
          <w:p w14:paraId="15E7A22A">
            <w:pPr>
              <w:pStyle w:val="42"/>
            </w:pPr>
          </w:p>
        </w:tc>
      </w:tr>
      <w:tr w14:paraId="13CD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59D06CB6">
            <w:pPr>
              <w:pStyle w:val="42"/>
            </w:pPr>
          </w:p>
        </w:tc>
        <w:tc>
          <w:tcPr>
            <w:tcW w:w="2920" w:type="dxa"/>
            <w:vAlign w:val="center"/>
          </w:tcPr>
          <w:p w14:paraId="2BE777AE">
            <w:pPr>
              <w:pStyle w:val="42"/>
            </w:pPr>
            <w:r>
              <w:rPr>
                <w:rFonts w:hint="eastAsia"/>
              </w:rPr>
              <w:t>临界温度（℃）：-</w:t>
            </w:r>
            <w:r>
              <w:t>147.05</w:t>
            </w:r>
          </w:p>
        </w:tc>
        <w:tc>
          <w:tcPr>
            <w:tcW w:w="1812" w:type="dxa"/>
            <w:vAlign w:val="center"/>
          </w:tcPr>
          <w:p w14:paraId="69E727D3">
            <w:pPr>
              <w:pStyle w:val="42"/>
            </w:pPr>
            <w:r>
              <w:rPr>
                <w:rFonts w:hint="eastAsia"/>
              </w:rPr>
              <w:t>熔点（℃）：-210</w:t>
            </w:r>
          </w:p>
        </w:tc>
        <w:tc>
          <w:tcPr>
            <w:tcW w:w="1812" w:type="dxa"/>
            <w:gridSpan w:val="2"/>
            <w:vAlign w:val="center"/>
          </w:tcPr>
          <w:p w14:paraId="63EFACC8">
            <w:pPr>
              <w:pStyle w:val="42"/>
            </w:pPr>
            <w:r>
              <w:rPr>
                <w:rFonts w:hint="eastAsia"/>
              </w:rPr>
              <w:t>临界压力（MPa）：3.4</w:t>
            </w:r>
          </w:p>
        </w:tc>
        <w:tc>
          <w:tcPr>
            <w:tcW w:w="1812" w:type="dxa"/>
            <w:vAlign w:val="center"/>
          </w:tcPr>
          <w:p w14:paraId="7CC45A68">
            <w:pPr>
              <w:pStyle w:val="42"/>
            </w:pPr>
            <w:r>
              <w:rPr>
                <w:rFonts w:hint="eastAsia"/>
              </w:rPr>
              <w:t>沸点（℃）：-</w:t>
            </w:r>
            <w:r>
              <w:t>195.6</w:t>
            </w:r>
          </w:p>
        </w:tc>
      </w:tr>
      <w:tr w14:paraId="7BB9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366B647">
            <w:pPr>
              <w:pStyle w:val="42"/>
            </w:pPr>
          </w:p>
        </w:tc>
        <w:tc>
          <w:tcPr>
            <w:tcW w:w="8356" w:type="dxa"/>
            <w:gridSpan w:val="5"/>
            <w:vAlign w:val="center"/>
          </w:tcPr>
          <w:p w14:paraId="566BAC31">
            <w:pPr>
              <w:pStyle w:val="42"/>
            </w:pPr>
            <w:r>
              <w:rPr>
                <w:rFonts w:hint="eastAsia"/>
              </w:rPr>
              <w:t>相对密度（水＝1）：0.81（196℃）；相对密度（空气＝1）：0.97</w:t>
            </w:r>
          </w:p>
        </w:tc>
      </w:tr>
      <w:tr w14:paraId="4294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1CDFC2E8">
            <w:pPr>
              <w:pStyle w:val="42"/>
            </w:pPr>
            <w:r>
              <w:rPr>
                <w:rFonts w:hint="eastAsia"/>
              </w:rPr>
              <w:t>燃烧爆炸危险性</w:t>
            </w:r>
          </w:p>
        </w:tc>
        <w:tc>
          <w:tcPr>
            <w:tcW w:w="2920" w:type="dxa"/>
            <w:vAlign w:val="center"/>
          </w:tcPr>
          <w:p w14:paraId="4F4512BA">
            <w:pPr>
              <w:pStyle w:val="42"/>
            </w:pPr>
            <w:r>
              <w:rPr>
                <w:rFonts w:hint="eastAsia"/>
              </w:rPr>
              <w:t>燃烧性：不燃</w:t>
            </w:r>
          </w:p>
        </w:tc>
        <w:tc>
          <w:tcPr>
            <w:tcW w:w="1812" w:type="dxa"/>
            <w:vAlign w:val="center"/>
          </w:tcPr>
          <w:p w14:paraId="27EC383F">
            <w:pPr>
              <w:pStyle w:val="42"/>
            </w:pPr>
            <w:r>
              <w:rPr>
                <w:rFonts w:hint="eastAsia"/>
              </w:rPr>
              <w:t>引燃温度（℃）：无意义</w:t>
            </w:r>
          </w:p>
        </w:tc>
        <w:tc>
          <w:tcPr>
            <w:tcW w:w="1812" w:type="dxa"/>
            <w:gridSpan w:val="2"/>
            <w:vAlign w:val="center"/>
          </w:tcPr>
          <w:p w14:paraId="2C369816">
            <w:pPr>
              <w:pStyle w:val="42"/>
            </w:pPr>
            <w:r>
              <w:rPr>
                <w:rFonts w:hint="eastAsia"/>
              </w:rPr>
              <w:t>闪点(℃)：无意义</w:t>
            </w:r>
          </w:p>
        </w:tc>
        <w:tc>
          <w:tcPr>
            <w:tcW w:w="1812" w:type="dxa"/>
            <w:vAlign w:val="center"/>
          </w:tcPr>
          <w:p w14:paraId="45755D9B">
            <w:pPr>
              <w:pStyle w:val="42"/>
            </w:pPr>
            <w:r>
              <w:rPr>
                <w:rFonts w:hint="eastAsia"/>
              </w:rPr>
              <w:t>爆炸下限(%)：无</w:t>
            </w:r>
          </w:p>
        </w:tc>
      </w:tr>
      <w:tr w14:paraId="5AF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65593C70">
            <w:pPr>
              <w:pStyle w:val="42"/>
            </w:pPr>
          </w:p>
        </w:tc>
        <w:tc>
          <w:tcPr>
            <w:tcW w:w="2920" w:type="dxa"/>
            <w:vAlign w:val="center"/>
          </w:tcPr>
          <w:p w14:paraId="2B708827">
            <w:pPr>
              <w:pStyle w:val="42"/>
            </w:pPr>
            <w:r>
              <w:rPr>
                <w:rFonts w:hint="eastAsia"/>
              </w:rPr>
              <w:t>爆炸上限(%)：无</w:t>
            </w:r>
          </w:p>
        </w:tc>
        <w:tc>
          <w:tcPr>
            <w:tcW w:w="2608" w:type="dxa"/>
            <w:gridSpan w:val="2"/>
            <w:vAlign w:val="center"/>
          </w:tcPr>
          <w:p w14:paraId="1724167D">
            <w:pPr>
              <w:pStyle w:val="42"/>
            </w:pPr>
            <w:r>
              <w:rPr>
                <w:rFonts w:hint="eastAsia"/>
              </w:rPr>
              <w:t>最小点火能( mJ)：无</w:t>
            </w:r>
          </w:p>
        </w:tc>
        <w:tc>
          <w:tcPr>
            <w:tcW w:w="2828" w:type="dxa"/>
            <w:gridSpan w:val="2"/>
            <w:vAlign w:val="center"/>
          </w:tcPr>
          <w:p w14:paraId="5E7F767A">
            <w:pPr>
              <w:pStyle w:val="42"/>
            </w:pPr>
            <w:r>
              <w:rPr>
                <w:rFonts w:hint="eastAsia"/>
              </w:rPr>
              <w:t>最大爆炸压力( MPa)：无</w:t>
            </w:r>
          </w:p>
        </w:tc>
      </w:tr>
      <w:tr w14:paraId="3177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6AD6941B">
            <w:pPr>
              <w:pStyle w:val="42"/>
            </w:pPr>
          </w:p>
        </w:tc>
        <w:tc>
          <w:tcPr>
            <w:tcW w:w="8356" w:type="dxa"/>
            <w:gridSpan w:val="5"/>
            <w:vAlign w:val="center"/>
          </w:tcPr>
          <w:p w14:paraId="44FCCDFD">
            <w:pPr>
              <w:pStyle w:val="42"/>
            </w:pPr>
            <w:r>
              <w:rPr>
                <w:rFonts w:hint="eastAsia"/>
              </w:rPr>
              <w:t>危险特性：不燃，但在日光</w:t>
            </w:r>
            <w:r>
              <w:rPr>
                <w:rFonts w:hint="eastAsia"/>
                <w:lang w:eastAsia="zh-CN"/>
              </w:rPr>
              <w:t>暴晒</w:t>
            </w:r>
            <w:r>
              <w:rPr>
                <w:rFonts w:hint="eastAsia"/>
              </w:rPr>
              <w:t>下，或搬运时猛烈摔甩，或者遇高热，容器内压增大，有开裂的和爆炸的危险。</w:t>
            </w:r>
          </w:p>
        </w:tc>
      </w:tr>
      <w:tr w14:paraId="4154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5B5EB2E">
            <w:pPr>
              <w:pStyle w:val="42"/>
            </w:pPr>
          </w:p>
        </w:tc>
        <w:tc>
          <w:tcPr>
            <w:tcW w:w="8356" w:type="dxa"/>
            <w:gridSpan w:val="5"/>
            <w:vAlign w:val="center"/>
          </w:tcPr>
          <w:p w14:paraId="6F0C2E2E">
            <w:pPr>
              <w:pStyle w:val="42"/>
            </w:pPr>
            <w:r>
              <w:rPr>
                <w:rFonts w:hint="eastAsia"/>
              </w:rPr>
              <w:t>泄漏应急处理：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14:paraId="18B6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66BAD4E">
            <w:pPr>
              <w:pStyle w:val="42"/>
            </w:pPr>
            <w:r>
              <w:rPr>
                <w:rFonts w:hint="eastAsia"/>
              </w:rPr>
              <w:t>健康危害</w:t>
            </w:r>
          </w:p>
        </w:tc>
        <w:tc>
          <w:tcPr>
            <w:tcW w:w="8356" w:type="dxa"/>
            <w:gridSpan w:val="5"/>
            <w:vAlign w:val="center"/>
          </w:tcPr>
          <w:p w14:paraId="4BE4845E">
            <w:pPr>
              <w:pStyle w:val="42"/>
            </w:pPr>
            <w:r>
              <w:rPr>
                <w:rFonts w:hint="eastAsia"/>
              </w:rPr>
              <w:t>侵入途径：空气中氮气含量过高，使吸入气氧分压下降，引起缺氧窒息。吸入氮气浓度太高时，患者最初感胸闷、气短、疲软无力；继而有烦躁不安、极度兴奋、乱跑、喊叫、神情恍惚、步态不稳，称之为“氮酩酊”，可进入昏睡或昏迷状态。吸入高浓度，患者可迅速昏迷、因呼吸和心跳停止而死亡。潜水员深潜时，可发生氮的麻醉作用；若从高压环境下过快转入常压环境，体内会形成氮气气泡，压迫神经、血管或造成血管阻塞，引起“减压病”。</w:t>
            </w:r>
          </w:p>
        </w:tc>
      </w:tr>
      <w:tr w14:paraId="2625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CCAE1C5">
            <w:pPr>
              <w:pStyle w:val="42"/>
            </w:pPr>
            <w:r>
              <w:rPr>
                <w:rFonts w:hint="eastAsia"/>
              </w:rPr>
              <w:t>操作注意事项</w:t>
            </w:r>
          </w:p>
        </w:tc>
        <w:tc>
          <w:tcPr>
            <w:tcW w:w="8356" w:type="dxa"/>
            <w:gridSpan w:val="5"/>
            <w:vAlign w:val="center"/>
          </w:tcPr>
          <w:p w14:paraId="4E441D4E">
            <w:pPr>
              <w:pStyle w:val="42"/>
            </w:pPr>
            <w:r>
              <w:rPr>
                <w:rFonts w:hint="eastAsia"/>
              </w:rPr>
              <w:t>密闭操作，加强通风。操作人员必须经过专门培训，严格遵守操作规程。建议操作人员穿防静电工作服。远离火种、热源，工作场所严禁吸烟。使用防爆型的通风系统和设备。防止气体泄漏到工作场所空气中。在传送过程中，钢瓶和容器必须接地和跨接，防止产生静电。搬运时轻装轻卸，防止钢瓶及附件破损。配备相应品种和数量的消防器材及泄漏应急处理设备。</w:t>
            </w:r>
          </w:p>
        </w:tc>
      </w:tr>
      <w:tr w14:paraId="3DE7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72C9937">
            <w:pPr>
              <w:pStyle w:val="42"/>
            </w:pPr>
            <w:r>
              <w:rPr>
                <w:rFonts w:hint="eastAsia"/>
              </w:rPr>
              <w:t>急救措施</w:t>
            </w:r>
          </w:p>
        </w:tc>
        <w:tc>
          <w:tcPr>
            <w:tcW w:w="8356" w:type="dxa"/>
            <w:gridSpan w:val="5"/>
            <w:vAlign w:val="center"/>
          </w:tcPr>
          <w:p w14:paraId="04FECC12">
            <w:pPr>
              <w:pStyle w:val="42"/>
            </w:pPr>
            <w:r>
              <w:rPr>
                <w:rFonts w:hint="eastAsia"/>
              </w:rPr>
              <w:t>吸入：（浓度较高时）迅速脱离现场至空气新鲜处。保持呼吸道通畅。如呼吸困难，给输氧。呼吸心跳停止时，立即进行人工呼吸和胸外心脏按压术。就医。皮肤、眼睛与液体接触发生冻伤时，用大量水冲洗，就医治疗。</w:t>
            </w:r>
          </w:p>
        </w:tc>
      </w:tr>
      <w:tr w14:paraId="2CFE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72C1C429">
            <w:pPr>
              <w:pStyle w:val="42"/>
            </w:pPr>
            <w:r>
              <w:rPr>
                <w:rFonts w:hint="eastAsia"/>
              </w:rPr>
              <w:t>贮运</w:t>
            </w:r>
          </w:p>
        </w:tc>
        <w:tc>
          <w:tcPr>
            <w:tcW w:w="2920" w:type="dxa"/>
            <w:vAlign w:val="center"/>
          </w:tcPr>
          <w:p w14:paraId="0E8F5042">
            <w:pPr>
              <w:pStyle w:val="42"/>
            </w:pPr>
            <w:r>
              <w:rPr>
                <w:rFonts w:hint="eastAsia"/>
              </w:rPr>
              <w:t>危险货物编号：</w:t>
            </w:r>
            <w:r>
              <w:t>22005</w:t>
            </w:r>
          </w:p>
        </w:tc>
        <w:tc>
          <w:tcPr>
            <w:tcW w:w="1812" w:type="dxa"/>
            <w:vAlign w:val="center"/>
          </w:tcPr>
          <w:p w14:paraId="2B06B517">
            <w:pPr>
              <w:pStyle w:val="42"/>
            </w:pPr>
            <w:r>
              <w:rPr>
                <w:rFonts w:hint="eastAsia"/>
              </w:rPr>
              <w:t>包装标志：不燃气体</w:t>
            </w:r>
          </w:p>
        </w:tc>
        <w:tc>
          <w:tcPr>
            <w:tcW w:w="1812" w:type="dxa"/>
            <w:gridSpan w:val="2"/>
            <w:vAlign w:val="center"/>
          </w:tcPr>
          <w:p w14:paraId="3B5E0747">
            <w:pPr>
              <w:pStyle w:val="42"/>
            </w:pPr>
            <w:r>
              <w:t>UN</w:t>
            </w:r>
            <w:r>
              <w:rPr>
                <w:rFonts w:hint="eastAsia"/>
              </w:rPr>
              <w:t>编号：1066</w:t>
            </w:r>
          </w:p>
        </w:tc>
        <w:tc>
          <w:tcPr>
            <w:tcW w:w="1812" w:type="dxa"/>
            <w:vAlign w:val="center"/>
          </w:tcPr>
          <w:p w14:paraId="2149F30E">
            <w:pPr>
              <w:pStyle w:val="42"/>
            </w:pPr>
            <w:r>
              <w:rPr>
                <w:rFonts w:hint="eastAsia"/>
              </w:rPr>
              <w:t>包装类别和方法：无</w:t>
            </w:r>
          </w:p>
        </w:tc>
      </w:tr>
      <w:tr w14:paraId="378C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2CFBCD8F">
            <w:pPr>
              <w:pStyle w:val="42"/>
            </w:pPr>
          </w:p>
        </w:tc>
        <w:tc>
          <w:tcPr>
            <w:tcW w:w="8356" w:type="dxa"/>
            <w:gridSpan w:val="5"/>
            <w:vAlign w:val="center"/>
          </w:tcPr>
          <w:p w14:paraId="5309BC5E">
            <w:pPr>
              <w:pStyle w:val="42"/>
            </w:pPr>
            <w:r>
              <w:rPr>
                <w:rFonts w:hint="eastAsia"/>
              </w:rPr>
              <w:t>储存注意事项：储存于阴凉、通风、地面不易产生火花的库房。远离火种、热源。库温不宜超过30℃，相对湿度不超过80%。采用防爆型照明、通风设施。禁止使用易产生火花的机械设备和工具。储区应备有泄漏应急处理设备。</w:t>
            </w:r>
          </w:p>
        </w:tc>
      </w:tr>
    </w:tbl>
    <w:p w14:paraId="1A4DA5EE">
      <w:pPr>
        <w:pStyle w:val="54"/>
        <w:ind w:firstLine="480"/>
      </w:pPr>
    </w:p>
    <w:p w14:paraId="2FE35395">
      <w:pPr>
        <w:pStyle w:val="57"/>
      </w:pPr>
      <w:bookmarkStart w:id="103" w:name="_Toc182815877"/>
      <w:r>
        <w:rPr>
          <w:rFonts w:hint="eastAsia"/>
        </w:rPr>
        <w:t>生产风险识别</w:t>
      </w:r>
      <w:bookmarkEnd w:id="103"/>
    </w:p>
    <w:p w14:paraId="3F0A56D7">
      <w:pPr>
        <w:pStyle w:val="54"/>
        <w:ind w:firstLine="480"/>
      </w:pPr>
      <w:r>
        <w:rPr>
          <w:rFonts w:hint="eastAsia"/>
        </w:rPr>
        <w:t>本项目主要为氮气供应项目，厂区布置有1个80m</w:t>
      </w:r>
      <w:r>
        <w:rPr>
          <w:rFonts w:hint="eastAsia"/>
          <w:vertAlign w:val="superscript"/>
        </w:rPr>
        <w:t>3</w:t>
      </w:r>
      <w:r>
        <w:rPr>
          <w:rFonts w:hint="eastAsia"/>
        </w:rPr>
        <w:t>液氮储罐，1个1000m</w:t>
      </w:r>
      <w:r>
        <w:rPr>
          <w:rFonts w:hint="eastAsia"/>
          <w:vertAlign w:val="superscript"/>
        </w:rPr>
        <w:t>3</w:t>
      </w:r>
      <w:r>
        <w:rPr>
          <w:rFonts w:hint="eastAsia"/>
        </w:rPr>
        <w:t>液氮储罐。在生产过程中可能存在储罐、管道破损等老化等情况，可引起泄漏和爆炸等影响。</w:t>
      </w:r>
    </w:p>
    <w:p w14:paraId="7794B2DB">
      <w:pPr>
        <w:pStyle w:val="54"/>
        <w:ind w:firstLine="480"/>
      </w:pPr>
      <w:r>
        <w:rPr>
          <w:rFonts w:hint="eastAsia"/>
        </w:rPr>
        <w:t>生产、储存及运输装置、设备潜在危险识别见下表。</w:t>
      </w:r>
    </w:p>
    <w:p w14:paraId="1E9E7984">
      <w:pPr>
        <w:pStyle w:val="63"/>
      </w:pPr>
      <w:r>
        <w:rPr>
          <w:rFonts w:hint="eastAsia"/>
        </w:rPr>
        <w:t>存在危险化学品情况表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1701"/>
        <w:gridCol w:w="2126"/>
        <w:gridCol w:w="3253"/>
      </w:tblGrid>
      <w:tr w14:paraId="7A28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dxa"/>
            <w:vAlign w:val="center"/>
          </w:tcPr>
          <w:p w14:paraId="40A87D77">
            <w:pPr>
              <w:pStyle w:val="42"/>
              <w:rPr>
                <w:b/>
                <w:bCs/>
              </w:rPr>
            </w:pPr>
            <w:r>
              <w:rPr>
                <w:rFonts w:hint="eastAsia"/>
                <w:b/>
                <w:bCs/>
              </w:rPr>
              <w:t>序号</w:t>
            </w:r>
          </w:p>
        </w:tc>
        <w:tc>
          <w:tcPr>
            <w:tcW w:w="1276" w:type="dxa"/>
            <w:vAlign w:val="center"/>
          </w:tcPr>
          <w:p w14:paraId="1AE22722">
            <w:pPr>
              <w:pStyle w:val="42"/>
              <w:rPr>
                <w:b/>
                <w:bCs/>
              </w:rPr>
            </w:pPr>
            <w:r>
              <w:rPr>
                <w:rFonts w:hint="eastAsia"/>
                <w:b/>
                <w:bCs/>
              </w:rPr>
              <w:t>主要设施</w:t>
            </w:r>
          </w:p>
        </w:tc>
        <w:tc>
          <w:tcPr>
            <w:tcW w:w="1701" w:type="dxa"/>
            <w:vAlign w:val="center"/>
          </w:tcPr>
          <w:p w14:paraId="71040237">
            <w:pPr>
              <w:pStyle w:val="42"/>
              <w:rPr>
                <w:b/>
                <w:bCs/>
              </w:rPr>
            </w:pPr>
            <w:r>
              <w:rPr>
                <w:rFonts w:hint="eastAsia"/>
                <w:b/>
                <w:bCs/>
              </w:rPr>
              <w:t>潜在的风险因素</w:t>
            </w:r>
          </w:p>
        </w:tc>
        <w:tc>
          <w:tcPr>
            <w:tcW w:w="2126" w:type="dxa"/>
            <w:vAlign w:val="center"/>
          </w:tcPr>
          <w:p w14:paraId="41D5E108">
            <w:pPr>
              <w:pStyle w:val="42"/>
              <w:rPr>
                <w:b/>
                <w:bCs/>
              </w:rPr>
            </w:pPr>
            <w:r>
              <w:rPr>
                <w:rFonts w:hint="eastAsia"/>
                <w:b/>
                <w:bCs/>
              </w:rPr>
              <w:t>可能导致的环境风险</w:t>
            </w:r>
          </w:p>
        </w:tc>
        <w:tc>
          <w:tcPr>
            <w:tcW w:w="3253" w:type="dxa"/>
            <w:vAlign w:val="center"/>
          </w:tcPr>
          <w:p w14:paraId="4526BCDC">
            <w:pPr>
              <w:pStyle w:val="42"/>
              <w:rPr>
                <w:b/>
                <w:bCs/>
              </w:rPr>
            </w:pPr>
            <w:r>
              <w:rPr>
                <w:rFonts w:hint="eastAsia"/>
                <w:b/>
                <w:bCs/>
              </w:rPr>
              <w:t>风险物质</w:t>
            </w:r>
          </w:p>
        </w:tc>
      </w:tr>
      <w:tr w14:paraId="191D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D6CD1A4">
            <w:pPr>
              <w:pStyle w:val="42"/>
            </w:pPr>
            <w:r>
              <w:t>1</w:t>
            </w:r>
          </w:p>
        </w:tc>
        <w:tc>
          <w:tcPr>
            <w:tcW w:w="1276" w:type="dxa"/>
            <w:vAlign w:val="center"/>
          </w:tcPr>
          <w:p w14:paraId="02B38189">
            <w:pPr>
              <w:pStyle w:val="42"/>
            </w:pPr>
            <w:r>
              <w:rPr>
                <w:rFonts w:hint="eastAsia"/>
              </w:rPr>
              <w:t>液氮储罐</w:t>
            </w:r>
          </w:p>
        </w:tc>
        <w:tc>
          <w:tcPr>
            <w:tcW w:w="1701" w:type="dxa"/>
            <w:vAlign w:val="center"/>
          </w:tcPr>
          <w:p w14:paraId="3B7D091C">
            <w:pPr>
              <w:pStyle w:val="42"/>
            </w:pPr>
            <w:r>
              <w:rPr>
                <w:rFonts w:hint="eastAsia"/>
              </w:rPr>
              <w:t>储罐破损，库温过高</w:t>
            </w:r>
          </w:p>
        </w:tc>
        <w:tc>
          <w:tcPr>
            <w:tcW w:w="2126" w:type="dxa"/>
            <w:vAlign w:val="center"/>
          </w:tcPr>
          <w:p w14:paraId="46D354AF">
            <w:pPr>
              <w:pStyle w:val="42"/>
            </w:pPr>
            <w:r>
              <w:rPr>
                <w:rFonts w:hint="eastAsia"/>
              </w:rPr>
              <w:t>液氮泄漏，或引起爆炸</w:t>
            </w:r>
          </w:p>
        </w:tc>
        <w:tc>
          <w:tcPr>
            <w:tcW w:w="3253" w:type="dxa"/>
            <w:vAlign w:val="center"/>
          </w:tcPr>
          <w:p w14:paraId="13B81C2C">
            <w:pPr>
              <w:pStyle w:val="42"/>
            </w:pPr>
            <w:r>
              <w:rPr>
                <w:rFonts w:hint="eastAsia"/>
              </w:rPr>
              <w:t>液氮泄漏后可能会导致现场工作人员窒息，液氮储罐爆炸会对周围的人群和设备等造成影响</w:t>
            </w:r>
          </w:p>
        </w:tc>
      </w:tr>
      <w:tr w14:paraId="3841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B9F0E7B">
            <w:pPr>
              <w:pStyle w:val="42"/>
            </w:pPr>
            <w:r>
              <w:rPr>
                <w:rFonts w:hint="eastAsia"/>
              </w:rPr>
              <w:t>2</w:t>
            </w:r>
          </w:p>
        </w:tc>
        <w:tc>
          <w:tcPr>
            <w:tcW w:w="1276" w:type="dxa"/>
            <w:vAlign w:val="center"/>
          </w:tcPr>
          <w:p w14:paraId="3FFB3D7B">
            <w:pPr>
              <w:pStyle w:val="42"/>
            </w:pPr>
            <w:r>
              <w:rPr>
                <w:rFonts w:hint="eastAsia"/>
              </w:rPr>
              <w:t>氮气输送管道</w:t>
            </w:r>
          </w:p>
        </w:tc>
        <w:tc>
          <w:tcPr>
            <w:tcW w:w="1701" w:type="dxa"/>
            <w:vAlign w:val="center"/>
          </w:tcPr>
          <w:p w14:paraId="24726563">
            <w:pPr>
              <w:pStyle w:val="42"/>
            </w:pPr>
            <w:r>
              <w:rPr>
                <w:rFonts w:hint="eastAsia"/>
              </w:rPr>
              <w:t>管道破损</w:t>
            </w:r>
          </w:p>
        </w:tc>
        <w:tc>
          <w:tcPr>
            <w:tcW w:w="2126" w:type="dxa"/>
            <w:vAlign w:val="center"/>
          </w:tcPr>
          <w:p w14:paraId="53A8484D">
            <w:pPr>
              <w:pStyle w:val="42"/>
            </w:pPr>
            <w:r>
              <w:rPr>
                <w:rFonts w:hint="eastAsia"/>
              </w:rPr>
              <w:t>压缩氮气泄漏</w:t>
            </w:r>
          </w:p>
        </w:tc>
        <w:tc>
          <w:tcPr>
            <w:tcW w:w="3253" w:type="dxa"/>
            <w:vAlign w:val="center"/>
          </w:tcPr>
          <w:p w14:paraId="79EA9ACB">
            <w:pPr>
              <w:pStyle w:val="42"/>
            </w:pPr>
            <w:r>
              <w:rPr>
                <w:rFonts w:hint="eastAsia"/>
              </w:rPr>
              <w:t>氮气泄漏后可能会导致现场人员窒息，对周围的设备等造成影响</w:t>
            </w:r>
          </w:p>
        </w:tc>
      </w:tr>
    </w:tbl>
    <w:p w14:paraId="3F679D78">
      <w:pPr>
        <w:pStyle w:val="59"/>
        <w:numPr>
          <w:ilvl w:val="2"/>
          <w:numId w:val="15"/>
        </w:numPr>
      </w:pPr>
      <w:r>
        <w:rPr>
          <w:rFonts w:hint="eastAsia"/>
        </w:rPr>
        <w:t>可能的环境影响途径</w:t>
      </w:r>
    </w:p>
    <w:p w14:paraId="0510DEF6">
      <w:pPr>
        <w:pStyle w:val="54"/>
        <w:ind w:firstLine="480"/>
      </w:pPr>
      <w:r>
        <w:rPr>
          <w:rFonts w:hint="eastAsia"/>
        </w:rPr>
        <w:t>根据本项目的特点及对同类项目类比调查，项目最大可信事故风险类型确定为液氮储存点存在氮泄漏，产生爆炸风险。</w:t>
      </w:r>
    </w:p>
    <w:p w14:paraId="73463917">
      <w:pPr>
        <w:pStyle w:val="61"/>
      </w:pPr>
      <w:r>
        <w:rPr>
          <w:rFonts w:hint="eastAsia"/>
        </w:rPr>
        <w:t>火灾、爆炸因素分析</w:t>
      </w:r>
    </w:p>
    <w:p w14:paraId="68090A42">
      <w:pPr>
        <w:pStyle w:val="54"/>
        <w:ind w:firstLine="480"/>
      </w:pPr>
      <w:r>
        <w:rPr>
          <w:rFonts w:hint="eastAsia"/>
        </w:rPr>
        <w:t>操作不当使管道前方的阀门未开启或阀门损坏卡死，使得管道内压力过高可能发生爆炸事故。</w:t>
      </w:r>
    </w:p>
    <w:p w14:paraId="3DDB7D30">
      <w:pPr>
        <w:pStyle w:val="61"/>
      </w:pPr>
      <w:r>
        <w:rPr>
          <w:rFonts w:hint="eastAsia"/>
        </w:rPr>
        <w:t>泄漏</w:t>
      </w:r>
    </w:p>
    <w:p w14:paraId="285E73E7">
      <w:pPr>
        <w:pStyle w:val="54"/>
        <w:ind w:firstLine="480"/>
      </w:pPr>
      <w:r>
        <w:rPr>
          <w:rFonts w:hint="eastAsia"/>
        </w:rPr>
        <w:t>管道运行期间的第三方破坏、腐蚀穿孔、自然灾害、误操作或管道设计施工遗留的缺陷会引起氮气泄漏。</w:t>
      </w:r>
    </w:p>
    <w:p w14:paraId="4A913A1C">
      <w:pPr>
        <w:pStyle w:val="59"/>
      </w:pPr>
      <w:r>
        <w:rPr>
          <w:rFonts w:hint="eastAsia"/>
        </w:rPr>
        <w:t>环境风险类型及危害分析</w:t>
      </w:r>
    </w:p>
    <w:p w14:paraId="406F322B">
      <w:pPr>
        <w:pStyle w:val="54"/>
        <w:ind w:firstLine="480"/>
      </w:pPr>
      <w:r>
        <w:rPr>
          <w:rFonts w:hint="eastAsia"/>
        </w:rPr>
        <w:t>本项目风险物质扩散途径主要有如下几个方面分析：</w:t>
      </w:r>
    </w:p>
    <w:p w14:paraId="04E467FA">
      <w:pPr>
        <w:pStyle w:val="54"/>
        <w:ind w:firstLine="480"/>
      </w:pPr>
      <w:r>
        <w:rPr>
          <w:rFonts w:hint="eastAsia"/>
        </w:rPr>
        <w:t>大气扩散：风险物质泄漏后直接进入大气环境，或者发生爆炸事故时进入大气环境，对项目周围人员造成危害。</w:t>
      </w:r>
    </w:p>
    <w:p w14:paraId="497598D1">
      <w:pPr>
        <w:pStyle w:val="54"/>
        <w:ind w:firstLine="480"/>
      </w:pPr>
      <w:r>
        <w:rPr>
          <w:rFonts w:hint="eastAsia"/>
        </w:rPr>
        <w:t>地表水环境扩散：本项目液氮罐区及压缩氮气输送管道在运营期间不产生废水，氮气不易燃，因此不会有消防废水的产生，不会对地表水环境造成影响。</w:t>
      </w:r>
    </w:p>
    <w:p w14:paraId="3F747034">
      <w:pPr>
        <w:pStyle w:val="54"/>
        <w:ind w:firstLine="480"/>
      </w:pPr>
      <w:r>
        <w:rPr>
          <w:rFonts w:hint="eastAsia"/>
        </w:rPr>
        <w:t>地下水环境扩散：本项目管道架空敷设，且管道内无液态危险物质，液氮储罐区地面做硬化处理，且液氮泄漏后会迅速气化扩散至大气环境中，因此不会下渗造成地下水污染。</w:t>
      </w:r>
    </w:p>
    <w:p w14:paraId="71015267">
      <w:pPr>
        <w:pStyle w:val="55"/>
      </w:pPr>
      <w:bookmarkStart w:id="104" w:name="_Toc182815878"/>
      <w:r>
        <w:rPr>
          <w:rFonts w:hint="eastAsia"/>
        </w:rPr>
        <w:t>运营期环境风险影响分析</w:t>
      </w:r>
      <w:bookmarkEnd w:id="104"/>
    </w:p>
    <w:p w14:paraId="5AC33F9D">
      <w:pPr>
        <w:pStyle w:val="57"/>
      </w:pPr>
      <w:bookmarkStart w:id="105" w:name="_Toc182815879"/>
      <w:r>
        <w:rPr>
          <w:rFonts w:hint="eastAsia"/>
        </w:rPr>
        <w:t>大气影响</w:t>
      </w:r>
      <w:bookmarkEnd w:id="105"/>
    </w:p>
    <w:p w14:paraId="0F6C502A">
      <w:pPr>
        <w:pStyle w:val="54"/>
        <w:ind w:firstLine="480"/>
      </w:pPr>
      <w:r>
        <w:rPr>
          <w:rFonts w:hint="eastAsia"/>
        </w:rPr>
        <w:t>本项目若发生压力设备事故、压力管道爆炸事故或管道泄漏风险时会导致泄漏点或爆炸点近距离短时间内氮气浓度骤增，空气中氧分压降低引起人体窒息风险。由于氮气比空气略轻，当发生泄漏时或爆炸时导致泄漏点近距离短时间内浓度较高，但不会下沉聚集，易随空气扩散，扩散氮气一般不会造成人员窒息、中毒，对大气环境基本无影响。另外，氮气为不易燃无爆炸性的无毒惰性气体，扩散后对管道沿线企业及其职工的影响不大。</w:t>
      </w:r>
    </w:p>
    <w:p w14:paraId="494C24D6">
      <w:pPr>
        <w:pStyle w:val="57"/>
        <w:rPr>
          <w:u w:val="single"/>
        </w:rPr>
      </w:pPr>
      <w:bookmarkStart w:id="106" w:name="_Toc182815880"/>
      <w:r>
        <w:rPr>
          <w:rFonts w:hint="eastAsia"/>
          <w:u w:val="single"/>
        </w:rPr>
        <w:t>管道泄漏事故对沿线敏感点影响分析</w:t>
      </w:r>
      <w:bookmarkEnd w:id="106"/>
    </w:p>
    <w:p w14:paraId="092E0DD2">
      <w:pPr>
        <w:pStyle w:val="54"/>
        <w:ind w:firstLine="480"/>
        <w:rPr>
          <w:u w:val="single"/>
        </w:rPr>
      </w:pPr>
      <w:r>
        <w:rPr>
          <w:rFonts w:hint="eastAsia"/>
          <w:u w:val="single"/>
        </w:rPr>
        <w:t>项目新建氮气输送管线沿线现状分布有旧村、南港村等村庄的部分民房，旧村的部分民房位于华谊钦州化工新材料一体化基地30万吨/年烧碱、40万吨/年聚氯乙烯项目设置的1km卫生防护距离内，南港村及新港村位于中国石油广西石化公司炼化一体化转型升级项目设置的580m大气防护距离内，上述村庄民房计划搬迁，考虑到搬迁计划的实施通常具有滞后性，若项目运行后搬迁工作仍未完成，管道发生爆炸或泄漏事故时可能会对以上村庄居民造成不利影响。</w:t>
      </w:r>
    </w:p>
    <w:p w14:paraId="46D4F03B">
      <w:pPr>
        <w:pStyle w:val="54"/>
        <w:ind w:firstLine="480"/>
        <w:rPr>
          <w:u w:val="single"/>
        </w:rPr>
      </w:pPr>
      <w:r>
        <w:rPr>
          <w:rFonts w:hint="eastAsia"/>
          <w:u w:val="single"/>
        </w:rPr>
        <w:t>氮气为无毒不燃的惰性气体，对人体的影响主要为，在高浓度氮气环境下，引起人员缺氧窒息。管道发生爆炸或泄漏事故时周边氮气浓度在短时间内骤增，氧含量降低，人群窒息风险增加，但由于氮气密度略小于空气，泄漏后会随风扩散，不易在低空区域聚集，且项目新建管道沿线较为空旷，扩散条件良好，扩散氮气一般不会造成人员窒息、中毒，氮气输送管道泄漏事故造成沿线敏感点人群窒息的风险较小。为降低项目对管道沿线居民的环境风险影响，本次评价建议项目在沿线居民点搬迁完成后投入运营。</w:t>
      </w:r>
    </w:p>
    <w:p w14:paraId="7210D116">
      <w:pPr>
        <w:pStyle w:val="55"/>
      </w:pPr>
      <w:bookmarkStart w:id="107" w:name="_Toc182815881"/>
      <w:r>
        <w:rPr>
          <w:rFonts w:hint="eastAsia"/>
        </w:rPr>
        <w:t>环境风险防范措施及应急要求</w:t>
      </w:r>
      <w:bookmarkEnd w:id="107"/>
    </w:p>
    <w:p w14:paraId="0A32280A">
      <w:pPr>
        <w:pStyle w:val="57"/>
      </w:pPr>
      <w:bookmarkStart w:id="108" w:name="_Toc182815882"/>
      <w:r>
        <w:rPr>
          <w:rFonts w:hint="eastAsia"/>
        </w:rPr>
        <w:t>环境风险防范措施</w:t>
      </w:r>
      <w:bookmarkEnd w:id="108"/>
    </w:p>
    <w:p w14:paraId="4136C29A">
      <w:pPr>
        <w:pStyle w:val="54"/>
        <w:ind w:firstLine="480"/>
      </w:pPr>
      <w:r>
        <w:rPr>
          <w:rFonts w:hint="eastAsia"/>
        </w:rPr>
        <w:t>风险管理是研究风险发生规律和风险控制技术的一门管理科学，各组织通过风险识别、风险估测、风险评价，并在此基础上优化组合各种风险管理技术，对风险实施有效地控制并妥善处理风险事故，以期达到最低事故率、最小损失和最大的安全投资效益的目的。</w:t>
      </w:r>
    </w:p>
    <w:p w14:paraId="6CD465E9">
      <w:pPr>
        <w:pStyle w:val="54"/>
        <w:ind w:firstLine="480"/>
      </w:pPr>
      <w:r>
        <w:rPr>
          <w:rFonts w:hint="eastAsia"/>
        </w:rPr>
        <w:t>输气管道正常情况下没有泄漏，但在事故状态下管道破裂或腐蚀穿孔，氮气外泄会对周围人员造成伤害。虽然在设计、建设和运行管道时采用越来越严格的规范，建设管道时选用性能越来越好的管材和防腐涂层及相关设备，但影响管道安全性的因素很多，管道运行期间的第三方破坏、腐蚀穿孔、自然灾害、误操作或管道设计施工遗留的缺陷、损伤等任何一种因素都可能引发严重的管道事故，造成泄漏事故的发生，破坏当地的环境。由于事故风险具有突发性、灾难性和破坏性的特点，必须采取措施加以防范，加强管理和及时控制是杜绝、减轻和避免事故风险的有效办法。根据《输气管道工程设计规范》（以下简称《管道设计规范》）等提出以下事故防范措施。</w:t>
      </w:r>
    </w:p>
    <w:p w14:paraId="2B567EED">
      <w:pPr>
        <w:pStyle w:val="54"/>
        <w:ind w:firstLine="480"/>
      </w:pPr>
      <w:r>
        <w:rPr>
          <w:rFonts w:hint="eastAsia"/>
        </w:rPr>
        <w:t>（1）工程设计及设计阶段的事故防范措施</w:t>
      </w:r>
    </w:p>
    <w:p w14:paraId="30501780">
      <w:pPr>
        <w:pStyle w:val="54"/>
        <w:ind w:firstLine="480"/>
      </w:pPr>
      <w:r>
        <w:rPr>
          <w:rFonts w:hint="eastAsia"/>
        </w:rPr>
        <w:t>①架空管道防腐</w:t>
      </w:r>
    </w:p>
    <w:p w14:paraId="0BA25555">
      <w:pPr>
        <w:pStyle w:val="54"/>
        <w:ind w:firstLine="480"/>
      </w:pPr>
      <w:r>
        <w:rPr>
          <w:rFonts w:hint="eastAsia"/>
        </w:rPr>
        <w:t>管道在试压合格后应进行涂漆。涂漆前应清除被涂表面的铁锈、焊渣、毛刺、油、水等污物。管道防腐刷漆前应进行喷射除锈。钢管除锈等级应达到《涂覆涂料前钢材表面处理 表面清洁度的目视评定 第1部分：未涂覆过的钢材表面和全面清除原有涂层后的钢材表面的锈蚀等级和处理等级》GB/T 8923.1-2011 中规定的Sa2.5级。</w:t>
      </w:r>
    </w:p>
    <w:p w14:paraId="6DB04A75">
      <w:pPr>
        <w:pStyle w:val="54"/>
        <w:ind w:firstLine="480"/>
      </w:pPr>
      <w:r>
        <w:rPr>
          <w:rFonts w:hint="eastAsia"/>
        </w:rPr>
        <w:t>②管道防爆</w:t>
      </w:r>
    </w:p>
    <w:p w14:paraId="1F256DA1">
      <w:pPr>
        <w:pStyle w:val="54"/>
        <w:ind w:firstLine="480"/>
      </w:pPr>
      <w:r>
        <w:rPr>
          <w:rFonts w:hint="eastAsia"/>
        </w:rPr>
        <w:t>A、根据输送介质的性质、温度、压力和流量等因素正确选择管材，不可随意选用代材或误用，不得使用存有缺陷的管材。</w:t>
      </w:r>
    </w:p>
    <w:p w14:paraId="79EB8E87">
      <w:pPr>
        <w:pStyle w:val="54"/>
        <w:ind w:firstLine="480"/>
      </w:pPr>
      <w:r>
        <w:rPr>
          <w:rFonts w:hint="eastAsia"/>
        </w:rPr>
        <w:t>B、定期检测管道的受腐蚀情况，尤其是敷设于地下的管道，及时修复或更换腐蚀严重的部位。</w:t>
      </w:r>
    </w:p>
    <w:p w14:paraId="5CC7D777">
      <w:pPr>
        <w:pStyle w:val="54"/>
        <w:ind w:firstLine="480"/>
      </w:pPr>
      <w:r>
        <w:rPr>
          <w:rFonts w:hint="eastAsia"/>
        </w:rPr>
        <w:t>C、为减弱热应力的破坏作用，采用膨胀节等削弱关口的应力和力矩，加设弯管，改变管道走向，增加管道总的可挠性。</w:t>
      </w:r>
    </w:p>
    <w:p w14:paraId="79A1C4F9">
      <w:pPr>
        <w:pStyle w:val="54"/>
        <w:ind w:firstLine="480"/>
      </w:pPr>
      <w:r>
        <w:rPr>
          <w:rFonts w:hint="eastAsia"/>
        </w:rPr>
        <w:t>D、氮气输送管道应选用导电性能良好的材料制造，并设性能良好的静电消除装置。</w:t>
      </w:r>
    </w:p>
    <w:p w14:paraId="4E0E6F01">
      <w:pPr>
        <w:pStyle w:val="54"/>
        <w:ind w:firstLine="480"/>
      </w:pPr>
      <w:r>
        <w:rPr>
          <w:rFonts w:hint="eastAsia"/>
        </w:rPr>
        <w:t>E、在容易发生超压爆炸的管道上需设置安全阀等防爆泄压装置。</w:t>
      </w:r>
    </w:p>
    <w:p w14:paraId="1AC55E98">
      <w:pPr>
        <w:pStyle w:val="54"/>
        <w:ind w:firstLine="480"/>
      </w:pPr>
      <w:r>
        <w:rPr>
          <w:rFonts w:hint="eastAsia"/>
        </w:rPr>
        <w:t>（2）施工过程的事故防范措施</w:t>
      </w:r>
    </w:p>
    <w:p w14:paraId="20CAAFE8">
      <w:pPr>
        <w:pStyle w:val="54"/>
        <w:ind w:firstLine="480"/>
      </w:pPr>
      <w:r>
        <w:rPr>
          <w:rFonts w:hint="eastAsia"/>
        </w:rPr>
        <w:t>项目新建管道依托的园区公共管廊尚未建设完成，若项目管道架设前已有其他管道先于本项目铺设完成，在施工工程中若因施工时操作不当，易造成在本项目之前已铺设的管线发生泄漏，发生火灾爆炸事故，对周围人群、大气环境造成不利影响。因此，项目施工期应加强施工管理，避免出现安全施工事故：</w:t>
      </w:r>
    </w:p>
    <w:p w14:paraId="1ACB2416">
      <w:pPr>
        <w:pStyle w:val="54"/>
        <w:ind w:firstLine="480"/>
      </w:pPr>
      <w:r>
        <w:rPr>
          <w:rFonts w:hint="eastAsia"/>
        </w:rPr>
        <w:t>①项目管线的设计、施工、监理以及与工程建设有关的重要设备、材料等的采购，应择优选择有资质的单位；</w:t>
      </w:r>
    </w:p>
    <w:p w14:paraId="7E341A6F">
      <w:pPr>
        <w:pStyle w:val="54"/>
        <w:ind w:firstLine="480"/>
      </w:pPr>
      <w:r>
        <w:rPr>
          <w:rFonts w:hint="eastAsia"/>
        </w:rPr>
        <w:t>②进入园区作业的施工单位，应经钦州石化产业园相关职能部门的安全审查并登记备案，施工人员应经过钦州石化产业园或管理单位的安全准入培训；</w:t>
      </w:r>
    </w:p>
    <w:p w14:paraId="2FE7083D">
      <w:pPr>
        <w:pStyle w:val="54"/>
        <w:ind w:firstLine="480"/>
      </w:pPr>
      <w:r>
        <w:rPr>
          <w:rFonts w:hint="eastAsia"/>
        </w:rPr>
        <w:t>③项目管线施工时，应对施工过程中存在的、可能导致作业人员群死群伤或造成重大不良社会影响的分部分项工程应编制安全专项施工方案，并组织专家对安全专项施工方案进行论证。</w:t>
      </w:r>
    </w:p>
    <w:p w14:paraId="4D33E600">
      <w:pPr>
        <w:pStyle w:val="54"/>
        <w:ind w:firstLine="480"/>
      </w:pPr>
      <w:r>
        <w:rPr>
          <w:rFonts w:hint="eastAsia"/>
        </w:rPr>
        <w:t>④管理单位应对施工队伍人员进行安全教育培训，考核合格后上岗，特种作业人员应持证上岗。</w:t>
      </w:r>
    </w:p>
    <w:p w14:paraId="5B0B5FAC">
      <w:pPr>
        <w:pStyle w:val="54"/>
        <w:ind w:firstLine="480"/>
      </w:pPr>
      <w:r>
        <w:rPr>
          <w:rFonts w:hint="eastAsia"/>
        </w:rPr>
        <w:t>⑤项目管道验收应符合《石油化工建设工程施工安全技术标准》（GB50484-2019）和《石油化工金属管道工程施工质量验收规范》（GB50517-2010）的要求。</w:t>
      </w:r>
    </w:p>
    <w:p w14:paraId="5E6222DF">
      <w:pPr>
        <w:pStyle w:val="54"/>
        <w:ind w:firstLine="480"/>
      </w:pPr>
      <w:r>
        <w:rPr>
          <w:rFonts w:hint="eastAsia"/>
        </w:rPr>
        <w:t>项目管线安装时，伴随着吊装、焊接等施工，施工时应采取相应防护措施，避免引发在本项目施工前已铺设好的管线泄漏；</w:t>
      </w:r>
    </w:p>
    <w:p w14:paraId="75E0B999">
      <w:pPr>
        <w:pStyle w:val="54"/>
        <w:ind w:firstLine="480"/>
      </w:pPr>
      <w:r>
        <w:rPr>
          <w:rFonts w:hint="eastAsia"/>
        </w:rPr>
        <w:t>①管道在安装前应对设备管口、预埋件、预留孔洞、钢结构等涉及管道安装的内容进行复核。</w:t>
      </w:r>
    </w:p>
    <w:p w14:paraId="493D14B3">
      <w:pPr>
        <w:pStyle w:val="54"/>
        <w:ind w:firstLine="480"/>
      </w:pPr>
      <w:r>
        <w:rPr>
          <w:rFonts w:hint="eastAsia"/>
        </w:rPr>
        <w:t>②管线施工前，应经钦州石化产业园相关职能部门的安全审查并登记备案，同时向已有管线单位联系，应确保已有管线不存在泄漏情形；</w:t>
      </w:r>
    </w:p>
    <w:p w14:paraId="474FE314">
      <w:pPr>
        <w:pStyle w:val="54"/>
        <w:ind w:firstLine="480"/>
      </w:pPr>
      <w:r>
        <w:rPr>
          <w:rFonts w:hint="eastAsia"/>
        </w:rPr>
        <w:t>③正式焊接前检查作业下方及周围是否有易燃易爆物，作业面是否有诸如油漆类防腐物质，如果有应事先做好妥善处理。现有焊接、动火作业必须根据要求办理作业票证。</w:t>
      </w:r>
    </w:p>
    <w:p w14:paraId="5EC75E1D">
      <w:pPr>
        <w:pStyle w:val="54"/>
        <w:ind w:firstLine="480"/>
      </w:pPr>
      <w:r>
        <w:rPr>
          <w:rFonts w:hint="eastAsia"/>
        </w:rPr>
        <w:t>④在对临近现有管线进行焊接作业时，应做好防火、防高温措施，对附近管线铺设防火石棉布，施工人员不可踩在管道上，不可敲击运行管线。</w:t>
      </w:r>
    </w:p>
    <w:p w14:paraId="2172754C">
      <w:pPr>
        <w:pStyle w:val="54"/>
        <w:ind w:firstLine="480"/>
      </w:pPr>
      <w:r>
        <w:rPr>
          <w:rFonts w:hint="eastAsia"/>
        </w:rPr>
        <w:t>⑤施工现场至少设置2个灭火器，对焊接施工人员，进行上岗前的安全教育，掌握安全基础知识，确保熟练使用消防器材。</w:t>
      </w:r>
    </w:p>
    <w:p w14:paraId="3F0ABAA1">
      <w:pPr>
        <w:pStyle w:val="54"/>
        <w:ind w:firstLine="480"/>
      </w:pPr>
      <w:r>
        <w:rPr>
          <w:rFonts w:hint="eastAsia"/>
        </w:rPr>
        <w:t>综上，项目施工期在加强管理，采取相应措施预防事故发生，施工期发生事故的概率较小，对环境影响较小。</w:t>
      </w:r>
    </w:p>
    <w:p w14:paraId="19A67A0C">
      <w:pPr>
        <w:pStyle w:val="54"/>
        <w:ind w:firstLine="480"/>
      </w:pPr>
      <w:r>
        <w:rPr>
          <w:rFonts w:hint="eastAsia"/>
        </w:rPr>
        <w:t>（3）运行阶段的事故防范措施</w:t>
      </w:r>
    </w:p>
    <w:p w14:paraId="22A4E3BF">
      <w:pPr>
        <w:pStyle w:val="54"/>
        <w:ind w:firstLine="480"/>
      </w:pPr>
      <w:r>
        <w:rPr>
          <w:rFonts w:hint="eastAsia"/>
        </w:rPr>
        <w:t>①定期检查管道安全保护系统（如安全阀），使管道在超压时能够得到安全处理，使危害影响范围减小到最低程度；</w:t>
      </w:r>
    </w:p>
    <w:p w14:paraId="2AC1D182">
      <w:pPr>
        <w:pStyle w:val="54"/>
        <w:ind w:firstLine="480"/>
      </w:pPr>
      <w:r>
        <w:rPr>
          <w:rFonts w:hint="eastAsia"/>
        </w:rPr>
        <w:t>②在公路穿越点的标志不仅清楚、明确，并且其设置应能从不同方向，不同角度均可看清；</w:t>
      </w:r>
    </w:p>
    <w:p w14:paraId="688F27C3">
      <w:pPr>
        <w:pStyle w:val="54"/>
        <w:ind w:firstLine="480"/>
      </w:pPr>
      <w:r>
        <w:rPr>
          <w:rFonts w:hint="eastAsia"/>
        </w:rPr>
        <w:t>③加大巡线频率，尤其是距离企业较</w:t>
      </w:r>
      <w:r>
        <w:rPr>
          <w:rFonts w:hint="eastAsia"/>
          <w:lang w:eastAsia="zh-CN"/>
        </w:rPr>
        <w:t>近的</w:t>
      </w:r>
      <w:r>
        <w:rPr>
          <w:rFonts w:hint="eastAsia"/>
        </w:rPr>
        <w:t>管道，提高巡线的有效性；每天检查管道施工带，查看地表情况，并关注在此地带的人员活动情况，发现对管道安全有影响的行为，应及时制止、采取相应措施并向上级报告。</w:t>
      </w:r>
    </w:p>
    <w:p w14:paraId="56F5653D">
      <w:pPr>
        <w:pStyle w:val="54"/>
        <w:ind w:firstLine="480"/>
      </w:pPr>
      <w:r>
        <w:rPr>
          <w:rFonts w:hint="eastAsia"/>
        </w:rPr>
        <w:t>④定期检查、维护、保养液氮储罐的安全阀、爆破片等安全装置，保证装置完好，定期检测储罐保温设施保温性能，避免液氮储罐因超温超压发生爆炸事故。</w:t>
      </w:r>
    </w:p>
    <w:p w14:paraId="1F39C99A">
      <w:pPr>
        <w:pStyle w:val="54"/>
        <w:ind w:firstLine="480"/>
        <w:rPr>
          <w:u w:val="single"/>
        </w:rPr>
      </w:pPr>
      <w:r>
        <w:rPr>
          <w:rFonts w:hint="eastAsia"/>
          <w:u w:val="single"/>
        </w:rPr>
        <w:t>⑤本项目的氮气压缩机、液氮气化和液氮贮槽系统控制依托现有主空分PLC系统，仪表信号和电气信号接入现有主空分PLC系统备用IO点，根据实际情况增加相应的IO卡件。压缩机运行、液氮气化和液氮贮槽的温度、压力、流量、液位等相关工艺参数的测量信号送至PLC系统，同时PLC再根据测量值和工艺要求控制整个工艺过程。为保证机组和储罐安全运行和控制方式平稳切换等，装置中设有必要的安全联锁回路，并在PLC中通过软件编程实现逻辑功能。安全报警按其重要程度加以区分，如参数越限报警、状态报警、工艺安全和设备故障报警等，当出现关系到设备损坏的重要故障报警、工艺安全问题时，及时采取应急措施如紧急停车等。</w:t>
      </w:r>
    </w:p>
    <w:p w14:paraId="06F7D6C4">
      <w:pPr>
        <w:pStyle w:val="54"/>
        <w:ind w:firstLine="480"/>
        <w:rPr>
          <w:u w:val="single"/>
        </w:rPr>
      </w:pPr>
      <w:r>
        <w:rPr>
          <w:rFonts w:hint="eastAsia"/>
          <w:u w:val="single"/>
        </w:rPr>
        <w:t>⑥在液氮储罐、液氮气化器、氮泵模块、液氮气化罐等可能产生液氮泄漏的地方设置</w:t>
      </w:r>
      <w:r>
        <w:rPr>
          <w:rFonts w:hint="eastAsia"/>
          <w:u w:val="single"/>
          <w:lang w:eastAsia="zh-CN"/>
        </w:rPr>
        <w:t>氮气</w:t>
      </w:r>
      <w:r>
        <w:rPr>
          <w:rFonts w:hint="eastAsia"/>
          <w:u w:val="single"/>
        </w:rPr>
        <w:t>气体检测器探头并带声光警报器。在控制室内设置1套气体检测报警控制器，用于显示和记录现场氧气气体检测报警仪的实时参数和报警记录。一旦氧气气体的浓度低于设定值（19.5％VOL），现场将立即声光报警。气体</w:t>
      </w:r>
      <w:r>
        <w:rPr>
          <w:rFonts w:hint="eastAsia"/>
          <w:u w:val="single"/>
          <w:lang w:eastAsia="zh-CN"/>
        </w:rPr>
        <w:t>浓度</w:t>
      </w:r>
      <w:r>
        <w:rPr>
          <w:rFonts w:hint="eastAsia"/>
          <w:u w:val="single"/>
        </w:rPr>
        <w:t>信号进入气体检测报警控制器，气体浓度低于设定值时气体报警器立即发出声光报警。</w:t>
      </w:r>
    </w:p>
    <w:p w14:paraId="6CF6CB0F">
      <w:pPr>
        <w:pStyle w:val="54"/>
        <w:ind w:firstLine="480"/>
        <w:rPr>
          <w:u w:val="single"/>
        </w:rPr>
      </w:pPr>
      <w:r>
        <w:rPr>
          <w:rFonts w:hint="eastAsia"/>
          <w:u w:val="single"/>
        </w:rPr>
        <w:t>⑦生产装置的内压设备和管道系统应设置有安全泄压阀和压力调节等安全措施，当出现异常升温、升压时能及时泄压。</w:t>
      </w:r>
    </w:p>
    <w:p w14:paraId="52D8DE95">
      <w:pPr>
        <w:pStyle w:val="54"/>
        <w:ind w:firstLine="480"/>
        <w:rPr>
          <w:u w:val="single"/>
        </w:rPr>
      </w:pPr>
      <w:r>
        <w:rPr>
          <w:rFonts w:hint="eastAsia"/>
          <w:u w:val="single"/>
        </w:rPr>
        <w:t>⑧项目所在的空分厂区内，室内设置有多套环境氧探头设备，项目可充分依托厂区内现有的安全报警装置，避免厂区内发生人员缺氧窒息事故。</w:t>
      </w:r>
    </w:p>
    <w:p w14:paraId="64DFD5C4">
      <w:pPr>
        <w:pStyle w:val="54"/>
        <w:ind w:firstLine="480"/>
      </w:pPr>
      <w:r>
        <w:rPr>
          <w:rFonts w:hint="eastAsia"/>
        </w:rPr>
        <w:t>（4）敏感管段风险防范措施</w:t>
      </w:r>
    </w:p>
    <w:p w14:paraId="7A189FA9">
      <w:pPr>
        <w:pStyle w:val="54"/>
        <w:ind w:firstLine="480"/>
      </w:pPr>
      <w:r>
        <w:rPr>
          <w:rFonts w:hint="eastAsia"/>
        </w:rPr>
        <w:t>①在人员密集区，距离企业较近的地区，应相应地提高防护等级，增加管线壁厚、加强管道的防腐等措施；</w:t>
      </w:r>
    </w:p>
    <w:p w14:paraId="1DB1FFF9">
      <w:pPr>
        <w:pStyle w:val="54"/>
        <w:ind w:firstLine="480"/>
      </w:pPr>
      <w:r>
        <w:rPr>
          <w:rFonts w:hint="eastAsia"/>
        </w:rPr>
        <w:t>②设立明显的标志桩、转向桩、警示牌等；</w:t>
      </w:r>
    </w:p>
    <w:p w14:paraId="50B5A462">
      <w:pPr>
        <w:pStyle w:val="54"/>
        <w:ind w:firstLine="480"/>
      </w:pPr>
      <w:r>
        <w:rPr>
          <w:rFonts w:hint="eastAsia"/>
        </w:rPr>
        <w:t>③制定突发环境事故应急预案，配备适当的管道抢修、灭火及人员抢救设施；</w:t>
      </w:r>
    </w:p>
    <w:p w14:paraId="637034E4">
      <w:pPr>
        <w:pStyle w:val="54"/>
        <w:ind w:firstLine="480"/>
        <w:rPr>
          <w:u w:val="single"/>
        </w:rPr>
      </w:pPr>
      <w:r>
        <w:rPr>
          <w:rFonts w:hint="eastAsia"/>
          <w:u w:val="single"/>
        </w:rPr>
        <w:t>④加强对管道沿线群众的安全教育，普及氮气管道输送知识，提高管道穿越段村庄居民的安全防护意识（管道防护意识和自我保护意识），发现问题及时向有关部门报告；</w:t>
      </w:r>
    </w:p>
    <w:p w14:paraId="62AA013E">
      <w:pPr>
        <w:pStyle w:val="54"/>
        <w:ind w:firstLine="480"/>
      </w:pPr>
      <w:r>
        <w:rPr>
          <w:rFonts w:hint="eastAsia"/>
        </w:rPr>
        <w:t>⑤管道巡线应与当地居民加强联系，做到群防群治，最大限度地保护管道的安全运营。</w:t>
      </w:r>
    </w:p>
    <w:p w14:paraId="2EFE8F60">
      <w:pPr>
        <w:pStyle w:val="54"/>
        <w:ind w:firstLine="480"/>
      </w:pPr>
      <w:r>
        <w:rPr>
          <w:rFonts w:hint="eastAsia"/>
        </w:rPr>
        <w:t>（5）管理措施</w:t>
      </w:r>
    </w:p>
    <w:p w14:paraId="76CF2645">
      <w:pPr>
        <w:pStyle w:val="54"/>
        <w:ind w:firstLine="480"/>
      </w:pPr>
      <w:r>
        <w:rPr>
          <w:rFonts w:hint="eastAsia"/>
        </w:rPr>
        <w:t>①管道的安全保护设施应当与管道主体工程同时设计、同时施工、同时投入使用。</w:t>
      </w:r>
    </w:p>
    <w:p w14:paraId="03FC2174">
      <w:pPr>
        <w:pStyle w:val="54"/>
        <w:ind w:firstLine="480"/>
      </w:pPr>
      <w:r>
        <w:rPr>
          <w:rFonts w:hint="eastAsia"/>
        </w:rPr>
        <w:t>②管道建设使用的管道产品及其附件的质量，应当符合国家技术规范的强制性要求。</w:t>
      </w:r>
    </w:p>
    <w:p w14:paraId="7A9C0055">
      <w:pPr>
        <w:pStyle w:val="54"/>
        <w:ind w:firstLine="480"/>
      </w:pPr>
      <w:r>
        <w:rPr>
          <w:rFonts w:hint="eastAsia"/>
        </w:rPr>
        <w:t>③管道企业应当按照国家技术规范的强制性要求在管道沿线设置管道标志。管道标志毁损或者安全警示不清的，管道企业应当及时修复或者更新。</w:t>
      </w:r>
    </w:p>
    <w:p w14:paraId="4DC5A8A0">
      <w:pPr>
        <w:pStyle w:val="54"/>
        <w:ind w:firstLine="480"/>
      </w:pPr>
      <w:r>
        <w:rPr>
          <w:rFonts w:hint="eastAsia"/>
        </w:rPr>
        <w:t>④管道建成后应当按照国家有关规定进行竣工验收。竣工验收应当审查管道是否符合本法规定的管道保护要求，经验收合格方可正式交付使用。</w:t>
      </w:r>
    </w:p>
    <w:p w14:paraId="32E2E3C2">
      <w:pPr>
        <w:pStyle w:val="54"/>
        <w:ind w:firstLine="480"/>
      </w:pPr>
      <w:r>
        <w:rPr>
          <w:rFonts w:hint="eastAsia"/>
        </w:rPr>
        <w:t>⑤管道企业应当配备管道保护所必需的人员和技术装备，研究开发和使用先进适用的管道保护技术，保证管道保护所必需的经费投入，并对在管道保护中做出突出贡献的单位和个人给予奖励。</w:t>
      </w:r>
    </w:p>
    <w:p w14:paraId="454856F4">
      <w:pPr>
        <w:pStyle w:val="54"/>
        <w:ind w:firstLine="480"/>
      </w:pPr>
      <w:r>
        <w:rPr>
          <w:rFonts w:hint="eastAsia"/>
        </w:rPr>
        <w:t>⑥在投产运行前，</w:t>
      </w:r>
      <w:r>
        <w:rPr>
          <w:rFonts w:hint="eastAsia"/>
          <w:lang w:eastAsia="zh-CN"/>
        </w:rPr>
        <w:t>制订</w:t>
      </w:r>
      <w:r>
        <w:rPr>
          <w:rFonts w:hint="eastAsia"/>
        </w:rPr>
        <w:t>正常、异常及紧急状态下的操作手册和维修手册，对操作、维修人员进行培训，持证上岗，避免因严重操作失误而造成的事故；</w:t>
      </w:r>
    </w:p>
    <w:p w14:paraId="033CA171">
      <w:pPr>
        <w:pStyle w:val="54"/>
        <w:ind w:firstLine="480"/>
      </w:pPr>
      <w:r>
        <w:rPr>
          <w:rFonts w:hint="eastAsia"/>
        </w:rPr>
        <w:t>⑦制订应急操作规程，说明发生管道事故时应采取的操作步骤，规定抢修进度，限制事故的影响，并进行管道操作人员和抢修人员的安全教育；</w:t>
      </w:r>
    </w:p>
    <w:p w14:paraId="480A1483">
      <w:pPr>
        <w:pStyle w:val="54"/>
        <w:ind w:firstLine="480"/>
      </w:pPr>
      <w:r>
        <w:rPr>
          <w:rFonts w:hint="eastAsia"/>
        </w:rPr>
        <w:t>⑧操作人员每周应进行安全活动，</w:t>
      </w:r>
      <w:r>
        <w:rPr>
          <w:rFonts w:hint="eastAsia"/>
          <w:lang w:eastAsia="zh-CN"/>
        </w:rPr>
        <w:t>增强</w:t>
      </w:r>
      <w:r>
        <w:rPr>
          <w:rFonts w:hint="eastAsia"/>
        </w:rPr>
        <w:t>职工的安全意识，识别事故发生前的异常状态，并采取相应的措施；</w:t>
      </w:r>
    </w:p>
    <w:p w14:paraId="45C1C2BA">
      <w:pPr>
        <w:pStyle w:val="54"/>
        <w:ind w:firstLine="480"/>
      </w:pPr>
      <w:r>
        <w:rPr>
          <w:rFonts w:hint="eastAsia"/>
        </w:rPr>
        <w:t>⑨对管道附近的居民加强教育，减少、避免发生第三方破坏的事故；</w:t>
      </w:r>
    </w:p>
    <w:p w14:paraId="355841F2">
      <w:pPr>
        <w:pStyle w:val="54"/>
        <w:ind w:firstLine="480"/>
      </w:pPr>
      <w:r>
        <w:rPr>
          <w:rFonts w:hint="eastAsia"/>
        </w:rPr>
        <w:t>⑩对重要的仪器设备有完善的检查项目、维护方法；按计划进行定期维护；按规定进行设备的维修、保养、更换易损及老化部件，防止泄漏的发生。</w:t>
      </w:r>
    </w:p>
    <w:p w14:paraId="15E6BBBB">
      <w:pPr>
        <w:pStyle w:val="57"/>
      </w:pPr>
      <w:bookmarkStart w:id="109" w:name="_Toc182815883"/>
      <w:r>
        <w:rPr>
          <w:rFonts w:hint="eastAsia"/>
        </w:rPr>
        <w:t>突发环境事件应急预案</w:t>
      </w:r>
      <w:bookmarkEnd w:id="109"/>
    </w:p>
    <w:p w14:paraId="4FBCAE1A">
      <w:pPr>
        <w:pStyle w:val="59"/>
      </w:pPr>
      <w:r>
        <w:rPr>
          <w:rFonts w:hint="eastAsia"/>
        </w:rPr>
        <w:t>应急预案</w:t>
      </w:r>
    </w:p>
    <w:p w14:paraId="14700BFE">
      <w:pPr>
        <w:pStyle w:val="54"/>
        <w:ind w:firstLine="480"/>
      </w:pPr>
      <w:r>
        <w:rPr>
          <w:rFonts w:hint="eastAsia"/>
        </w:rPr>
        <w:t>本项目建设单位林德气体（广西）有限公司已编制突发环境事件应急预案，于2024年2月1日在当地生态环境主管部门备案（备案号：450702-2024-0012-L）。本次评价建议项目建成后按照《企业事业单位突发环境事件应急预案备案管理办法（试行）》（环发〔2015〕第4号）等相关规定修订现有应急预案，增加本项目应急预案相关内容，并及时将修订后的应急预案向所在地生态环境主管部门备案。</w:t>
      </w:r>
    </w:p>
    <w:p w14:paraId="7DA15D0F">
      <w:pPr>
        <w:pStyle w:val="54"/>
        <w:ind w:firstLine="480"/>
      </w:pPr>
      <w:r>
        <w:rPr>
          <w:rFonts w:hint="eastAsia"/>
        </w:rPr>
        <w:t>建设单位应组织专业队伍学习和演练，提高队伍实战能力，防患于未然，以便应急救援工作的顺利开展。同时企业必须将本单位重大危险源及有关安全措施、应急措施报告有关地方人民政府的安全生产监督管理部门和有关部门，以便政府及其有关部门能够及时掌握有关情况。一旦发生事故，政府及其有关部门可以调动有关方面的力量进行救援，以减少事故损失。</w:t>
      </w:r>
    </w:p>
    <w:p w14:paraId="327BFB77">
      <w:pPr>
        <w:pStyle w:val="54"/>
        <w:ind w:firstLine="480"/>
      </w:pPr>
      <w:r>
        <w:rPr>
          <w:rFonts w:hint="eastAsia"/>
        </w:rPr>
        <w:t>应急预案主要内容汇总见下表。</w:t>
      </w:r>
    </w:p>
    <w:p w14:paraId="596AD72D">
      <w:pPr>
        <w:pStyle w:val="63"/>
      </w:pPr>
      <w:r>
        <w:rPr>
          <w:rFonts w:hint="eastAsia"/>
        </w:rPr>
        <w:t>突发事故应急预案内容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6371"/>
      </w:tblGrid>
      <w:tr w14:paraId="3962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dxa"/>
            <w:vAlign w:val="center"/>
          </w:tcPr>
          <w:p w14:paraId="72CDB61B">
            <w:pPr>
              <w:pStyle w:val="42"/>
              <w:rPr>
                <w:b/>
                <w:bCs/>
              </w:rPr>
            </w:pPr>
            <w:r>
              <w:rPr>
                <w:rFonts w:hint="eastAsia"/>
                <w:b/>
                <w:bCs/>
              </w:rPr>
              <w:t>序号</w:t>
            </w:r>
          </w:p>
        </w:tc>
        <w:tc>
          <w:tcPr>
            <w:tcW w:w="1985" w:type="dxa"/>
            <w:vAlign w:val="center"/>
          </w:tcPr>
          <w:p w14:paraId="58D02510">
            <w:pPr>
              <w:pStyle w:val="42"/>
              <w:rPr>
                <w:b/>
                <w:bCs/>
              </w:rPr>
            </w:pPr>
            <w:r>
              <w:rPr>
                <w:rFonts w:hint="eastAsia"/>
                <w:b/>
                <w:bCs/>
              </w:rPr>
              <w:t>项目</w:t>
            </w:r>
          </w:p>
        </w:tc>
        <w:tc>
          <w:tcPr>
            <w:tcW w:w="6371" w:type="dxa"/>
            <w:vAlign w:val="center"/>
          </w:tcPr>
          <w:p w14:paraId="442ACF5F">
            <w:pPr>
              <w:pStyle w:val="42"/>
              <w:rPr>
                <w:b/>
                <w:bCs/>
              </w:rPr>
            </w:pPr>
            <w:r>
              <w:rPr>
                <w:rFonts w:hint="eastAsia"/>
                <w:b/>
                <w:bCs/>
              </w:rPr>
              <w:t>内容及要求</w:t>
            </w:r>
          </w:p>
        </w:tc>
      </w:tr>
      <w:tr w14:paraId="3EE5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C23222C">
            <w:pPr>
              <w:pStyle w:val="42"/>
            </w:pPr>
            <w:r>
              <w:t>1</w:t>
            </w:r>
          </w:p>
        </w:tc>
        <w:tc>
          <w:tcPr>
            <w:tcW w:w="1985" w:type="dxa"/>
            <w:vAlign w:val="center"/>
          </w:tcPr>
          <w:p w14:paraId="3AE299FF">
            <w:pPr>
              <w:pStyle w:val="42"/>
            </w:pPr>
            <w:r>
              <w:rPr>
                <w:rFonts w:hint="eastAsia"/>
              </w:rPr>
              <w:t>应急计划区</w:t>
            </w:r>
          </w:p>
        </w:tc>
        <w:tc>
          <w:tcPr>
            <w:tcW w:w="6371" w:type="dxa"/>
            <w:vAlign w:val="center"/>
          </w:tcPr>
          <w:p w14:paraId="223AA554">
            <w:pPr>
              <w:pStyle w:val="42"/>
            </w:pPr>
            <w:r>
              <w:rPr>
                <w:rFonts w:hint="eastAsia"/>
              </w:rPr>
              <w:t>危险目标：装置区、贮罐区、输送管道。</w:t>
            </w:r>
          </w:p>
        </w:tc>
      </w:tr>
      <w:tr w14:paraId="0151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D84B7E1">
            <w:pPr>
              <w:pStyle w:val="42"/>
            </w:pPr>
            <w:r>
              <w:t>2</w:t>
            </w:r>
          </w:p>
        </w:tc>
        <w:tc>
          <w:tcPr>
            <w:tcW w:w="1985" w:type="dxa"/>
            <w:vAlign w:val="center"/>
          </w:tcPr>
          <w:p w14:paraId="678F2693">
            <w:pPr>
              <w:pStyle w:val="42"/>
            </w:pPr>
            <w:r>
              <w:rPr>
                <w:rFonts w:hint="eastAsia"/>
              </w:rPr>
              <w:t>应急组织机构、人员</w:t>
            </w:r>
          </w:p>
        </w:tc>
        <w:tc>
          <w:tcPr>
            <w:tcW w:w="6371" w:type="dxa"/>
            <w:vAlign w:val="center"/>
          </w:tcPr>
          <w:p w14:paraId="79C7CEB5">
            <w:pPr>
              <w:pStyle w:val="42"/>
            </w:pPr>
            <w:r>
              <w:rPr>
                <w:rFonts w:hint="eastAsia"/>
              </w:rPr>
              <w:t>本单位根据应急工作需要，设置突发环境事件应急指挥部、应急办公室以及应急队伍，其中应急指挥部设应急总指挥、应急副总指挥和成员，应急办公室设主任和成员，应急队伍包括应急处置组、通讯联络组、应急保障组、安全警戒组、应急监测组、医疗救援组、善后处置组。</w:t>
            </w:r>
          </w:p>
        </w:tc>
      </w:tr>
      <w:tr w14:paraId="6A24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0C5A4C8">
            <w:pPr>
              <w:pStyle w:val="42"/>
            </w:pPr>
            <w:r>
              <w:t>3</w:t>
            </w:r>
          </w:p>
        </w:tc>
        <w:tc>
          <w:tcPr>
            <w:tcW w:w="1985" w:type="dxa"/>
            <w:vAlign w:val="center"/>
          </w:tcPr>
          <w:p w14:paraId="794F6CB6">
            <w:pPr>
              <w:pStyle w:val="42"/>
            </w:pPr>
            <w:r>
              <w:rPr>
                <w:rFonts w:hint="eastAsia"/>
              </w:rPr>
              <w:t>预案分级响应条件</w:t>
            </w:r>
          </w:p>
        </w:tc>
        <w:tc>
          <w:tcPr>
            <w:tcW w:w="6371" w:type="dxa"/>
            <w:vAlign w:val="center"/>
          </w:tcPr>
          <w:p w14:paraId="770A8889">
            <w:pPr>
              <w:pStyle w:val="42"/>
            </w:pPr>
            <w:r>
              <w:rPr>
                <w:rFonts w:hint="eastAsia"/>
              </w:rPr>
              <w:t>根据突发环境事件的分级情况，本预案将响应等级也相应</w:t>
            </w:r>
            <w:r>
              <w:rPr>
                <w:rFonts w:hint="eastAsia"/>
                <w:lang w:eastAsia="zh-CN"/>
              </w:rPr>
              <w:t>地分为</w:t>
            </w:r>
            <w:r>
              <w:rPr>
                <w:rFonts w:hint="eastAsia"/>
              </w:rPr>
              <w:t>三级，具体分级情况及条件如下：Ⅰ级响应：初判发生重大突发环境事件，启动Ⅰ级应急响应。由现场人员立即上报应急指挥部，应急总指挥必须在第一时间内向政府有关部门、上级管理部门或其他外部应急力量报警，请求支援；并根据应急预案或外部的有关指示采取先期应急措施。报警后，由政府启动相应的应急方案。Ⅱ级响应：初判发生较大突发环境事件，启动Ⅱ级应急响应。由现场人员立即上报应急指挥部，由应急总指挥启动相应的应急方案。必要时向外部应急力量请求援助，并情随时续报情况。外部应急力量到达现场后，同单位应急队伍一起处置事故。Ⅲ级响应：初判发生一般突发环境事件，启动Ⅲ级应急响应。由现场人员立即上报应急指挥部，由应急总指挥启动相应的应急方案。利用本单位应急力量的应急设施和人员处置事故。</w:t>
            </w:r>
          </w:p>
        </w:tc>
      </w:tr>
      <w:tr w14:paraId="393C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5537E00">
            <w:pPr>
              <w:pStyle w:val="42"/>
            </w:pPr>
            <w:r>
              <w:t>4</w:t>
            </w:r>
          </w:p>
        </w:tc>
        <w:tc>
          <w:tcPr>
            <w:tcW w:w="1985" w:type="dxa"/>
            <w:vAlign w:val="center"/>
          </w:tcPr>
          <w:p w14:paraId="0F158BB0">
            <w:pPr>
              <w:pStyle w:val="42"/>
            </w:pPr>
            <w:r>
              <w:rPr>
                <w:rFonts w:hint="eastAsia"/>
              </w:rPr>
              <w:t>应急救援保障</w:t>
            </w:r>
          </w:p>
        </w:tc>
        <w:tc>
          <w:tcPr>
            <w:tcW w:w="6371" w:type="dxa"/>
            <w:vAlign w:val="center"/>
          </w:tcPr>
          <w:p w14:paraId="489C8F91">
            <w:pPr>
              <w:pStyle w:val="42"/>
            </w:pPr>
            <w:r>
              <w:rPr>
                <w:rFonts w:hint="eastAsia"/>
              </w:rPr>
              <w:t>应急抢险必须要有一定的资金、物资、人员、通讯顺畅等方方面面的保障。保障措施到位是抢险救援快速准确实现的基本条件。本单位的应急保障措施主要有：通讯与信息保障、资金保障、人力资源及技术保障和物资装备保障等四个方面。</w:t>
            </w:r>
          </w:p>
        </w:tc>
      </w:tr>
      <w:tr w14:paraId="40B3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17E0C41">
            <w:pPr>
              <w:pStyle w:val="42"/>
            </w:pPr>
            <w:r>
              <w:t>5</w:t>
            </w:r>
          </w:p>
        </w:tc>
        <w:tc>
          <w:tcPr>
            <w:tcW w:w="1985" w:type="dxa"/>
            <w:vAlign w:val="center"/>
          </w:tcPr>
          <w:p w14:paraId="3BA8FFF7">
            <w:pPr>
              <w:pStyle w:val="42"/>
            </w:pPr>
            <w:r>
              <w:rPr>
                <w:rFonts w:hint="eastAsia"/>
              </w:rPr>
              <w:t>报警、通讯联络方式</w:t>
            </w:r>
          </w:p>
        </w:tc>
        <w:tc>
          <w:tcPr>
            <w:tcW w:w="6371" w:type="dxa"/>
            <w:vAlign w:val="center"/>
          </w:tcPr>
          <w:p w14:paraId="5D708537">
            <w:pPr>
              <w:pStyle w:val="42"/>
            </w:pPr>
            <w:r>
              <w:rPr>
                <w:rFonts w:hint="eastAsia"/>
              </w:rPr>
              <w:t>应急状态下的报警通讯方式、通知方式和交通保障、管制。信息的及时传递对应急抢险顺利进行是非常必要的，因此，本单位必须做好通信与信息的保障工作。通讯与信息保障主要由应急保障部门负责，要建立通信系统维护以及信息采集等制度，明确参与应急活动的所有部门通讯方式，分级联系方式，并提供备用方案和通讯录，配备必要的有线、无线通信器材（如手机、座机、对讲机等）确保本预案启动时各应急部门之间的联络畅通。</w:t>
            </w:r>
          </w:p>
        </w:tc>
      </w:tr>
      <w:tr w14:paraId="7AEE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E10EEBA">
            <w:pPr>
              <w:pStyle w:val="42"/>
            </w:pPr>
            <w:r>
              <w:t>6</w:t>
            </w:r>
          </w:p>
        </w:tc>
        <w:tc>
          <w:tcPr>
            <w:tcW w:w="1985" w:type="dxa"/>
            <w:vAlign w:val="center"/>
          </w:tcPr>
          <w:p w14:paraId="2AA33B06">
            <w:pPr>
              <w:pStyle w:val="42"/>
            </w:pPr>
            <w:r>
              <w:rPr>
                <w:rFonts w:hint="eastAsia"/>
              </w:rPr>
              <w:t>应急环境监测、抢险、救援及控制措施</w:t>
            </w:r>
          </w:p>
        </w:tc>
        <w:tc>
          <w:tcPr>
            <w:tcW w:w="6371" w:type="dxa"/>
            <w:vAlign w:val="center"/>
          </w:tcPr>
          <w:p w14:paraId="531C2CC5">
            <w:pPr>
              <w:pStyle w:val="42"/>
            </w:pPr>
            <w:r>
              <w:rPr>
                <w:rFonts w:hint="eastAsia"/>
              </w:rPr>
              <w:t>本单位的应急监测由具备环境监测资质的单位协助完成，本单位应急小组配合环境监测单位开展应急监测。将伤者迅速撤离现场，转移到上风或侧上风方向空气无污染地区；对呼吸、心跳停止者，应立即进行人工呼吸和</w:t>
            </w:r>
            <w:r>
              <w:rPr>
                <w:rFonts w:hint="eastAsia"/>
                <w:lang w:eastAsia="zh-CN"/>
              </w:rPr>
              <w:t>心脏按压</w:t>
            </w:r>
            <w:r>
              <w:rPr>
                <w:rFonts w:hint="eastAsia"/>
              </w:rPr>
              <w:t>，采取心肺复苏措施，并及时送医院观察治疗；</w:t>
            </w:r>
            <w:r>
              <w:rPr>
                <w:rFonts w:hint="eastAsia"/>
                <w:u w:val="single"/>
              </w:rPr>
              <w:t>对泄漏点采取控制措施，如采取封堵、隔离、关闭阀门等方法，以免物料扩散，危害周边环境。</w:t>
            </w:r>
          </w:p>
        </w:tc>
      </w:tr>
      <w:tr w14:paraId="2DAB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726C015">
            <w:pPr>
              <w:pStyle w:val="42"/>
            </w:pPr>
            <w:r>
              <w:t>7</w:t>
            </w:r>
          </w:p>
        </w:tc>
        <w:tc>
          <w:tcPr>
            <w:tcW w:w="1985" w:type="dxa"/>
            <w:vAlign w:val="center"/>
          </w:tcPr>
          <w:p w14:paraId="14A3A8B1">
            <w:pPr>
              <w:pStyle w:val="42"/>
            </w:pPr>
            <w:r>
              <w:rPr>
                <w:rFonts w:hint="eastAsia"/>
              </w:rPr>
              <w:t>应急检测、防护措施、清除泄漏措施和器材</w:t>
            </w:r>
          </w:p>
        </w:tc>
        <w:tc>
          <w:tcPr>
            <w:tcW w:w="6371" w:type="dxa"/>
            <w:vAlign w:val="center"/>
          </w:tcPr>
          <w:p w14:paraId="658B5794">
            <w:pPr>
              <w:pStyle w:val="42"/>
            </w:pPr>
            <w:r>
              <w:rPr>
                <w:rFonts w:hint="eastAsia"/>
              </w:rPr>
              <w:t>事故现场、邻近区域、控制防火区域，控制和清除污染措施及相应设备。</w:t>
            </w:r>
          </w:p>
        </w:tc>
      </w:tr>
      <w:tr w14:paraId="2C16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03E7B4E">
            <w:pPr>
              <w:pStyle w:val="42"/>
            </w:pPr>
            <w:r>
              <w:t>8</w:t>
            </w:r>
          </w:p>
        </w:tc>
        <w:tc>
          <w:tcPr>
            <w:tcW w:w="1985" w:type="dxa"/>
            <w:vAlign w:val="center"/>
          </w:tcPr>
          <w:p w14:paraId="680D277D">
            <w:pPr>
              <w:pStyle w:val="42"/>
            </w:pPr>
            <w:r>
              <w:rPr>
                <w:rFonts w:hint="eastAsia"/>
              </w:rPr>
              <w:t>人员紧急撤离、疏散，应急剂量控制、撤离组织计划</w:t>
            </w:r>
          </w:p>
        </w:tc>
        <w:tc>
          <w:tcPr>
            <w:tcW w:w="6371" w:type="dxa"/>
            <w:vAlign w:val="center"/>
          </w:tcPr>
          <w:p w14:paraId="5BB0E38A">
            <w:pPr>
              <w:pStyle w:val="42"/>
            </w:pPr>
            <w:r>
              <w:rPr>
                <w:rFonts w:hint="eastAsia"/>
              </w:rPr>
              <w:t>事故现场、工厂邻近区、受事故影响的区域人员及公众对毒物应急剂量控制规定；</w:t>
            </w:r>
            <w:r>
              <w:rPr>
                <w:rFonts w:hint="eastAsia"/>
                <w:lang w:eastAsia="zh-CN"/>
              </w:rPr>
              <w:t>指定专人</w:t>
            </w:r>
            <w:r>
              <w:rPr>
                <w:rFonts w:hint="eastAsia"/>
              </w:rPr>
              <w:t>引领区域附近人员按照疏散图指引疏散，撤离组织计划及救护，医疗救护与公众健康。</w:t>
            </w:r>
          </w:p>
        </w:tc>
      </w:tr>
      <w:tr w14:paraId="2CD2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4D791A0">
            <w:pPr>
              <w:pStyle w:val="42"/>
            </w:pPr>
            <w:r>
              <w:t>9</w:t>
            </w:r>
          </w:p>
        </w:tc>
        <w:tc>
          <w:tcPr>
            <w:tcW w:w="1985" w:type="dxa"/>
            <w:vAlign w:val="center"/>
          </w:tcPr>
          <w:p w14:paraId="3CFA8C5B">
            <w:pPr>
              <w:pStyle w:val="42"/>
            </w:pPr>
            <w:r>
              <w:rPr>
                <w:rFonts w:hint="eastAsia"/>
              </w:rPr>
              <w:t>事故应急救援关闭程序与恢复措施</w:t>
            </w:r>
          </w:p>
        </w:tc>
        <w:tc>
          <w:tcPr>
            <w:tcW w:w="6371" w:type="dxa"/>
            <w:vAlign w:val="center"/>
          </w:tcPr>
          <w:p w14:paraId="72E741BE">
            <w:pPr>
              <w:pStyle w:val="42"/>
            </w:pPr>
            <w:r>
              <w:rPr>
                <w:rFonts w:hint="eastAsia"/>
              </w:rPr>
              <w:t>规定应急状态终止程序；事故现场善后处理，恢复措施；邻近区域解除事故警戒及善后恢复措施；（1）进行污染物的跟踪监测，直至环境恢复正常或达标。（2）污染物的处置严格按照有关法律法规进行，必要时请求生态环境局协助。（3）配合相关主管部门对环境污染事件中长期环境影响进行评估，提出补偿和对遭受污染的生态环境进行恢复的建议。</w:t>
            </w:r>
          </w:p>
        </w:tc>
      </w:tr>
      <w:tr w14:paraId="1503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0B75753">
            <w:pPr>
              <w:pStyle w:val="42"/>
            </w:pPr>
            <w:r>
              <w:t>10</w:t>
            </w:r>
          </w:p>
        </w:tc>
        <w:tc>
          <w:tcPr>
            <w:tcW w:w="1985" w:type="dxa"/>
            <w:vAlign w:val="center"/>
          </w:tcPr>
          <w:p w14:paraId="649DB94E">
            <w:pPr>
              <w:pStyle w:val="42"/>
            </w:pPr>
            <w:r>
              <w:rPr>
                <w:rFonts w:hint="eastAsia"/>
              </w:rPr>
              <w:t>应急培训计划</w:t>
            </w:r>
          </w:p>
        </w:tc>
        <w:tc>
          <w:tcPr>
            <w:tcW w:w="6371" w:type="dxa"/>
            <w:vAlign w:val="center"/>
          </w:tcPr>
          <w:p w14:paraId="11DAE158">
            <w:pPr>
              <w:pStyle w:val="42"/>
            </w:pPr>
            <w:r>
              <w:rPr>
                <w:rFonts w:hint="eastAsia"/>
              </w:rPr>
              <w:t>应急计划制定后，平时安排人员培训与演练。</w:t>
            </w:r>
          </w:p>
        </w:tc>
      </w:tr>
      <w:tr w14:paraId="5D01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AB87E59">
            <w:pPr>
              <w:pStyle w:val="42"/>
            </w:pPr>
            <w:r>
              <w:t>11</w:t>
            </w:r>
          </w:p>
        </w:tc>
        <w:tc>
          <w:tcPr>
            <w:tcW w:w="1985" w:type="dxa"/>
            <w:vAlign w:val="center"/>
          </w:tcPr>
          <w:p w14:paraId="22D3FBF1">
            <w:pPr>
              <w:pStyle w:val="42"/>
            </w:pPr>
            <w:r>
              <w:rPr>
                <w:rFonts w:hint="eastAsia"/>
              </w:rPr>
              <w:t>公众教育和信息</w:t>
            </w:r>
          </w:p>
        </w:tc>
        <w:tc>
          <w:tcPr>
            <w:tcW w:w="6371" w:type="dxa"/>
            <w:vAlign w:val="center"/>
          </w:tcPr>
          <w:p w14:paraId="39751DB3">
            <w:pPr>
              <w:pStyle w:val="42"/>
            </w:pPr>
            <w:r>
              <w:rPr>
                <w:rFonts w:hint="eastAsia"/>
              </w:rPr>
              <w:t>对工厂邻近地区开展公众教育、培训和发布有关信息。</w:t>
            </w:r>
          </w:p>
        </w:tc>
      </w:tr>
    </w:tbl>
    <w:p w14:paraId="10DB8A13">
      <w:pPr>
        <w:pStyle w:val="54"/>
        <w:ind w:firstLine="480"/>
      </w:pPr>
    </w:p>
    <w:p w14:paraId="514CC408">
      <w:pPr>
        <w:pStyle w:val="59"/>
      </w:pPr>
      <w:r>
        <w:rPr>
          <w:rFonts w:hint="eastAsia"/>
        </w:rPr>
        <w:t>应急联动风险防控措施</w:t>
      </w:r>
    </w:p>
    <w:p w14:paraId="09094B8A">
      <w:pPr>
        <w:pStyle w:val="54"/>
        <w:ind w:firstLine="480"/>
      </w:pPr>
      <w:r>
        <w:rPr>
          <w:rFonts w:hint="eastAsia"/>
        </w:rPr>
        <w:t>（1）本项目氮气管线布置在公共管廊上，应急预案的制订应与公共管廊的管理部门、沿线的相关单位共同商定，适时组织联合演练。一旦发生氮气泄漏，应识别出可能发生火灾、爆炸以及各种其他危害的重点区域及事故形式，与相关制定和落实控制事故扩大蔓延的主要手段和措施，对可能产生联锁继发影响的并行管线，用最快的办法切断管段上、下游的截断阀，放空破裂管段的氮气以及并行管段介质，同时组织人力对氮气扩散危险区进行警戒，严格控制一切可燃物可能发生的火源，避免发生着火爆炸和蔓延扩大。</w:t>
      </w:r>
    </w:p>
    <w:p w14:paraId="44A39E70">
      <w:pPr>
        <w:pStyle w:val="54"/>
        <w:ind w:firstLine="480"/>
      </w:pPr>
      <w:r>
        <w:rPr>
          <w:rFonts w:hint="eastAsia"/>
        </w:rPr>
        <w:t>（2）立即将事故简明扼要</w:t>
      </w:r>
      <w:r>
        <w:rPr>
          <w:rFonts w:hint="eastAsia"/>
          <w:lang w:eastAsia="zh-CN"/>
        </w:rPr>
        <w:t>地</w:t>
      </w:r>
      <w:r>
        <w:rPr>
          <w:rFonts w:hint="eastAsia"/>
        </w:rPr>
        <w:t>报告上级主管领导、生产指挥系统，通知当地公安、消防部门加强防范措施。</w:t>
      </w:r>
    </w:p>
    <w:p w14:paraId="5401F618">
      <w:pPr>
        <w:pStyle w:val="54"/>
        <w:ind w:firstLine="480"/>
      </w:pPr>
      <w:r>
        <w:rPr>
          <w:rFonts w:hint="eastAsia"/>
        </w:rPr>
        <w:t>（3）建设单位将钦州市、经济开发区应急预案的各执行及相关部门落实，并予以及时联系，确保发生事故时能够第一时间将事故信息进行反馈，并在发生不可控的重大事故时请求地方政府应急指挥中心采取指挥行动。</w:t>
      </w:r>
    </w:p>
    <w:p w14:paraId="6A4AD487">
      <w:pPr>
        <w:pStyle w:val="57"/>
      </w:pPr>
      <w:bookmarkStart w:id="110" w:name="_Toc182815884"/>
      <w:r>
        <w:rPr>
          <w:rFonts w:hint="eastAsia"/>
        </w:rPr>
        <w:t>事故应急救援</w:t>
      </w:r>
      <w:bookmarkEnd w:id="110"/>
    </w:p>
    <w:p w14:paraId="53C828C4">
      <w:pPr>
        <w:pStyle w:val="54"/>
        <w:ind w:firstLine="480"/>
      </w:pPr>
      <w:r>
        <w:rPr>
          <w:rFonts w:hint="eastAsia"/>
        </w:rPr>
        <w:t>事故应急救援一般包括报警与接警、应急救援队伍的出动、救援后备队的预备、实施应急救援（紧急疏散、现场急救）、溢出或泄漏救援和火灾控制几个方面。</w:t>
      </w:r>
    </w:p>
    <w:p w14:paraId="40D0CC5B">
      <w:pPr>
        <w:pStyle w:val="54"/>
        <w:ind w:firstLine="480"/>
      </w:pPr>
      <w:r>
        <w:rPr>
          <w:rFonts w:hint="eastAsia"/>
        </w:rPr>
        <w:t>①事故报警</w:t>
      </w:r>
    </w:p>
    <w:p w14:paraId="253CA124">
      <w:pPr>
        <w:pStyle w:val="54"/>
        <w:ind w:firstLine="480"/>
      </w:pPr>
      <w:r>
        <w:rPr>
          <w:rFonts w:hint="eastAsia"/>
        </w:rPr>
        <w:t>发生危险化学品特大事故或有可能发展成为特大事故和可能危及周边区域安全的事故时，应及时向特大事故应急救援领导小组办公室报告或向119报警。报告或报警的内容包括：事故发生的时间、地点、企业名称、交通路线、联络电话、联络人姓名、危险化学品的种类、数量、事故类型</w:t>
      </w:r>
      <w:r>
        <w:rPr>
          <w:rFonts w:hint="eastAsia"/>
          <w:u w:val="single"/>
        </w:rPr>
        <w:t>（爆炸、危险化学品的大量泄漏等）</w:t>
      </w:r>
      <w:r>
        <w:rPr>
          <w:rFonts w:hint="eastAsia"/>
        </w:rPr>
        <w:t>、周边情况、需要支援的人员、设备、器材等。</w:t>
      </w:r>
    </w:p>
    <w:p w14:paraId="4325E76F">
      <w:pPr>
        <w:pStyle w:val="54"/>
        <w:ind w:firstLine="480"/>
      </w:pPr>
      <w:r>
        <w:rPr>
          <w:rFonts w:hint="eastAsia"/>
        </w:rPr>
        <w:t>②接到报告或报警后，迅速向领导小组成员汇报，指派应急总指挥，调集车辆和各专业队伍、设施迅速赶赴事故现场。</w:t>
      </w:r>
    </w:p>
    <w:p w14:paraId="202C5E66">
      <w:pPr>
        <w:pStyle w:val="54"/>
        <w:ind w:firstLine="480"/>
      </w:pPr>
      <w:r>
        <w:rPr>
          <w:rFonts w:hint="eastAsia"/>
        </w:rPr>
        <w:t>③事故发生单位应指派专人负责引导指挥人员及各专业队伍进入事故救援现场；</w:t>
      </w:r>
    </w:p>
    <w:p w14:paraId="612E370F">
      <w:pPr>
        <w:pStyle w:val="54"/>
        <w:ind w:firstLine="480"/>
      </w:pPr>
      <w:r>
        <w:rPr>
          <w:rFonts w:hint="eastAsia"/>
        </w:rPr>
        <w:t>④指挥人员到达现场后，立即了解现场情况及事故的性质，确定警戒区域和事故控制具体实施方案，布置各专业救援队伍任务。</w:t>
      </w:r>
    </w:p>
    <w:p w14:paraId="450329A5">
      <w:pPr>
        <w:pStyle w:val="54"/>
        <w:ind w:firstLine="480"/>
      </w:pPr>
      <w:r>
        <w:rPr>
          <w:rFonts w:hint="eastAsia"/>
        </w:rPr>
        <w:t>⑤专家咨询到达现场后，迅速对事故情况作出判断，提出处置实施办法和防范措施，事故得到控制后，参与事故调查及提出防范措施；</w:t>
      </w:r>
    </w:p>
    <w:p w14:paraId="256167B3">
      <w:pPr>
        <w:pStyle w:val="54"/>
        <w:ind w:firstLine="480"/>
      </w:pPr>
      <w:r>
        <w:rPr>
          <w:rFonts w:hint="eastAsia"/>
        </w:rPr>
        <w:t>⑥各专业救援队伍到达现场后，服从现场指挥人员的指挥，采取</w:t>
      </w:r>
      <w:r>
        <w:rPr>
          <w:rFonts w:hint="eastAsia"/>
          <w:lang w:eastAsia="zh-CN"/>
        </w:rPr>
        <w:t>必需的</w:t>
      </w:r>
      <w:r>
        <w:rPr>
          <w:rFonts w:hint="eastAsia"/>
        </w:rPr>
        <w:t>个人防护，按各自的分工展开处置和救援工作；</w:t>
      </w:r>
    </w:p>
    <w:p w14:paraId="24D3FFD1">
      <w:pPr>
        <w:pStyle w:val="54"/>
        <w:ind w:firstLine="480"/>
      </w:pPr>
      <w:r>
        <w:rPr>
          <w:rFonts w:hint="eastAsia"/>
        </w:rPr>
        <w:t>⑦事故得到控制后，由专家组成员和</w:t>
      </w:r>
      <w:r>
        <w:rPr>
          <w:rFonts w:hint="eastAsia"/>
          <w:u w:val="single"/>
        </w:rPr>
        <w:t>生态环境部门</w:t>
      </w:r>
      <w:r>
        <w:rPr>
          <w:rFonts w:hint="eastAsia"/>
        </w:rPr>
        <w:t>指导进行现场洗消工作。</w:t>
      </w:r>
    </w:p>
    <w:p w14:paraId="34516947">
      <w:pPr>
        <w:pStyle w:val="54"/>
        <w:ind w:firstLine="480"/>
      </w:pPr>
      <w:r>
        <w:rPr>
          <w:rFonts w:hint="eastAsia"/>
        </w:rPr>
        <w:t>⑧事故得到控制后，由安全生产监督管理部门决定应妥善保护的区域，组织相关机构和人员对事故开展调查和救援工作。</w:t>
      </w:r>
    </w:p>
    <w:p w14:paraId="324091D9">
      <w:pPr>
        <w:pStyle w:val="55"/>
      </w:pPr>
      <w:bookmarkStart w:id="111" w:name="_Toc182815885"/>
      <w:r>
        <w:rPr>
          <w:rFonts w:hint="eastAsia"/>
        </w:rPr>
        <w:t>风险评价小结及结论</w:t>
      </w:r>
      <w:bookmarkEnd w:id="111"/>
    </w:p>
    <w:p w14:paraId="72280F7D">
      <w:pPr>
        <w:pStyle w:val="54"/>
        <w:ind w:firstLine="480"/>
      </w:pPr>
      <w:r>
        <w:rPr>
          <w:rFonts w:hint="eastAsia"/>
        </w:rPr>
        <w:t>（1）项目涉及危险物质为压缩氮气，主要分布在输送管道中，存在危险因素主要为设备及管道腐蚀、材料老化、违章操作等引起危险物质泄漏或爆炸。</w:t>
      </w:r>
    </w:p>
    <w:p w14:paraId="05E73091">
      <w:pPr>
        <w:pStyle w:val="54"/>
        <w:ind w:firstLine="480"/>
      </w:pPr>
      <w:r>
        <w:rPr>
          <w:rFonts w:hint="eastAsia"/>
        </w:rPr>
        <w:t>（2）氮气在常温常压下为惰性气体，一旦泄漏也不会对周边环境产生较大影响。但发生大量氮气泄漏时，可使空气中氧分压下降，极端情况下可能引起缺氧窒息。</w:t>
      </w:r>
    </w:p>
    <w:p w14:paraId="310EB02C">
      <w:pPr>
        <w:pStyle w:val="54"/>
        <w:ind w:firstLine="480"/>
      </w:pPr>
      <w:r>
        <w:rPr>
          <w:rFonts w:hint="eastAsia"/>
        </w:rPr>
        <w:t>（3）在落实有效的环境风险措施后，项目环境风险可降至可防控水平。</w:t>
      </w:r>
    </w:p>
    <w:p w14:paraId="1B895BD5">
      <w:pPr>
        <w:pStyle w:val="63"/>
      </w:pPr>
      <w:r>
        <w:rPr>
          <w:rFonts w:hint="eastAsia"/>
        </w:rPr>
        <w:t>建设项目环境风险简单分析内容表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510"/>
        <w:gridCol w:w="1510"/>
        <w:gridCol w:w="1510"/>
        <w:gridCol w:w="1510"/>
        <w:gridCol w:w="1510"/>
      </w:tblGrid>
      <w:tr w14:paraId="3158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7F94B7AB">
            <w:pPr>
              <w:pStyle w:val="42"/>
            </w:pPr>
            <w:r>
              <w:rPr>
                <w:rFonts w:hint="eastAsia"/>
              </w:rPr>
              <w:t>建设项目名称</w:t>
            </w:r>
          </w:p>
        </w:tc>
        <w:tc>
          <w:tcPr>
            <w:tcW w:w="7550" w:type="dxa"/>
            <w:gridSpan w:val="5"/>
            <w:vAlign w:val="center"/>
          </w:tcPr>
          <w:p w14:paraId="07570B4B">
            <w:pPr>
              <w:pStyle w:val="42"/>
            </w:pPr>
            <w:r>
              <w:rPr>
                <w:rFonts w:hint="eastAsia"/>
              </w:rPr>
              <w:t>林德气体（广西）有限公司钦州园区三期氮气供应项目</w:t>
            </w:r>
          </w:p>
        </w:tc>
      </w:tr>
      <w:tr w14:paraId="7369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3B78A350">
            <w:pPr>
              <w:pStyle w:val="42"/>
            </w:pPr>
            <w:r>
              <w:rPr>
                <w:rFonts w:hint="eastAsia"/>
              </w:rPr>
              <w:t>建设地点</w:t>
            </w:r>
          </w:p>
        </w:tc>
        <w:tc>
          <w:tcPr>
            <w:tcW w:w="1510" w:type="dxa"/>
            <w:vAlign w:val="center"/>
          </w:tcPr>
          <w:p w14:paraId="1E1DFAB9">
            <w:pPr>
              <w:pStyle w:val="42"/>
            </w:pPr>
            <w:r>
              <w:rPr>
                <w:rFonts w:hint="eastAsia"/>
              </w:rPr>
              <w:t>（广西）省</w:t>
            </w:r>
          </w:p>
        </w:tc>
        <w:tc>
          <w:tcPr>
            <w:tcW w:w="1510" w:type="dxa"/>
            <w:vAlign w:val="center"/>
          </w:tcPr>
          <w:p w14:paraId="7F2849B2">
            <w:pPr>
              <w:pStyle w:val="42"/>
            </w:pPr>
            <w:r>
              <w:rPr>
                <w:rFonts w:hint="eastAsia"/>
              </w:rPr>
              <w:t>（钦州）市</w:t>
            </w:r>
          </w:p>
        </w:tc>
        <w:tc>
          <w:tcPr>
            <w:tcW w:w="1510" w:type="dxa"/>
            <w:vAlign w:val="center"/>
          </w:tcPr>
          <w:p w14:paraId="47A01E3C">
            <w:pPr>
              <w:pStyle w:val="42"/>
            </w:pPr>
            <w:r>
              <w:rPr>
                <w:rFonts w:hint="eastAsia"/>
              </w:rPr>
              <w:t>（钦南）区</w:t>
            </w:r>
          </w:p>
        </w:tc>
        <w:tc>
          <w:tcPr>
            <w:tcW w:w="1510" w:type="dxa"/>
            <w:vAlign w:val="center"/>
          </w:tcPr>
          <w:p w14:paraId="64B4C547">
            <w:pPr>
              <w:pStyle w:val="42"/>
            </w:pPr>
            <w:r>
              <w:rPr>
                <w:rFonts w:hint="eastAsia"/>
              </w:rPr>
              <w:t>（/）县</w:t>
            </w:r>
          </w:p>
        </w:tc>
        <w:tc>
          <w:tcPr>
            <w:tcW w:w="1510" w:type="dxa"/>
            <w:vAlign w:val="center"/>
          </w:tcPr>
          <w:p w14:paraId="06011AB3">
            <w:pPr>
              <w:pStyle w:val="42"/>
            </w:pPr>
            <w:r>
              <w:rPr>
                <w:rFonts w:hint="eastAsia"/>
              </w:rPr>
              <w:t>（钦州石化产业园）园区</w:t>
            </w:r>
          </w:p>
        </w:tc>
      </w:tr>
      <w:tr w14:paraId="341A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439D3C77">
            <w:pPr>
              <w:pStyle w:val="42"/>
            </w:pPr>
            <w:r>
              <w:rPr>
                <w:rFonts w:hint="eastAsia"/>
              </w:rPr>
              <w:t>地理坐标</w:t>
            </w:r>
          </w:p>
        </w:tc>
        <w:tc>
          <w:tcPr>
            <w:tcW w:w="7550" w:type="dxa"/>
            <w:gridSpan w:val="5"/>
            <w:vAlign w:val="center"/>
          </w:tcPr>
          <w:p w14:paraId="02258590">
            <w:pPr>
              <w:pStyle w:val="42"/>
            </w:pPr>
            <w:r>
              <w:rPr>
                <w:rFonts w:hint="eastAsia"/>
                <w:u w:val="single"/>
              </w:rPr>
              <w:t>项目中心位置坐标</w:t>
            </w:r>
            <w:r>
              <w:rPr>
                <w:rFonts w:hint="eastAsia"/>
              </w:rPr>
              <w:t>为：108°37′16.345″E，21°42′10.844″N</w:t>
            </w:r>
          </w:p>
          <w:p w14:paraId="2C0E60B4">
            <w:pPr>
              <w:pStyle w:val="42"/>
            </w:pPr>
            <w:r>
              <w:rPr>
                <w:rFonts w:hint="eastAsia"/>
              </w:rPr>
              <w:t>新建管线起点坐标为：108°36′44.583″E，21°43′39.621″N</w:t>
            </w:r>
          </w:p>
          <w:p w14:paraId="3EA0A658">
            <w:pPr>
              <w:pStyle w:val="42"/>
            </w:pPr>
            <w:r>
              <w:rPr>
                <w:rFonts w:hint="eastAsia"/>
              </w:rPr>
              <w:t>新建管线终点坐标为：108°36′54.308″E，21°46′21.724″N</w:t>
            </w:r>
          </w:p>
        </w:tc>
      </w:tr>
      <w:tr w14:paraId="0272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6F09B000">
            <w:pPr>
              <w:pStyle w:val="42"/>
            </w:pPr>
            <w:r>
              <w:rPr>
                <w:rFonts w:hint="eastAsia"/>
              </w:rPr>
              <w:t>主要危险物质及分布</w:t>
            </w:r>
          </w:p>
        </w:tc>
        <w:tc>
          <w:tcPr>
            <w:tcW w:w="7550" w:type="dxa"/>
            <w:gridSpan w:val="5"/>
            <w:vAlign w:val="center"/>
          </w:tcPr>
          <w:p w14:paraId="61B1F0E0">
            <w:pPr>
              <w:pStyle w:val="42"/>
            </w:pPr>
            <w:r>
              <w:rPr>
                <w:rFonts w:hint="eastAsia"/>
              </w:rPr>
              <w:t>项目生产过程中主要涉及的风险物质包括：液氮和压缩氮气。液氮储存于厂区内液氮储罐内，压缩氮气分布在输送管道内。</w:t>
            </w:r>
          </w:p>
        </w:tc>
      </w:tr>
      <w:tr w14:paraId="01DF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042642B9">
            <w:pPr>
              <w:pStyle w:val="42"/>
            </w:pPr>
            <w:r>
              <w:rPr>
                <w:rFonts w:hint="eastAsia"/>
              </w:rPr>
              <w:t>环境影响途径及危害后果</w:t>
            </w:r>
          </w:p>
        </w:tc>
        <w:tc>
          <w:tcPr>
            <w:tcW w:w="7550" w:type="dxa"/>
            <w:gridSpan w:val="5"/>
            <w:vAlign w:val="center"/>
          </w:tcPr>
          <w:p w14:paraId="4ADA5E71">
            <w:pPr>
              <w:pStyle w:val="42"/>
            </w:pPr>
            <w:r>
              <w:rPr>
                <w:rFonts w:hint="eastAsia"/>
              </w:rPr>
              <w:t>本项目泄漏或爆炸事故发生后仅排放氮气，不会对大气环境造成影响；项目正常运行情况下，管线沿线及罐区不产生废水；氮气本身不易燃，因此不会产生消防废水。发生事故后，不会对地表水及地下水造成影响。泄漏后液态氮吸热气化变气态氮气，无毒，无毒性终点浓度。</w:t>
            </w:r>
          </w:p>
        </w:tc>
      </w:tr>
      <w:tr w14:paraId="5DCB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vAlign w:val="center"/>
          </w:tcPr>
          <w:p w14:paraId="08C399F7">
            <w:pPr>
              <w:pStyle w:val="42"/>
            </w:pPr>
            <w:r>
              <w:rPr>
                <w:rFonts w:hint="eastAsia"/>
              </w:rPr>
              <w:t>风险防范要求</w:t>
            </w:r>
          </w:p>
        </w:tc>
        <w:tc>
          <w:tcPr>
            <w:tcW w:w="7550" w:type="dxa"/>
            <w:gridSpan w:val="5"/>
            <w:vAlign w:val="center"/>
          </w:tcPr>
          <w:p w14:paraId="52F63E7F">
            <w:pPr>
              <w:pStyle w:val="42"/>
              <w:jc w:val="both"/>
            </w:pPr>
            <w:r>
              <w:rPr>
                <w:rFonts w:hint="eastAsia"/>
              </w:rPr>
              <w:t>1、工程设计及设计阶段的事故防范措施</w:t>
            </w:r>
          </w:p>
          <w:p w14:paraId="4BC86D96">
            <w:pPr>
              <w:pStyle w:val="42"/>
              <w:jc w:val="both"/>
            </w:pPr>
            <w:r>
              <w:rPr>
                <w:rFonts w:hint="eastAsia"/>
              </w:rPr>
              <w:t>（1）管道、管件进行防腐处理</w:t>
            </w:r>
          </w:p>
          <w:p w14:paraId="6320EDC7">
            <w:pPr>
              <w:pStyle w:val="42"/>
              <w:jc w:val="both"/>
            </w:pPr>
            <w:r>
              <w:rPr>
                <w:rFonts w:hint="eastAsia"/>
              </w:rPr>
              <w:t>架空管道在试压合格后应进行涂漆处理；</w:t>
            </w:r>
          </w:p>
          <w:p w14:paraId="014EE6C7">
            <w:pPr>
              <w:pStyle w:val="42"/>
              <w:jc w:val="both"/>
            </w:pPr>
            <w:r>
              <w:rPr>
                <w:rFonts w:hint="eastAsia"/>
              </w:rPr>
              <w:t>（2）管道防爆</w:t>
            </w:r>
          </w:p>
          <w:p w14:paraId="4AF820F5">
            <w:pPr>
              <w:pStyle w:val="42"/>
              <w:jc w:val="both"/>
            </w:pPr>
            <w:r>
              <w:rPr>
                <w:rFonts w:hint="eastAsia"/>
              </w:rPr>
              <w:t>选择合适的管材、定期检测管道情况并及时修复或更换管件、严格按照施工工艺进行施工、氮气输送管道应选用导电性能良好的材料制造、在容易发生超压爆炸的管道上需设置安全阀等防爆泄压装置；</w:t>
            </w:r>
          </w:p>
          <w:p w14:paraId="2C15277B">
            <w:pPr>
              <w:pStyle w:val="42"/>
              <w:jc w:val="both"/>
            </w:pPr>
            <w:r>
              <w:rPr>
                <w:rFonts w:hint="eastAsia"/>
              </w:rPr>
              <w:t>2、运行阶段的事故防范措施</w:t>
            </w:r>
          </w:p>
          <w:p w14:paraId="42985BC5">
            <w:pPr>
              <w:pStyle w:val="42"/>
              <w:jc w:val="both"/>
            </w:pPr>
            <w:r>
              <w:rPr>
                <w:rFonts w:hint="eastAsia"/>
              </w:rPr>
              <w:t>（1）定期检查管道安全保护系统（如安全阀），确保管道在超压时能够安全处理，将危害影响范围减小到最低程度；</w:t>
            </w:r>
          </w:p>
          <w:p w14:paraId="6A057658">
            <w:pPr>
              <w:pStyle w:val="42"/>
              <w:jc w:val="both"/>
            </w:pPr>
            <w:r>
              <w:rPr>
                <w:rFonts w:hint="eastAsia"/>
              </w:rPr>
              <w:t>（2）设置标志要清楚、明确；</w:t>
            </w:r>
          </w:p>
          <w:p w14:paraId="6E9A0FBE">
            <w:pPr>
              <w:pStyle w:val="42"/>
              <w:jc w:val="both"/>
            </w:pPr>
            <w:r>
              <w:rPr>
                <w:rFonts w:hint="eastAsia"/>
              </w:rPr>
              <w:t>（3）定期对管道进行巡检；</w:t>
            </w:r>
          </w:p>
          <w:p w14:paraId="275ADCF1">
            <w:pPr>
              <w:pStyle w:val="42"/>
              <w:jc w:val="both"/>
            </w:pPr>
            <w:r>
              <w:rPr>
                <w:rFonts w:hint="eastAsia"/>
              </w:rPr>
              <w:t>（4）制定突发环境事故应急预案，配备适当的管道抢修、灭火及人员抢救设施；</w:t>
            </w:r>
          </w:p>
          <w:p w14:paraId="63DAD933">
            <w:pPr>
              <w:pStyle w:val="42"/>
              <w:jc w:val="both"/>
            </w:pPr>
            <w:r>
              <w:rPr>
                <w:rFonts w:hint="eastAsia"/>
              </w:rPr>
              <w:t>（5）加强对管道沿线群众的安全教育，普及氮气管道输送知识。</w:t>
            </w:r>
          </w:p>
        </w:tc>
      </w:tr>
      <w:tr w14:paraId="435E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6"/>
            <w:vAlign w:val="center"/>
          </w:tcPr>
          <w:p w14:paraId="5CC5A942">
            <w:pPr>
              <w:pStyle w:val="42"/>
              <w:jc w:val="both"/>
            </w:pPr>
            <w:r>
              <w:rPr>
                <w:rFonts w:hint="eastAsia"/>
              </w:rPr>
              <w:t>填表说明（列出项目相关信息及评价说明）：</w:t>
            </w:r>
          </w:p>
          <w:p w14:paraId="25FB30FB">
            <w:pPr>
              <w:pStyle w:val="42"/>
              <w:ind w:firstLine="420" w:firstLineChars="200"/>
              <w:jc w:val="both"/>
            </w:pPr>
            <w:r>
              <w:rPr>
                <w:rFonts w:hint="eastAsia"/>
              </w:rPr>
              <w:t>项目名称：林德气体（广西）有限公司钦州园区三期氮气供应项目</w:t>
            </w:r>
          </w:p>
          <w:p w14:paraId="3092C528">
            <w:pPr>
              <w:pStyle w:val="42"/>
              <w:ind w:firstLine="420" w:firstLineChars="200"/>
              <w:jc w:val="both"/>
            </w:pPr>
            <w:r>
              <w:rPr>
                <w:rFonts w:hint="eastAsia"/>
              </w:rPr>
              <w:t>建设单位：林德气体（广西）有限公司</w:t>
            </w:r>
          </w:p>
          <w:p w14:paraId="09A25D4F">
            <w:pPr>
              <w:pStyle w:val="42"/>
              <w:ind w:firstLine="420" w:firstLineChars="200"/>
              <w:jc w:val="both"/>
            </w:pPr>
            <w:r>
              <w:rPr>
                <w:rFonts w:hint="eastAsia"/>
              </w:rPr>
              <w:t>项目性质：扩建</w:t>
            </w:r>
          </w:p>
          <w:p w14:paraId="34E26802">
            <w:pPr>
              <w:pStyle w:val="42"/>
              <w:ind w:firstLine="420" w:firstLineChars="200"/>
              <w:jc w:val="both"/>
            </w:pPr>
            <w:r>
              <w:rPr>
                <w:rFonts w:hint="eastAsia"/>
              </w:rPr>
              <w:t>项目地点：广西钦州石化产业园内</w:t>
            </w:r>
          </w:p>
          <w:p w14:paraId="6CBCD311">
            <w:pPr>
              <w:pStyle w:val="42"/>
              <w:ind w:firstLine="420" w:firstLineChars="200"/>
              <w:jc w:val="both"/>
            </w:pPr>
            <w:r>
              <w:rPr>
                <w:rFonts w:hint="eastAsia"/>
              </w:rPr>
              <w:t>项目规模：安装2台20000Nm</w:t>
            </w:r>
            <w:r>
              <w:rPr>
                <w:rFonts w:hint="eastAsia"/>
                <w:vertAlign w:val="superscript"/>
              </w:rPr>
              <w:t>3</w:t>
            </w:r>
            <w:r>
              <w:rPr>
                <w:rFonts w:hint="eastAsia"/>
              </w:rPr>
              <w:t>/hr的中压氮气压缩机，及后备装置、建设配套设施和公用工程，以及厂区外7公里的DN500氮气管道</w:t>
            </w:r>
          </w:p>
          <w:p w14:paraId="22FA11D0">
            <w:pPr>
              <w:pStyle w:val="42"/>
              <w:ind w:firstLine="420" w:firstLineChars="200"/>
              <w:jc w:val="both"/>
            </w:pPr>
            <w:r>
              <w:rPr>
                <w:rFonts w:hint="eastAsia"/>
              </w:rPr>
              <w:t>项目周边环境概况：项目位于广西钦州石化产业园内，周边以工业企业为主。</w:t>
            </w:r>
          </w:p>
          <w:p w14:paraId="6E8A1BEC">
            <w:pPr>
              <w:pStyle w:val="42"/>
              <w:ind w:firstLine="420" w:firstLineChars="200"/>
              <w:jc w:val="both"/>
            </w:pPr>
            <w:r>
              <w:rPr>
                <w:rFonts w:hint="eastAsia"/>
              </w:rPr>
              <w:t>项目环境风险评价等级：本项目环境风险潜势为Ⅰ，根据《建设项目环境风险评价技术导则》HJ 169-2018）表1，确定本项目环境风险评价等级为简单分析。</w:t>
            </w:r>
          </w:p>
        </w:tc>
      </w:tr>
    </w:tbl>
    <w:p w14:paraId="0AE113B3">
      <w:pPr>
        <w:pStyle w:val="54"/>
        <w:ind w:firstLine="480"/>
      </w:pPr>
      <w:r>
        <w:rPr>
          <w:rFonts w:hint="eastAsia"/>
        </w:rPr>
        <w:t>（4）项目环境风险评价自查表</w:t>
      </w:r>
    </w:p>
    <w:p w14:paraId="77BD7285">
      <w:pPr>
        <w:pStyle w:val="63"/>
      </w:pPr>
      <w:r>
        <w:rPr>
          <w:rFonts w:hint="eastAsia"/>
        </w:rPr>
        <w:t>项目环境风险评价自查表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09"/>
        <w:gridCol w:w="1276"/>
        <w:gridCol w:w="283"/>
        <w:gridCol w:w="1701"/>
        <w:gridCol w:w="1559"/>
        <w:gridCol w:w="567"/>
        <w:gridCol w:w="142"/>
        <w:gridCol w:w="825"/>
        <w:gridCol w:w="1294"/>
      </w:tblGrid>
      <w:tr w14:paraId="54BC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39DF56DF">
            <w:pPr>
              <w:pStyle w:val="42"/>
            </w:pPr>
            <w:r>
              <w:rPr>
                <w:rFonts w:hint="eastAsia"/>
              </w:rPr>
              <w:t>工作内容</w:t>
            </w:r>
          </w:p>
        </w:tc>
        <w:tc>
          <w:tcPr>
            <w:tcW w:w="7647" w:type="dxa"/>
            <w:gridSpan w:val="8"/>
            <w:vAlign w:val="center"/>
          </w:tcPr>
          <w:p w14:paraId="48147AE8">
            <w:pPr>
              <w:pStyle w:val="42"/>
            </w:pPr>
            <w:r>
              <w:rPr>
                <w:rFonts w:hint="eastAsia"/>
              </w:rPr>
              <w:t>完成情况</w:t>
            </w:r>
          </w:p>
        </w:tc>
      </w:tr>
      <w:tr w14:paraId="1CD2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4C0863A1">
            <w:pPr>
              <w:pStyle w:val="42"/>
            </w:pPr>
            <w:r>
              <w:rPr>
                <w:rFonts w:hint="eastAsia"/>
              </w:rPr>
              <w:t>风险调查</w:t>
            </w:r>
          </w:p>
        </w:tc>
        <w:tc>
          <w:tcPr>
            <w:tcW w:w="709" w:type="dxa"/>
            <w:vMerge w:val="restart"/>
            <w:vAlign w:val="center"/>
          </w:tcPr>
          <w:p w14:paraId="78E2E45D">
            <w:pPr>
              <w:pStyle w:val="42"/>
            </w:pPr>
            <w:r>
              <w:rPr>
                <w:rFonts w:hint="eastAsia"/>
              </w:rPr>
              <w:t>危险物质</w:t>
            </w:r>
          </w:p>
        </w:tc>
        <w:tc>
          <w:tcPr>
            <w:tcW w:w="1276" w:type="dxa"/>
            <w:vAlign w:val="center"/>
          </w:tcPr>
          <w:p w14:paraId="335FAB90">
            <w:pPr>
              <w:pStyle w:val="42"/>
            </w:pPr>
            <w:r>
              <w:rPr>
                <w:rFonts w:hint="eastAsia"/>
              </w:rPr>
              <w:t>名称</w:t>
            </w:r>
          </w:p>
        </w:tc>
        <w:tc>
          <w:tcPr>
            <w:tcW w:w="6371" w:type="dxa"/>
            <w:gridSpan w:val="7"/>
            <w:vAlign w:val="center"/>
          </w:tcPr>
          <w:p w14:paraId="78457CD0">
            <w:pPr>
              <w:pStyle w:val="42"/>
            </w:pPr>
            <w:r>
              <w:rPr>
                <w:rFonts w:hint="eastAsia"/>
              </w:rPr>
              <w:t>液氮</w:t>
            </w:r>
          </w:p>
        </w:tc>
      </w:tr>
      <w:tr w14:paraId="06E4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8C8FF55">
            <w:pPr>
              <w:pStyle w:val="42"/>
            </w:pPr>
          </w:p>
        </w:tc>
        <w:tc>
          <w:tcPr>
            <w:tcW w:w="709" w:type="dxa"/>
            <w:vMerge w:val="continue"/>
            <w:vAlign w:val="center"/>
          </w:tcPr>
          <w:p w14:paraId="61F82928">
            <w:pPr>
              <w:pStyle w:val="42"/>
            </w:pPr>
          </w:p>
        </w:tc>
        <w:tc>
          <w:tcPr>
            <w:tcW w:w="1276" w:type="dxa"/>
            <w:vAlign w:val="center"/>
          </w:tcPr>
          <w:p w14:paraId="084FD61A">
            <w:pPr>
              <w:pStyle w:val="42"/>
            </w:pPr>
            <w:r>
              <w:rPr>
                <w:rFonts w:hint="eastAsia"/>
              </w:rPr>
              <w:t>存在总量/t</w:t>
            </w:r>
          </w:p>
        </w:tc>
        <w:tc>
          <w:tcPr>
            <w:tcW w:w="6371" w:type="dxa"/>
            <w:gridSpan w:val="7"/>
            <w:vAlign w:val="center"/>
          </w:tcPr>
          <w:p w14:paraId="79D54C81">
            <w:pPr>
              <w:pStyle w:val="42"/>
            </w:pPr>
            <w:r>
              <w:rPr>
                <w:rFonts w:hint="eastAsia"/>
              </w:rPr>
              <w:t>/</w:t>
            </w:r>
          </w:p>
        </w:tc>
      </w:tr>
      <w:tr w14:paraId="7726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155A8972">
            <w:pPr>
              <w:pStyle w:val="42"/>
            </w:pPr>
          </w:p>
        </w:tc>
        <w:tc>
          <w:tcPr>
            <w:tcW w:w="709" w:type="dxa"/>
            <w:vMerge w:val="restart"/>
            <w:vAlign w:val="center"/>
          </w:tcPr>
          <w:p w14:paraId="4D57A1E5">
            <w:pPr>
              <w:pStyle w:val="42"/>
            </w:pPr>
            <w:r>
              <w:rPr>
                <w:rFonts w:hint="eastAsia"/>
              </w:rPr>
              <w:t>环境敏感性</w:t>
            </w:r>
          </w:p>
        </w:tc>
        <w:tc>
          <w:tcPr>
            <w:tcW w:w="1276" w:type="dxa"/>
            <w:vMerge w:val="restart"/>
            <w:vAlign w:val="center"/>
          </w:tcPr>
          <w:p w14:paraId="35EAB2F9">
            <w:pPr>
              <w:pStyle w:val="42"/>
            </w:pPr>
            <w:r>
              <w:rPr>
                <w:rFonts w:hint="eastAsia"/>
              </w:rPr>
              <w:t>大气</w:t>
            </w:r>
          </w:p>
        </w:tc>
        <w:tc>
          <w:tcPr>
            <w:tcW w:w="3543" w:type="dxa"/>
            <w:gridSpan w:val="3"/>
            <w:vAlign w:val="center"/>
          </w:tcPr>
          <w:p w14:paraId="07E0B9B3">
            <w:pPr>
              <w:pStyle w:val="42"/>
            </w:pPr>
            <w:r>
              <w:rPr>
                <w:rFonts w:hint="eastAsia"/>
              </w:rPr>
              <w:t>500m范围内人口数 人</w:t>
            </w:r>
          </w:p>
        </w:tc>
        <w:tc>
          <w:tcPr>
            <w:tcW w:w="2828" w:type="dxa"/>
            <w:gridSpan w:val="4"/>
            <w:vAlign w:val="center"/>
          </w:tcPr>
          <w:p w14:paraId="5340C731">
            <w:pPr>
              <w:pStyle w:val="42"/>
            </w:pPr>
            <w:r>
              <w:rPr>
                <w:rFonts w:hint="eastAsia"/>
              </w:rPr>
              <w:t>5km范围内人口数 人</w:t>
            </w:r>
          </w:p>
        </w:tc>
      </w:tr>
      <w:tr w14:paraId="55CD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1B3D891B">
            <w:pPr>
              <w:pStyle w:val="42"/>
            </w:pPr>
          </w:p>
        </w:tc>
        <w:tc>
          <w:tcPr>
            <w:tcW w:w="709" w:type="dxa"/>
            <w:vMerge w:val="continue"/>
            <w:vAlign w:val="center"/>
          </w:tcPr>
          <w:p w14:paraId="22C18CD4">
            <w:pPr>
              <w:pStyle w:val="42"/>
            </w:pPr>
          </w:p>
        </w:tc>
        <w:tc>
          <w:tcPr>
            <w:tcW w:w="1276" w:type="dxa"/>
            <w:vMerge w:val="continue"/>
            <w:vAlign w:val="center"/>
          </w:tcPr>
          <w:p w14:paraId="76446772">
            <w:pPr>
              <w:pStyle w:val="42"/>
            </w:pPr>
          </w:p>
        </w:tc>
        <w:tc>
          <w:tcPr>
            <w:tcW w:w="5077" w:type="dxa"/>
            <w:gridSpan w:val="6"/>
            <w:vAlign w:val="center"/>
          </w:tcPr>
          <w:p w14:paraId="394176BA">
            <w:pPr>
              <w:pStyle w:val="42"/>
            </w:pPr>
            <w:r>
              <w:rPr>
                <w:rFonts w:hint="eastAsia"/>
              </w:rPr>
              <w:t>每公里管段周边200m范围内人口数（最大）</w:t>
            </w:r>
          </w:p>
        </w:tc>
        <w:tc>
          <w:tcPr>
            <w:tcW w:w="1294" w:type="dxa"/>
            <w:vAlign w:val="center"/>
          </w:tcPr>
          <w:p w14:paraId="1F749038">
            <w:pPr>
              <w:pStyle w:val="42"/>
              <w:rPr>
                <w:u w:val="single"/>
              </w:rPr>
            </w:pPr>
            <w:r>
              <w:rPr>
                <w:rFonts w:hint="eastAsia"/>
                <w:u w:val="single"/>
              </w:rPr>
              <w:t>284人</w:t>
            </w:r>
          </w:p>
        </w:tc>
      </w:tr>
      <w:tr w14:paraId="42C8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6173DD0">
            <w:pPr>
              <w:pStyle w:val="42"/>
            </w:pPr>
          </w:p>
        </w:tc>
        <w:tc>
          <w:tcPr>
            <w:tcW w:w="709" w:type="dxa"/>
            <w:vMerge w:val="continue"/>
            <w:vAlign w:val="center"/>
          </w:tcPr>
          <w:p w14:paraId="04AB2530">
            <w:pPr>
              <w:pStyle w:val="42"/>
            </w:pPr>
          </w:p>
        </w:tc>
        <w:tc>
          <w:tcPr>
            <w:tcW w:w="1276" w:type="dxa"/>
            <w:vMerge w:val="restart"/>
            <w:vAlign w:val="center"/>
          </w:tcPr>
          <w:p w14:paraId="34BE66FF">
            <w:pPr>
              <w:pStyle w:val="42"/>
            </w:pPr>
            <w:r>
              <w:rPr>
                <w:rFonts w:hint="eastAsia"/>
              </w:rPr>
              <w:t>地表水</w:t>
            </w:r>
          </w:p>
        </w:tc>
        <w:tc>
          <w:tcPr>
            <w:tcW w:w="1984" w:type="dxa"/>
            <w:gridSpan w:val="2"/>
            <w:vAlign w:val="center"/>
          </w:tcPr>
          <w:p w14:paraId="07822632">
            <w:pPr>
              <w:pStyle w:val="42"/>
            </w:pPr>
            <w:r>
              <w:rPr>
                <w:rFonts w:hint="eastAsia"/>
              </w:rPr>
              <w:t>地表水功能敏感性</w:t>
            </w:r>
          </w:p>
        </w:tc>
        <w:tc>
          <w:tcPr>
            <w:tcW w:w="1559" w:type="dxa"/>
            <w:vAlign w:val="center"/>
          </w:tcPr>
          <w:p w14:paraId="270012AC">
            <w:pPr>
              <w:pStyle w:val="42"/>
            </w:pPr>
            <w:r>
              <w:t>F1</w:t>
            </w:r>
            <w:r>
              <w:rPr>
                <w:rFonts w:hint="eastAsia"/>
              </w:rPr>
              <w:t xml:space="preserve"> </w:t>
            </w:r>
            <w:r>
              <w:rPr>
                <w:rFonts w:hint="eastAsia"/>
              </w:rPr>
              <w:sym w:font="Wingdings" w:char="F0A8"/>
            </w:r>
          </w:p>
        </w:tc>
        <w:tc>
          <w:tcPr>
            <w:tcW w:w="1534" w:type="dxa"/>
            <w:gridSpan w:val="3"/>
            <w:vAlign w:val="center"/>
          </w:tcPr>
          <w:p w14:paraId="48D92767">
            <w:pPr>
              <w:pStyle w:val="42"/>
            </w:pPr>
            <w:r>
              <w:t>F</w:t>
            </w:r>
            <w:r>
              <w:rPr>
                <w:rFonts w:hint="eastAsia"/>
              </w:rPr>
              <w:t xml:space="preserve">2 </w:t>
            </w:r>
            <w:r>
              <w:rPr>
                <w:rFonts w:hint="eastAsia"/>
              </w:rPr>
              <w:sym w:font="Wingdings" w:char="F0A8"/>
            </w:r>
          </w:p>
        </w:tc>
        <w:tc>
          <w:tcPr>
            <w:tcW w:w="1294" w:type="dxa"/>
            <w:vAlign w:val="center"/>
          </w:tcPr>
          <w:p w14:paraId="4DC968DE">
            <w:pPr>
              <w:pStyle w:val="42"/>
            </w:pPr>
            <w:r>
              <w:t>F</w:t>
            </w:r>
            <w:r>
              <w:rPr>
                <w:rFonts w:hint="eastAsia"/>
              </w:rPr>
              <w:t xml:space="preserve">3 </w:t>
            </w:r>
            <w:r>
              <w:rPr>
                <w:rFonts w:hint="eastAsia"/>
              </w:rPr>
              <w:sym w:font="Wingdings" w:char="F0A8"/>
            </w:r>
          </w:p>
        </w:tc>
      </w:tr>
      <w:tr w14:paraId="5E57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3144AF51">
            <w:pPr>
              <w:pStyle w:val="42"/>
            </w:pPr>
          </w:p>
        </w:tc>
        <w:tc>
          <w:tcPr>
            <w:tcW w:w="709" w:type="dxa"/>
            <w:vMerge w:val="continue"/>
            <w:vAlign w:val="center"/>
          </w:tcPr>
          <w:p w14:paraId="33067212">
            <w:pPr>
              <w:pStyle w:val="42"/>
            </w:pPr>
          </w:p>
        </w:tc>
        <w:tc>
          <w:tcPr>
            <w:tcW w:w="1276" w:type="dxa"/>
            <w:vMerge w:val="continue"/>
            <w:vAlign w:val="center"/>
          </w:tcPr>
          <w:p w14:paraId="1952E67F">
            <w:pPr>
              <w:pStyle w:val="42"/>
            </w:pPr>
          </w:p>
        </w:tc>
        <w:tc>
          <w:tcPr>
            <w:tcW w:w="1984" w:type="dxa"/>
            <w:gridSpan w:val="2"/>
            <w:vAlign w:val="center"/>
          </w:tcPr>
          <w:p w14:paraId="1C615454">
            <w:pPr>
              <w:pStyle w:val="42"/>
            </w:pPr>
            <w:r>
              <w:rPr>
                <w:rFonts w:hint="eastAsia"/>
              </w:rPr>
              <w:t>环境敏感目标分级</w:t>
            </w:r>
          </w:p>
        </w:tc>
        <w:tc>
          <w:tcPr>
            <w:tcW w:w="1559" w:type="dxa"/>
            <w:vAlign w:val="center"/>
          </w:tcPr>
          <w:p w14:paraId="5CECEB36">
            <w:pPr>
              <w:pStyle w:val="42"/>
            </w:pPr>
            <w:r>
              <w:t>S1</w:t>
            </w:r>
            <w:r>
              <w:rPr>
                <w:rFonts w:hint="eastAsia"/>
              </w:rPr>
              <w:t xml:space="preserve"> </w:t>
            </w:r>
            <w:r>
              <w:rPr>
                <w:rFonts w:hint="eastAsia"/>
              </w:rPr>
              <w:sym w:font="Wingdings" w:char="F0A8"/>
            </w:r>
          </w:p>
        </w:tc>
        <w:tc>
          <w:tcPr>
            <w:tcW w:w="1534" w:type="dxa"/>
            <w:gridSpan w:val="3"/>
            <w:vAlign w:val="center"/>
          </w:tcPr>
          <w:p w14:paraId="08086883">
            <w:pPr>
              <w:pStyle w:val="42"/>
            </w:pPr>
            <w:r>
              <w:t>S</w:t>
            </w:r>
            <w:r>
              <w:rPr>
                <w:rFonts w:hint="eastAsia"/>
              </w:rPr>
              <w:t xml:space="preserve">2 </w:t>
            </w:r>
            <w:r>
              <w:rPr>
                <w:rFonts w:hint="eastAsia"/>
              </w:rPr>
              <w:sym w:font="Wingdings" w:char="F0A8"/>
            </w:r>
          </w:p>
        </w:tc>
        <w:tc>
          <w:tcPr>
            <w:tcW w:w="1294" w:type="dxa"/>
            <w:vAlign w:val="center"/>
          </w:tcPr>
          <w:p w14:paraId="459E20AA">
            <w:pPr>
              <w:pStyle w:val="42"/>
            </w:pPr>
            <w:r>
              <w:t>S</w:t>
            </w:r>
            <w:r>
              <w:rPr>
                <w:rFonts w:hint="eastAsia"/>
              </w:rPr>
              <w:t xml:space="preserve">3 </w:t>
            </w:r>
            <w:r>
              <w:rPr>
                <w:rFonts w:hint="eastAsia"/>
              </w:rPr>
              <w:sym w:font="Wingdings" w:char="F0A8"/>
            </w:r>
          </w:p>
        </w:tc>
      </w:tr>
      <w:tr w14:paraId="1C45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6C51C6F9">
            <w:pPr>
              <w:pStyle w:val="42"/>
            </w:pPr>
          </w:p>
        </w:tc>
        <w:tc>
          <w:tcPr>
            <w:tcW w:w="709" w:type="dxa"/>
            <w:vMerge w:val="continue"/>
            <w:vAlign w:val="center"/>
          </w:tcPr>
          <w:p w14:paraId="184B1EAB">
            <w:pPr>
              <w:pStyle w:val="42"/>
            </w:pPr>
          </w:p>
        </w:tc>
        <w:tc>
          <w:tcPr>
            <w:tcW w:w="1276" w:type="dxa"/>
            <w:vMerge w:val="restart"/>
            <w:vAlign w:val="center"/>
          </w:tcPr>
          <w:p w14:paraId="14E4424B">
            <w:pPr>
              <w:pStyle w:val="42"/>
            </w:pPr>
            <w:r>
              <w:rPr>
                <w:rFonts w:hint="eastAsia"/>
              </w:rPr>
              <w:t>地下水</w:t>
            </w:r>
          </w:p>
        </w:tc>
        <w:tc>
          <w:tcPr>
            <w:tcW w:w="1984" w:type="dxa"/>
            <w:gridSpan w:val="2"/>
            <w:vAlign w:val="center"/>
          </w:tcPr>
          <w:p w14:paraId="13CFE541">
            <w:pPr>
              <w:pStyle w:val="42"/>
            </w:pPr>
            <w:r>
              <w:rPr>
                <w:rFonts w:hint="eastAsia"/>
              </w:rPr>
              <w:t>地下水功能敏感性</w:t>
            </w:r>
          </w:p>
        </w:tc>
        <w:tc>
          <w:tcPr>
            <w:tcW w:w="1559" w:type="dxa"/>
            <w:vAlign w:val="center"/>
          </w:tcPr>
          <w:p w14:paraId="299AB652">
            <w:pPr>
              <w:pStyle w:val="42"/>
            </w:pPr>
            <w:r>
              <w:t>G1</w:t>
            </w:r>
            <w:r>
              <w:rPr>
                <w:rFonts w:hint="eastAsia"/>
              </w:rPr>
              <w:t xml:space="preserve"> </w:t>
            </w:r>
            <w:r>
              <w:rPr>
                <w:rFonts w:hint="eastAsia"/>
              </w:rPr>
              <w:sym w:font="Wingdings" w:char="F0A8"/>
            </w:r>
          </w:p>
        </w:tc>
        <w:tc>
          <w:tcPr>
            <w:tcW w:w="1534" w:type="dxa"/>
            <w:gridSpan w:val="3"/>
            <w:vAlign w:val="center"/>
          </w:tcPr>
          <w:p w14:paraId="2F513B1C">
            <w:pPr>
              <w:pStyle w:val="42"/>
            </w:pPr>
            <w:r>
              <w:t>G</w:t>
            </w:r>
            <w:r>
              <w:rPr>
                <w:rFonts w:hint="eastAsia"/>
              </w:rPr>
              <w:t xml:space="preserve">2 </w:t>
            </w:r>
            <w:r>
              <w:rPr>
                <w:rFonts w:hint="eastAsia"/>
              </w:rPr>
              <w:sym w:font="Wingdings" w:char="F0A8"/>
            </w:r>
          </w:p>
        </w:tc>
        <w:tc>
          <w:tcPr>
            <w:tcW w:w="1294" w:type="dxa"/>
            <w:vAlign w:val="center"/>
          </w:tcPr>
          <w:p w14:paraId="5A557A69">
            <w:pPr>
              <w:pStyle w:val="42"/>
            </w:pPr>
            <w:r>
              <w:t>G</w:t>
            </w:r>
            <w:r>
              <w:rPr>
                <w:rFonts w:hint="eastAsia"/>
              </w:rPr>
              <w:t xml:space="preserve">3 </w:t>
            </w:r>
            <w:r>
              <w:rPr>
                <w:rFonts w:hint="eastAsia"/>
              </w:rPr>
              <w:sym w:font="Wingdings" w:char="F0A8"/>
            </w:r>
          </w:p>
        </w:tc>
      </w:tr>
      <w:tr w14:paraId="2267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2CD0A1B">
            <w:pPr>
              <w:pStyle w:val="42"/>
            </w:pPr>
          </w:p>
        </w:tc>
        <w:tc>
          <w:tcPr>
            <w:tcW w:w="709" w:type="dxa"/>
            <w:vMerge w:val="continue"/>
            <w:vAlign w:val="center"/>
          </w:tcPr>
          <w:p w14:paraId="4F097909">
            <w:pPr>
              <w:pStyle w:val="42"/>
            </w:pPr>
          </w:p>
        </w:tc>
        <w:tc>
          <w:tcPr>
            <w:tcW w:w="1276" w:type="dxa"/>
            <w:vMerge w:val="continue"/>
            <w:vAlign w:val="center"/>
          </w:tcPr>
          <w:p w14:paraId="39753632">
            <w:pPr>
              <w:pStyle w:val="42"/>
            </w:pPr>
          </w:p>
        </w:tc>
        <w:tc>
          <w:tcPr>
            <w:tcW w:w="1984" w:type="dxa"/>
            <w:gridSpan w:val="2"/>
            <w:vAlign w:val="center"/>
          </w:tcPr>
          <w:p w14:paraId="60ACF387">
            <w:pPr>
              <w:pStyle w:val="42"/>
            </w:pPr>
            <w:r>
              <w:rPr>
                <w:rFonts w:hint="eastAsia"/>
              </w:rPr>
              <w:t>包气带防污性能</w:t>
            </w:r>
          </w:p>
        </w:tc>
        <w:tc>
          <w:tcPr>
            <w:tcW w:w="1559" w:type="dxa"/>
            <w:vAlign w:val="center"/>
          </w:tcPr>
          <w:p w14:paraId="66077A4D">
            <w:pPr>
              <w:pStyle w:val="42"/>
            </w:pPr>
            <w:r>
              <w:t>D1</w:t>
            </w:r>
            <w:r>
              <w:rPr>
                <w:rFonts w:hint="eastAsia"/>
              </w:rPr>
              <w:t xml:space="preserve"> </w:t>
            </w:r>
            <w:r>
              <w:rPr>
                <w:rFonts w:hint="eastAsia"/>
              </w:rPr>
              <w:sym w:font="Wingdings" w:char="F0A8"/>
            </w:r>
          </w:p>
        </w:tc>
        <w:tc>
          <w:tcPr>
            <w:tcW w:w="1534" w:type="dxa"/>
            <w:gridSpan w:val="3"/>
            <w:vAlign w:val="center"/>
          </w:tcPr>
          <w:p w14:paraId="47EBCA44">
            <w:pPr>
              <w:pStyle w:val="42"/>
            </w:pPr>
            <w:r>
              <w:t>D</w:t>
            </w:r>
            <w:r>
              <w:rPr>
                <w:rFonts w:hint="eastAsia"/>
              </w:rPr>
              <w:t xml:space="preserve">2 </w:t>
            </w:r>
            <w:r>
              <w:rPr>
                <w:rFonts w:hint="eastAsia"/>
              </w:rPr>
              <w:sym w:font="Wingdings" w:char="F0A8"/>
            </w:r>
          </w:p>
        </w:tc>
        <w:tc>
          <w:tcPr>
            <w:tcW w:w="1294" w:type="dxa"/>
            <w:vAlign w:val="center"/>
          </w:tcPr>
          <w:p w14:paraId="3BBB7AEE">
            <w:pPr>
              <w:pStyle w:val="42"/>
            </w:pPr>
            <w:r>
              <w:t>D</w:t>
            </w:r>
            <w:r>
              <w:rPr>
                <w:rFonts w:hint="eastAsia"/>
              </w:rPr>
              <w:t xml:space="preserve">3 </w:t>
            </w:r>
            <w:r>
              <w:rPr>
                <w:rFonts w:hint="eastAsia"/>
              </w:rPr>
              <w:sym w:font="Wingdings" w:char="F0A8"/>
            </w:r>
          </w:p>
        </w:tc>
      </w:tr>
      <w:tr w14:paraId="6E02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restart"/>
            <w:vAlign w:val="center"/>
          </w:tcPr>
          <w:p w14:paraId="02A3D006">
            <w:pPr>
              <w:pStyle w:val="42"/>
            </w:pPr>
            <w:r>
              <w:rPr>
                <w:rFonts w:hint="eastAsia"/>
              </w:rPr>
              <w:t>物质及工艺系统危险性</w:t>
            </w:r>
          </w:p>
        </w:tc>
        <w:tc>
          <w:tcPr>
            <w:tcW w:w="1276" w:type="dxa"/>
            <w:vAlign w:val="center"/>
          </w:tcPr>
          <w:p w14:paraId="6170193F">
            <w:pPr>
              <w:pStyle w:val="42"/>
            </w:pPr>
            <w:r>
              <w:rPr>
                <w:rFonts w:hint="eastAsia"/>
              </w:rPr>
              <w:t>Q值</w:t>
            </w:r>
          </w:p>
        </w:tc>
        <w:tc>
          <w:tcPr>
            <w:tcW w:w="1984" w:type="dxa"/>
            <w:gridSpan w:val="2"/>
            <w:vAlign w:val="center"/>
          </w:tcPr>
          <w:p w14:paraId="24856008">
            <w:pPr>
              <w:pStyle w:val="42"/>
            </w:pPr>
            <w:r>
              <w:t>Q&lt;1</w:t>
            </w:r>
            <w:r>
              <w:rPr>
                <w:rFonts w:hint="eastAsia"/>
              </w:rPr>
              <w:t xml:space="preserve"> </w:t>
            </w:r>
            <w:r>
              <w:rPr>
                <w:rFonts w:hint="eastAsia"/>
              </w:rPr>
              <w:sym w:font="Wingdings 2" w:char="F052"/>
            </w:r>
          </w:p>
        </w:tc>
        <w:tc>
          <w:tcPr>
            <w:tcW w:w="1559" w:type="dxa"/>
            <w:vAlign w:val="center"/>
          </w:tcPr>
          <w:p w14:paraId="2BC1CABB">
            <w:pPr>
              <w:pStyle w:val="42"/>
            </w:pPr>
            <w:r>
              <w:rPr>
                <w:rFonts w:hint="eastAsia"/>
              </w:rPr>
              <w:t xml:space="preserve">1≤Q&lt;10 </w:t>
            </w:r>
            <w:r>
              <w:rPr>
                <w:rFonts w:hint="eastAsia"/>
              </w:rPr>
              <w:sym w:font="Wingdings" w:char="F0A8"/>
            </w:r>
          </w:p>
        </w:tc>
        <w:tc>
          <w:tcPr>
            <w:tcW w:w="1534" w:type="dxa"/>
            <w:gridSpan w:val="3"/>
            <w:vAlign w:val="center"/>
          </w:tcPr>
          <w:p w14:paraId="448B27C6">
            <w:pPr>
              <w:pStyle w:val="42"/>
            </w:pPr>
            <w:r>
              <w:rPr>
                <w:rFonts w:hint="eastAsia"/>
              </w:rPr>
              <w:t xml:space="preserve">10≤Q&lt;100 </w:t>
            </w:r>
            <w:r>
              <w:rPr>
                <w:rFonts w:hint="eastAsia"/>
              </w:rPr>
              <w:sym w:font="Wingdings" w:char="F0A8"/>
            </w:r>
          </w:p>
        </w:tc>
        <w:tc>
          <w:tcPr>
            <w:tcW w:w="1294" w:type="dxa"/>
            <w:vAlign w:val="center"/>
          </w:tcPr>
          <w:p w14:paraId="2981A77B">
            <w:pPr>
              <w:pStyle w:val="42"/>
            </w:pPr>
            <w:r>
              <w:t>Q&gt;100</w:t>
            </w:r>
            <w:r>
              <w:rPr>
                <w:rFonts w:hint="eastAsia"/>
              </w:rPr>
              <w:t xml:space="preserve"> </w:t>
            </w:r>
            <w:r>
              <w:rPr>
                <w:rFonts w:hint="eastAsia"/>
              </w:rPr>
              <w:sym w:font="Wingdings" w:char="F0A8"/>
            </w:r>
          </w:p>
        </w:tc>
      </w:tr>
      <w:tr w14:paraId="4745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continue"/>
            <w:vAlign w:val="center"/>
          </w:tcPr>
          <w:p w14:paraId="7E097E1B">
            <w:pPr>
              <w:pStyle w:val="42"/>
            </w:pPr>
          </w:p>
        </w:tc>
        <w:tc>
          <w:tcPr>
            <w:tcW w:w="1276" w:type="dxa"/>
            <w:vAlign w:val="center"/>
          </w:tcPr>
          <w:p w14:paraId="4D37BE61">
            <w:pPr>
              <w:pStyle w:val="42"/>
            </w:pPr>
            <w:r>
              <w:rPr>
                <w:rFonts w:hint="eastAsia"/>
              </w:rPr>
              <w:t>M值</w:t>
            </w:r>
          </w:p>
        </w:tc>
        <w:tc>
          <w:tcPr>
            <w:tcW w:w="1984" w:type="dxa"/>
            <w:gridSpan w:val="2"/>
            <w:vAlign w:val="center"/>
          </w:tcPr>
          <w:p w14:paraId="6E8F70B8">
            <w:pPr>
              <w:pStyle w:val="42"/>
            </w:pPr>
            <w:r>
              <w:t>M1</w:t>
            </w:r>
            <w:r>
              <w:rPr>
                <w:rFonts w:hint="eastAsia"/>
              </w:rPr>
              <w:t xml:space="preserve"> </w:t>
            </w:r>
            <w:r>
              <w:rPr>
                <w:rFonts w:hint="eastAsia"/>
              </w:rPr>
              <w:sym w:font="Wingdings" w:char="F0A8"/>
            </w:r>
          </w:p>
        </w:tc>
        <w:tc>
          <w:tcPr>
            <w:tcW w:w="1559" w:type="dxa"/>
            <w:vAlign w:val="center"/>
          </w:tcPr>
          <w:p w14:paraId="0FE428C0">
            <w:pPr>
              <w:pStyle w:val="42"/>
            </w:pPr>
            <w:r>
              <w:t>M</w:t>
            </w:r>
            <w:r>
              <w:rPr>
                <w:rFonts w:hint="eastAsia"/>
              </w:rPr>
              <w:t xml:space="preserve">2 </w:t>
            </w:r>
            <w:r>
              <w:rPr>
                <w:rFonts w:hint="eastAsia"/>
              </w:rPr>
              <w:sym w:font="Wingdings" w:char="F0A8"/>
            </w:r>
          </w:p>
        </w:tc>
        <w:tc>
          <w:tcPr>
            <w:tcW w:w="1534" w:type="dxa"/>
            <w:gridSpan w:val="3"/>
            <w:vAlign w:val="center"/>
          </w:tcPr>
          <w:p w14:paraId="3EFC026D">
            <w:pPr>
              <w:pStyle w:val="42"/>
            </w:pPr>
            <w:r>
              <w:t>M</w:t>
            </w:r>
            <w:r>
              <w:rPr>
                <w:rFonts w:hint="eastAsia"/>
              </w:rPr>
              <w:t xml:space="preserve">3 </w:t>
            </w:r>
            <w:r>
              <w:rPr>
                <w:rFonts w:hint="eastAsia"/>
              </w:rPr>
              <w:sym w:font="Wingdings" w:char="F0A8"/>
            </w:r>
          </w:p>
        </w:tc>
        <w:tc>
          <w:tcPr>
            <w:tcW w:w="1294" w:type="dxa"/>
            <w:vAlign w:val="center"/>
          </w:tcPr>
          <w:p w14:paraId="64F5DDAC">
            <w:pPr>
              <w:pStyle w:val="42"/>
            </w:pPr>
            <w:r>
              <w:t>M</w:t>
            </w:r>
            <w:r>
              <w:rPr>
                <w:rFonts w:hint="eastAsia"/>
              </w:rPr>
              <w:t xml:space="preserve">4 </w:t>
            </w:r>
            <w:r>
              <w:rPr>
                <w:rFonts w:hint="eastAsia"/>
              </w:rPr>
              <w:sym w:font="Wingdings" w:char="F0A8"/>
            </w:r>
          </w:p>
        </w:tc>
      </w:tr>
      <w:tr w14:paraId="30A0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continue"/>
            <w:vAlign w:val="center"/>
          </w:tcPr>
          <w:p w14:paraId="61A194FA">
            <w:pPr>
              <w:pStyle w:val="42"/>
            </w:pPr>
          </w:p>
        </w:tc>
        <w:tc>
          <w:tcPr>
            <w:tcW w:w="1276" w:type="dxa"/>
            <w:vAlign w:val="center"/>
          </w:tcPr>
          <w:p w14:paraId="0EDD1AF5">
            <w:pPr>
              <w:pStyle w:val="42"/>
            </w:pPr>
            <w:r>
              <w:rPr>
                <w:rFonts w:hint="eastAsia"/>
              </w:rPr>
              <w:t>P值</w:t>
            </w:r>
          </w:p>
        </w:tc>
        <w:tc>
          <w:tcPr>
            <w:tcW w:w="1984" w:type="dxa"/>
            <w:gridSpan w:val="2"/>
            <w:vAlign w:val="center"/>
          </w:tcPr>
          <w:p w14:paraId="535FDE34">
            <w:pPr>
              <w:pStyle w:val="42"/>
            </w:pPr>
            <w:r>
              <w:t>P1</w:t>
            </w:r>
            <w:r>
              <w:rPr>
                <w:rFonts w:hint="eastAsia"/>
              </w:rPr>
              <w:t xml:space="preserve"> </w:t>
            </w:r>
            <w:r>
              <w:rPr>
                <w:rFonts w:hint="eastAsia"/>
              </w:rPr>
              <w:sym w:font="Wingdings" w:char="F0A8"/>
            </w:r>
          </w:p>
        </w:tc>
        <w:tc>
          <w:tcPr>
            <w:tcW w:w="1559" w:type="dxa"/>
            <w:vAlign w:val="center"/>
          </w:tcPr>
          <w:p w14:paraId="1FDC4962">
            <w:pPr>
              <w:pStyle w:val="42"/>
            </w:pPr>
            <w:r>
              <w:t>P</w:t>
            </w:r>
            <w:r>
              <w:rPr>
                <w:rFonts w:hint="eastAsia"/>
              </w:rPr>
              <w:t xml:space="preserve">2 </w:t>
            </w:r>
            <w:r>
              <w:rPr>
                <w:rFonts w:hint="eastAsia"/>
              </w:rPr>
              <w:sym w:font="Wingdings" w:char="F0A8"/>
            </w:r>
          </w:p>
        </w:tc>
        <w:tc>
          <w:tcPr>
            <w:tcW w:w="1534" w:type="dxa"/>
            <w:gridSpan w:val="3"/>
            <w:vAlign w:val="center"/>
          </w:tcPr>
          <w:p w14:paraId="60F7FBEE">
            <w:pPr>
              <w:pStyle w:val="42"/>
            </w:pPr>
            <w:r>
              <w:t>P</w:t>
            </w:r>
            <w:r>
              <w:rPr>
                <w:rFonts w:hint="eastAsia"/>
              </w:rPr>
              <w:t xml:space="preserve">3 </w:t>
            </w:r>
            <w:r>
              <w:rPr>
                <w:rFonts w:hint="eastAsia"/>
              </w:rPr>
              <w:sym w:font="Wingdings" w:char="F0A8"/>
            </w:r>
          </w:p>
        </w:tc>
        <w:tc>
          <w:tcPr>
            <w:tcW w:w="1294" w:type="dxa"/>
            <w:vAlign w:val="center"/>
          </w:tcPr>
          <w:p w14:paraId="2488D6AB">
            <w:pPr>
              <w:pStyle w:val="42"/>
            </w:pPr>
            <w:r>
              <w:t>P</w:t>
            </w:r>
            <w:r>
              <w:rPr>
                <w:rFonts w:hint="eastAsia"/>
              </w:rPr>
              <w:t xml:space="preserve">4 </w:t>
            </w:r>
            <w:r>
              <w:rPr>
                <w:rFonts w:hint="eastAsia"/>
              </w:rPr>
              <w:sym w:font="Wingdings" w:char="F0A8"/>
            </w:r>
          </w:p>
        </w:tc>
      </w:tr>
      <w:tr w14:paraId="68E8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restart"/>
            <w:vAlign w:val="center"/>
          </w:tcPr>
          <w:p w14:paraId="0ACF69BA">
            <w:pPr>
              <w:pStyle w:val="42"/>
            </w:pPr>
            <w:r>
              <w:rPr>
                <w:rFonts w:hint="eastAsia"/>
              </w:rPr>
              <w:t>环境敏感程度</w:t>
            </w:r>
          </w:p>
        </w:tc>
        <w:tc>
          <w:tcPr>
            <w:tcW w:w="1276" w:type="dxa"/>
            <w:vAlign w:val="center"/>
          </w:tcPr>
          <w:p w14:paraId="5217C3CF">
            <w:pPr>
              <w:pStyle w:val="42"/>
            </w:pPr>
            <w:r>
              <w:rPr>
                <w:rFonts w:hint="eastAsia"/>
              </w:rPr>
              <w:t>大气</w:t>
            </w:r>
          </w:p>
        </w:tc>
        <w:tc>
          <w:tcPr>
            <w:tcW w:w="1984" w:type="dxa"/>
            <w:gridSpan w:val="2"/>
            <w:vAlign w:val="center"/>
          </w:tcPr>
          <w:p w14:paraId="74BFC1B9">
            <w:pPr>
              <w:pStyle w:val="42"/>
              <w:rPr>
                <w:u w:val="single"/>
              </w:rPr>
            </w:pPr>
            <w:r>
              <w:rPr>
                <w:u w:val="single"/>
              </w:rPr>
              <w:t>E1</w:t>
            </w:r>
            <w:r>
              <w:rPr>
                <w:rFonts w:hint="eastAsia"/>
                <w:u w:val="single"/>
              </w:rPr>
              <w:t xml:space="preserve"> </w:t>
            </w:r>
            <w:r>
              <w:rPr>
                <w:rFonts w:hint="eastAsia"/>
                <w:u w:val="single"/>
              </w:rPr>
              <w:sym w:font="Wingdings 2" w:char="F052"/>
            </w:r>
          </w:p>
        </w:tc>
        <w:tc>
          <w:tcPr>
            <w:tcW w:w="3093" w:type="dxa"/>
            <w:gridSpan w:val="4"/>
            <w:vAlign w:val="center"/>
          </w:tcPr>
          <w:p w14:paraId="7B77DB20">
            <w:pPr>
              <w:pStyle w:val="42"/>
            </w:pPr>
            <w:r>
              <w:t>E</w:t>
            </w:r>
            <w:r>
              <w:rPr>
                <w:rFonts w:hint="eastAsia"/>
              </w:rPr>
              <w:t xml:space="preserve">2 </w:t>
            </w:r>
            <w:r>
              <w:rPr>
                <w:rFonts w:hint="eastAsia"/>
              </w:rPr>
              <w:sym w:font="Wingdings" w:char="F0A8"/>
            </w:r>
          </w:p>
        </w:tc>
        <w:tc>
          <w:tcPr>
            <w:tcW w:w="1294" w:type="dxa"/>
            <w:vAlign w:val="center"/>
          </w:tcPr>
          <w:p w14:paraId="401E63D2">
            <w:pPr>
              <w:pStyle w:val="42"/>
            </w:pPr>
            <w:r>
              <w:t>E</w:t>
            </w:r>
            <w:r>
              <w:rPr>
                <w:rFonts w:hint="eastAsia"/>
              </w:rPr>
              <w:t xml:space="preserve">3 </w:t>
            </w:r>
            <w:r>
              <w:rPr>
                <w:rFonts w:hint="eastAsia"/>
              </w:rPr>
              <w:sym w:font="Wingdings" w:char="F0A8"/>
            </w:r>
          </w:p>
        </w:tc>
      </w:tr>
      <w:tr w14:paraId="02E5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continue"/>
            <w:vAlign w:val="center"/>
          </w:tcPr>
          <w:p w14:paraId="2FE8E414">
            <w:pPr>
              <w:pStyle w:val="42"/>
            </w:pPr>
          </w:p>
        </w:tc>
        <w:tc>
          <w:tcPr>
            <w:tcW w:w="1276" w:type="dxa"/>
            <w:vAlign w:val="center"/>
          </w:tcPr>
          <w:p w14:paraId="1482A3F7">
            <w:pPr>
              <w:pStyle w:val="42"/>
            </w:pPr>
            <w:r>
              <w:rPr>
                <w:rFonts w:hint="eastAsia"/>
              </w:rPr>
              <w:t>地表水</w:t>
            </w:r>
          </w:p>
        </w:tc>
        <w:tc>
          <w:tcPr>
            <w:tcW w:w="1984" w:type="dxa"/>
            <w:gridSpan w:val="2"/>
            <w:vAlign w:val="center"/>
          </w:tcPr>
          <w:p w14:paraId="72D90641">
            <w:pPr>
              <w:pStyle w:val="42"/>
            </w:pPr>
            <w:r>
              <w:t>E1</w:t>
            </w:r>
            <w:r>
              <w:rPr>
                <w:rFonts w:hint="eastAsia"/>
              </w:rPr>
              <w:t xml:space="preserve"> </w:t>
            </w:r>
            <w:r>
              <w:rPr>
                <w:rFonts w:hint="eastAsia"/>
              </w:rPr>
              <w:sym w:font="Wingdings" w:char="F0A8"/>
            </w:r>
          </w:p>
        </w:tc>
        <w:tc>
          <w:tcPr>
            <w:tcW w:w="3093" w:type="dxa"/>
            <w:gridSpan w:val="4"/>
            <w:vAlign w:val="center"/>
          </w:tcPr>
          <w:p w14:paraId="0AD1EF6A">
            <w:pPr>
              <w:pStyle w:val="42"/>
            </w:pPr>
            <w:r>
              <w:t>E</w:t>
            </w:r>
            <w:r>
              <w:rPr>
                <w:rFonts w:hint="eastAsia"/>
              </w:rPr>
              <w:t xml:space="preserve">2 </w:t>
            </w:r>
            <w:r>
              <w:rPr>
                <w:rFonts w:hint="eastAsia"/>
              </w:rPr>
              <w:sym w:font="Wingdings" w:char="F0A8"/>
            </w:r>
          </w:p>
        </w:tc>
        <w:tc>
          <w:tcPr>
            <w:tcW w:w="1294" w:type="dxa"/>
            <w:vAlign w:val="center"/>
          </w:tcPr>
          <w:p w14:paraId="32DA7C77">
            <w:pPr>
              <w:pStyle w:val="42"/>
            </w:pPr>
            <w:r>
              <w:t>E</w:t>
            </w:r>
            <w:r>
              <w:rPr>
                <w:rFonts w:hint="eastAsia"/>
              </w:rPr>
              <w:t xml:space="preserve">3 </w:t>
            </w:r>
            <w:r>
              <w:rPr>
                <w:rFonts w:hint="eastAsia"/>
              </w:rPr>
              <w:sym w:font="Wingdings" w:char="F0A8"/>
            </w:r>
          </w:p>
        </w:tc>
      </w:tr>
      <w:tr w14:paraId="76B3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Merge w:val="continue"/>
            <w:vAlign w:val="center"/>
          </w:tcPr>
          <w:p w14:paraId="425A924E">
            <w:pPr>
              <w:pStyle w:val="42"/>
            </w:pPr>
          </w:p>
        </w:tc>
        <w:tc>
          <w:tcPr>
            <w:tcW w:w="1276" w:type="dxa"/>
            <w:vAlign w:val="center"/>
          </w:tcPr>
          <w:p w14:paraId="27AB9D3F">
            <w:pPr>
              <w:pStyle w:val="42"/>
            </w:pPr>
            <w:r>
              <w:rPr>
                <w:rFonts w:hint="eastAsia"/>
              </w:rPr>
              <w:t>地下水</w:t>
            </w:r>
          </w:p>
        </w:tc>
        <w:tc>
          <w:tcPr>
            <w:tcW w:w="1984" w:type="dxa"/>
            <w:gridSpan w:val="2"/>
            <w:vAlign w:val="center"/>
          </w:tcPr>
          <w:p w14:paraId="7DBC3B5F">
            <w:pPr>
              <w:pStyle w:val="42"/>
            </w:pPr>
            <w:r>
              <w:t>E1</w:t>
            </w:r>
            <w:r>
              <w:rPr>
                <w:rFonts w:hint="eastAsia"/>
              </w:rPr>
              <w:t xml:space="preserve"> </w:t>
            </w:r>
            <w:r>
              <w:rPr>
                <w:rFonts w:hint="eastAsia"/>
              </w:rPr>
              <w:sym w:font="Wingdings" w:char="F0A8"/>
            </w:r>
          </w:p>
        </w:tc>
        <w:tc>
          <w:tcPr>
            <w:tcW w:w="3093" w:type="dxa"/>
            <w:gridSpan w:val="4"/>
            <w:vAlign w:val="center"/>
          </w:tcPr>
          <w:p w14:paraId="393EA246">
            <w:pPr>
              <w:pStyle w:val="42"/>
            </w:pPr>
            <w:r>
              <w:t>E</w:t>
            </w:r>
            <w:r>
              <w:rPr>
                <w:rFonts w:hint="eastAsia"/>
              </w:rPr>
              <w:t xml:space="preserve">2 </w:t>
            </w:r>
            <w:r>
              <w:rPr>
                <w:rFonts w:hint="eastAsia"/>
              </w:rPr>
              <w:sym w:font="Wingdings" w:char="F0A8"/>
            </w:r>
          </w:p>
        </w:tc>
        <w:tc>
          <w:tcPr>
            <w:tcW w:w="1294" w:type="dxa"/>
            <w:vAlign w:val="center"/>
          </w:tcPr>
          <w:p w14:paraId="32E42D86">
            <w:pPr>
              <w:pStyle w:val="42"/>
            </w:pPr>
            <w:r>
              <w:t>E</w:t>
            </w:r>
            <w:r>
              <w:rPr>
                <w:rFonts w:hint="eastAsia"/>
              </w:rPr>
              <w:t xml:space="preserve">3 </w:t>
            </w:r>
            <w:r>
              <w:rPr>
                <w:rFonts w:hint="eastAsia"/>
              </w:rPr>
              <w:sym w:font="Wingdings" w:char="F0A8"/>
            </w:r>
          </w:p>
        </w:tc>
      </w:tr>
      <w:tr w14:paraId="69A4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55197E84">
            <w:pPr>
              <w:pStyle w:val="42"/>
            </w:pPr>
            <w:r>
              <w:rPr>
                <w:rFonts w:hint="eastAsia"/>
              </w:rPr>
              <w:t>环境风险潜势</w:t>
            </w:r>
          </w:p>
        </w:tc>
        <w:tc>
          <w:tcPr>
            <w:tcW w:w="1276" w:type="dxa"/>
            <w:vAlign w:val="center"/>
          </w:tcPr>
          <w:p w14:paraId="4E176FE2">
            <w:pPr>
              <w:pStyle w:val="42"/>
            </w:pPr>
            <w:r>
              <w:t>IV+</w:t>
            </w:r>
            <w:r>
              <w:rPr>
                <w:rFonts w:hint="eastAsia"/>
              </w:rPr>
              <w:t xml:space="preserve"> </w:t>
            </w:r>
            <w:r>
              <w:rPr>
                <w:rFonts w:hint="eastAsia"/>
              </w:rPr>
              <w:sym w:font="Wingdings" w:char="F0A8"/>
            </w:r>
          </w:p>
        </w:tc>
        <w:tc>
          <w:tcPr>
            <w:tcW w:w="1984" w:type="dxa"/>
            <w:gridSpan w:val="2"/>
            <w:vAlign w:val="center"/>
          </w:tcPr>
          <w:p w14:paraId="742C1A73">
            <w:pPr>
              <w:pStyle w:val="42"/>
            </w:pPr>
            <w:r>
              <w:t>IV</w:t>
            </w:r>
            <w:r>
              <w:rPr>
                <w:rFonts w:hint="eastAsia"/>
              </w:rPr>
              <w:t xml:space="preserve"> </w:t>
            </w:r>
            <w:r>
              <w:rPr>
                <w:rFonts w:hint="eastAsia"/>
              </w:rPr>
              <w:sym w:font="Wingdings" w:char="F0A8"/>
            </w:r>
          </w:p>
        </w:tc>
        <w:tc>
          <w:tcPr>
            <w:tcW w:w="1559" w:type="dxa"/>
            <w:vAlign w:val="center"/>
          </w:tcPr>
          <w:p w14:paraId="5AFF9673">
            <w:pPr>
              <w:pStyle w:val="42"/>
            </w:pPr>
            <w:r>
              <w:t>III</w:t>
            </w:r>
            <w:r>
              <w:rPr>
                <w:rFonts w:hint="eastAsia"/>
              </w:rPr>
              <w:t xml:space="preserve"> </w:t>
            </w:r>
            <w:r>
              <w:rPr>
                <w:rFonts w:hint="eastAsia"/>
              </w:rPr>
              <w:sym w:font="Wingdings" w:char="F0A8"/>
            </w:r>
          </w:p>
        </w:tc>
        <w:tc>
          <w:tcPr>
            <w:tcW w:w="1534" w:type="dxa"/>
            <w:gridSpan w:val="3"/>
            <w:vAlign w:val="center"/>
          </w:tcPr>
          <w:p w14:paraId="1A3BB08B">
            <w:pPr>
              <w:pStyle w:val="42"/>
            </w:pPr>
            <w:r>
              <w:t>II</w:t>
            </w:r>
            <w:r>
              <w:rPr>
                <w:rFonts w:hint="eastAsia"/>
              </w:rPr>
              <w:t xml:space="preserve"> </w:t>
            </w:r>
            <w:r>
              <w:rPr>
                <w:rFonts w:hint="eastAsia"/>
              </w:rPr>
              <w:sym w:font="Wingdings" w:char="F0A8"/>
            </w:r>
          </w:p>
        </w:tc>
        <w:tc>
          <w:tcPr>
            <w:tcW w:w="1294" w:type="dxa"/>
            <w:vAlign w:val="center"/>
          </w:tcPr>
          <w:p w14:paraId="7EF07426">
            <w:pPr>
              <w:pStyle w:val="42"/>
            </w:pPr>
            <w:r>
              <w:t>I</w:t>
            </w:r>
            <w:r>
              <w:rPr>
                <w:rFonts w:hint="eastAsia"/>
              </w:rPr>
              <w:t xml:space="preserve"> </w:t>
            </w:r>
            <w:r>
              <w:rPr>
                <w:rFonts w:hint="eastAsia"/>
              </w:rPr>
              <w:sym w:font="Wingdings 2" w:char="F052"/>
            </w:r>
          </w:p>
        </w:tc>
      </w:tr>
      <w:tr w14:paraId="3115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70F57C07">
            <w:pPr>
              <w:pStyle w:val="42"/>
            </w:pPr>
            <w:r>
              <w:rPr>
                <w:rFonts w:hint="eastAsia"/>
              </w:rPr>
              <w:t>评价等级</w:t>
            </w:r>
          </w:p>
        </w:tc>
        <w:tc>
          <w:tcPr>
            <w:tcW w:w="1559" w:type="dxa"/>
            <w:gridSpan w:val="2"/>
            <w:vAlign w:val="center"/>
          </w:tcPr>
          <w:p w14:paraId="14A400FF">
            <w:pPr>
              <w:pStyle w:val="42"/>
            </w:pPr>
            <w:r>
              <w:rPr>
                <w:rFonts w:hint="eastAsia"/>
              </w:rPr>
              <w:t xml:space="preserve">一级 </w:t>
            </w:r>
            <w:r>
              <w:rPr>
                <w:rFonts w:hint="eastAsia"/>
              </w:rPr>
              <w:sym w:font="Wingdings" w:char="F0A8"/>
            </w:r>
          </w:p>
        </w:tc>
        <w:tc>
          <w:tcPr>
            <w:tcW w:w="1701" w:type="dxa"/>
            <w:vAlign w:val="center"/>
          </w:tcPr>
          <w:p w14:paraId="72C6F234">
            <w:pPr>
              <w:pStyle w:val="42"/>
            </w:pPr>
            <w:r>
              <w:rPr>
                <w:rFonts w:hint="eastAsia"/>
              </w:rPr>
              <w:t xml:space="preserve">二级 </w:t>
            </w:r>
            <w:r>
              <w:rPr>
                <w:rFonts w:hint="eastAsia"/>
              </w:rPr>
              <w:sym w:font="Wingdings" w:char="F0A8"/>
            </w:r>
          </w:p>
        </w:tc>
        <w:tc>
          <w:tcPr>
            <w:tcW w:w="2126" w:type="dxa"/>
            <w:gridSpan w:val="2"/>
            <w:vAlign w:val="center"/>
          </w:tcPr>
          <w:p w14:paraId="55469E3D">
            <w:pPr>
              <w:pStyle w:val="42"/>
            </w:pPr>
            <w:r>
              <w:rPr>
                <w:rFonts w:hint="eastAsia"/>
              </w:rPr>
              <w:t xml:space="preserve">三级 </w:t>
            </w:r>
            <w:r>
              <w:rPr>
                <w:rFonts w:hint="eastAsia"/>
              </w:rPr>
              <w:sym w:font="Wingdings" w:char="F0A8"/>
            </w:r>
          </w:p>
        </w:tc>
        <w:tc>
          <w:tcPr>
            <w:tcW w:w="2261" w:type="dxa"/>
            <w:gridSpan w:val="3"/>
            <w:vAlign w:val="center"/>
          </w:tcPr>
          <w:p w14:paraId="113172FD">
            <w:pPr>
              <w:pStyle w:val="42"/>
            </w:pPr>
            <w:r>
              <w:rPr>
                <w:rFonts w:hint="eastAsia"/>
              </w:rPr>
              <w:t xml:space="preserve">简单分析 </w:t>
            </w:r>
            <w:r>
              <w:rPr>
                <w:rFonts w:hint="eastAsia"/>
              </w:rPr>
              <w:sym w:font="Wingdings 2" w:char="F052"/>
            </w:r>
          </w:p>
        </w:tc>
      </w:tr>
      <w:tr w14:paraId="171B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0F72CB02">
            <w:pPr>
              <w:pStyle w:val="42"/>
            </w:pPr>
            <w:r>
              <w:rPr>
                <w:rFonts w:hint="eastAsia"/>
              </w:rPr>
              <w:t>风险识别</w:t>
            </w:r>
          </w:p>
        </w:tc>
        <w:tc>
          <w:tcPr>
            <w:tcW w:w="709" w:type="dxa"/>
            <w:vAlign w:val="center"/>
          </w:tcPr>
          <w:p w14:paraId="41E2D827">
            <w:pPr>
              <w:pStyle w:val="42"/>
            </w:pPr>
            <w:r>
              <w:rPr>
                <w:rFonts w:hint="eastAsia"/>
              </w:rPr>
              <w:t>物质危险性</w:t>
            </w:r>
          </w:p>
        </w:tc>
        <w:tc>
          <w:tcPr>
            <w:tcW w:w="3260" w:type="dxa"/>
            <w:gridSpan w:val="3"/>
            <w:vAlign w:val="center"/>
          </w:tcPr>
          <w:p w14:paraId="368B347F">
            <w:pPr>
              <w:pStyle w:val="42"/>
            </w:pPr>
            <w:r>
              <w:rPr>
                <w:rFonts w:hint="eastAsia"/>
              </w:rPr>
              <w:t xml:space="preserve">有毒有害 </w:t>
            </w:r>
            <w:r>
              <w:rPr>
                <w:rFonts w:hint="eastAsia"/>
              </w:rPr>
              <w:sym w:font="Wingdings" w:char="F0A8"/>
            </w:r>
          </w:p>
        </w:tc>
        <w:tc>
          <w:tcPr>
            <w:tcW w:w="4387" w:type="dxa"/>
            <w:gridSpan w:val="5"/>
            <w:vAlign w:val="center"/>
          </w:tcPr>
          <w:p w14:paraId="1569CE4C">
            <w:pPr>
              <w:pStyle w:val="42"/>
            </w:pPr>
            <w:r>
              <w:rPr>
                <w:rFonts w:hint="eastAsia"/>
              </w:rPr>
              <w:t xml:space="preserve">易燃易爆 </w:t>
            </w:r>
            <w:r>
              <w:rPr>
                <w:rFonts w:hint="eastAsia"/>
              </w:rPr>
              <w:sym w:font="Wingdings" w:char="F0A8"/>
            </w:r>
          </w:p>
        </w:tc>
      </w:tr>
      <w:tr w14:paraId="24E3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25187A07">
            <w:pPr>
              <w:pStyle w:val="42"/>
            </w:pPr>
          </w:p>
        </w:tc>
        <w:tc>
          <w:tcPr>
            <w:tcW w:w="709" w:type="dxa"/>
            <w:vAlign w:val="center"/>
          </w:tcPr>
          <w:p w14:paraId="370E2FFE">
            <w:pPr>
              <w:pStyle w:val="42"/>
            </w:pPr>
            <w:r>
              <w:rPr>
                <w:rFonts w:hint="eastAsia"/>
              </w:rPr>
              <w:t>环境风险类型</w:t>
            </w:r>
          </w:p>
        </w:tc>
        <w:tc>
          <w:tcPr>
            <w:tcW w:w="3260" w:type="dxa"/>
            <w:gridSpan w:val="3"/>
            <w:vAlign w:val="center"/>
          </w:tcPr>
          <w:p w14:paraId="3653E7C2">
            <w:pPr>
              <w:pStyle w:val="42"/>
            </w:pPr>
            <w:r>
              <w:rPr>
                <w:rFonts w:hint="eastAsia"/>
              </w:rPr>
              <w:t xml:space="preserve">泄漏 </w:t>
            </w:r>
            <w:r>
              <w:rPr>
                <w:rFonts w:hint="eastAsia"/>
              </w:rPr>
              <w:sym w:font="Wingdings 2" w:char="F052"/>
            </w:r>
          </w:p>
        </w:tc>
        <w:tc>
          <w:tcPr>
            <w:tcW w:w="4387" w:type="dxa"/>
            <w:gridSpan w:val="5"/>
            <w:vAlign w:val="center"/>
          </w:tcPr>
          <w:p w14:paraId="4BEED811">
            <w:pPr>
              <w:pStyle w:val="42"/>
            </w:pPr>
            <w:r>
              <w:rPr>
                <w:rFonts w:hint="eastAsia"/>
              </w:rPr>
              <w:t xml:space="preserve">火灾、爆炸引发伴生/次生污染物排放 </w:t>
            </w:r>
            <w:r>
              <w:rPr>
                <w:rFonts w:hint="eastAsia"/>
              </w:rPr>
              <w:sym w:font="Wingdings" w:char="F0A8"/>
            </w:r>
          </w:p>
        </w:tc>
      </w:tr>
      <w:tr w14:paraId="5916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52818B61">
            <w:pPr>
              <w:pStyle w:val="42"/>
            </w:pPr>
          </w:p>
        </w:tc>
        <w:tc>
          <w:tcPr>
            <w:tcW w:w="709" w:type="dxa"/>
            <w:vAlign w:val="center"/>
          </w:tcPr>
          <w:p w14:paraId="4ECCDA36">
            <w:pPr>
              <w:pStyle w:val="42"/>
            </w:pPr>
            <w:r>
              <w:rPr>
                <w:rFonts w:hint="eastAsia"/>
              </w:rPr>
              <w:t>影响途径</w:t>
            </w:r>
          </w:p>
        </w:tc>
        <w:tc>
          <w:tcPr>
            <w:tcW w:w="3260" w:type="dxa"/>
            <w:gridSpan w:val="3"/>
            <w:vAlign w:val="center"/>
          </w:tcPr>
          <w:p w14:paraId="23DC1885">
            <w:pPr>
              <w:pStyle w:val="42"/>
            </w:pPr>
            <w:r>
              <w:rPr>
                <w:rFonts w:hint="eastAsia"/>
              </w:rPr>
              <w:t xml:space="preserve">大气 </w:t>
            </w:r>
            <w:r>
              <w:rPr>
                <w:rFonts w:hint="eastAsia"/>
              </w:rPr>
              <w:sym w:font="Wingdings 2" w:char="F052"/>
            </w:r>
          </w:p>
        </w:tc>
        <w:tc>
          <w:tcPr>
            <w:tcW w:w="1559" w:type="dxa"/>
            <w:vAlign w:val="center"/>
          </w:tcPr>
          <w:p w14:paraId="4DA5640F">
            <w:pPr>
              <w:pStyle w:val="42"/>
            </w:pPr>
            <w:r>
              <w:rPr>
                <w:rFonts w:hint="eastAsia"/>
              </w:rPr>
              <w:t xml:space="preserve">地表水 </w:t>
            </w:r>
            <w:r>
              <w:rPr>
                <w:rFonts w:hint="eastAsia"/>
              </w:rPr>
              <w:sym w:font="Wingdings" w:char="F0A8"/>
            </w:r>
          </w:p>
        </w:tc>
        <w:tc>
          <w:tcPr>
            <w:tcW w:w="2828" w:type="dxa"/>
            <w:gridSpan w:val="4"/>
            <w:vAlign w:val="center"/>
          </w:tcPr>
          <w:p w14:paraId="5CFC60B3">
            <w:pPr>
              <w:pStyle w:val="42"/>
            </w:pPr>
            <w:r>
              <w:rPr>
                <w:rFonts w:hint="eastAsia"/>
              </w:rPr>
              <w:t xml:space="preserve">地下水 </w:t>
            </w:r>
            <w:r>
              <w:rPr>
                <w:rFonts w:hint="eastAsia"/>
              </w:rPr>
              <w:sym w:font="Wingdings" w:char="F0A8"/>
            </w:r>
          </w:p>
        </w:tc>
      </w:tr>
      <w:tr w14:paraId="1D1B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52B68058">
            <w:pPr>
              <w:pStyle w:val="42"/>
            </w:pPr>
            <w:r>
              <w:rPr>
                <w:rFonts w:hint="eastAsia"/>
              </w:rPr>
              <w:t>事故情形分析</w:t>
            </w:r>
          </w:p>
        </w:tc>
        <w:tc>
          <w:tcPr>
            <w:tcW w:w="1276" w:type="dxa"/>
            <w:vAlign w:val="center"/>
          </w:tcPr>
          <w:p w14:paraId="3E668BFB">
            <w:pPr>
              <w:pStyle w:val="42"/>
            </w:pPr>
            <w:r>
              <w:rPr>
                <w:rFonts w:hint="eastAsia"/>
              </w:rPr>
              <w:t>源强设定方法</w:t>
            </w:r>
          </w:p>
        </w:tc>
        <w:tc>
          <w:tcPr>
            <w:tcW w:w="1984" w:type="dxa"/>
            <w:gridSpan w:val="2"/>
            <w:vAlign w:val="center"/>
          </w:tcPr>
          <w:p w14:paraId="7F14F81E">
            <w:pPr>
              <w:pStyle w:val="42"/>
            </w:pPr>
            <w:r>
              <w:rPr>
                <w:rFonts w:hint="eastAsia"/>
              </w:rPr>
              <w:t xml:space="preserve">计算法 </w:t>
            </w:r>
            <w:r>
              <w:rPr>
                <w:rFonts w:hint="eastAsia"/>
              </w:rPr>
              <w:sym w:font="Wingdings" w:char="F0A8"/>
            </w:r>
          </w:p>
        </w:tc>
        <w:tc>
          <w:tcPr>
            <w:tcW w:w="2268" w:type="dxa"/>
            <w:gridSpan w:val="3"/>
            <w:vAlign w:val="center"/>
          </w:tcPr>
          <w:p w14:paraId="627F923B">
            <w:pPr>
              <w:pStyle w:val="42"/>
            </w:pPr>
            <w:r>
              <w:rPr>
                <w:rFonts w:hint="eastAsia"/>
              </w:rPr>
              <w:t xml:space="preserve">经验估算法 </w:t>
            </w:r>
            <w:r>
              <w:rPr>
                <w:rFonts w:hint="eastAsia"/>
              </w:rPr>
              <w:sym w:font="Wingdings" w:char="F0A8"/>
            </w:r>
          </w:p>
        </w:tc>
        <w:tc>
          <w:tcPr>
            <w:tcW w:w="2119" w:type="dxa"/>
            <w:gridSpan w:val="2"/>
            <w:vAlign w:val="center"/>
          </w:tcPr>
          <w:p w14:paraId="5319BAAC">
            <w:pPr>
              <w:pStyle w:val="42"/>
            </w:pPr>
            <w:r>
              <w:rPr>
                <w:rFonts w:hint="eastAsia"/>
              </w:rPr>
              <w:t xml:space="preserve">其他估算法 </w:t>
            </w:r>
            <w:r>
              <w:rPr>
                <w:rFonts w:hint="eastAsia"/>
              </w:rPr>
              <w:sym w:font="Wingdings" w:char="F0A8"/>
            </w:r>
          </w:p>
        </w:tc>
      </w:tr>
      <w:tr w14:paraId="39AE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3951F5B6">
            <w:pPr>
              <w:pStyle w:val="42"/>
            </w:pPr>
            <w:r>
              <w:rPr>
                <w:rFonts w:hint="eastAsia"/>
              </w:rPr>
              <w:t>风险预测与评价</w:t>
            </w:r>
          </w:p>
        </w:tc>
        <w:tc>
          <w:tcPr>
            <w:tcW w:w="709" w:type="dxa"/>
            <w:vMerge w:val="restart"/>
            <w:vAlign w:val="center"/>
          </w:tcPr>
          <w:p w14:paraId="184C1259">
            <w:pPr>
              <w:pStyle w:val="42"/>
            </w:pPr>
            <w:r>
              <w:rPr>
                <w:rFonts w:hint="eastAsia"/>
              </w:rPr>
              <w:t>大气</w:t>
            </w:r>
          </w:p>
        </w:tc>
        <w:tc>
          <w:tcPr>
            <w:tcW w:w="1276" w:type="dxa"/>
            <w:vAlign w:val="center"/>
          </w:tcPr>
          <w:p w14:paraId="3968A1E5">
            <w:pPr>
              <w:pStyle w:val="42"/>
            </w:pPr>
            <w:r>
              <w:rPr>
                <w:rFonts w:hint="eastAsia"/>
              </w:rPr>
              <w:t>预测模型</w:t>
            </w:r>
          </w:p>
        </w:tc>
        <w:tc>
          <w:tcPr>
            <w:tcW w:w="1984" w:type="dxa"/>
            <w:gridSpan w:val="2"/>
            <w:vAlign w:val="center"/>
          </w:tcPr>
          <w:p w14:paraId="7E17A58E">
            <w:pPr>
              <w:pStyle w:val="42"/>
            </w:pPr>
            <w:r>
              <w:t>SLAB</w:t>
            </w:r>
            <w:r>
              <w:rPr>
                <w:rFonts w:hint="eastAsia"/>
              </w:rPr>
              <w:t xml:space="preserve"> </w:t>
            </w:r>
            <w:r>
              <w:rPr>
                <w:rFonts w:hint="eastAsia"/>
              </w:rPr>
              <w:sym w:font="Wingdings" w:char="F0A8"/>
            </w:r>
          </w:p>
        </w:tc>
        <w:tc>
          <w:tcPr>
            <w:tcW w:w="2268" w:type="dxa"/>
            <w:gridSpan w:val="3"/>
            <w:vAlign w:val="center"/>
          </w:tcPr>
          <w:p w14:paraId="6C3730D8">
            <w:pPr>
              <w:pStyle w:val="42"/>
            </w:pPr>
            <w:r>
              <w:t>AFTOX</w:t>
            </w:r>
            <w:r>
              <w:rPr>
                <w:rFonts w:hint="eastAsia"/>
              </w:rPr>
              <w:t xml:space="preserve"> </w:t>
            </w:r>
            <w:r>
              <w:rPr>
                <w:rFonts w:hint="eastAsia"/>
              </w:rPr>
              <w:sym w:font="Wingdings" w:char="F0A8"/>
            </w:r>
          </w:p>
        </w:tc>
        <w:tc>
          <w:tcPr>
            <w:tcW w:w="2119" w:type="dxa"/>
            <w:gridSpan w:val="2"/>
            <w:vAlign w:val="center"/>
          </w:tcPr>
          <w:p w14:paraId="1C59BCD7">
            <w:pPr>
              <w:pStyle w:val="42"/>
            </w:pPr>
            <w:r>
              <w:rPr>
                <w:rFonts w:hint="eastAsia"/>
              </w:rPr>
              <w:t xml:space="preserve">其他 </w:t>
            </w:r>
            <w:r>
              <w:rPr>
                <w:rFonts w:hint="eastAsia"/>
              </w:rPr>
              <w:sym w:font="Wingdings" w:char="F0A8"/>
            </w:r>
          </w:p>
        </w:tc>
      </w:tr>
      <w:tr w14:paraId="2141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6ECD3BD0">
            <w:pPr>
              <w:pStyle w:val="42"/>
            </w:pPr>
          </w:p>
        </w:tc>
        <w:tc>
          <w:tcPr>
            <w:tcW w:w="709" w:type="dxa"/>
            <w:vMerge w:val="continue"/>
            <w:vAlign w:val="center"/>
          </w:tcPr>
          <w:p w14:paraId="527C7E97">
            <w:pPr>
              <w:pStyle w:val="42"/>
            </w:pPr>
          </w:p>
        </w:tc>
        <w:tc>
          <w:tcPr>
            <w:tcW w:w="1276" w:type="dxa"/>
            <w:vMerge w:val="restart"/>
            <w:vAlign w:val="center"/>
          </w:tcPr>
          <w:p w14:paraId="0D115394">
            <w:pPr>
              <w:pStyle w:val="42"/>
            </w:pPr>
            <w:r>
              <w:rPr>
                <w:rFonts w:hint="eastAsia"/>
              </w:rPr>
              <w:t>预测结果</w:t>
            </w:r>
          </w:p>
        </w:tc>
        <w:tc>
          <w:tcPr>
            <w:tcW w:w="6371" w:type="dxa"/>
            <w:gridSpan w:val="7"/>
            <w:vAlign w:val="center"/>
          </w:tcPr>
          <w:p w14:paraId="6CC01DBE">
            <w:pPr>
              <w:pStyle w:val="42"/>
            </w:pPr>
            <w:r>
              <w:rPr>
                <w:rFonts w:hint="eastAsia"/>
              </w:rPr>
              <w:t>大气毒性终点浓度-1 最大影响范围 m</w:t>
            </w:r>
          </w:p>
        </w:tc>
      </w:tr>
      <w:tr w14:paraId="046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7BE3823F">
            <w:pPr>
              <w:pStyle w:val="42"/>
            </w:pPr>
          </w:p>
        </w:tc>
        <w:tc>
          <w:tcPr>
            <w:tcW w:w="709" w:type="dxa"/>
            <w:vMerge w:val="continue"/>
            <w:vAlign w:val="center"/>
          </w:tcPr>
          <w:p w14:paraId="62089EE0">
            <w:pPr>
              <w:pStyle w:val="42"/>
            </w:pPr>
          </w:p>
        </w:tc>
        <w:tc>
          <w:tcPr>
            <w:tcW w:w="1276" w:type="dxa"/>
            <w:vMerge w:val="continue"/>
            <w:vAlign w:val="center"/>
          </w:tcPr>
          <w:p w14:paraId="7FC3D81B">
            <w:pPr>
              <w:pStyle w:val="42"/>
            </w:pPr>
          </w:p>
        </w:tc>
        <w:tc>
          <w:tcPr>
            <w:tcW w:w="6371" w:type="dxa"/>
            <w:gridSpan w:val="7"/>
            <w:vAlign w:val="center"/>
          </w:tcPr>
          <w:p w14:paraId="174670C2">
            <w:pPr>
              <w:pStyle w:val="42"/>
            </w:pPr>
            <w:r>
              <w:rPr>
                <w:rFonts w:hint="eastAsia"/>
              </w:rPr>
              <w:t>大气毒性终点浓度-2 最大影响范围 m</w:t>
            </w:r>
          </w:p>
        </w:tc>
      </w:tr>
      <w:tr w14:paraId="0E38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043ADC13">
            <w:pPr>
              <w:pStyle w:val="42"/>
            </w:pPr>
          </w:p>
        </w:tc>
        <w:tc>
          <w:tcPr>
            <w:tcW w:w="709" w:type="dxa"/>
            <w:vAlign w:val="center"/>
          </w:tcPr>
          <w:p w14:paraId="61197754">
            <w:pPr>
              <w:pStyle w:val="42"/>
            </w:pPr>
            <w:r>
              <w:rPr>
                <w:rFonts w:hint="eastAsia"/>
              </w:rPr>
              <w:t>地表水</w:t>
            </w:r>
          </w:p>
        </w:tc>
        <w:tc>
          <w:tcPr>
            <w:tcW w:w="7647" w:type="dxa"/>
            <w:gridSpan w:val="8"/>
            <w:vAlign w:val="center"/>
          </w:tcPr>
          <w:p w14:paraId="2903B4B9">
            <w:pPr>
              <w:pStyle w:val="42"/>
            </w:pPr>
            <w:r>
              <w:rPr>
                <w:rFonts w:hint="eastAsia"/>
              </w:rPr>
              <w:t>最近环境敏感目标，到达时间 h</w:t>
            </w:r>
          </w:p>
        </w:tc>
      </w:tr>
      <w:tr w14:paraId="7461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377EFAA8">
            <w:pPr>
              <w:pStyle w:val="42"/>
            </w:pPr>
          </w:p>
        </w:tc>
        <w:tc>
          <w:tcPr>
            <w:tcW w:w="709" w:type="dxa"/>
            <w:vMerge w:val="restart"/>
            <w:vAlign w:val="center"/>
          </w:tcPr>
          <w:p w14:paraId="1D62D5BA">
            <w:pPr>
              <w:pStyle w:val="42"/>
            </w:pPr>
            <w:r>
              <w:rPr>
                <w:rFonts w:hint="eastAsia"/>
              </w:rPr>
              <w:t>地下水</w:t>
            </w:r>
          </w:p>
        </w:tc>
        <w:tc>
          <w:tcPr>
            <w:tcW w:w="7647" w:type="dxa"/>
            <w:gridSpan w:val="8"/>
            <w:vAlign w:val="center"/>
          </w:tcPr>
          <w:p w14:paraId="73ADFA1D">
            <w:pPr>
              <w:pStyle w:val="42"/>
            </w:pPr>
            <w:r>
              <w:rPr>
                <w:rFonts w:hint="eastAsia"/>
              </w:rPr>
              <w:t>下游厂区边界达到时间 d</w:t>
            </w:r>
          </w:p>
        </w:tc>
      </w:tr>
      <w:tr w14:paraId="7AB5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BD18784">
            <w:pPr>
              <w:pStyle w:val="42"/>
            </w:pPr>
          </w:p>
        </w:tc>
        <w:tc>
          <w:tcPr>
            <w:tcW w:w="709" w:type="dxa"/>
            <w:vMerge w:val="continue"/>
            <w:vAlign w:val="center"/>
          </w:tcPr>
          <w:p w14:paraId="4048A034">
            <w:pPr>
              <w:pStyle w:val="42"/>
            </w:pPr>
          </w:p>
        </w:tc>
        <w:tc>
          <w:tcPr>
            <w:tcW w:w="7647" w:type="dxa"/>
            <w:gridSpan w:val="8"/>
            <w:vAlign w:val="center"/>
          </w:tcPr>
          <w:p w14:paraId="3D36CF25">
            <w:pPr>
              <w:pStyle w:val="42"/>
            </w:pPr>
            <w:r>
              <w:rPr>
                <w:rFonts w:hint="eastAsia"/>
              </w:rPr>
              <w:t>最近环境敏感目标 ，到达时间 d</w:t>
            </w:r>
          </w:p>
        </w:tc>
      </w:tr>
      <w:tr w14:paraId="5826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23D39181">
            <w:pPr>
              <w:pStyle w:val="42"/>
            </w:pPr>
            <w:r>
              <w:rPr>
                <w:rFonts w:hint="eastAsia"/>
              </w:rPr>
              <w:t>重点风险防范措施</w:t>
            </w:r>
          </w:p>
        </w:tc>
        <w:tc>
          <w:tcPr>
            <w:tcW w:w="7647" w:type="dxa"/>
            <w:gridSpan w:val="8"/>
            <w:vAlign w:val="center"/>
          </w:tcPr>
          <w:p w14:paraId="0681B771">
            <w:pPr>
              <w:pStyle w:val="42"/>
              <w:jc w:val="both"/>
            </w:pPr>
            <w:r>
              <w:rPr>
                <w:rFonts w:hint="eastAsia"/>
              </w:rPr>
              <w:t>1、总平布置和建筑风险防范措施、总平布置和建筑风险防范措施</w:t>
            </w:r>
          </w:p>
          <w:p w14:paraId="396718A8">
            <w:pPr>
              <w:pStyle w:val="42"/>
              <w:jc w:val="both"/>
            </w:pPr>
            <w:r>
              <w:rPr>
                <w:rFonts w:hint="eastAsia"/>
              </w:rPr>
              <w:t>2、管道泄漏、危险废物贮存风险防范措施、管道泄漏、危险废物贮存风险防范措施</w:t>
            </w:r>
          </w:p>
          <w:p w14:paraId="4329BE1F">
            <w:pPr>
              <w:pStyle w:val="42"/>
              <w:jc w:val="both"/>
            </w:pPr>
            <w:r>
              <w:rPr>
                <w:rFonts w:hint="eastAsia"/>
              </w:rPr>
              <w:t>3、安全管理措施、安全管理措施</w:t>
            </w:r>
          </w:p>
          <w:p w14:paraId="336F83FA">
            <w:pPr>
              <w:pStyle w:val="42"/>
              <w:jc w:val="both"/>
            </w:pPr>
            <w:r>
              <w:rPr>
                <w:rFonts w:hint="eastAsia"/>
              </w:rPr>
              <w:t>4、应急预案、应急预案</w:t>
            </w:r>
          </w:p>
        </w:tc>
      </w:tr>
      <w:tr w14:paraId="39C0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67EE0BED">
            <w:pPr>
              <w:pStyle w:val="42"/>
            </w:pPr>
            <w:r>
              <w:rPr>
                <w:rFonts w:hint="eastAsia"/>
              </w:rPr>
              <w:t>评价结论与建议</w:t>
            </w:r>
          </w:p>
        </w:tc>
        <w:tc>
          <w:tcPr>
            <w:tcW w:w="7647" w:type="dxa"/>
            <w:gridSpan w:val="8"/>
            <w:vAlign w:val="center"/>
          </w:tcPr>
          <w:p w14:paraId="324C7211">
            <w:pPr>
              <w:pStyle w:val="42"/>
              <w:jc w:val="both"/>
            </w:pPr>
            <w:r>
              <w:rPr>
                <w:rFonts w:hint="eastAsia"/>
              </w:rPr>
              <w:t>企业按本评价提出的各项风险防范措施进行严格管理，制订相应的应急预案、突发环境事件</w:t>
            </w:r>
            <w:r>
              <w:rPr>
                <w:rFonts w:hint="eastAsia"/>
                <w:lang w:eastAsia="zh-CN"/>
              </w:rPr>
              <w:t>隐患</w:t>
            </w:r>
            <w:r>
              <w:rPr>
                <w:rFonts w:hint="eastAsia"/>
              </w:rPr>
              <w:t>应急预案、突发环境事件隐患排查治理制度和减缓措施，可以消除或降低环境风险事故发生和最大限度地减轻事故造成的环境污染和损失，环境风险在可接受的范围。</w:t>
            </w:r>
          </w:p>
        </w:tc>
      </w:tr>
      <w:tr w14:paraId="7626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10"/>
            <w:vAlign w:val="center"/>
          </w:tcPr>
          <w:p w14:paraId="35075A7B">
            <w:pPr>
              <w:pStyle w:val="42"/>
              <w:jc w:val="both"/>
            </w:pPr>
            <w:r>
              <w:rPr>
                <w:rFonts w:hint="eastAsia"/>
              </w:rPr>
              <w:t>注：“</w:t>
            </w:r>
            <w:r>
              <w:rPr>
                <w:rFonts w:hint="eastAsia"/>
              </w:rPr>
              <w:sym w:font="Wingdings" w:char="F0A8"/>
            </w:r>
            <w:r>
              <w:rPr>
                <w:rFonts w:hint="eastAsia"/>
              </w:rPr>
              <w:t>”为勾选项，“</w:t>
            </w:r>
            <w:r>
              <w:rPr>
                <w:rFonts w:hint="eastAsia"/>
                <w:u w:val="single"/>
              </w:rPr>
              <w:t xml:space="preserve">    </w:t>
            </w:r>
            <w:r>
              <w:rPr>
                <w:rFonts w:hint="eastAsia"/>
              </w:rPr>
              <w:t>”为填写项。</w:t>
            </w:r>
          </w:p>
        </w:tc>
      </w:tr>
    </w:tbl>
    <w:p w14:paraId="4D3DFCB1">
      <w:pPr>
        <w:pStyle w:val="54"/>
        <w:ind w:firstLine="480"/>
      </w:pPr>
    </w:p>
    <w:p w14:paraId="5E13F2E2">
      <w:pPr>
        <w:pStyle w:val="57"/>
        <w:numPr>
          <w:ilvl w:val="1"/>
          <w:numId w:val="16"/>
        </w:numPr>
      </w:pPr>
      <w:bookmarkStart w:id="112" w:name="_Toc182815886"/>
      <w:r>
        <w:rPr>
          <w:rFonts w:hint="eastAsia"/>
        </w:rPr>
        <w:t>结论</w:t>
      </w:r>
      <w:bookmarkEnd w:id="112"/>
    </w:p>
    <w:p w14:paraId="3E59A71C">
      <w:pPr>
        <w:pStyle w:val="54"/>
        <w:ind w:firstLine="480"/>
      </w:pPr>
      <w:r>
        <w:rPr>
          <w:rFonts w:hint="eastAsia"/>
        </w:rPr>
        <w:t>本项目为液氮储存和氮气管道输送项目，项目建设符合国家产业政策。本项目工艺成熟可靠，选址合理，平面布置、设备设计选型等符合安全要求。依据国家相关法律法规和标准等，应采取相应的安全措施和技术手段。项目具有完善</w:t>
      </w:r>
      <w:bookmarkStart w:id="113" w:name="_GoBack"/>
      <w:r>
        <w:rPr>
          <w:rFonts w:hint="eastAsia"/>
          <w:lang w:eastAsia="zh-CN"/>
        </w:rPr>
        <w:t>的</w:t>
      </w:r>
      <w:bookmarkEnd w:id="113"/>
      <w:r>
        <w:rPr>
          <w:rFonts w:hint="eastAsia"/>
        </w:rPr>
        <w:t>风险管理措施和风险应急方案，应急预案与当地政府和相关部门的应急预案相衔接，环境风险可防可控。通过落实相应的安全措施，环境风险可接受，本项目建成后能够安全运行。</w:t>
      </w:r>
    </w:p>
    <w:p w14:paraId="106CC34D">
      <w:pPr>
        <w:pStyle w:val="54"/>
        <w:ind w:firstLine="480"/>
      </w:pPr>
    </w:p>
    <w:p w14:paraId="378D2A8E">
      <w:pPr>
        <w:widowControl/>
        <w:adjustRightInd w:val="0"/>
        <w:snapToGrid w:val="0"/>
        <w:spacing w:before="249" w:beforeLines="80"/>
        <w:jc w:val="left"/>
        <w:rPr>
          <w:rFonts w:ascii="宋体"/>
        </w:rPr>
      </w:pPr>
    </w:p>
    <w:sectPr>
      <w:headerReference r:id="rId25" w:type="default"/>
      <w:footerReference r:id="rId27" w:type="default"/>
      <w:headerReference r:id="rId26" w:type="even"/>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E005C">
    <w:pPr>
      <w:pStyle w:val="1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A9929">
    <w:pPr>
      <w:pStyle w:val="10"/>
      <w:jc w:val="center"/>
    </w:pPr>
  </w:p>
  <w:p w14:paraId="657274F0">
    <w:pPr>
      <w:pStyle w:val="10"/>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4866012"/>
    </w:sdtPr>
    <w:sdtContent>
      <w:p w14:paraId="51F7855D">
        <w:pPr>
          <w:pStyle w:val="10"/>
          <w:jc w:val="center"/>
        </w:pPr>
        <w:r>
          <w:fldChar w:fldCharType="begin"/>
        </w:r>
        <w:r>
          <w:instrText xml:space="preserve">PAGE   \* MERGEFORMAT</w:instrText>
        </w:r>
        <w:r>
          <w:fldChar w:fldCharType="separate"/>
        </w:r>
        <w:r>
          <w:rPr>
            <w:lang w:val="zh-CN"/>
          </w:rPr>
          <w:t>2</w:t>
        </w:r>
        <w:r>
          <w:fldChar w:fldCharType="end"/>
        </w:r>
      </w:p>
    </w:sdtContent>
  </w:sdt>
  <w:p w14:paraId="1FC43381">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618C">
    <w:pPr>
      <w:pStyle w:val="10"/>
      <w:pBdr>
        <w:top w:val="single" w:color="auto" w:sz="4" w:space="1"/>
      </w:pBdr>
      <w:jc w:val="center"/>
    </w:pPr>
    <w:r>
      <w:fldChar w:fldCharType="begin"/>
    </w:r>
    <w:r>
      <w:instrText xml:space="preserve">PAGE   \* MERGEFORMAT</w:instrText>
    </w:r>
    <w:r>
      <w:fldChar w:fldCharType="separate"/>
    </w:r>
    <w:r>
      <w:rPr>
        <w:lang w:val="zh-CN"/>
      </w:rP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47370">
    <w:pPr>
      <w:pStyle w:val="10"/>
      <w:pBdr>
        <w:top w:val="single" w:color="auto" w:sz="4" w:space="1"/>
      </w:pBdr>
      <w:jc w:val="center"/>
    </w:pPr>
    <w:r>
      <w:fldChar w:fldCharType="begin"/>
    </w:r>
    <w:r>
      <w:instrText xml:space="preserve">PAGE   \* MERGEFORMAT</w:instrText>
    </w:r>
    <w:r>
      <w:fldChar w:fldCharType="separate"/>
    </w:r>
    <w:r>
      <w:rPr>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89DEF">
    <w:pPr>
      <w:pStyle w:val="10"/>
      <w:jc w:val="center"/>
    </w:pPr>
  </w:p>
  <w:p w14:paraId="2CFF9FA9">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FD304">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B8AC1">
    <w:pPr>
      <w:pStyle w:val="10"/>
      <w:jc w:val="center"/>
    </w:pPr>
  </w:p>
  <w:p w14:paraId="3E86C795">
    <w:pPr>
      <w:pStyle w:val="1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0A7D">
    <w:pPr>
      <w:pStyle w:val="10"/>
      <w:jc w:val="center"/>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055C4">
    <w:pPr>
      <w:pStyle w:val="10"/>
      <w:jc w:val="center"/>
    </w:pPr>
    <w:r>
      <w:fldChar w:fldCharType="begin"/>
    </w:r>
    <w:r>
      <w:instrText xml:space="preserve">PAGE   \* MERGEFORMAT</w:instrText>
    </w:r>
    <w:r>
      <w:fldChar w:fldCharType="separate"/>
    </w:r>
    <w:r>
      <w:t>I</w:t>
    </w:r>
    <w:r>
      <w:fldChar w:fldCharType="end"/>
    </w:r>
  </w:p>
  <w:p w14:paraId="6947268E">
    <w:pPr>
      <w:pStyle w:val="1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FB6E0">
    <w:pPr>
      <w:pStyle w:val="10"/>
      <w:framePr w:wrap="around" w:vAnchor="text" w:hAnchor="margin" w:xAlign="outside" w:y="1"/>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19</w:t>
    </w:r>
    <w:r>
      <w:rPr>
        <w:rStyle w:val="20"/>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p w14:paraId="7B57A083">
    <w:pPr>
      <w:pStyle w:val="10"/>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F631E">
    <w:pPr>
      <w:pStyle w:val="10"/>
      <w:jc w:val="center"/>
    </w:pPr>
  </w:p>
  <w:p w14:paraId="765A62EB">
    <w:pPr>
      <w:pStyle w:val="10"/>
      <w:framePr w:wrap="around" w:vAnchor="text" w:hAnchor="margin" w:xAlign="outside" w:y="1"/>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66</w:t>
    </w:r>
    <w:r>
      <w:rPr>
        <w:rStyle w:val="20"/>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p w14:paraId="0491B64E">
    <w:pPr>
      <w:pStyle w:val="10"/>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7070741"/>
      <w:showingPlcHdr/>
    </w:sdtPr>
    <w:sdtContent>
      <w:p w14:paraId="60D45DDA">
        <w:pPr>
          <w:pStyle w:val="10"/>
          <w:jc w:val="center"/>
        </w:pPr>
        <w:r>
          <w:t xml:space="preserve">     </w:t>
        </w:r>
      </w:p>
    </w:sdtContent>
  </w:sdt>
  <w:p w14:paraId="4E21716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F9E7C">
    <w:pPr>
      <w:pStyle w:val="11"/>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5E666">
    <w:pPr>
      <w:pStyle w:val="11"/>
      <w:pBdr>
        <w:bottom w:val="single" w:color="auto" w:sz="4" w:space="1"/>
      </w:pBdr>
      <w:jc w:val="left"/>
    </w:pPr>
    <w:r>
      <w:rPr>
        <w:rFonts w:hint="eastAsia"/>
      </w:rPr>
      <w:t>兴宾桥巩风电场一期项目电磁辐射影响专题报告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87EA">
    <w:pPr>
      <w:pStyle w:val="11"/>
      <w:jc w:val="right"/>
    </w:pPr>
    <w:r>
      <w:rPr>
        <w:rFonts w:hint="eastAsia"/>
      </w:rPr>
      <w:t>林德气体（广西）有限公司钦州园区三期氮气供应项目环境风险影响专项评价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FE51D">
    <w:pPr>
      <w:pStyle w:val="11"/>
      <w:pBdr>
        <w:bottom w:val="single" w:color="auto" w:sz="4" w:space="1"/>
      </w:pBdr>
      <w:jc w:val="left"/>
    </w:pPr>
    <w:r>
      <w:rPr>
        <w:rFonts w:hint="eastAsia"/>
      </w:rPr>
      <w:t>林德气体（广西）有限公司钦州园区三期氮气供应项目环境风险影响专项评价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199FF">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5A6A">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8E4C">
    <w:pPr>
      <w:pStyle w:val="1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C5476">
    <w:pPr>
      <w:pStyle w:val="1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65B3A">
    <w:pPr>
      <w:pStyle w:val="11"/>
      <w:jc w:val="right"/>
    </w:pPr>
    <w:r>
      <w:rPr>
        <w:rFonts w:hint="eastAsia"/>
      </w:rPr>
      <w:t>林德气体（广西）有限公司钦州园区三期氮气供应项目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8821">
    <w:pPr>
      <w:pStyle w:val="11"/>
      <w:jc w:val="left"/>
    </w:pPr>
    <w:r>
      <w:rPr>
        <w:rFonts w:hint="eastAsia"/>
      </w:rPr>
      <w:t>林德气体（广西）有限公司钦州园区三期氮气供应项目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7B6C0">
    <w:pPr>
      <w:pStyle w:val="11"/>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1B354">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E5D69"/>
    <w:multiLevelType w:val="multilevel"/>
    <w:tmpl w:val="01DE5D69"/>
    <w:lvl w:ilvl="0" w:tentative="0">
      <w:start w:val="1"/>
      <w:numFmt w:val="decimal"/>
      <w:suff w:val="nothing"/>
      <w:lvlText w:val="（%1）"/>
      <w:lvlJc w:val="left"/>
      <w:pPr>
        <w:ind w:left="2992" w:hanging="440"/>
      </w:pPr>
      <w:rPr>
        <w:rFonts w:hint="eastAsia"/>
      </w:rPr>
    </w:lvl>
    <w:lvl w:ilvl="1" w:tentative="0">
      <w:start w:val="1"/>
      <w:numFmt w:val="lowerLetter"/>
      <w:lvlText w:val="%2)"/>
      <w:lvlJc w:val="left"/>
      <w:pPr>
        <w:ind w:left="3432" w:hanging="440"/>
      </w:pPr>
      <w:rPr>
        <w:rFonts w:hint="eastAsia"/>
      </w:rPr>
    </w:lvl>
    <w:lvl w:ilvl="2" w:tentative="0">
      <w:start w:val="1"/>
      <w:numFmt w:val="lowerRoman"/>
      <w:lvlText w:val="%3."/>
      <w:lvlJc w:val="right"/>
      <w:pPr>
        <w:ind w:left="3872" w:hanging="440"/>
      </w:pPr>
      <w:rPr>
        <w:rFonts w:hint="eastAsia"/>
      </w:rPr>
    </w:lvl>
    <w:lvl w:ilvl="3" w:tentative="0">
      <w:start w:val="1"/>
      <w:numFmt w:val="decimal"/>
      <w:lvlText w:val="%4."/>
      <w:lvlJc w:val="left"/>
      <w:pPr>
        <w:ind w:left="4312" w:hanging="440"/>
      </w:pPr>
      <w:rPr>
        <w:rFonts w:hint="eastAsia"/>
      </w:rPr>
    </w:lvl>
    <w:lvl w:ilvl="4" w:tentative="0">
      <w:start w:val="1"/>
      <w:numFmt w:val="lowerLetter"/>
      <w:lvlText w:val="%5)"/>
      <w:lvlJc w:val="left"/>
      <w:pPr>
        <w:ind w:left="4752" w:hanging="440"/>
      </w:pPr>
      <w:rPr>
        <w:rFonts w:hint="eastAsia"/>
      </w:rPr>
    </w:lvl>
    <w:lvl w:ilvl="5" w:tentative="0">
      <w:start w:val="1"/>
      <w:numFmt w:val="lowerRoman"/>
      <w:lvlText w:val="%6."/>
      <w:lvlJc w:val="right"/>
      <w:pPr>
        <w:ind w:left="5192" w:hanging="440"/>
      </w:pPr>
      <w:rPr>
        <w:rFonts w:hint="eastAsia"/>
      </w:rPr>
    </w:lvl>
    <w:lvl w:ilvl="6" w:tentative="0">
      <w:start w:val="1"/>
      <w:numFmt w:val="decimal"/>
      <w:lvlText w:val="%7."/>
      <w:lvlJc w:val="left"/>
      <w:pPr>
        <w:ind w:left="5632" w:hanging="440"/>
      </w:pPr>
      <w:rPr>
        <w:rFonts w:hint="eastAsia"/>
      </w:rPr>
    </w:lvl>
    <w:lvl w:ilvl="7" w:tentative="0">
      <w:start w:val="1"/>
      <w:numFmt w:val="lowerLetter"/>
      <w:lvlText w:val="%8)"/>
      <w:lvlJc w:val="left"/>
      <w:pPr>
        <w:ind w:left="6072" w:hanging="440"/>
      </w:pPr>
      <w:rPr>
        <w:rFonts w:hint="eastAsia"/>
      </w:rPr>
    </w:lvl>
    <w:lvl w:ilvl="8" w:tentative="0">
      <w:start w:val="1"/>
      <w:numFmt w:val="lowerRoman"/>
      <w:lvlText w:val="%9."/>
      <w:lvlJc w:val="right"/>
      <w:pPr>
        <w:ind w:left="6512" w:hanging="440"/>
      </w:pPr>
      <w:rPr>
        <w:rFonts w:hint="eastAsia"/>
      </w:rPr>
    </w:lvl>
  </w:abstractNum>
  <w:abstractNum w:abstractNumId="1">
    <w:nsid w:val="036F6F2D"/>
    <w:multiLevelType w:val="multilevel"/>
    <w:tmpl w:val="036F6F2D"/>
    <w:lvl w:ilvl="0" w:tentative="0">
      <w:start w:val="1"/>
      <w:numFmt w:val="decimal"/>
      <w:suff w:val="space"/>
      <w:lvlText w:val="图4-%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2">
    <w:nsid w:val="0CF95190"/>
    <w:multiLevelType w:val="multilevel"/>
    <w:tmpl w:val="0CF95190"/>
    <w:lvl w:ilvl="0" w:tentative="0">
      <w:start w:val="1"/>
      <w:numFmt w:val="decimal"/>
      <w:suff w:val="space"/>
      <w:lvlText w:val="表5-%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3">
    <w:nsid w:val="135D0427"/>
    <w:multiLevelType w:val="multilevel"/>
    <w:tmpl w:val="135D0427"/>
    <w:lvl w:ilvl="0" w:tentative="0">
      <w:start w:val="1"/>
      <w:numFmt w:val="decimal"/>
      <w:pStyle w:val="55"/>
      <w:suff w:val="space"/>
      <w:lvlText w:val="%1"/>
      <w:lvlJc w:val="left"/>
      <w:pPr>
        <w:ind w:left="0" w:firstLine="0"/>
      </w:pPr>
      <w:rPr>
        <w:rFonts w:hint="eastAsia"/>
      </w:rPr>
    </w:lvl>
    <w:lvl w:ilvl="1" w:tentative="0">
      <w:start w:val="1"/>
      <w:numFmt w:val="decimal"/>
      <w:pStyle w:val="57"/>
      <w:suff w:val="space"/>
      <w:lvlText w:val="%1.%2"/>
      <w:lvlJc w:val="left"/>
      <w:pPr>
        <w:ind w:left="0" w:firstLine="0"/>
      </w:pPr>
      <w:rPr>
        <w:rFonts w:hint="eastAsia"/>
      </w:rPr>
    </w:lvl>
    <w:lvl w:ilvl="2" w:tentative="0">
      <w:start w:val="1"/>
      <w:numFmt w:val="decimal"/>
      <w:pStyle w:val="59"/>
      <w:suff w:val="space"/>
      <w:lvlText w:val="%1.%2.%3"/>
      <w:lvlJc w:val="left"/>
      <w:pPr>
        <w:ind w:left="0" w:firstLine="0"/>
      </w:pPr>
      <w:rPr>
        <w:rFonts w:hint="eastAsia"/>
      </w:rPr>
    </w:lvl>
    <w:lvl w:ilvl="3" w:tentative="0">
      <w:start w:val="1"/>
      <w:numFmt w:val="decimal"/>
      <w:pStyle w:val="61"/>
      <w:suff w:val="space"/>
      <w:lvlText w:val="%1.%2.%3.%4"/>
      <w:lvlJc w:val="left"/>
      <w:pPr>
        <w:ind w:left="0" w:firstLine="0"/>
      </w:pPr>
      <w:rPr>
        <w:rFonts w:hint="eastAsia"/>
      </w:rPr>
    </w:lvl>
    <w:lvl w:ilvl="4" w:tentative="0">
      <w:start w:val="1"/>
      <w:numFmt w:val="decimal"/>
      <w:lvlRestart w:val="2"/>
      <w:pStyle w:val="63"/>
      <w:suff w:val="space"/>
      <w:lvlText w:val="表%1.%2-%5"/>
      <w:lvlJc w:val="center"/>
      <w:pPr>
        <w:ind w:left="0" w:firstLine="288"/>
      </w:pPr>
      <w:rPr>
        <w:rFonts w:hint="eastAsia"/>
      </w:rPr>
    </w:lvl>
    <w:lvl w:ilvl="5" w:tentative="0">
      <w:start w:val="1"/>
      <w:numFmt w:val="decimal"/>
      <w:lvlRestart w:val="2"/>
      <w:pStyle w:val="65"/>
      <w:suff w:val="space"/>
      <w:lvlText w:val="图%1.%2-%6"/>
      <w:lvlJc w:val="center"/>
      <w:pPr>
        <w:ind w:left="0" w:firstLine="288"/>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4">
    <w:nsid w:val="191561C8"/>
    <w:multiLevelType w:val="multilevel"/>
    <w:tmpl w:val="191561C8"/>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5">
    <w:nsid w:val="3EA158B4"/>
    <w:multiLevelType w:val="multilevel"/>
    <w:tmpl w:val="3EA158B4"/>
    <w:lvl w:ilvl="0" w:tentative="0">
      <w:start w:val="1"/>
      <w:numFmt w:val="decimal"/>
      <w:suff w:val="space"/>
      <w:lvlText w:val="表4-%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6">
    <w:nsid w:val="4CDF45C4"/>
    <w:multiLevelType w:val="multilevel"/>
    <w:tmpl w:val="4CDF45C4"/>
    <w:lvl w:ilvl="0" w:tentative="0">
      <w:start w:val="1"/>
      <w:numFmt w:val="decimal"/>
      <w:lvlText w:val="表1-%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4EC94361"/>
    <w:multiLevelType w:val="multilevel"/>
    <w:tmpl w:val="4EC94361"/>
    <w:lvl w:ilvl="0" w:tentative="0">
      <w:start w:val="1"/>
      <w:numFmt w:val="decimal"/>
      <w:lvlText w:val="图2-%1 "/>
      <w:lvlJc w:val="center"/>
      <w:pPr>
        <w:ind w:left="920" w:hanging="440"/>
      </w:pPr>
      <w:rPr>
        <w:rFonts w:hint="default" w:ascii="Times New Roman" w:hAnsi="Times New Roman" w:eastAsia="宋体"/>
        <w:b/>
        <w:i w:val="0"/>
        <w:sz w:val="21"/>
      </w:rPr>
    </w:lvl>
    <w:lvl w:ilvl="1" w:tentative="0">
      <w:start w:val="1"/>
      <w:numFmt w:val="decimal"/>
      <w:lvlText w:val="图2-%2"/>
      <w:lvlJc w:val="center"/>
      <w:pPr>
        <w:ind w:left="880" w:hanging="44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50383D99"/>
    <w:multiLevelType w:val="multilevel"/>
    <w:tmpl w:val="50383D99"/>
    <w:lvl w:ilvl="0" w:tentative="0">
      <w:start w:val="1"/>
      <w:numFmt w:val="chineseCountingThousand"/>
      <w:suff w:val="space"/>
      <w:lvlText w:val="%1、"/>
      <w:lvlJc w:val="left"/>
      <w:pPr>
        <w:ind w:left="720" w:hanging="72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9">
    <w:nsid w:val="594275F2"/>
    <w:multiLevelType w:val="multilevel"/>
    <w:tmpl w:val="594275F2"/>
    <w:lvl w:ilvl="0" w:tentative="0">
      <w:start w:val="1"/>
      <w:numFmt w:val="decimal"/>
      <w:suff w:val="space"/>
      <w:lvlText w:val="表2-%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10">
    <w:nsid w:val="5B5341F6"/>
    <w:multiLevelType w:val="multilevel"/>
    <w:tmpl w:val="5B5341F6"/>
    <w:lvl w:ilvl="0" w:tentative="0">
      <w:start w:val="1"/>
      <w:numFmt w:val="decimal"/>
      <w:suff w:val="space"/>
      <w:lvlText w:val="表3-%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11">
    <w:nsid w:val="70552C03"/>
    <w:multiLevelType w:val="multilevel"/>
    <w:tmpl w:val="70552C03"/>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abstractNum w:abstractNumId="12">
    <w:nsid w:val="7E5B3752"/>
    <w:multiLevelType w:val="multilevel"/>
    <w:tmpl w:val="7E5B3752"/>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rPr>
        <w:rFonts w:hint="eastAsia"/>
      </w:rPr>
    </w:lvl>
    <w:lvl w:ilvl="2" w:tentative="0">
      <w:start w:val="1"/>
      <w:numFmt w:val="lowerRoman"/>
      <w:lvlText w:val="%3."/>
      <w:lvlJc w:val="right"/>
      <w:pPr>
        <w:ind w:left="1800" w:hanging="440"/>
      </w:pPr>
      <w:rPr>
        <w:rFonts w:hint="eastAsia"/>
      </w:rPr>
    </w:lvl>
    <w:lvl w:ilvl="3" w:tentative="0">
      <w:start w:val="1"/>
      <w:numFmt w:val="decimal"/>
      <w:lvlText w:val="%4."/>
      <w:lvlJc w:val="left"/>
      <w:pPr>
        <w:ind w:left="2240" w:hanging="440"/>
      </w:pPr>
      <w:rPr>
        <w:rFonts w:hint="eastAsia"/>
      </w:rPr>
    </w:lvl>
    <w:lvl w:ilvl="4" w:tentative="0">
      <w:start w:val="1"/>
      <w:numFmt w:val="lowerLetter"/>
      <w:lvlText w:val="%5)"/>
      <w:lvlJc w:val="left"/>
      <w:pPr>
        <w:ind w:left="2680" w:hanging="440"/>
      </w:pPr>
      <w:rPr>
        <w:rFonts w:hint="eastAsia"/>
      </w:rPr>
    </w:lvl>
    <w:lvl w:ilvl="5" w:tentative="0">
      <w:start w:val="1"/>
      <w:numFmt w:val="lowerRoman"/>
      <w:lvlText w:val="%6."/>
      <w:lvlJc w:val="right"/>
      <w:pPr>
        <w:ind w:left="3120" w:hanging="440"/>
      </w:pPr>
      <w:rPr>
        <w:rFonts w:hint="eastAsia"/>
      </w:rPr>
    </w:lvl>
    <w:lvl w:ilvl="6" w:tentative="0">
      <w:start w:val="1"/>
      <w:numFmt w:val="decimal"/>
      <w:lvlText w:val="%7."/>
      <w:lvlJc w:val="left"/>
      <w:pPr>
        <w:ind w:left="3560" w:hanging="440"/>
      </w:pPr>
      <w:rPr>
        <w:rFonts w:hint="eastAsia"/>
      </w:rPr>
    </w:lvl>
    <w:lvl w:ilvl="7" w:tentative="0">
      <w:start w:val="1"/>
      <w:numFmt w:val="lowerLetter"/>
      <w:lvlText w:val="%8)"/>
      <w:lvlJc w:val="left"/>
      <w:pPr>
        <w:ind w:left="4000" w:hanging="440"/>
      </w:pPr>
      <w:rPr>
        <w:rFonts w:hint="eastAsia"/>
      </w:rPr>
    </w:lvl>
    <w:lvl w:ilvl="8" w:tentative="0">
      <w:start w:val="1"/>
      <w:numFmt w:val="lowerRoman"/>
      <w:lvlText w:val="%9."/>
      <w:lvlJc w:val="right"/>
      <w:pPr>
        <w:ind w:left="4440" w:hanging="440"/>
      </w:pPr>
      <w:rPr>
        <w:rFonts w:hint="eastAsia"/>
      </w:rPr>
    </w:lvl>
  </w:abstractNum>
  <w:num w:numId="1">
    <w:abstractNumId w:val="3"/>
  </w:num>
  <w:num w:numId="2">
    <w:abstractNumId w:val="8"/>
  </w:num>
  <w:num w:numId="3">
    <w:abstractNumId w:val="6"/>
  </w:num>
  <w:num w:numId="4">
    <w:abstractNumId w:val="6"/>
    <w:lvlOverride w:ilvl="0">
      <w:lvl w:ilvl="0" w:tentative="1">
        <w:start w:val="1"/>
        <w:numFmt w:val="decimal"/>
        <w:suff w:val="space"/>
        <w:lvlText w:val="表1-%1"/>
        <w:lvlJc w:val="left"/>
        <w:pPr>
          <w:ind w:left="920" w:hanging="440"/>
        </w:pPr>
        <w:rPr>
          <w:rFonts w:hint="eastAsia"/>
        </w:rPr>
      </w:lvl>
    </w:lvlOverride>
    <w:lvlOverride w:ilvl="1">
      <w:lvl w:ilvl="1" w:tentative="1">
        <w:start w:val="1"/>
        <w:numFmt w:val="lowerLetter"/>
        <w:lvlText w:val="%2)"/>
        <w:lvlJc w:val="left"/>
        <w:pPr>
          <w:ind w:left="1360" w:hanging="440"/>
        </w:pPr>
        <w:rPr>
          <w:rFonts w:hint="eastAsia"/>
        </w:rPr>
      </w:lvl>
    </w:lvlOverride>
    <w:lvlOverride w:ilvl="2">
      <w:lvl w:ilvl="2" w:tentative="1">
        <w:start w:val="1"/>
        <w:numFmt w:val="lowerRoman"/>
        <w:lvlText w:val="%3."/>
        <w:lvlJc w:val="right"/>
        <w:pPr>
          <w:ind w:left="1800" w:hanging="440"/>
        </w:pPr>
        <w:rPr>
          <w:rFonts w:hint="eastAsia"/>
        </w:rPr>
      </w:lvl>
    </w:lvlOverride>
    <w:lvlOverride w:ilvl="3">
      <w:lvl w:ilvl="3" w:tentative="1">
        <w:start w:val="1"/>
        <w:numFmt w:val="decimal"/>
        <w:lvlText w:val="%4."/>
        <w:lvlJc w:val="left"/>
        <w:pPr>
          <w:ind w:left="2240" w:hanging="440"/>
        </w:pPr>
        <w:rPr>
          <w:rFonts w:hint="eastAsia"/>
        </w:rPr>
      </w:lvl>
    </w:lvlOverride>
    <w:lvlOverride w:ilvl="4">
      <w:lvl w:ilvl="4" w:tentative="1">
        <w:start w:val="1"/>
        <w:numFmt w:val="lowerLetter"/>
        <w:lvlText w:val="%5)"/>
        <w:lvlJc w:val="left"/>
        <w:pPr>
          <w:ind w:left="2680" w:hanging="440"/>
        </w:pPr>
        <w:rPr>
          <w:rFonts w:hint="eastAsia"/>
        </w:rPr>
      </w:lvl>
    </w:lvlOverride>
    <w:lvlOverride w:ilvl="5">
      <w:lvl w:ilvl="5" w:tentative="1">
        <w:start w:val="1"/>
        <w:numFmt w:val="lowerRoman"/>
        <w:lvlText w:val="%6."/>
        <w:lvlJc w:val="right"/>
        <w:pPr>
          <w:ind w:left="3120" w:hanging="440"/>
        </w:pPr>
        <w:rPr>
          <w:rFonts w:hint="eastAsia"/>
        </w:rPr>
      </w:lvl>
    </w:lvlOverride>
    <w:lvlOverride w:ilvl="6">
      <w:lvl w:ilvl="6" w:tentative="1">
        <w:start w:val="1"/>
        <w:numFmt w:val="decimal"/>
        <w:lvlText w:val="%7."/>
        <w:lvlJc w:val="left"/>
        <w:pPr>
          <w:ind w:left="3560" w:hanging="440"/>
        </w:pPr>
        <w:rPr>
          <w:rFonts w:hint="eastAsia"/>
        </w:rPr>
      </w:lvl>
    </w:lvlOverride>
    <w:lvlOverride w:ilvl="7">
      <w:lvl w:ilvl="7" w:tentative="1">
        <w:start w:val="1"/>
        <w:numFmt w:val="lowerLetter"/>
        <w:lvlText w:val="%8)"/>
        <w:lvlJc w:val="left"/>
        <w:pPr>
          <w:ind w:left="4000" w:hanging="440"/>
        </w:pPr>
        <w:rPr>
          <w:rFonts w:hint="eastAsia"/>
        </w:rPr>
      </w:lvl>
    </w:lvlOverride>
    <w:lvlOverride w:ilvl="8">
      <w:lvl w:ilvl="8" w:tentative="1">
        <w:start w:val="1"/>
        <w:numFmt w:val="lowerRoman"/>
        <w:lvlText w:val="%9."/>
        <w:lvlJc w:val="right"/>
        <w:pPr>
          <w:ind w:left="4440" w:hanging="440"/>
        </w:pPr>
        <w:rPr>
          <w:rFonts w:hint="eastAsia"/>
        </w:rPr>
      </w:lvl>
    </w:lvlOverride>
  </w:num>
  <w:num w:numId="5">
    <w:abstractNumId w:val="9"/>
  </w:num>
  <w:num w:numId="6">
    <w:abstractNumId w:val="7"/>
  </w:num>
  <w:num w:numId="7">
    <w:abstractNumId w:val="10"/>
  </w:num>
  <w:num w:numId="8">
    <w:abstractNumId w:val="5"/>
  </w:num>
  <w:num w:numId="9">
    <w:abstractNumId w:val="1"/>
  </w:num>
  <w:num w:numId="10">
    <w:abstractNumId w:val="2"/>
  </w:num>
  <w:num w:numId="11">
    <w:abstractNumId w:val="0"/>
  </w:num>
  <w:num w:numId="12">
    <w:abstractNumId w:val="4"/>
  </w:num>
  <w:num w:numId="13">
    <w:abstractNumId w:val="11"/>
  </w:num>
  <w:num w:numId="14">
    <w:abstractNumId w:val="1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420"/>
  <w:doNotHyphenateCaps/>
  <w:evenAndOddHeaders w:val="1"/>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2M2ZjYjUyZDE2MDc1NzhlNzZkMjAwNzcwNWM5MzMifQ=="/>
    <w:docVar w:name="KSO_WPS_MARK_KEY" w:val="5ffe6b8c-38d5-45fa-af7a-a5c8fe67fd1f"/>
  </w:docVars>
  <w:rsids>
    <w:rsidRoot w:val="00A14947"/>
    <w:rsid w:val="0000068E"/>
    <w:rsid w:val="0000069C"/>
    <w:rsid w:val="000007D6"/>
    <w:rsid w:val="00000ED7"/>
    <w:rsid w:val="00001CED"/>
    <w:rsid w:val="00001E67"/>
    <w:rsid w:val="00002B09"/>
    <w:rsid w:val="00003CD8"/>
    <w:rsid w:val="00004748"/>
    <w:rsid w:val="00004AA3"/>
    <w:rsid w:val="00004BB8"/>
    <w:rsid w:val="000057CD"/>
    <w:rsid w:val="00006237"/>
    <w:rsid w:val="00006434"/>
    <w:rsid w:val="00006AED"/>
    <w:rsid w:val="00007D98"/>
    <w:rsid w:val="00010315"/>
    <w:rsid w:val="00010528"/>
    <w:rsid w:val="00011526"/>
    <w:rsid w:val="000119A4"/>
    <w:rsid w:val="000132C6"/>
    <w:rsid w:val="00013996"/>
    <w:rsid w:val="00014965"/>
    <w:rsid w:val="0001523A"/>
    <w:rsid w:val="000153DF"/>
    <w:rsid w:val="00016ECB"/>
    <w:rsid w:val="00017275"/>
    <w:rsid w:val="0002065D"/>
    <w:rsid w:val="00021F0E"/>
    <w:rsid w:val="00024948"/>
    <w:rsid w:val="000256FD"/>
    <w:rsid w:val="000269F6"/>
    <w:rsid w:val="00026F4E"/>
    <w:rsid w:val="00027181"/>
    <w:rsid w:val="00027A07"/>
    <w:rsid w:val="00031939"/>
    <w:rsid w:val="00032B60"/>
    <w:rsid w:val="00032D25"/>
    <w:rsid w:val="000352F3"/>
    <w:rsid w:val="00036049"/>
    <w:rsid w:val="000376B7"/>
    <w:rsid w:val="00040C3C"/>
    <w:rsid w:val="00040E48"/>
    <w:rsid w:val="00042C62"/>
    <w:rsid w:val="00044829"/>
    <w:rsid w:val="00044C64"/>
    <w:rsid w:val="00045228"/>
    <w:rsid w:val="0004750F"/>
    <w:rsid w:val="000477F0"/>
    <w:rsid w:val="00050024"/>
    <w:rsid w:val="00050076"/>
    <w:rsid w:val="000510E9"/>
    <w:rsid w:val="00051B16"/>
    <w:rsid w:val="00051CBF"/>
    <w:rsid w:val="000520C9"/>
    <w:rsid w:val="000520FD"/>
    <w:rsid w:val="0005219D"/>
    <w:rsid w:val="000523CC"/>
    <w:rsid w:val="00052E12"/>
    <w:rsid w:val="000532BC"/>
    <w:rsid w:val="0005568F"/>
    <w:rsid w:val="0005635D"/>
    <w:rsid w:val="00057263"/>
    <w:rsid w:val="00057944"/>
    <w:rsid w:val="00061461"/>
    <w:rsid w:val="0006153D"/>
    <w:rsid w:val="0006196A"/>
    <w:rsid w:val="00061B1F"/>
    <w:rsid w:val="00061DD6"/>
    <w:rsid w:val="0006280C"/>
    <w:rsid w:val="00062EB8"/>
    <w:rsid w:val="00063624"/>
    <w:rsid w:val="000664DB"/>
    <w:rsid w:val="0006705A"/>
    <w:rsid w:val="00067FB8"/>
    <w:rsid w:val="00070938"/>
    <w:rsid w:val="0007127D"/>
    <w:rsid w:val="00071A51"/>
    <w:rsid w:val="00071AE5"/>
    <w:rsid w:val="00074783"/>
    <w:rsid w:val="00075634"/>
    <w:rsid w:val="000767BB"/>
    <w:rsid w:val="00077F03"/>
    <w:rsid w:val="000801E0"/>
    <w:rsid w:val="00080A9C"/>
    <w:rsid w:val="00081935"/>
    <w:rsid w:val="00081D8F"/>
    <w:rsid w:val="00082A29"/>
    <w:rsid w:val="00082A66"/>
    <w:rsid w:val="0008331D"/>
    <w:rsid w:val="0008357E"/>
    <w:rsid w:val="00083C18"/>
    <w:rsid w:val="000913D7"/>
    <w:rsid w:val="000916D1"/>
    <w:rsid w:val="00092294"/>
    <w:rsid w:val="00092899"/>
    <w:rsid w:val="00093288"/>
    <w:rsid w:val="00093B3D"/>
    <w:rsid w:val="00093CD7"/>
    <w:rsid w:val="00096AEB"/>
    <w:rsid w:val="00096E40"/>
    <w:rsid w:val="000A13C9"/>
    <w:rsid w:val="000A178E"/>
    <w:rsid w:val="000A2AA1"/>
    <w:rsid w:val="000A557E"/>
    <w:rsid w:val="000A5BD0"/>
    <w:rsid w:val="000A6ACB"/>
    <w:rsid w:val="000A7295"/>
    <w:rsid w:val="000B058F"/>
    <w:rsid w:val="000B077A"/>
    <w:rsid w:val="000B07B1"/>
    <w:rsid w:val="000B16DD"/>
    <w:rsid w:val="000B1B08"/>
    <w:rsid w:val="000B25A8"/>
    <w:rsid w:val="000B48F7"/>
    <w:rsid w:val="000B4D33"/>
    <w:rsid w:val="000B57A6"/>
    <w:rsid w:val="000B6017"/>
    <w:rsid w:val="000B63E0"/>
    <w:rsid w:val="000B693F"/>
    <w:rsid w:val="000B6F08"/>
    <w:rsid w:val="000C034C"/>
    <w:rsid w:val="000C09AC"/>
    <w:rsid w:val="000C0A63"/>
    <w:rsid w:val="000C109C"/>
    <w:rsid w:val="000C1AFC"/>
    <w:rsid w:val="000C2EF1"/>
    <w:rsid w:val="000C37DD"/>
    <w:rsid w:val="000C420D"/>
    <w:rsid w:val="000C437E"/>
    <w:rsid w:val="000C4770"/>
    <w:rsid w:val="000C6EDB"/>
    <w:rsid w:val="000D03DB"/>
    <w:rsid w:val="000D041C"/>
    <w:rsid w:val="000D1EB9"/>
    <w:rsid w:val="000D2364"/>
    <w:rsid w:val="000D402A"/>
    <w:rsid w:val="000D4DA4"/>
    <w:rsid w:val="000D5D42"/>
    <w:rsid w:val="000D63AD"/>
    <w:rsid w:val="000D6B8A"/>
    <w:rsid w:val="000E195C"/>
    <w:rsid w:val="000E447E"/>
    <w:rsid w:val="000E526E"/>
    <w:rsid w:val="000E56F7"/>
    <w:rsid w:val="000E59BB"/>
    <w:rsid w:val="000E5F16"/>
    <w:rsid w:val="000E6058"/>
    <w:rsid w:val="000E74BA"/>
    <w:rsid w:val="000F0AB3"/>
    <w:rsid w:val="000F1472"/>
    <w:rsid w:val="000F38EF"/>
    <w:rsid w:val="000F4452"/>
    <w:rsid w:val="000F6DA1"/>
    <w:rsid w:val="000F701B"/>
    <w:rsid w:val="001016F3"/>
    <w:rsid w:val="0010251C"/>
    <w:rsid w:val="00103056"/>
    <w:rsid w:val="00104B00"/>
    <w:rsid w:val="001055E6"/>
    <w:rsid w:val="001056A0"/>
    <w:rsid w:val="00106F57"/>
    <w:rsid w:val="00107739"/>
    <w:rsid w:val="00107D3D"/>
    <w:rsid w:val="00111ACA"/>
    <w:rsid w:val="00111ED5"/>
    <w:rsid w:val="001127DA"/>
    <w:rsid w:val="00115279"/>
    <w:rsid w:val="0011613E"/>
    <w:rsid w:val="00117459"/>
    <w:rsid w:val="0011749A"/>
    <w:rsid w:val="00117688"/>
    <w:rsid w:val="0012020F"/>
    <w:rsid w:val="00120421"/>
    <w:rsid w:val="00120F4A"/>
    <w:rsid w:val="001218F7"/>
    <w:rsid w:val="00123909"/>
    <w:rsid w:val="0012438C"/>
    <w:rsid w:val="00124D76"/>
    <w:rsid w:val="00126DDD"/>
    <w:rsid w:val="0012719E"/>
    <w:rsid w:val="00127203"/>
    <w:rsid w:val="001275C3"/>
    <w:rsid w:val="001276BB"/>
    <w:rsid w:val="0012784B"/>
    <w:rsid w:val="00127A68"/>
    <w:rsid w:val="00127B1D"/>
    <w:rsid w:val="00127B9C"/>
    <w:rsid w:val="001303F9"/>
    <w:rsid w:val="001340DB"/>
    <w:rsid w:val="00135910"/>
    <w:rsid w:val="001359EE"/>
    <w:rsid w:val="0013759F"/>
    <w:rsid w:val="00140B13"/>
    <w:rsid w:val="00140C3F"/>
    <w:rsid w:val="00141973"/>
    <w:rsid w:val="00141B68"/>
    <w:rsid w:val="00143540"/>
    <w:rsid w:val="00143B9F"/>
    <w:rsid w:val="00144484"/>
    <w:rsid w:val="001457FB"/>
    <w:rsid w:val="00145A70"/>
    <w:rsid w:val="001466DA"/>
    <w:rsid w:val="0014698D"/>
    <w:rsid w:val="0015075B"/>
    <w:rsid w:val="001510A2"/>
    <w:rsid w:val="00151324"/>
    <w:rsid w:val="001516B9"/>
    <w:rsid w:val="00153341"/>
    <w:rsid w:val="00154DE1"/>
    <w:rsid w:val="0015555C"/>
    <w:rsid w:val="00155B40"/>
    <w:rsid w:val="00156209"/>
    <w:rsid w:val="0015638C"/>
    <w:rsid w:val="00156981"/>
    <w:rsid w:val="001569C4"/>
    <w:rsid w:val="001571F7"/>
    <w:rsid w:val="00157435"/>
    <w:rsid w:val="00157F57"/>
    <w:rsid w:val="00160968"/>
    <w:rsid w:val="00161F64"/>
    <w:rsid w:val="00163EEA"/>
    <w:rsid w:val="00164504"/>
    <w:rsid w:val="00167A07"/>
    <w:rsid w:val="0017046A"/>
    <w:rsid w:val="001704A3"/>
    <w:rsid w:val="00170CFF"/>
    <w:rsid w:val="001729A3"/>
    <w:rsid w:val="001734A2"/>
    <w:rsid w:val="0017487F"/>
    <w:rsid w:val="0017504D"/>
    <w:rsid w:val="0017597D"/>
    <w:rsid w:val="00177297"/>
    <w:rsid w:val="00177422"/>
    <w:rsid w:val="001837D8"/>
    <w:rsid w:val="00183B10"/>
    <w:rsid w:val="00184F10"/>
    <w:rsid w:val="00185546"/>
    <w:rsid w:val="001856CD"/>
    <w:rsid w:val="00185FA8"/>
    <w:rsid w:val="00185FED"/>
    <w:rsid w:val="001901A8"/>
    <w:rsid w:val="0019146B"/>
    <w:rsid w:val="00191580"/>
    <w:rsid w:val="00194398"/>
    <w:rsid w:val="0019462A"/>
    <w:rsid w:val="00194DD2"/>
    <w:rsid w:val="0019611D"/>
    <w:rsid w:val="00196553"/>
    <w:rsid w:val="001A4334"/>
    <w:rsid w:val="001A794A"/>
    <w:rsid w:val="001A7D2A"/>
    <w:rsid w:val="001B25CF"/>
    <w:rsid w:val="001B32E8"/>
    <w:rsid w:val="001B3AA3"/>
    <w:rsid w:val="001B516B"/>
    <w:rsid w:val="001B574C"/>
    <w:rsid w:val="001B591D"/>
    <w:rsid w:val="001B6DB7"/>
    <w:rsid w:val="001B6DEA"/>
    <w:rsid w:val="001C0AF9"/>
    <w:rsid w:val="001C1032"/>
    <w:rsid w:val="001C10FB"/>
    <w:rsid w:val="001C155A"/>
    <w:rsid w:val="001C2B4D"/>
    <w:rsid w:val="001C378F"/>
    <w:rsid w:val="001C4179"/>
    <w:rsid w:val="001C4842"/>
    <w:rsid w:val="001C48C0"/>
    <w:rsid w:val="001C6DA6"/>
    <w:rsid w:val="001D037C"/>
    <w:rsid w:val="001D1459"/>
    <w:rsid w:val="001D3A79"/>
    <w:rsid w:val="001D430A"/>
    <w:rsid w:val="001D50C2"/>
    <w:rsid w:val="001D5E7D"/>
    <w:rsid w:val="001D670A"/>
    <w:rsid w:val="001D6726"/>
    <w:rsid w:val="001D71B9"/>
    <w:rsid w:val="001E1F2C"/>
    <w:rsid w:val="001E2545"/>
    <w:rsid w:val="001E45CF"/>
    <w:rsid w:val="001E4B77"/>
    <w:rsid w:val="001E4CCF"/>
    <w:rsid w:val="001E6A04"/>
    <w:rsid w:val="001E6FDE"/>
    <w:rsid w:val="001E7F09"/>
    <w:rsid w:val="001F01E1"/>
    <w:rsid w:val="001F2AF4"/>
    <w:rsid w:val="001F3347"/>
    <w:rsid w:val="001F3EF3"/>
    <w:rsid w:val="001F4440"/>
    <w:rsid w:val="001F4804"/>
    <w:rsid w:val="001F551B"/>
    <w:rsid w:val="001F5AFA"/>
    <w:rsid w:val="001F62C3"/>
    <w:rsid w:val="001F69E4"/>
    <w:rsid w:val="001F7469"/>
    <w:rsid w:val="001F7AC7"/>
    <w:rsid w:val="00200ECA"/>
    <w:rsid w:val="00201AB3"/>
    <w:rsid w:val="0020274E"/>
    <w:rsid w:val="002031D4"/>
    <w:rsid w:val="002052D0"/>
    <w:rsid w:val="00206A65"/>
    <w:rsid w:val="00206F3F"/>
    <w:rsid w:val="00207371"/>
    <w:rsid w:val="00210100"/>
    <w:rsid w:val="00211763"/>
    <w:rsid w:val="002122E3"/>
    <w:rsid w:val="00212D31"/>
    <w:rsid w:val="002130C7"/>
    <w:rsid w:val="002134ED"/>
    <w:rsid w:val="00215474"/>
    <w:rsid w:val="002155AD"/>
    <w:rsid w:val="00215DF7"/>
    <w:rsid w:val="00216001"/>
    <w:rsid w:val="00216CA3"/>
    <w:rsid w:val="00217F7A"/>
    <w:rsid w:val="002216D2"/>
    <w:rsid w:val="002218A8"/>
    <w:rsid w:val="0022306D"/>
    <w:rsid w:val="00223213"/>
    <w:rsid w:val="00223580"/>
    <w:rsid w:val="002243F1"/>
    <w:rsid w:val="002250FA"/>
    <w:rsid w:val="00226574"/>
    <w:rsid w:val="00226883"/>
    <w:rsid w:val="002278EC"/>
    <w:rsid w:val="00232373"/>
    <w:rsid w:val="0023271C"/>
    <w:rsid w:val="00232DD1"/>
    <w:rsid w:val="00233A32"/>
    <w:rsid w:val="002357C7"/>
    <w:rsid w:val="0023636A"/>
    <w:rsid w:val="002367C4"/>
    <w:rsid w:val="0023750A"/>
    <w:rsid w:val="002375B0"/>
    <w:rsid w:val="0024186B"/>
    <w:rsid w:val="002419E8"/>
    <w:rsid w:val="002442D5"/>
    <w:rsid w:val="00245601"/>
    <w:rsid w:val="002456E7"/>
    <w:rsid w:val="002464DE"/>
    <w:rsid w:val="00251BCE"/>
    <w:rsid w:val="00252A43"/>
    <w:rsid w:val="002534E4"/>
    <w:rsid w:val="00253737"/>
    <w:rsid w:val="00255B26"/>
    <w:rsid w:val="0025679E"/>
    <w:rsid w:val="00257F00"/>
    <w:rsid w:val="00260C68"/>
    <w:rsid w:val="00263016"/>
    <w:rsid w:val="00263FD1"/>
    <w:rsid w:val="002648B0"/>
    <w:rsid w:val="00265DB5"/>
    <w:rsid w:val="00266258"/>
    <w:rsid w:val="002664EE"/>
    <w:rsid w:val="00267C12"/>
    <w:rsid w:val="00271447"/>
    <w:rsid w:val="00274063"/>
    <w:rsid w:val="00274819"/>
    <w:rsid w:val="00275271"/>
    <w:rsid w:val="0027535E"/>
    <w:rsid w:val="00275AA6"/>
    <w:rsid w:val="002763B3"/>
    <w:rsid w:val="00276DE5"/>
    <w:rsid w:val="00277820"/>
    <w:rsid w:val="00280546"/>
    <w:rsid w:val="00280638"/>
    <w:rsid w:val="002807D5"/>
    <w:rsid w:val="00281B69"/>
    <w:rsid w:val="00281CF3"/>
    <w:rsid w:val="00282925"/>
    <w:rsid w:val="00282CCD"/>
    <w:rsid w:val="00284C9C"/>
    <w:rsid w:val="00284F3D"/>
    <w:rsid w:val="002856D7"/>
    <w:rsid w:val="00286B0C"/>
    <w:rsid w:val="00286F15"/>
    <w:rsid w:val="0029189A"/>
    <w:rsid w:val="002922DD"/>
    <w:rsid w:val="00292995"/>
    <w:rsid w:val="00294665"/>
    <w:rsid w:val="00294A4C"/>
    <w:rsid w:val="00294AF1"/>
    <w:rsid w:val="00294D06"/>
    <w:rsid w:val="00295BD5"/>
    <w:rsid w:val="002A01A7"/>
    <w:rsid w:val="002A168C"/>
    <w:rsid w:val="002A1894"/>
    <w:rsid w:val="002A1EBF"/>
    <w:rsid w:val="002A2006"/>
    <w:rsid w:val="002A2C48"/>
    <w:rsid w:val="002A34E6"/>
    <w:rsid w:val="002A3EED"/>
    <w:rsid w:val="002A4A39"/>
    <w:rsid w:val="002A4B9E"/>
    <w:rsid w:val="002A54C2"/>
    <w:rsid w:val="002A57B9"/>
    <w:rsid w:val="002A5A17"/>
    <w:rsid w:val="002A5EF4"/>
    <w:rsid w:val="002A6233"/>
    <w:rsid w:val="002A63BC"/>
    <w:rsid w:val="002A6405"/>
    <w:rsid w:val="002A6425"/>
    <w:rsid w:val="002A6506"/>
    <w:rsid w:val="002A7DA4"/>
    <w:rsid w:val="002B0634"/>
    <w:rsid w:val="002B275C"/>
    <w:rsid w:val="002B29A5"/>
    <w:rsid w:val="002B4460"/>
    <w:rsid w:val="002B49E2"/>
    <w:rsid w:val="002B59ED"/>
    <w:rsid w:val="002B71A0"/>
    <w:rsid w:val="002B7B00"/>
    <w:rsid w:val="002B7C44"/>
    <w:rsid w:val="002C07C4"/>
    <w:rsid w:val="002C1388"/>
    <w:rsid w:val="002C175A"/>
    <w:rsid w:val="002C36F7"/>
    <w:rsid w:val="002C3C6A"/>
    <w:rsid w:val="002C4257"/>
    <w:rsid w:val="002C5352"/>
    <w:rsid w:val="002C63BA"/>
    <w:rsid w:val="002C653A"/>
    <w:rsid w:val="002D0E05"/>
    <w:rsid w:val="002D1217"/>
    <w:rsid w:val="002D1521"/>
    <w:rsid w:val="002D1632"/>
    <w:rsid w:val="002D3260"/>
    <w:rsid w:val="002D3D63"/>
    <w:rsid w:val="002D3FBC"/>
    <w:rsid w:val="002D42DB"/>
    <w:rsid w:val="002D7C42"/>
    <w:rsid w:val="002E15AB"/>
    <w:rsid w:val="002E18B3"/>
    <w:rsid w:val="002E1F3A"/>
    <w:rsid w:val="002E289F"/>
    <w:rsid w:val="002E298A"/>
    <w:rsid w:val="002E2DA5"/>
    <w:rsid w:val="002E42B4"/>
    <w:rsid w:val="002E46A4"/>
    <w:rsid w:val="002E5711"/>
    <w:rsid w:val="002E5F49"/>
    <w:rsid w:val="002F02A4"/>
    <w:rsid w:val="002F272B"/>
    <w:rsid w:val="002F2BE0"/>
    <w:rsid w:val="002F448E"/>
    <w:rsid w:val="002F53F2"/>
    <w:rsid w:val="002F5B0A"/>
    <w:rsid w:val="002F5D52"/>
    <w:rsid w:val="002F7C6D"/>
    <w:rsid w:val="003002E2"/>
    <w:rsid w:val="0030147C"/>
    <w:rsid w:val="003014FD"/>
    <w:rsid w:val="00301B04"/>
    <w:rsid w:val="003027E4"/>
    <w:rsid w:val="0030332C"/>
    <w:rsid w:val="00303704"/>
    <w:rsid w:val="0030393C"/>
    <w:rsid w:val="00304B1B"/>
    <w:rsid w:val="00304BC6"/>
    <w:rsid w:val="00306188"/>
    <w:rsid w:val="00306922"/>
    <w:rsid w:val="00307328"/>
    <w:rsid w:val="00312296"/>
    <w:rsid w:val="003122F8"/>
    <w:rsid w:val="0031340E"/>
    <w:rsid w:val="00314335"/>
    <w:rsid w:val="003143BD"/>
    <w:rsid w:val="003147A7"/>
    <w:rsid w:val="00316218"/>
    <w:rsid w:val="003162A4"/>
    <w:rsid w:val="00316464"/>
    <w:rsid w:val="003169A0"/>
    <w:rsid w:val="003176DC"/>
    <w:rsid w:val="00317797"/>
    <w:rsid w:val="00317AB0"/>
    <w:rsid w:val="0032073A"/>
    <w:rsid w:val="00321051"/>
    <w:rsid w:val="00321372"/>
    <w:rsid w:val="00321D8E"/>
    <w:rsid w:val="00322484"/>
    <w:rsid w:val="003228B1"/>
    <w:rsid w:val="00324ED8"/>
    <w:rsid w:val="00326F53"/>
    <w:rsid w:val="0032708B"/>
    <w:rsid w:val="00331BC6"/>
    <w:rsid w:val="00332F98"/>
    <w:rsid w:val="003336AB"/>
    <w:rsid w:val="00334996"/>
    <w:rsid w:val="00334D19"/>
    <w:rsid w:val="00336969"/>
    <w:rsid w:val="00336C52"/>
    <w:rsid w:val="00341B3E"/>
    <w:rsid w:val="00341B42"/>
    <w:rsid w:val="0034208A"/>
    <w:rsid w:val="003437E7"/>
    <w:rsid w:val="00343E5F"/>
    <w:rsid w:val="003449B2"/>
    <w:rsid w:val="00345154"/>
    <w:rsid w:val="0034560E"/>
    <w:rsid w:val="0034617B"/>
    <w:rsid w:val="00350523"/>
    <w:rsid w:val="00350D35"/>
    <w:rsid w:val="00350F8A"/>
    <w:rsid w:val="00351720"/>
    <w:rsid w:val="003521B3"/>
    <w:rsid w:val="00352975"/>
    <w:rsid w:val="00352BFC"/>
    <w:rsid w:val="00353BFF"/>
    <w:rsid w:val="00354D59"/>
    <w:rsid w:val="00356868"/>
    <w:rsid w:val="003625F2"/>
    <w:rsid w:val="0036485B"/>
    <w:rsid w:val="0036532B"/>
    <w:rsid w:val="003664B3"/>
    <w:rsid w:val="003670FB"/>
    <w:rsid w:val="00367AB5"/>
    <w:rsid w:val="00370F19"/>
    <w:rsid w:val="00372FF9"/>
    <w:rsid w:val="0037323F"/>
    <w:rsid w:val="00373804"/>
    <w:rsid w:val="00373B0D"/>
    <w:rsid w:val="00374318"/>
    <w:rsid w:val="00374474"/>
    <w:rsid w:val="0037501D"/>
    <w:rsid w:val="003753A4"/>
    <w:rsid w:val="003753AF"/>
    <w:rsid w:val="003759BC"/>
    <w:rsid w:val="00376988"/>
    <w:rsid w:val="00380B3C"/>
    <w:rsid w:val="00380B6D"/>
    <w:rsid w:val="00381A72"/>
    <w:rsid w:val="0038257A"/>
    <w:rsid w:val="003825A8"/>
    <w:rsid w:val="00383121"/>
    <w:rsid w:val="00385415"/>
    <w:rsid w:val="00385BCD"/>
    <w:rsid w:val="00386F24"/>
    <w:rsid w:val="00386FDB"/>
    <w:rsid w:val="00391378"/>
    <w:rsid w:val="00391D51"/>
    <w:rsid w:val="00391DFC"/>
    <w:rsid w:val="0039278F"/>
    <w:rsid w:val="00394039"/>
    <w:rsid w:val="00394433"/>
    <w:rsid w:val="003953E5"/>
    <w:rsid w:val="00396EFA"/>
    <w:rsid w:val="0039723D"/>
    <w:rsid w:val="003A145F"/>
    <w:rsid w:val="003A1948"/>
    <w:rsid w:val="003A230A"/>
    <w:rsid w:val="003A2740"/>
    <w:rsid w:val="003A2D68"/>
    <w:rsid w:val="003A323D"/>
    <w:rsid w:val="003A4807"/>
    <w:rsid w:val="003A6242"/>
    <w:rsid w:val="003A65CC"/>
    <w:rsid w:val="003A68D4"/>
    <w:rsid w:val="003A77C8"/>
    <w:rsid w:val="003A7D07"/>
    <w:rsid w:val="003B07AE"/>
    <w:rsid w:val="003B152A"/>
    <w:rsid w:val="003B2765"/>
    <w:rsid w:val="003B3F44"/>
    <w:rsid w:val="003B545B"/>
    <w:rsid w:val="003B5925"/>
    <w:rsid w:val="003B5E5E"/>
    <w:rsid w:val="003B600A"/>
    <w:rsid w:val="003B7F57"/>
    <w:rsid w:val="003C0792"/>
    <w:rsid w:val="003C0B39"/>
    <w:rsid w:val="003C0CF0"/>
    <w:rsid w:val="003C0F5D"/>
    <w:rsid w:val="003C118D"/>
    <w:rsid w:val="003C1192"/>
    <w:rsid w:val="003C35F6"/>
    <w:rsid w:val="003C3D59"/>
    <w:rsid w:val="003C488D"/>
    <w:rsid w:val="003C56E2"/>
    <w:rsid w:val="003C5BC1"/>
    <w:rsid w:val="003C71C1"/>
    <w:rsid w:val="003C739E"/>
    <w:rsid w:val="003C7B2B"/>
    <w:rsid w:val="003C7D83"/>
    <w:rsid w:val="003D2167"/>
    <w:rsid w:val="003D2209"/>
    <w:rsid w:val="003D2CC7"/>
    <w:rsid w:val="003D3EE9"/>
    <w:rsid w:val="003D529A"/>
    <w:rsid w:val="003D58F8"/>
    <w:rsid w:val="003D5E84"/>
    <w:rsid w:val="003D6408"/>
    <w:rsid w:val="003D657B"/>
    <w:rsid w:val="003D673B"/>
    <w:rsid w:val="003D789E"/>
    <w:rsid w:val="003D7D58"/>
    <w:rsid w:val="003E004D"/>
    <w:rsid w:val="003E054E"/>
    <w:rsid w:val="003E2399"/>
    <w:rsid w:val="003E24B6"/>
    <w:rsid w:val="003E27F8"/>
    <w:rsid w:val="003E5398"/>
    <w:rsid w:val="003E5B27"/>
    <w:rsid w:val="003E67EA"/>
    <w:rsid w:val="003E68ED"/>
    <w:rsid w:val="003E7681"/>
    <w:rsid w:val="003F01B3"/>
    <w:rsid w:val="003F0809"/>
    <w:rsid w:val="003F293D"/>
    <w:rsid w:val="003F437A"/>
    <w:rsid w:val="003F4B8C"/>
    <w:rsid w:val="003F611C"/>
    <w:rsid w:val="003F755C"/>
    <w:rsid w:val="003F7F84"/>
    <w:rsid w:val="00400284"/>
    <w:rsid w:val="00400CC5"/>
    <w:rsid w:val="00401F16"/>
    <w:rsid w:val="00404B0F"/>
    <w:rsid w:val="00406F01"/>
    <w:rsid w:val="00407640"/>
    <w:rsid w:val="00407C1F"/>
    <w:rsid w:val="00411B36"/>
    <w:rsid w:val="00411BE8"/>
    <w:rsid w:val="00411C21"/>
    <w:rsid w:val="00411F35"/>
    <w:rsid w:val="004121D7"/>
    <w:rsid w:val="00413006"/>
    <w:rsid w:val="004137A8"/>
    <w:rsid w:val="00413A43"/>
    <w:rsid w:val="00415CB9"/>
    <w:rsid w:val="00416719"/>
    <w:rsid w:val="00416D50"/>
    <w:rsid w:val="004170F8"/>
    <w:rsid w:val="00417772"/>
    <w:rsid w:val="00417A55"/>
    <w:rsid w:val="0042039B"/>
    <w:rsid w:val="00420D53"/>
    <w:rsid w:val="00420E6A"/>
    <w:rsid w:val="00421222"/>
    <w:rsid w:val="0042185B"/>
    <w:rsid w:val="00421903"/>
    <w:rsid w:val="00421E19"/>
    <w:rsid w:val="00423353"/>
    <w:rsid w:val="0042414C"/>
    <w:rsid w:val="004248FE"/>
    <w:rsid w:val="00424A2A"/>
    <w:rsid w:val="004260F5"/>
    <w:rsid w:val="0042758A"/>
    <w:rsid w:val="00427C9E"/>
    <w:rsid w:val="00430EA4"/>
    <w:rsid w:val="00433CA9"/>
    <w:rsid w:val="00434A1E"/>
    <w:rsid w:val="0043501B"/>
    <w:rsid w:val="0043521D"/>
    <w:rsid w:val="004359C5"/>
    <w:rsid w:val="004363FC"/>
    <w:rsid w:val="004375EB"/>
    <w:rsid w:val="00437D46"/>
    <w:rsid w:val="00437F7B"/>
    <w:rsid w:val="0044132B"/>
    <w:rsid w:val="00442024"/>
    <w:rsid w:val="0044254C"/>
    <w:rsid w:val="00443F6A"/>
    <w:rsid w:val="00444DB1"/>
    <w:rsid w:val="00447868"/>
    <w:rsid w:val="004509AA"/>
    <w:rsid w:val="00450A17"/>
    <w:rsid w:val="00450B08"/>
    <w:rsid w:val="00451D95"/>
    <w:rsid w:val="00451E60"/>
    <w:rsid w:val="004523D3"/>
    <w:rsid w:val="00452D02"/>
    <w:rsid w:val="00453A5B"/>
    <w:rsid w:val="00455A25"/>
    <w:rsid w:val="004601A5"/>
    <w:rsid w:val="0046039D"/>
    <w:rsid w:val="004608E7"/>
    <w:rsid w:val="00460BE9"/>
    <w:rsid w:val="004614CA"/>
    <w:rsid w:val="0046197B"/>
    <w:rsid w:val="0046255F"/>
    <w:rsid w:val="00462657"/>
    <w:rsid w:val="00463701"/>
    <w:rsid w:val="004645B6"/>
    <w:rsid w:val="0046474E"/>
    <w:rsid w:val="004648F6"/>
    <w:rsid w:val="00465142"/>
    <w:rsid w:val="0046541D"/>
    <w:rsid w:val="00466057"/>
    <w:rsid w:val="00466321"/>
    <w:rsid w:val="004671E0"/>
    <w:rsid w:val="004672AF"/>
    <w:rsid w:val="004705EB"/>
    <w:rsid w:val="00471AAD"/>
    <w:rsid w:val="00471EF9"/>
    <w:rsid w:val="004727B0"/>
    <w:rsid w:val="0047369F"/>
    <w:rsid w:val="004739DD"/>
    <w:rsid w:val="00473D4B"/>
    <w:rsid w:val="00474302"/>
    <w:rsid w:val="00474781"/>
    <w:rsid w:val="004751D2"/>
    <w:rsid w:val="00476D6A"/>
    <w:rsid w:val="00477A54"/>
    <w:rsid w:val="00480247"/>
    <w:rsid w:val="0048081D"/>
    <w:rsid w:val="0048117E"/>
    <w:rsid w:val="004822BC"/>
    <w:rsid w:val="00483ABA"/>
    <w:rsid w:val="004855F6"/>
    <w:rsid w:val="00486F0C"/>
    <w:rsid w:val="00487102"/>
    <w:rsid w:val="0049381B"/>
    <w:rsid w:val="004940EE"/>
    <w:rsid w:val="00494670"/>
    <w:rsid w:val="00495C40"/>
    <w:rsid w:val="00496C1B"/>
    <w:rsid w:val="00496DEE"/>
    <w:rsid w:val="00497EB8"/>
    <w:rsid w:val="004A0EB4"/>
    <w:rsid w:val="004A0F9B"/>
    <w:rsid w:val="004A13C3"/>
    <w:rsid w:val="004A29AE"/>
    <w:rsid w:val="004A3823"/>
    <w:rsid w:val="004A59BB"/>
    <w:rsid w:val="004B12F7"/>
    <w:rsid w:val="004B29FA"/>
    <w:rsid w:val="004B43A3"/>
    <w:rsid w:val="004B4C49"/>
    <w:rsid w:val="004B52E3"/>
    <w:rsid w:val="004B58A5"/>
    <w:rsid w:val="004B63D9"/>
    <w:rsid w:val="004B6C15"/>
    <w:rsid w:val="004B782F"/>
    <w:rsid w:val="004C0034"/>
    <w:rsid w:val="004C0882"/>
    <w:rsid w:val="004C0948"/>
    <w:rsid w:val="004C0C05"/>
    <w:rsid w:val="004C119F"/>
    <w:rsid w:val="004C21AD"/>
    <w:rsid w:val="004C2232"/>
    <w:rsid w:val="004C3BF9"/>
    <w:rsid w:val="004C3CB7"/>
    <w:rsid w:val="004C4292"/>
    <w:rsid w:val="004C55BE"/>
    <w:rsid w:val="004C6988"/>
    <w:rsid w:val="004C6D2C"/>
    <w:rsid w:val="004C791C"/>
    <w:rsid w:val="004D0763"/>
    <w:rsid w:val="004D0797"/>
    <w:rsid w:val="004D0A08"/>
    <w:rsid w:val="004D0F15"/>
    <w:rsid w:val="004D2095"/>
    <w:rsid w:val="004D2E41"/>
    <w:rsid w:val="004D2FBE"/>
    <w:rsid w:val="004D320A"/>
    <w:rsid w:val="004D4A5F"/>
    <w:rsid w:val="004D6298"/>
    <w:rsid w:val="004D7394"/>
    <w:rsid w:val="004D7395"/>
    <w:rsid w:val="004D7785"/>
    <w:rsid w:val="004E0446"/>
    <w:rsid w:val="004E3DD6"/>
    <w:rsid w:val="004E417D"/>
    <w:rsid w:val="004E4622"/>
    <w:rsid w:val="004E5203"/>
    <w:rsid w:val="004E5A92"/>
    <w:rsid w:val="004E5B30"/>
    <w:rsid w:val="004E6F6B"/>
    <w:rsid w:val="004E79F7"/>
    <w:rsid w:val="004E7C73"/>
    <w:rsid w:val="004F05A8"/>
    <w:rsid w:val="004F0779"/>
    <w:rsid w:val="004F1230"/>
    <w:rsid w:val="004F1364"/>
    <w:rsid w:val="004F173F"/>
    <w:rsid w:val="004F177C"/>
    <w:rsid w:val="004F2519"/>
    <w:rsid w:val="004F2DCE"/>
    <w:rsid w:val="004F2E0A"/>
    <w:rsid w:val="004F4256"/>
    <w:rsid w:val="004F509F"/>
    <w:rsid w:val="004F50F2"/>
    <w:rsid w:val="004F5434"/>
    <w:rsid w:val="004F550D"/>
    <w:rsid w:val="004F5D4A"/>
    <w:rsid w:val="004F71B3"/>
    <w:rsid w:val="004F7401"/>
    <w:rsid w:val="005012A0"/>
    <w:rsid w:val="005012BD"/>
    <w:rsid w:val="00502097"/>
    <w:rsid w:val="005021E5"/>
    <w:rsid w:val="005034B4"/>
    <w:rsid w:val="005039CB"/>
    <w:rsid w:val="00503A60"/>
    <w:rsid w:val="00503BDA"/>
    <w:rsid w:val="005049AD"/>
    <w:rsid w:val="0050558F"/>
    <w:rsid w:val="005057E0"/>
    <w:rsid w:val="00506285"/>
    <w:rsid w:val="00506286"/>
    <w:rsid w:val="0050748C"/>
    <w:rsid w:val="00507AC3"/>
    <w:rsid w:val="00507F7E"/>
    <w:rsid w:val="0051048A"/>
    <w:rsid w:val="00510813"/>
    <w:rsid w:val="005109E5"/>
    <w:rsid w:val="00510AFD"/>
    <w:rsid w:val="00511DE0"/>
    <w:rsid w:val="005127A1"/>
    <w:rsid w:val="00512E61"/>
    <w:rsid w:val="005134B8"/>
    <w:rsid w:val="00514798"/>
    <w:rsid w:val="00514E15"/>
    <w:rsid w:val="00514E9F"/>
    <w:rsid w:val="00514EAE"/>
    <w:rsid w:val="005153D2"/>
    <w:rsid w:val="00516099"/>
    <w:rsid w:val="00516210"/>
    <w:rsid w:val="0051670B"/>
    <w:rsid w:val="00516ADB"/>
    <w:rsid w:val="00517F02"/>
    <w:rsid w:val="005207A4"/>
    <w:rsid w:val="00521072"/>
    <w:rsid w:val="00522620"/>
    <w:rsid w:val="00524547"/>
    <w:rsid w:val="00524CA7"/>
    <w:rsid w:val="005258A2"/>
    <w:rsid w:val="0052681E"/>
    <w:rsid w:val="00526F1E"/>
    <w:rsid w:val="0052720A"/>
    <w:rsid w:val="00530148"/>
    <w:rsid w:val="00530BAE"/>
    <w:rsid w:val="00530F7C"/>
    <w:rsid w:val="005311AC"/>
    <w:rsid w:val="00532118"/>
    <w:rsid w:val="005337DD"/>
    <w:rsid w:val="00534567"/>
    <w:rsid w:val="00534F43"/>
    <w:rsid w:val="00535A84"/>
    <w:rsid w:val="00536565"/>
    <w:rsid w:val="00536889"/>
    <w:rsid w:val="005371C6"/>
    <w:rsid w:val="00537A2D"/>
    <w:rsid w:val="00542E07"/>
    <w:rsid w:val="00543070"/>
    <w:rsid w:val="00543488"/>
    <w:rsid w:val="0054379B"/>
    <w:rsid w:val="00543992"/>
    <w:rsid w:val="00543A88"/>
    <w:rsid w:val="00543BAF"/>
    <w:rsid w:val="00544821"/>
    <w:rsid w:val="00546593"/>
    <w:rsid w:val="00546B9E"/>
    <w:rsid w:val="005524F2"/>
    <w:rsid w:val="00552591"/>
    <w:rsid w:val="00553494"/>
    <w:rsid w:val="005543DE"/>
    <w:rsid w:val="00554A7B"/>
    <w:rsid w:val="0055572C"/>
    <w:rsid w:val="0056064F"/>
    <w:rsid w:val="00560E69"/>
    <w:rsid w:val="005612CE"/>
    <w:rsid w:val="00561B84"/>
    <w:rsid w:val="00562A7E"/>
    <w:rsid w:val="00562B97"/>
    <w:rsid w:val="0056528E"/>
    <w:rsid w:val="00565FC8"/>
    <w:rsid w:val="005670D5"/>
    <w:rsid w:val="0057085B"/>
    <w:rsid w:val="0057135B"/>
    <w:rsid w:val="005716D8"/>
    <w:rsid w:val="00571D98"/>
    <w:rsid w:val="005720AE"/>
    <w:rsid w:val="00572FD0"/>
    <w:rsid w:val="005730DD"/>
    <w:rsid w:val="00573336"/>
    <w:rsid w:val="00575F55"/>
    <w:rsid w:val="00576328"/>
    <w:rsid w:val="00577437"/>
    <w:rsid w:val="0058030D"/>
    <w:rsid w:val="00581C02"/>
    <w:rsid w:val="00582045"/>
    <w:rsid w:val="00583AC7"/>
    <w:rsid w:val="00584880"/>
    <w:rsid w:val="0058569C"/>
    <w:rsid w:val="0058688F"/>
    <w:rsid w:val="005871E1"/>
    <w:rsid w:val="00590AE3"/>
    <w:rsid w:val="005918F1"/>
    <w:rsid w:val="005948D8"/>
    <w:rsid w:val="00594DE7"/>
    <w:rsid w:val="00595A6B"/>
    <w:rsid w:val="00596960"/>
    <w:rsid w:val="005A06B7"/>
    <w:rsid w:val="005A1759"/>
    <w:rsid w:val="005A21E6"/>
    <w:rsid w:val="005A3679"/>
    <w:rsid w:val="005A6FA5"/>
    <w:rsid w:val="005B0553"/>
    <w:rsid w:val="005B1B1A"/>
    <w:rsid w:val="005B223D"/>
    <w:rsid w:val="005B2A1B"/>
    <w:rsid w:val="005B2AD2"/>
    <w:rsid w:val="005B3436"/>
    <w:rsid w:val="005B547B"/>
    <w:rsid w:val="005B56E8"/>
    <w:rsid w:val="005B721B"/>
    <w:rsid w:val="005C16EC"/>
    <w:rsid w:val="005C1D13"/>
    <w:rsid w:val="005C2627"/>
    <w:rsid w:val="005C3E2D"/>
    <w:rsid w:val="005C54E8"/>
    <w:rsid w:val="005C5588"/>
    <w:rsid w:val="005C749A"/>
    <w:rsid w:val="005C7814"/>
    <w:rsid w:val="005D0369"/>
    <w:rsid w:val="005D0A6A"/>
    <w:rsid w:val="005D11D9"/>
    <w:rsid w:val="005D17AC"/>
    <w:rsid w:val="005D1E4A"/>
    <w:rsid w:val="005D2A96"/>
    <w:rsid w:val="005D43B0"/>
    <w:rsid w:val="005D53FE"/>
    <w:rsid w:val="005D5F97"/>
    <w:rsid w:val="005D6040"/>
    <w:rsid w:val="005D6656"/>
    <w:rsid w:val="005D78BF"/>
    <w:rsid w:val="005D7A0F"/>
    <w:rsid w:val="005E0302"/>
    <w:rsid w:val="005E0438"/>
    <w:rsid w:val="005E0E25"/>
    <w:rsid w:val="005E1017"/>
    <w:rsid w:val="005E1791"/>
    <w:rsid w:val="005E1F0A"/>
    <w:rsid w:val="005E2CE6"/>
    <w:rsid w:val="005E4107"/>
    <w:rsid w:val="005E43C3"/>
    <w:rsid w:val="005E454B"/>
    <w:rsid w:val="005E46E1"/>
    <w:rsid w:val="005E5308"/>
    <w:rsid w:val="005E54F2"/>
    <w:rsid w:val="005E624D"/>
    <w:rsid w:val="005E6324"/>
    <w:rsid w:val="005E6E30"/>
    <w:rsid w:val="005E748F"/>
    <w:rsid w:val="005F1698"/>
    <w:rsid w:val="005F1A07"/>
    <w:rsid w:val="005F228B"/>
    <w:rsid w:val="005F2837"/>
    <w:rsid w:val="005F29CD"/>
    <w:rsid w:val="005F2D3F"/>
    <w:rsid w:val="005F3004"/>
    <w:rsid w:val="005F44FD"/>
    <w:rsid w:val="005F4B1F"/>
    <w:rsid w:val="005F4DFB"/>
    <w:rsid w:val="005F5F6D"/>
    <w:rsid w:val="005F6398"/>
    <w:rsid w:val="005F6B2A"/>
    <w:rsid w:val="005F6CC0"/>
    <w:rsid w:val="005F6EE1"/>
    <w:rsid w:val="005F7114"/>
    <w:rsid w:val="00601902"/>
    <w:rsid w:val="00601E43"/>
    <w:rsid w:val="00602795"/>
    <w:rsid w:val="00603E5B"/>
    <w:rsid w:val="00604BC8"/>
    <w:rsid w:val="00605F07"/>
    <w:rsid w:val="00606D70"/>
    <w:rsid w:val="0061042D"/>
    <w:rsid w:val="00615B4C"/>
    <w:rsid w:val="00615B5D"/>
    <w:rsid w:val="0062146F"/>
    <w:rsid w:val="006215F4"/>
    <w:rsid w:val="00622CD8"/>
    <w:rsid w:val="00623FB1"/>
    <w:rsid w:val="006245C1"/>
    <w:rsid w:val="006246CC"/>
    <w:rsid w:val="006263EC"/>
    <w:rsid w:val="00626E19"/>
    <w:rsid w:val="00632065"/>
    <w:rsid w:val="00633D3B"/>
    <w:rsid w:val="00633EAA"/>
    <w:rsid w:val="006343AF"/>
    <w:rsid w:val="0063508E"/>
    <w:rsid w:val="006356A4"/>
    <w:rsid w:val="0063634A"/>
    <w:rsid w:val="00637164"/>
    <w:rsid w:val="00637597"/>
    <w:rsid w:val="00637D37"/>
    <w:rsid w:val="006407E7"/>
    <w:rsid w:val="00642202"/>
    <w:rsid w:val="0064250D"/>
    <w:rsid w:val="00642993"/>
    <w:rsid w:val="0064336E"/>
    <w:rsid w:val="0064361D"/>
    <w:rsid w:val="0064404C"/>
    <w:rsid w:val="00645E8A"/>
    <w:rsid w:val="006463E7"/>
    <w:rsid w:val="00647585"/>
    <w:rsid w:val="00647E2C"/>
    <w:rsid w:val="0065061E"/>
    <w:rsid w:val="0065120E"/>
    <w:rsid w:val="006526D4"/>
    <w:rsid w:val="00652B28"/>
    <w:rsid w:val="006532BE"/>
    <w:rsid w:val="006535C0"/>
    <w:rsid w:val="006535EB"/>
    <w:rsid w:val="00654FCC"/>
    <w:rsid w:val="00655920"/>
    <w:rsid w:val="006565DB"/>
    <w:rsid w:val="00656944"/>
    <w:rsid w:val="00657155"/>
    <w:rsid w:val="00663016"/>
    <w:rsid w:val="00663A46"/>
    <w:rsid w:val="00665028"/>
    <w:rsid w:val="006657C5"/>
    <w:rsid w:val="0066728B"/>
    <w:rsid w:val="006674F7"/>
    <w:rsid w:val="006701A9"/>
    <w:rsid w:val="0067083B"/>
    <w:rsid w:val="006726B5"/>
    <w:rsid w:val="00674605"/>
    <w:rsid w:val="006748B8"/>
    <w:rsid w:val="0067502D"/>
    <w:rsid w:val="0067669E"/>
    <w:rsid w:val="00676E67"/>
    <w:rsid w:val="00680DBD"/>
    <w:rsid w:val="00683220"/>
    <w:rsid w:val="0068535B"/>
    <w:rsid w:val="00685E28"/>
    <w:rsid w:val="006864D4"/>
    <w:rsid w:val="006867EC"/>
    <w:rsid w:val="0068736E"/>
    <w:rsid w:val="0069095E"/>
    <w:rsid w:val="006911A6"/>
    <w:rsid w:val="006921D0"/>
    <w:rsid w:val="00692304"/>
    <w:rsid w:val="0069290A"/>
    <w:rsid w:val="00692B21"/>
    <w:rsid w:val="00692E2D"/>
    <w:rsid w:val="00693C78"/>
    <w:rsid w:val="006940E0"/>
    <w:rsid w:val="006955D1"/>
    <w:rsid w:val="00695C78"/>
    <w:rsid w:val="00697032"/>
    <w:rsid w:val="006975AC"/>
    <w:rsid w:val="00697C26"/>
    <w:rsid w:val="006A15FB"/>
    <w:rsid w:val="006A1824"/>
    <w:rsid w:val="006A1B85"/>
    <w:rsid w:val="006A4843"/>
    <w:rsid w:val="006A5CD6"/>
    <w:rsid w:val="006A72BF"/>
    <w:rsid w:val="006A7F27"/>
    <w:rsid w:val="006B0AD6"/>
    <w:rsid w:val="006B32A6"/>
    <w:rsid w:val="006B332A"/>
    <w:rsid w:val="006B33BD"/>
    <w:rsid w:val="006B342C"/>
    <w:rsid w:val="006B3DB4"/>
    <w:rsid w:val="006B46CF"/>
    <w:rsid w:val="006B4B8B"/>
    <w:rsid w:val="006B7249"/>
    <w:rsid w:val="006B756E"/>
    <w:rsid w:val="006C078C"/>
    <w:rsid w:val="006C0885"/>
    <w:rsid w:val="006C3F75"/>
    <w:rsid w:val="006C60B6"/>
    <w:rsid w:val="006C6E12"/>
    <w:rsid w:val="006C7361"/>
    <w:rsid w:val="006C7CF0"/>
    <w:rsid w:val="006D0BBB"/>
    <w:rsid w:val="006D144C"/>
    <w:rsid w:val="006D170E"/>
    <w:rsid w:val="006D5B5A"/>
    <w:rsid w:val="006D5D1A"/>
    <w:rsid w:val="006D62CF"/>
    <w:rsid w:val="006D6E05"/>
    <w:rsid w:val="006E06AF"/>
    <w:rsid w:val="006E15F5"/>
    <w:rsid w:val="006E632F"/>
    <w:rsid w:val="006E6949"/>
    <w:rsid w:val="006F02B0"/>
    <w:rsid w:val="006F0C1B"/>
    <w:rsid w:val="006F1789"/>
    <w:rsid w:val="006F2E27"/>
    <w:rsid w:val="006F5471"/>
    <w:rsid w:val="006F558A"/>
    <w:rsid w:val="006F5814"/>
    <w:rsid w:val="006F596D"/>
    <w:rsid w:val="006F6D93"/>
    <w:rsid w:val="006F7F7A"/>
    <w:rsid w:val="007008D5"/>
    <w:rsid w:val="00702B4D"/>
    <w:rsid w:val="0070488E"/>
    <w:rsid w:val="007048E7"/>
    <w:rsid w:val="00704BC5"/>
    <w:rsid w:val="00705A57"/>
    <w:rsid w:val="00706C5D"/>
    <w:rsid w:val="00707C33"/>
    <w:rsid w:val="007118AA"/>
    <w:rsid w:val="007118E6"/>
    <w:rsid w:val="00711AE0"/>
    <w:rsid w:val="0071204D"/>
    <w:rsid w:val="00713910"/>
    <w:rsid w:val="00713C08"/>
    <w:rsid w:val="00715F09"/>
    <w:rsid w:val="0071652A"/>
    <w:rsid w:val="00716E60"/>
    <w:rsid w:val="00717205"/>
    <w:rsid w:val="00717C96"/>
    <w:rsid w:val="00721D99"/>
    <w:rsid w:val="007225C9"/>
    <w:rsid w:val="007251A7"/>
    <w:rsid w:val="00726764"/>
    <w:rsid w:val="00731540"/>
    <w:rsid w:val="0073182A"/>
    <w:rsid w:val="00733D2B"/>
    <w:rsid w:val="0073448C"/>
    <w:rsid w:val="00735A01"/>
    <w:rsid w:val="00735CD7"/>
    <w:rsid w:val="00735CF6"/>
    <w:rsid w:val="007367FC"/>
    <w:rsid w:val="007369A2"/>
    <w:rsid w:val="007413CB"/>
    <w:rsid w:val="00741714"/>
    <w:rsid w:val="007426F3"/>
    <w:rsid w:val="007429D7"/>
    <w:rsid w:val="00743F85"/>
    <w:rsid w:val="00743F86"/>
    <w:rsid w:val="00745169"/>
    <w:rsid w:val="0074711C"/>
    <w:rsid w:val="00750249"/>
    <w:rsid w:val="007507EC"/>
    <w:rsid w:val="00750887"/>
    <w:rsid w:val="007508FC"/>
    <w:rsid w:val="00750B4E"/>
    <w:rsid w:val="00752004"/>
    <w:rsid w:val="007520AD"/>
    <w:rsid w:val="007527E5"/>
    <w:rsid w:val="00753569"/>
    <w:rsid w:val="00754034"/>
    <w:rsid w:val="00754BF1"/>
    <w:rsid w:val="00755748"/>
    <w:rsid w:val="00755A30"/>
    <w:rsid w:val="00755E1C"/>
    <w:rsid w:val="0075604F"/>
    <w:rsid w:val="00756556"/>
    <w:rsid w:val="00760A71"/>
    <w:rsid w:val="00760AE0"/>
    <w:rsid w:val="007611FF"/>
    <w:rsid w:val="0076132B"/>
    <w:rsid w:val="00761EDB"/>
    <w:rsid w:val="00762154"/>
    <w:rsid w:val="007623AE"/>
    <w:rsid w:val="007640C6"/>
    <w:rsid w:val="00764EFA"/>
    <w:rsid w:val="007702AF"/>
    <w:rsid w:val="00770B19"/>
    <w:rsid w:val="0077288D"/>
    <w:rsid w:val="007728B6"/>
    <w:rsid w:val="00773F30"/>
    <w:rsid w:val="00774FA0"/>
    <w:rsid w:val="00775113"/>
    <w:rsid w:val="00776620"/>
    <w:rsid w:val="0077699B"/>
    <w:rsid w:val="00777B6D"/>
    <w:rsid w:val="00780652"/>
    <w:rsid w:val="00781EB0"/>
    <w:rsid w:val="00782810"/>
    <w:rsid w:val="00782A47"/>
    <w:rsid w:val="0078311C"/>
    <w:rsid w:val="007832F0"/>
    <w:rsid w:val="007842C0"/>
    <w:rsid w:val="00784855"/>
    <w:rsid w:val="00784F39"/>
    <w:rsid w:val="0078545C"/>
    <w:rsid w:val="007906C4"/>
    <w:rsid w:val="00790F49"/>
    <w:rsid w:val="007924A3"/>
    <w:rsid w:val="00793368"/>
    <w:rsid w:val="007940EA"/>
    <w:rsid w:val="00794FAE"/>
    <w:rsid w:val="0079664E"/>
    <w:rsid w:val="007967E8"/>
    <w:rsid w:val="00797961"/>
    <w:rsid w:val="007A0CDA"/>
    <w:rsid w:val="007A1D16"/>
    <w:rsid w:val="007A2031"/>
    <w:rsid w:val="007A3551"/>
    <w:rsid w:val="007A43B6"/>
    <w:rsid w:val="007A63F2"/>
    <w:rsid w:val="007A7383"/>
    <w:rsid w:val="007A7CBF"/>
    <w:rsid w:val="007A7E63"/>
    <w:rsid w:val="007A7E9C"/>
    <w:rsid w:val="007B0536"/>
    <w:rsid w:val="007B23B8"/>
    <w:rsid w:val="007B3BE9"/>
    <w:rsid w:val="007B445A"/>
    <w:rsid w:val="007B4566"/>
    <w:rsid w:val="007B4DE4"/>
    <w:rsid w:val="007B4E32"/>
    <w:rsid w:val="007B6600"/>
    <w:rsid w:val="007B68DE"/>
    <w:rsid w:val="007B6BB3"/>
    <w:rsid w:val="007B7F40"/>
    <w:rsid w:val="007C01E1"/>
    <w:rsid w:val="007C1857"/>
    <w:rsid w:val="007C2A80"/>
    <w:rsid w:val="007C514F"/>
    <w:rsid w:val="007C72FF"/>
    <w:rsid w:val="007C7325"/>
    <w:rsid w:val="007C7A9A"/>
    <w:rsid w:val="007D0F95"/>
    <w:rsid w:val="007D2640"/>
    <w:rsid w:val="007D2D9D"/>
    <w:rsid w:val="007D7ECB"/>
    <w:rsid w:val="007E0F4C"/>
    <w:rsid w:val="007E25A1"/>
    <w:rsid w:val="007E4BD2"/>
    <w:rsid w:val="007E6AF0"/>
    <w:rsid w:val="007E7145"/>
    <w:rsid w:val="007E72BE"/>
    <w:rsid w:val="007F0095"/>
    <w:rsid w:val="007F135D"/>
    <w:rsid w:val="007F2084"/>
    <w:rsid w:val="007F22A0"/>
    <w:rsid w:val="007F254A"/>
    <w:rsid w:val="007F2E98"/>
    <w:rsid w:val="007F3916"/>
    <w:rsid w:val="007F3D52"/>
    <w:rsid w:val="007F4760"/>
    <w:rsid w:val="007F5CFA"/>
    <w:rsid w:val="007F606E"/>
    <w:rsid w:val="00800BE7"/>
    <w:rsid w:val="00801179"/>
    <w:rsid w:val="00802479"/>
    <w:rsid w:val="00804E78"/>
    <w:rsid w:val="00805372"/>
    <w:rsid w:val="00805B7B"/>
    <w:rsid w:val="00806E7C"/>
    <w:rsid w:val="0080772E"/>
    <w:rsid w:val="008106C9"/>
    <w:rsid w:val="0081293E"/>
    <w:rsid w:val="00813467"/>
    <w:rsid w:val="00814100"/>
    <w:rsid w:val="00814F70"/>
    <w:rsid w:val="00814FFB"/>
    <w:rsid w:val="0081676E"/>
    <w:rsid w:val="00816D59"/>
    <w:rsid w:val="00817CFC"/>
    <w:rsid w:val="00817E79"/>
    <w:rsid w:val="00820568"/>
    <w:rsid w:val="00823408"/>
    <w:rsid w:val="00824A95"/>
    <w:rsid w:val="00824ACD"/>
    <w:rsid w:val="0082559F"/>
    <w:rsid w:val="00825D5A"/>
    <w:rsid w:val="00827B43"/>
    <w:rsid w:val="0083061E"/>
    <w:rsid w:val="00831A80"/>
    <w:rsid w:val="00831D55"/>
    <w:rsid w:val="0083296B"/>
    <w:rsid w:val="008332C8"/>
    <w:rsid w:val="008336E8"/>
    <w:rsid w:val="00833743"/>
    <w:rsid w:val="008338EE"/>
    <w:rsid w:val="008340A4"/>
    <w:rsid w:val="0083452C"/>
    <w:rsid w:val="008366FA"/>
    <w:rsid w:val="00836799"/>
    <w:rsid w:val="00837028"/>
    <w:rsid w:val="00837131"/>
    <w:rsid w:val="008373A5"/>
    <w:rsid w:val="0083762C"/>
    <w:rsid w:val="00837C46"/>
    <w:rsid w:val="008400C6"/>
    <w:rsid w:val="0084093A"/>
    <w:rsid w:val="00841D98"/>
    <w:rsid w:val="00843263"/>
    <w:rsid w:val="0084463C"/>
    <w:rsid w:val="00844EAF"/>
    <w:rsid w:val="00845F57"/>
    <w:rsid w:val="00846C03"/>
    <w:rsid w:val="00847CC3"/>
    <w:rsid w:val="008502B8"/>
    <w:rsid w:val="008521E0"/>
    <w:rsid w:val="008525B0"/>
    <w:rsid w:val="00854303"/>
    <w:rsid w:val="008564D3"/>
    <w:rsid w:val="008602FF"/>
    <w:rsid w:val="00860C38"/>
    <w:rsid w:val="00862B5A"/>
    <w:rsid w:val="008642D7"/>
    <w:rsid w:val="00864AB2"/>
    <w:rsid w:val="0086780D"/>
    <w:rsid w:val="00867CBC"/>
    <w:rsid w:val="00870045"/>
    <w:rsid w:val="00870367"/>
    <w:rsid w:val="00870D42"/>
    <w:rsid w:val="00870FB5"/>
    <w:rsid w:val="008711CE"/>
    <w:rsid w:val="00871D3F"/>
    <w:rsid w:val="008730CC"/>
    <w:rsid w:val="00874067"/>
    <w:rsid w:val="008767D2"/>
    <w:rsid w:val="00876C30"/>
    <w:rsid w:val="00876CDB"/>
    <w:rsid w:val="00877017"/>
    <w:rsid w:val="00877201"/>
    <w:rsid w:val="008773C0"/>
    <w:rsid w:val="00880364"/>
    <w:rsid w:val="0088114E"/>
    <w:rsid w:val="00881187"/>
    <w:rsid w:val="00881B33"/>
    <w:rsid w:val="0088473F"/>
    <w:rsid w:val="0088490D"/>
    <w:rsid w:val="00885E0E"/>
    <w:rsid w:val="00885E3E"/>
    <w:rsid w:val="00885F17"/>
    <w:rsid w:val="00886314"/>
    <w:rsid w:val="008866E8"/>
    <w:rsid w:val="00886840"/>
    <w:rsid w:val="00886C4C"/>
    <w:rsid w:val="0088711C"/>
    <w:rsid w:val="00890C50"/>
    <w:rsid w:val="00892ECF"/>
    <w:rsid w:val="00892F06"/>
    <w:rsid w:val="00893BF4"/>
    <w:rsid w:val="00893E6E"/>
    <w:rsid w:val="00894285"/>
    <w:rsid w:val="008949AA"/>
    <w:rsid w:val="0089729D"/>
    <w:rsid w:val="00897F1F"/>
    <w:rsid w:val="008A02B2"/>
    <w:rsid w:val="008A0911"/>
    <w:rsid w:val="008A2002"/>
    <w:rsid w:val="008A3F35"/>
    <w:rsid w:val="008A3F7E"/>
    <w:rsid w:val="008A40AE"/>
    <w:rsid w:val="008A43E9"/>
    <w:rsid w:val="008A4659"/>
    <w:rsid w:val="008A4A5C"/>
    <w:rsid w:val="008A4CEB"/>
    <w:rsid w:val="008A4E19"/>
    <w:rsid w:val="008A4F91"/>
    <w:rsid w:val="008A67C5"/>
    <w:rsid w:val="008A6E2D"/>
    <w:rsid w:val="008A73C5"/>
    <w:rsid w:val="008A7A48"/>
    <w:rsid w:val="008B0A74"/>
    <w:rsid w:val="008B0DC2"/>
    <w:rsid w:val="008B0FE8"/>
    <w:rsid w:val="008B22E1"/>
    <w:rsid w:val="008B2F64"/>
    <w:rsid w:val="008B3A22"/>
    <w:rsid w:val="008B3C78"/>
    <w:rsid w:val="008B4AE9"/>
    <w:rsid w:val="008B56B0"/>
    <w:rsid w:val="008B5A71"/>
    <w:rsid w:val="008B664A"/>
    <w:rsid w:val="008B687C"/>
    <w:rsid w:val="008B7875"/>
    <w:rsid w:val="008B7C7A"/>
    <w:rsid w:val="008B7D47"/>
    <w:rsid w:val="008C01B8"/>
    <w:rsid w:val="008C0CB2"/>
    <w:rsid w:val="008C14C7"/>
    <w:rsid w:val="008C30AD"/>
    <w:rsid w:val="008C43B5"/>
    <w:rsid w:val="008C6D01"/>
    <w:rsid w:val="008D068E"/>
    <w:rsid w:val="008D0F7A"/>
    <w:rsid w:val="008D50C4"/>
    <w:rsid w:val="008D6145"/>
    <w:rsid w:val="008D63BE"/>
    <w:rsid w:val="008D6AA8"/>
    <w:rsid w:val="008D70A8"/>
    <w:rsid w:val="008D7F2C"/>
    <w:rsid w:val="008E0CFF"/>
    <w:rsid w:val="008E0D5B"/>
    <w:rsid w:val="008E17ED"/>
    <w:rsid w:val="008E34C0"/>
    <w:rsid w:val="008E4F6E"/>
    <w:rsid w:val="008E59BB"/>
    <w:rsid w:val="008E5A30"/>
    <w:rsid w:val="008E5D6B"/>
    <w:rsid w:val="008E689B"/>
    <w:rsid w:val="008E76F0"/>
    <w:rsid w:val="008F09B5"/>
    <w:rsid w:val="008F0F7B"/>
    <w:rsid w:val="008F15FE"/>
    <w:rsid w:val="008F27B0"/>
    <w:rsid w:val="008F2A94"/>
    <w:rsid w:val="008F5187"/>
    <w:rsid w:val="008F52D7"/>
    <w:rsid w:val="008F709C"/>
    <w:rsid w:val="008F7D08"/>
    <w:rsid w:val="008F7EAA"/>
    <w:rsid w:val="00900922"/>
    <w:rsid w:val="0090312B"/>
    <w:rsid w:val="0090455B"/>
    <w:rsid w:val="00904961"/>
    <w:rsid w:val="00904A88"/>
    <w:rsid w:val="00904E35"/>
    <w:rsid w:val="00913260"/>
    <w:rsid w:val="00916910"/>
    <w:rsid w:val="0091736D"/>
    <w:rsid w:val="00917B17"/>
    <w:rsid w:val="00917C39"/>
    <w:rsid w:val="00917E6A"/>
    <w:rsid w:val="00920CA8"/>
    <w:rsid w:val="00921E42"/>
    <w:rsid w:val="00921FA5"/>
    <w:rsid w:val="00922675"/>
    <w:rsid w:val="0092279C"/>
    <w:rsid w:val="009228FA"/>
    <w:rsid w:val="0092443F"/>
    <w:rsid w:val="00924B42"/>
    <w:rsid w:val="00925301"/>
    <w:rsid w:val="00925DCA"/>
    <w:rsid w:val="0092669C"/>
    <w:rsid w:val="009268DC"/>
    <w:rsid w:val="00926B92"/>
    <w:rsid w:val="009271BE"/>
    <w:rsid w:val="009305E0"/>
    <w:rsid w:val="00930B2D"/>
    <w:rsid w:val="00931001"/>
    <w:rsid w:val="009310A2"/>
    <w:rsid w:val="00931863"/>
    <w:rsid w:val="00932774"/>
    <w:rsid w:val="00933524"/>
    <w:rsid w:val="009336CF"/>
    <w:rsid w:val="00934D1E"/>
    <w:rsid w:val="00935B13"/>
    <w:rsid w:val="0093775D"/>
    <w:rsid w:val="0094278D"/>
    <w:rsid w:val="009440A4"/>
    <w:rsid w:val="009447D7"/>
    <w:rsid w:val="00944886"/>
    <w:rsid w:val="00944FC2"/>
    <w:rsid w:val="00945451"/>
    <w:rsid w:val="00945747"/>
    <w:rsid w:val="00945A9A"/>
    <w:rsid w:val="00947737"/>
    <w:rsid w:val="009500D7"/>
    <w:rsid w:val="0095308A"/>
    <w:rsid w:val="0095436F"/>
    <w:rsid w:val="0095531D"/>
    <w:rsid w:val="00955631"/>
    <w:rsid w:val="0095590F"/>
    <w:rsid w:val="00955AEE"/>
    <w:rsid w:val="00956DBE"/>
    <w:rsid w:val="00956F14"/>
    <w:rsid w:val="009578EA"/>
    <w:rsid w:val="00960629"/>
    <w:rsid w:val="00960C43"/>
    <w:rsid w:val="00961447"/>
    <w:rsid w:val="009620FD"/>
    <w:rsid w:val="00962286"/>
    <w:rsid w:val="0096247A"/>
    <w:rsid w:val="00962485"/>
    <w:rsid w:val="009629A9"/>
    <w:rsid w:val="00962F0E"/>
    <w:rsid w:val="00964616"/>
    <w:rsid w:val="00965540"/>
    <w:rsid w:val="0096573A"/>
    <w:rsid w:val="00965F4B"/>
    <w:rsid w:val="00966C05"/>
    <w:rsid w:val="00967A80"/>
    <w:rsid w:val="00970155"/>
    <w:rsid w:val="00970BFF"/>
    <w:rsid w:val="00970F8A"/>
    <w:rsid w:val="00971FB5"/>
    <w:rsid w:val="00972D2A"/>
    <w:rsid w:val="00974089"/>
    <w:rsid w:val="009745F3"/>
    <w:rsid w:val="00975CC5"/>
    <w:rsid w:val="00976328"/>
    <w:rsid w:val="00976B4E"/>
    <w:rsid w:val="009812F7"/>
    <w:rsid w:val="00981AC6"/>
    <w:rsid w:val="009829B0"/>
    <w:rsid w:val="00982D87"/>
    <w:rsid w:val="00983C9E"/>
    <w:rsid w:val="00984458"/>
    <w:rsid w:val="009845C0"/>
    <w:rsid w:val="00984B67"/>
    <w:rsid w:val="00985283"/>
    <w:rsid w:val="009856BD"/>
    <w:rsid w:val="00985A6E"/>
    <w:rsid w:val="00986755"/>
    <w:rsid w:val="00987322"/>
    <w:rsid w:val="00990F21"/>
    <w:rsid w:val="009918A6"/>
    <w:rsid w:val="00991C72"/>
    <w:rsid w:val="00991D7A"/>
    <w:rsid w:val="0099211D"/>
    <w:rsid w:val="00993A1E"/>
    <w:rsid w:val="0099438F"/>
    <w:rsid w:val="009947D3"/>
    <w:rsid w:val="00994CB5"/>
    <w:rsid w:val="00996A60"/>
    <w:rsid w:val="00996EC3"/>
    <w:rsid w:val="00997BDE"/>
    <w:rsid w:val="009A0731"/>
    <w:rsid w:val="009A0F3B"/>
    <w:rsid w:val="009A18EB"/>
    <w:rsid w:val="009A1CCC"/>
    <w:rsid w:val="009A3A0E"/>
    <w:rsid w:val="009A4A90"/>
    <w:rsid w:val="009A4C17"/>
    <w:rsid w:val="009A63FA"/>
    <w:rsid w:val="009A72C7"/>
    <w:rsid w:val="009B0413"/>
    <w:rsid w:val="009B04F8"/>
    <w:rsid w:val="009B0563"/>
    <w:rsid w:val="009B0897"/>
    <w:rsid w:val="009B1D39"/>
    <w:rsid w:val="009B23AF"/>
    <w:rsid w:val="009B3E60"/>
    <w:rsid w:val="009B4EFB"/>
    <w:rsid w:val="009C0D12"/>
    <w:rsid w:val="009C1287"/>
    <w:rsid w:val="009C1D3B"/>
    <w:rsid w:val="009C4723"/>
    <w:rsid w:val="009C4BFF"/>
    <w:rsid w:val="009C738B"/>
    <w:rsid w:val="009D082C"/>
    <w:rsid w:val="009D0852"/>
    <w:rsid w:val="009D0D92"/>
    <w:rsid w:val="009D1FBF"/>
    <w:rsid w:val="009D6AE7"/>
    <w:rsid w:val="009D6BAE"/>
    <w:rsid w:val="009D7900"/>
    <w:rsid w:val="009D7FDD"/>
    <w:rsid w:val="009E1D31"/>
    <w:rsid w:val="009E207E"/>
    <w:rsid w:val="009E37F6"/>
    <w:rsid w:val="009E399C"/>
    <w:rsid w:val="009E43C1"/>
    <w:rsid w:val="009E4674"/>
    <w:rsid w:val="009E4A1C"/>
    <w:rsid w:val="009E532C"/>
    <w:rsid w:val="009E5B80"/>
    <w:rsid w:val="009E7E95"/>
    <w:rsid w:val="009F0BA7"/>
    <w:rsid w:val="009F116F"/>
    <w:rsid w:val="009F329E"/>
    <w:rsid w:val="009F3ED2"/>
    <w:rsid w:val="009F5155"/>
    <w:rsid w:val="009F569F"/>
    <w:rsid w:val="009F7C4A"/>
    <w:rsid w:val="009F7ED3"/>
    <w:rsid w:val="00A00845"/>
    <w:rsid w:val="00A01455"/>
    <w:rsid w:val="00A03158"/>
    <w:rsid w:val="00A03607"/>
    <w:rsid w:val="00A047FF"/>
    <w:rsid w:val="00A04FEF"/>
    <w:rsid w:val="00A05366"/>
    <w:rsid w:val="00A059D4"/>
    <w:rsid w:val="00A05DED"/>
    <w:rsid w:val="00A0676D"/>
    <w:rsid w:val="00A106E5"/>
    <w:rsid w:val="00A11928"/>
    <w:rsid w:val="00A122CD"/>
    <w:rsid w:val="00A12A32"/>
    <w:rsid w:val="00A14248"/>
    <w:rsid w:val="00A14252"/>
    <w:rsid w:val="00A14947"/>
    <w:rsid w:val="00A14BB2"/>
    <w:rsid w:val="00A162EA"/>
    <w:rsid w:val="00A16478"/>
    <w:rsid w:val="00A17C46"/>
    <w:rsid w:val="00A212F7"/>
    <w:rsid w:val="00A21835"/>
    <w:rsid w:val="00A2268F"/>
    <w:rsid w:val="00A23BB5"/>
    <w:rsid w:val="00A23DC5"/>
    <w:rsid w:val="00A2463E"/>
    <w:rsid w:val="00A248CC"/>
    <w:rsid w:val="00A25B08"/>
    <w:rsid w:val="00A26668"/>
    <w:rsid w:val="00A27925"/>
    <w:rsid w:val="00A27AF5"/>
    <w:rsid w:val="00A3036B"/>
    <w:rsid w:val="00A3096C"/>
    <w:rsid w:val="00A32A04"/>
    <w:rsid w:val="00A330FB"/>
    <w:rsid w:val="00A33DB7"/>
    <w:rsid w:val="00A34028"/>
    <w:rsid w:val="00A344A9"/>
    <w:rsid w:val="00A34BCA"/>
    <w:rsid w:val="00A35568"/>
    <w:rsid w:val="00A35AE0"/>
    <w:rsid w:val="00A37056"/>
    <w:rsid w:val="00A37282"/>
    <w:rsid w:val="00A37DFC"/>
    <w:rsid w:val="00A40276"/>
    <w:rsid w:val="00A4199E"/>
    <w:rsid w:val="00A42A40"/>
    <w:rsid w:val="00A4358F"/>
    <w:rsid w:val="00A43BDB"/>
    <w:rsid w:val="00A43E5C"/>
    <w:rsid w:val="00A44013"/>
    <w:rsid w:val="00A442A0"/>
    <w:rsid w:val="00A444B4"/>
    <w:rsid w:val="00A45AE0"/>
    <w:rsid w:val="00A45C46"/>
    <w:rsid w:val="00A46E6E"/>
    <w:rsid w:val="00A46F67"/>
    <w:rsid w:val="00A5189B"/>
    <w:rsid w:val="00A518F4"/>
    <w:rsid w:val="00A52158"/>
    <w:rsid w:val="00A52227"/>
    <w:rsid w:val="00A52F7A"/>
    <w:rsid w:val="00A533AF"/>
    <w:rsid w:val="00A535A8"/>
    <w:rsid w:val="00A53807"/>
    <w:rsid w:val="00A543D7"/>
    <w:rsid w:val="00A54AA1"/>
    <w:rsid w:val="00A56787"/>
    <w:rsid w:val="00A568FF"/>
    <w:rsid w:val="00A604ED"/>
    <w:rsid w:val="00A60C57"/>
    <w:rsid w:val="00A61448"/>
    <w:rsid w:val="00A61496"/>
    <w:rsid w:val="00A61833"/>
    <w:rsid w:val="00A61E3D"/>
    <w:rsid w:val="00A624C6"/>
    <w:rsid w:val="00A6350C"/>
    <w:rsid w:val="00A63CEC"/>
    <w:rsid w:val="00A671B0"/>
    <w:rsid w:val="00A702A1"/>
    <w:rsid w:val="00A7031E"/>
    <w:rsid w:val="00A7063C"/>
    <w:rsid w:val="00A716B0"/>
    <w:rsid w:val="00A728B1"/>
    <w:rsid w:val="00A72AE5"/>
    <w:rsid w:val="00A72DAA"/>
    <w:rsid w:val="00A735EB"/>
    <w:rsid w:val="00A73BEC"/>
    <w:rsid w:val="00A73D9B"/>
    <w:rsid w:val="00A74CDE"/>
    <w:rsid w:val="00A763DE"/>
    <w:rsid w:val="00A77BC6"/>
    <w:rsid w:val="00A80132"/>
    <w:rsid w:val="00A803D6"/>
    <w:rsid w:val="00A80B3D"/>
    <w:rsid w:val="00A81282"/>
    <w:rsid w:val="00A82FEF"/>
    <w:rsid w:val="00A84026"/>
    <w:rsid w:val="00A85A2A"/>
    <w:rsid w:val="00A8701E"/>
    <w:rsid w:val="00A8713F"/>
    <w:rsid w:val="00A87632"/>
    <w:rsid w:val="00A90602"/>
    <w:rsid w:val="00A91167"/>
    <w:rsid w:val="00A9171C"/>
    <w:rsid w:val="00A92FFD"/>
    <w:rsid w:val="00A93399"/>
    <w:rsid w:val="00A94687"/>
    <w:rsid w:val="00A94B5D"/>
    <w:rsid w:val="00A95975"/>
    <w:rsid w:val="00A95B9C"/>
    <w:rsid w:val="00A97045"/>
    <w:rsid w:val="00A9708D"/>
    <w:rsid w:val="00A97B4C"/>
    <w:rsid w:val="00AA0032"/>
    <w:rsid w:val="00AA0624"/>
    <w:rsid w:val="00AA113D"/>
    <w:rsid w:val="00AA1777"/>
    <w:rsid w:val="00AA261F"/>
    <w:rsid w:val="00AA2C17"/>
    <w:rsid w:val="00AA4172"/>
    <w:rsid w:val="00AA4C58"/>
    <w:rsid w:val="00AA5377"/>
    <w:rsid w:val="00AA76F6"/>
    <w:rsid w:val="00AA78D4"/>
    <w:rsid w:val="00AA7DF2"/>
    <w:rsid w:val="00AB083A"/>
    <w:rsid w:val="00AB0F85"/>
    <w:rsid w:val="00AB1072"/>
    <w:rsid w:val="00AB1098"/>
    <w:rsid w:val="00AB1914"/>
    <w:rsid w:val="00AB3B8D"/>
    <w:rsid w:val="00AB3B9E"/>
    <w:rsid w:val="00AB51CE"/>
    <w:rsid w:val="00AB5330"/>
    <w:rsid w:val="00AB6A5D"/>
    <w:rsid w:val="00AB7577"/>
    <w:rsid w:val="00AB7747"/>
    <w:rsid w:val="00AC13DC"/>
    <w:rsid w:val="00AC160A"/>
    <w:rsid w:val="00AC183A"/>
    <w:rsid w:val="00AC2532"/>
    <w:rsid w:val="00AC4216"/>
    <w:rsid w:val="00AC46EC"/>
    <w:rsid w:val="00AC5AC4"/>
    <w:rsid w:val="00AC5D18"/>
    <w:rsid w:val="00AC629A"/>
    <w:rsid w:val="00AC62EC"/>
    <w:rsid w:val="00AC7B01"/>
    <w:rsid w:val="00AD00E5"/>
    <w:rsid w:val="00AD0A7C"/>
    <w:rsid w:val="00AD0AE2"/>
    <w:rsid w:val="00AD0DBF"/>
    <w:rsid w:val="00AD1507"/>
    <w:rsid w:val="00AD1B41"/>
    <w:rsid w:val="00AD451C"/>
    <w:rsid w:val="00AD58C9"/>
    <w:rsid w:val="00AD5A70"/>
    <w:rsid w:val="00AD629A"/>
    <w:rsid w:val="00AD6F76"/>
    <w:rsid w:val="00AD738B"/>
    <w:rsid w:val="00AD77EA"/>
    <w:rsid w:val="00AE00DE"/>
    <w:rsid w:val="00AE1685"/>
    <w:rsid w:val="00AE1BF4"/>
    <w:rsid w:val="00AE1D2F"/>
    <w:rsid w:val="00AE2A90"/>
    <w:rsid w:val="00AE5BBE"/>
    <w:rsid w:val="00AE5D97"/>
    <w:rsid w:val="00AE6794"/>
    <w:rsid w:val="00AF1501"/>
    <w:rsid w:val="00AF1541"/>
    <w:rsid w:val="00AF21D4"/>
    <w:rsid w:val="00AF2999"/>
    <w:rsid w:val="00AF2FFD"/>
    <w:rsid w:val="00AF30F1"/>
    <w:rsid w:val="00AF3E40"/>
    <w:rsid w:val="00AF412E"/>
    <w:rsid w:val="00AF437B"/>
    <w:rsid w:val="00AF6DE8"/>
    <w:rsid w:val="00AF79FA"/>
    <w:rsid w:val="00B001F7"/>
    <w:rsid w:val="00B00403"/>
    <w:rsid w:val="00B01110"/>
    <w:rsid w:val="00B017AD"/>
    <w:rsid w:val="00B02262"/>
    <w:rsid w:val="00B0350A"/>
    <w:rsid w:val="00B03BB3"/>
    <w:rsid w:val="00B03CEC"/>
    <w:rsid w:val="00B04C1B"/>
    <w:rsid w:val="00B05774"/>
    <w:rsid w:val="00B06120"/>
    <w:rsid w:val="00B0669D"/>
    <w:rsid w:val="00B06BA9"/>
    <w:rsid w:val="00B1209F"/>
    <w:rsid w:val="00B123C1"/>
    <w:rsid w:val="00B12AD0"/>
    <w:rsid w:val="00B13104"/>
    <w:rsid w:val="00B143E5"/>
    <w:rsid w:val="00B14C09"/>
    <w:rsid w:val="00B15C83"/>
    <w:rsid w:val="00B2066B"/>
    <w:rsid w:val="00B20A89"/>
    <w:rsid w:val="00B24636"/>
    <w:rsid w:val="00B24F30"/>
    <w:rsid w:val="00B27E72"/>
    <w:rsid w:val="00B30EF0"/>
    <w:rsid w:val="00B30FE3"/>
    <w:rsid w:val="00B31ABF"/>
    <w:rsid w:val="00B335AE"/>
    <w:rsid w:val="00B3587A"/>
    <w:rsid w:val="00B3682C"/>
    <w:rsid w:val="00B36CB3"/>
    <w:rsid w:val="00B37CE1"/>
    <w:rsid w:val="00B40782"/>
    <w:rsid w:val="00B40ACF"/>
    <w:rsid w:val="00B41D83"/>
    <w:rsid w:val="00B423C6"/>
    <w:rsid w:val="00B4402E"/>
    <w:rsid w:val="00B449F5"/>
    <w:rsid w:val="00B467AC"/>
    <w:rsid w:val="00B46BAA"/>
    <w:rsid w:val="00B50B5F"/>
    <w:rsid w:val="00B516DF"/>
    <w:rsid w:val="00B518E1"/>
    <w:rsid w:val="00B52869"/>
    <w:rsid w:val="00B52EC6"/>
    <w:rsid w:val="00B54128"/>
    <w:rsid w:val="00B541EF"/>
    <w:rsid w:val="00B55826"/>
    <w:rsid w:val="00B56DFB"/>
    <w:rsid w:val="00B57E98"/>
    <w:rsid w:val="00B601BA"/>
    <w:rsid w:val="00B601FC"/>
    <w:rsid w:val="00B60426"/>
    <w:rsid w:val="00B605D0"/>
    <w:rsid w:val="00B61648"/>
    <w:rsid w:val="00B622DD"/>
    <w:rsid w:val="00B62961"/>
    <w:rsid w:val="00B63522"/>
    <w:rsid w:val="00B64067"/>
    <w:rsid w:val="00B67B5F"/>
    <w:rsid w:val="00B703C7"/>
    <w:rsid w:val="00B72C01"/>
    <w:rsid w:val="00B7324F"/>
    <w:rsid w:val="00B76C8B"/>
    <w:rsid w:val="00B76F1D"/>
    <w:rsid w:val="00B77326"/>
    <w:rsid w:val="00B8134D"/>
    <w:rsid w:val="00B818D6"/>
    <w:rsid w:val="00B81A23"/>
    <w:rsid w:val="00B83366"/>
    <w:rsid w:val="00B86BF9"/>
    <w:rsid w:val="00B8768F"/>
    <w:rsid w:val="00B90492"/>
    <w:rsid w:val="00B906D9"/>
    <w:rsid w:val="00B90834"/>
    <w:rsid w:val="00B912BA"/>
    <w:rsid w:val="00B91C8E"/>
    <w:rsid w:val="00B92A19"/>
    <w:rsid w:val="00B930D2"/>
    <w:rsid w:val="00B9544C"/>
    <w:rsid w:val="00B959A4"/>
    <w:rsid w:val="00B96328"/>
    <w:rsid w:val="00B97ED1"/>
    <w:rsid w:val="00BA29E9"/>
    <w:rsid w:val="00BA44D0"/>
    <w:rsid w:val="00BA4E3A"/>
    <w:rsid w:val="00BA563E"/>
    <w:rsid w:val="00BB01D6"/>
    <w:rsid w:val="00BB1114"/>
    <w:rsid w:val="00BB14E0"/>
    <w:rsid w:val="00BB154B"/>
    <w:rsid w:val="00BB23CD"/>
    <w:rsid w:val="00BB2F95"/>
    <w:rsid w:val="00BB3618"/>
    <w:rsid w:val="00BB56D1"/>
    <w:rsid w:val="00BB588C"/>
    <w:rsid w:val="00BB6FE2"/>
    <w:rsid w:val="00BB7450"/>
    <w:rsid w:val="00BC050C"/>
    <w:rsid w:val="00BC08DF"/>
    <w:rsid w:val="00BC0C9E"/>
    <w:rsid w:val="00BC1788"/>
    <w:rsid w:val="00BC1B4A"/>
    <w:rsid w:val="00BC32DC"/>
    <w:rsid w:val="00BC41D3"/>
    <w:rsid w:val="00BC4514"/>
    <w:rsid w:val="00BC6C75"/>
    <w:rsid w:val="00BC7925"/>
    <w:rsid w:val="00BD11D2"/>
    <w:rsid w:val="00BD1AB2"/>
    <w:rsid w:val="00BD1B51"/>
    <w:rsid w:val="00BD2958"/>
    <w:rsid w:val="00BD2BBF"/>
    <w:rsid w:val="00BD47F6"/>
    <w:rsid w:val="00BD563B"/>
    <w:rsid w:val="00BD7014"/>
    <w:rsid w:val="00BD7590"/>
    <w:rsid w:val="00BE312D"/>
    <w:rsid w:val="00BE3FCA"/>
    <w:rsid w:val="00BE48D7"/>
    <w:rsid w:val="00BE5D98"/>
    <w:rsid w:val="00BE7AEB"/>
    <w:rsid w:val="00BF255A"/>
    <w:rsid w:val="00BF2C0E"/>
    <w:rsid w:val="00BF2D9F"/>
    <w:rsid w:val="00BF3244"/>
    <w:rsid w:val="00BF3437"/>
    <w:rsid w:val="00BF3A60"/>
    <w:rsid w:val="00BF576A"/>
    <w:rsid w:val="00BF57E7"/>
    <w:rsid w:val="00C000FB"/>
    <w:rsid w:val="00C0044E"/>
    <w:rsid w:val="00C00F23"/>
    <w:rsid w:val="00C01040"/>
    <w:rsid w:val="00C01043"/>
    <w:rsid w:val="00C01297"/>
    <w:rsid w:val="00C01B27"/>
    <w:rsid w:val="00C034CE"/>
    <w:rsid w:val="00C03BBC"/>
    <w:rsid w:val="00C03C8E"/>
    <w:rsid w:val="00C03F88"/>
    <w:rsid w:val="00C044A1"/>
    <w:rsid w:val="00C05719"/>
    <w:rsid w:val="00C05ABC"/>
    <w:rsid w:val="00C05ED4"/>
    <w:rsid w:val="00C0722B"/>
    <w:rsid w:val="00C1013B"/>
    <w:rsid w:val="00C10578"/>
    <w:rsid w:val="00C10F59"/>
    <w:rsid w:val="00C13E8F"/>
    <w:rsid w:val="00C13F4B"/>
    <w:rsid w:val="00C156CE"/>
    <w:rsid w:val="00C16372"/>
    <w:rsid w:val="00C165B1"/>
    <w:rsid w:val="00C176A4"/>
    <w:rsid w:val="00C17D62"/>
    <w:rsid w:val="00C201C8"/>
    <w:rsid w:val="00C20D20"/>
    <w:rsid w:val="00C21514"/>
    <w:rsid w:val="00C21604"/>
    <w:rsid w:val="00C21FDC"/>
    <w:rsid w:val="00C22602"/>
    <w:rsid w:val="00C24B70"/>
    <w:rsid w:val="00C24EE7"/>
    <w:rsid w:val="00C2596A"/>
    <w:rsid w:val="00C26A00"/>
    <w:rsid w:val="00C26F7A"/>
    <w:rsid w:val="00C271BE"/>
    <w:rsid w:val="00C27425"/>
    <w:rsid w:val="00C300AD"/>
    <w:rsid w:val="00C30A98"/>
    <w:rsid w:val="00C328FE"/>
    <w:rsid w:val="00C33A05"/>
    <w:rsid w:val="00C33FF7"/>
    <w:rsid w:val="00C349EF"/>
    <w:rsid w:val="00C358AC"/>
    <w:rsid w:val="00C4181B"/>
    <w:rsid w:val="00C41EA2"/>
    <w:rsid w:val="00C42020"/>
    <w:rsid w:val="00C4217D"/>
    <w:rsid w:val="00C42500"/>
    <w:rsid w:val="00C4409D"/>
    <w:rsid w:val="00C45168"/>
    <w:rsid w:val="00C455BE"/>
    <w:rsid w:val="00C45EA3"/>
    <w:rsid w:val="00C51A17"/>
    <w:rsid w:val="00C51E5F"/>
    <w:rsid w:val="00C52EF4"/>
    <w:rsid w:val="00C541FA"/>
    <w:rsid w:val="00C56403"/>
    <w:rsid w:val="00C5681C"/>
    <w:rsid w:val="00C56C59"/>
    <w:rsid w:val="00C57CBC"/>
    <w:rsid w:val="00C57ED5"/>
    <w:rsid w:val="00C60B57"/>
    <w:rsid w:val="00C60FD3"/>
    <w:rsid w:val="00C61375"/>
    <w:rsid w:val="00C61E4B"/>
    <w:rsid w:val="00C62137"/>
    <w:rsid w:val="00C62D9A"/>
    <w:rsid w:val="00C62E3A"/>
    <w:rsid w:val="00C64503"/>
    <w:rsid w:val="00C64A1F"/>
    <w:rsid w:val="00C64BFF"/>
    <w:rsid w:val="00C707A9"/>
    <w:rsid w:val="00C71B84"/>
    <w:rsid w:val="00C72530"/>
    <w:rsid w:val="00C7263E"/>
    <w:rsid w:val="00C745EE"/>
    <w:rsid w:val="00C76194"/>
    <w:rsid w:val="00C763C9"/>
    <w:rsid w:val="00C76519"/>
    <w:rsid w:val="00C76C7D"/>
    <w:rsid w:val="00C80057"/>
    <w:rsid w:val="00C806BA"/>
    <w:rsid w:val="00C811ED"/>
    <w:rsid w:val="00C823EA"/>
    <w:rsid w:val="00C82C79"/>
    <w:rsid w:val="00C82D81"/>
    <w:rsid w:val="00C82FDD"/>
    <w:rsid w:val="00C84753"/>
    <w:rsid w:val="00C8549F"/>
    <w:rsid w:val="00C86CB2"/>
    <w:rsid w:val="00C8742F"/>
    <w:rsid w:val="00C8764D"/>
    <w:rsid w:val="00C87DCE"/>
    <w:rsid w:val="00C91611"/>
    <w:rsid w:val="00C91DFF"/>
    <w:rsid w:val="00C9370F"/>
    <w:rsid w:val="00C94D0E"/>
    <w:rsid w:val="00C97500"/>
    <w:rsid w:val="00CA139A"/>
    <w:rsid w:val="00CA3585"/>
    <w:rsid w:val="00CA3679"/>
    <w:rsid w:val="00CA3D5A"/>
    <w:rsid w:val="00CA4C7C"/>
    <w:rsid w:val="00CA4E5F"/>
    <w:rsid w:val="00CA522F"/>
    <w:rsid w:val="00CA5B4C"/>
    <w:rsid w:val="00CA5EF2"/>
    <w:rsid w:val="00CB00EF"/>
    <w:rsid w:val="00CB0183"/>
    <w:rsid w:val="00CB0BB3"/>
    <w:rsid w:val="00CB0BE2"/>
    <w:rsid w:val="00CB1EA3"/>
    <w:rsid w:val="00CB313C"/>
    <w:rsid w:val="00CB39B3"/>
    <w:rsid w:val="00CB552C"/>
    <w:rsid w:val="00CB5D92"/>
    <w:rsid w:val="00CB6986"/>
    <w:rsid w:val="00CB6A9E"/>
    <w:rsid w:val="00CB6D3A"/>
    <w:rsid w:val="00CB7197"/>
    <w:rsid w:val="00CC1F00"/>
    <w:rsid w:val="00CC24F5"/>
    <w:rsid w:val="00CC3461"/>
    <w:rsid w:val="00CC4346"/>
    <w:rsid w:val="00CC4D1B"/>
    <w:rsid w:val="00CC505A"/>
    <w:rsid w:val="00CC5376"/>
    <w:rsid w:val="00CC5565"/>
    <w:rsid w:val="00CC5A9A"/>
    <w:rsid w:val="00CC6130"/>
    <w:rsid w:val="00CC6181"/>
    <w:rsid w:val="00CC70E9"/>
    <w:rsid w:val="00CC7C89"/>
    <w:rsid w:val="00CD1540"/>
    <w:rsid w:val="00CD281B"/>
    <w:rsid w:val="00CD2BCD"/>
    <w:rsid w:val="00CD36AA"/>
    <w:rsid w:val="00CD3791"/>
    <w:rsid w:val="00CD5F64"/>
    <w:rsid w:val="00CD65B0"/>
    <w:rsid w:val="00CD66D4"/>
    <w:rsid w:val="00CD6C71"/>
    <w:rsid w:val="00CD70D2"/>
    <w:rsid w:val="00CD7D90"/>
    <w:rsid w:val="00CE02CD"/>
    <w:rsid w:val="00CE0AEE"/>
    <w:rsid w:val="00CE10E9"/>
    <w:rsid w:val="00CE13A0"/>
    <w:rsid w:val="00CE1601"/>
    <w:rsid w:val="00CE470B"/>
    <w:rsid w:val="00CE4EB1"/>
    <w:rsid w:val="00CE778E"/>
    <w:rsid w:val="00CE7F60"/>
    <w:rsid w:val="00CE7FDF"/>
    <w:rsid w:val="00CF2554"/>
    <w:rsid w:val="00CF36F8"/>
    <w:rsid w:val="00CF4082"/>
    <w:rsid w:val="00CF5A65"/>
    <w:rsid w:val="00CF5BF0"/>
    <w:rsid w:val="00CF629B"/>
    <w:rsid w:val="00CF6F0A"/>
    <w:rsid w:val="00D002CC"/>
    <w:rsid w:val="00D0072E"/>
    <w:rsid w:val="00D00B78"/>
    <w:rsid w:val="00D01718"/>
    <w:rsid w:val="00D024B4"/>
    <w:rsid w:val="00D0480E"/>
    <w:rsid w:val="00D069C9"/>
    <w:rsid w:val="00D076D7"/>
    <w:rsid w:val="00D07DB4"/>
    <w:rsid w:val="00D07EF4"/>
    <w:rsid w:val="00D13AE0"/>
    <w:rsid w:val="00D14A8D"/>
    <w:rsid w:val="00D15727"/>
    <w:rsid w:val="00D16332"/>
    <w:rsid w:val="00D2180A"/>
    <w:rsid w:val="00D2229D"/>
    <w:rsid w:val="00D2231F"/>
    <w:rsid w:val="00D22592"/>
    <w:rsid w:val="00D23789"/>
    <w:rsid w:val="00D24972"/>
    <w:rsid w:val="00D2515E"/>
    <w:rsid w:val="00D25D84"/>
    <w:rsid w:val="00D26E33"/>
    <w:rsid w:val="00D308ED"/>
    <w:rsid w:val="00D341A2"/>
    <w:rsid w:val="00D341C0"/>
    <w:rsid w:val="00D347B7"/>
    <w:rsid w:val="00D34CD6"/>
    <w:rsid w:val="00D352F3"/>
    <w:rsid w:val="00D356DC"/>
    <w:rsid w:val="00D3695F"/>
    <w:rsid w:val="00D40DA8"/>
    <w:rsid w:val="00D41D35"/>
    <w:rsid w:val="00D42627"/>
    <w:rsid w:val="00D42A54"/>
    <w:rsid w:val="00D42C9B"/>
    <w:rsid w:val="00D43EDC"/>
    <w:rsid w:val="00D44B8E"/>
    <w:rsid w:val="00D4550D"/>
    <w:rsid w:val="00D45646"/>
    <w:rsid w:val="00D45B16"/>
    <w:rsid w:val="00D47A65"/>
    <w:rsid w:val="00D50DA1"/>
    <w:rsid w:val="00D549F5"/>
    <w:rsid w:val="00D54BA0"/>
    <w:rsid w:val="00D5615D"/>
    <w:rsid w:val="00D56178"/>
    <w:rsid w:val="00D56245"/>
    <w:rsid w:val="00D56773"/>
    <w:rsid w:val="00D56CF0"/>
    <w:rsid w:val="00D56F5C"/>
    <w:rsid w:val="00D63D75"/>
    <w:rsid w:val="00D63E07"/>
    <w:rsid w:val="00D63FD1"/>
    <w:rsid w:val="00D6680C"/>
    <w:rsid w:val="00D67FEC"/>
    <w:rsid w:val="00D704B1"/>
    <w:rsid w:val="00D704F7"/>
    <w:rsid w:val="00D70B63"/>
    <w:rsid w:val="00D710C1"/>
    <w:rsid w:val="00D72042"/>
    <w:rsid w:val="00D729D0"/>
    <w:rsid w:val="00D72B92"/>
    <w:rsid w:val="00D72D3E"/>
    <w:rsid w:val="00D72ED4"/>
    <w:rsid w:val="00D73F61"/>
    <w:rsid w:val="00D74912"/>
    <w:rsid w:val="00D754C0"/>
    <w:rsid w:val="00D76F1E"/>
    <w:rsid w:val="00D77067"/>
    <w:rsid w:val="00D776A2"/>
    <w:rsid w:val="00D801C4"/>
    <w:rsid w:val="00D81572"/>
    <w:rsid w:val="00D81D5C"/>
    <w:rsid w:val="00D844A2"/>
    <w:rsid w:val="00D84EB7"/>
    <w:rsid w:val="00D867C0"/>
    <w:rsid w:val="00D867CD"/>
    <w:rsid w:val="00D86D60"/>
    <w:rsid w:val="00D90836"/>
    <w:rsid w:val="00D92366"/>
    <w:rsid w:val="00D92BAF"/>
    <w:rsid w:val="00D93BC6"/>
    <w:rsid w:val="00D94EF8"/>
    <w:rsid w:val="00D95896"/>
    <w:rsid w:val="00D95CC6"/>
    <w:rsid w:val="00D9693C"/>
    <w:rsid w:val="00DA004B"/>
    <w:rsid w:val="00DA0B54"/>
    <w:rsid w:val="00DA163A"/>
    <w:rsid w:val="00DA2200"/>
    <w:rsid w:val="00DA2DA3"/>
    <w:rsid w:val="00DA6615"/>
    <w:rsid w:val="00DA76AE"/>
    <w:rsid w:val="00DB0726"/>
    <w:rsid w:val="00DB181E"/>
    <w:rsid w:val="00DB1C26"/>
    <w:rsid w:val="00DB1C7A"/>
    <w:rsid w:val="00DB2068"/>
    <w:rsid w:val="00DB2983"/>
    <w:rsid w:val="00DB2C0E"/>
    <w:rsid w:val="00DB2F22"/>
    <w:rsid w:val="00DB343D"/>
    <w:rsid w:val="00DB3D20"/>
    <w:rsid w:val="00DB42E7"/>
    <w:rsid w:val="00DB5579"/>
    <w:rsid w:val="00DB5CFE"/>
    <w:rsid w:val="00DC09FD"/>
    <w:rsid w:val="00DC0BFD"/>
    <w:rsid w:val="00DC1FEB"/>
    <w:rsid w:val="00DC25C1"/>
    <w:rsid w:val="00DC2E88"/>
    <w:rsid w:val="00DC325B"/>
    <w:rsid w:val="00DC39EC"/>
    <w:rsid w:val="00DC3C7B"/>
    <w:rsid w:val="00DC43F7"/>
    <w:rsid w:val="00DC594C"/>
    <w:rsid w:val="00DC72A6"/>
    <w:rsid w:val="00DC7988"/>
    <w:rsid w:val="00DD0E97"/>
    <w:rsid w:val="00DD2113"/>
    <w:rsid w:val="00DD215C"/>
    <w:rsid w:val="00DD265E"/>
    <w:rsid w:val="00DD2BF5"/>
    <w:rsid w:val="00DD6024"/>
    <w:rsid w:val="00DD65C1"/>
    <w:rsid w:val="00DD6C58"/>
    <w:rsid w:val="00DD7880"/>
    <w:rsid w:val="00DE19CD"/>
    <w:rsid w:val="00DE2A39"/>
    <w:rsid w:val="00DE4636"/>
    <w:rsid w:val="00DE54E0"/>
    <w:rsid w:val="00DE7475"/>
    <w:rsid w:val="00DE7EC8"/>
    <w:rsid w:val="00DF024D"/>
    <w:rsid w:val="00DF0F25"/>
    <w:rsid w:val="00DF179A"/>
    <w:rsid w:val="00DF1930"/>
    <w:rsid w:val="00DF2349"/>
    <w:rsid w:val="00DF2BD4"/>
    <w:rsid w:val="00DF34E5"/>
    <w:rsid w:val="00DF5042"/>
    <w:rsid w:val="00DF514A"/>
    <w:rsid w:val="00DF5B7B"/>
    <w:rsid w:val="00DF699E"/>
    <w:rsid w:val="00DF71C2"/>
    <w:rsid w:val="00DF7635"/>
    <w:rsid w:val="00DF7A97"/>
    <w:rsid w:val="00E0140F"/>
    <w:rsid w:val="00E027FB"/>
    <w:rsid w:val="00E0358D"/>
    <w:rsid w:val="00E038E8"/>
    <w:rsid w:val="00E03F71"/>
    <w:rsid w:val="00E052D3"/>
    <w:rsid w:val="00E05B32"/>
    <w:rsid w:val="00E06168"/>
    <w:rsid w:val="00E0616F"/>
    <w:rsid w:val="00E06327"/>
    <w:rsid w:val="00E107E4"/>
    <w:rsid w:val="00E13F18"/>
    <w:rsid w:val="00E14809"/>
    <w:rsid w:val="00E14AC3"/>
    <w:rsid w:val="00E14F69"/>
    <w:rsid w:val="00E16BAA"/>
    <w:rsid w:val="00E17227"/>
    <w:rsid w:val="00E20031"/>
    <w:rsid w:val="00E20182"/>
    <w:rsid w:val="00E2064B"/>
    <w:rsid w:val="00E21683"/>
    <w:rsid w:val="00E21BB4"/>
    <w:rsid w:val="00E23FF5"/>
    <w:rsid w:val="00E24CAC"/>
    <w:rsid w:val="00E25239"/>
    <w:rsid w:val="00E254C1"/>
    <w:rsid w:val="00E258B9"/>
    <w:rsid w:val="00E265B1"/>
    <w:rsid w:val="00E275B0"/>
    <w:rsid w:val="00E27DB6"/>
    <w:rsid w:val="00E300C8"/>
    <w:rsid w:val="00E3041A"/>
    <w:rsid w:val="00E3363F"/>
    <w:rsid w:val="00E33E36"/>
    <w:rsid w:val="00E37955"/>
    <w:rsid w:val="00E40E4D"/>
    <w:rsid w:val="00E412D0"/>
    <w:rsid w:val="00E42625"/>
    <w:rsid w:val="00E4269E"/>
    <w:rsid w:val="00E432C5"/>
    <w:rsid w:val="00E43C62"/>
    <w:rsid w:val="00E44B43"/>
    <w:rsid w:val="00E45AEA"/>
    <w:rsid w:val="00E46B04"/>
    <w:rsid w:val="00E47CDB"/>
    <w:rsid w:val="00E50A98"/>
    <w:rsid w:val="00E50E43"/>
    <w:rsid w:val="00E50F46"/>
    <w:rsid w:val="00E522A2"/>
    <w:rsid w:val="00E52BEA"/>
    <w:rsid w:val="00E53997"/>
    <w:rsid w:val="00E54159"/>
    <w:rsid w:val="00E5518F"/>
    <w:rsid w:val="00E55422"/>
    <w:rsid w:val="00E5643C"/>
    <w:rsid w:val="00E566BC"/>
    <w:rsid w:val="00E56B13"/>
    <w:rsid w:val="00E60982"/>
    <w:rsid w:val="00E60C8D"/>
    <w:rsid w:val="00E6162F"/>
    <w:rsid w:val="00E6311B"/>
    <w:rsid w:val="00E65D97"/>
    <w:rsid w:val="00E6784D"/>
    <w:rsid w:val="00E67EFD"/>
    <w:rsid w:val="00E702DC"/>
    <w:rsid w:val="00E70A86"/>
    <w:rsid w:val="00E71FFB"/>
    <w:rsid w:val="00E73C0F"/>
    <w:rsid w:val="00E75B77"/>
    <w:rsid w:val="00E75FE5"/>
    <w:rsid w:val="00E767D1"/>
    <w:rsid w:val="00E76D1D"/>
    <w:rsid w:val="00E76D56"/>
    <w:rsid w:val="00E771EA"/>
    <w:rsid w:val="00E806F8"/>
    <w:rsid w:val="00E8132E"/>
    <w:rsid w:val="00E84023"/>
    <w:rsid w:val="00E84DA9"/>
    <w:rsid w:val="00E85AC5"/>
    <w:rsid w:val="00E85CA3"/>
    <w:rsid w:val="00E8695B"/>
    <w:rsid w:val="00E87752"/>
    <w:rsid w:val="00E8793B"/>
    <w:rsid w:val="00E90F81"/>
    <w:rsid w:val="00E91A6D"/>
    <w:rsid w:val="00E9242D"/>
    <w:rsid w:val="00E948B4"/>
    <w:rsid w:val="00E9670F"/>
    <w:rsid w:val="00E96A2A"/>
    <w:rsid w:val="00E96CDA"/>
    <w:rsid w:val="00E96E22"/>
    <w:rsid w:val="00EA02D5"/>
    <w:rsid w:val="00EA24E5"/>
    <w:rsid w:val="00EA3C53"/>
    <w:rsid w:val="00EA665B"/>
    <w:rsid w:val="00EB041C"/>
    <w:rsid w:val="00EB08D3"/>
    <w:rsid w:val="00EB159A"/>
    <w:rsid w:val="00EB1BAD"/>
    <w:rsid w:val="00EB5049"/>
    <w:rsid w:val="00EB51B3"/>
    <w:rsid w:val="00EB5719"/>
    <w:rsid w:val="00EB5C42"/>
    <w:rsid w:val="00EB604B"/>
    <w:rsid w:val="00EB6489"/>
    <w:rsid w:val="00EB723F"/>
    <w:rsid w:val="00EB7DA1"/>
    <w:rsid w:val="00EC1E29"/>
    <w:rsid w:val="00EC220A"/>
    <w:rsid w:val="00EC40F2"/>
    <w:rsid w:val="00EC5874"/>
    <w:rsid w:val="00EC5AED"/>
    <w:rsid w:val="00EC75F4"/>
    <w:rsid w:val="00ED00D5"/>
    <w:rsid w:val="00ED0A93"/>
    <w:rsid w:val="00ED0FDD"/>
    <w:rsid w:val="00ED192D"/>
    <w:rsid w:val="00ED30B4"/>
    <w:rsid w:val="00ED31F5"/>
    <w:rsid w:val="00ED3F00"/>
    <w:rsid w:val="00ED615B"/>
    <w:rsid w:val="00ED6E3B"/>
    <w:rsid w:val="00ED709C"/>
    <w:rsid w:val="00ED71AA"/>
    <w:rsid w:val="00ED78A2"/>
    <w:rsid w:val="00EE045B"/>
    <w:rsid w:val="00EE1D95"/>
    <w:rsid w:val="00EE206A"/>
    <w:rsid w:val="00EE2296"/>
    <w:rsid w:val="00EE44DE"/>
    <w:rsid w:val="00EE4B0F"/>
    <w:rsid w:val="00EE5252"/>
    <w:rsid w:val="00EE5C6A"/>
    <w:rsid w:val="00EE6044"/>
    <w:rsid w:val="00EE67FA"/>
    <w:rsid w:val="00EE6A19"/>
    <w:rsid w:val="00EE77DD"/>
    <w:rsid w:val="00EF2343"/>
    <w:rsid w:val="00EF2759"/>
    <w:rsid w:val="00EF2811"/>
    <w:rsid w:val="00EF45EB"/>
    <w:rsid w:val="00EF4CD3"/>
    <w:rsid w:val="00EF5099"/>
    <w:rsid w:val="00EF50AA"/>
    <w:rsid w:val="00EF5885"/>
    <w:rsid w:val="00EF5E33"/>
    <w:rsid w:val="00EF7DB9"/>
    <w:rsid w:val="00F00075"/>
    <w:rsid w:val="00F00471"/>
    <w:rsid w:val="00F03D52"/>
    <w:rsid w:val="00F04696"/>
    <w:rsid w:val="00F06847"/>
    <w:rsid w:val="00F07387"/>
    <w:rsid w:val="00F07822"/>
    <w:rsid w:val="00F07EC8"/>
    <w:rsid w:val="00F10863"/>
    <w:rsid w:val="00F1197F"/>
    <w:rsid w:val="00F12E64"/>
    <w:rsid w:val="00F13BF6"/>
    <w:rsid w:val="00F151A8"/>
    <w:rsid w:val="00F155A9"/>
    <w:rsid w:val="00F15C95"/>
    <w:rsid w:val="00F165A2"/>
    <w:rsid w:val="00F22985"/>
    <w:rsid w:val="00F23384"/>
    <w:rsid w:val="00F240E6"/>
    <w:rsid w:val="00F241AB"/>
    <w:rsid w:val="00F25B98"/>
    <w:rsid w:val="00F26597"/>
    <w:rsid w:val="00F31382"/>
    <w:rsid w:val="00F31AB0"/>
    <w:rsid w:val="00F31DFE"/>
    <w:rsid w:val="00F35829"/>
    <w:rsid w:val="00F35DB8"/>
    <w:rsid w:val="00F374F5"/>
    <w:rsid w:val="00F413D5"/>
    <w:rsid w:val="00F41CDD"/>
    <w:rsid w:val="00F42868"/>
    <w:rsid w:val="00F428D6"/>
    <w:rsid w:val="00F465A7"/>
    <w:rsid w:val="00F46768"/>
    <w:rsid w:val="00F50B7C"/>
    <w:rsid w:val="00F5202D"/>
    <w:rsid w:val="00F527A0"/>
    <w:rsid w:val="00F52CF6"/>
    <w:rsid w:val="00F54496"/>
    <w:rsid w:val="00F5484C"/>
    <w:rsid w:val="00F5684F"/>
    <w:rsid w:val="00F5795E"/>
    <w:rsid w:val="00F57EAE"/>
    <w:rsid w:val="00F6106B"/>
    <w:rsid w:val="00F61097"/>
    <w:rsid w:val="00F612AD"/>
    <w:rsid w:val="00F614AE"/>
    <w:rsid w:val="00F61AC3"/>
    <w:rsid w:val="00F627F3"/>
    <w:rsid w:val="00F62D57"/>
    <w:rsid w:val="00F65AB0"/>
    <w:rsid w:val="00F660F2"/>
    <w:rsid w:val="00F74345"/>
    <w:rsid w:val="00F74441"/>
    <w:rsid w:val="00F75204"/>
    <w:rsid w:val="00F7592E"/>
    <w:rsid w:val="00F75967"/>
    <w:rsid w:val="00F760AB"/>
    <w:rsid w:val="00F779A5"/>
    <w:rsid w:val="00F77F30"/>
    <w:rsid w:val="00F814CF"/>
    <w:rsid w:val="00F8162E"/>
    <w:rsid w:val="00F82589"/>
    <w:rsid w:val="00F829D3"/>
    <w:rsid w:val="00F82B19"/>
    <w:rsid w:val="00F82ECE"/>
    <w:rsid w:val="00F83B2C"/>
    <w:rsid w:val="00F841BE"/>
    <w:rsid w:val="00F846C8"/>
    <w:rsid w:val="00F85AC7"/>
    <w:rsid w:val="00F86C2D"/>
    <w:rsid w:val="00F8723A"/>
    <w:rsid w:val="00F87C22"/>
    <w:rsid w:val="00F87E24"/>
    <w:rsid w:val="00F90099"/>
    <w:rsid w:val="00F90AA7"/>
    <w:rsid w:val="00F9212D"/>
    <w:rsid w:val="00F940A2"/>
    <w:rsid w:val="00F9446E"/>
    <w:rsid w:val="00F95EB6"/>
    <w:rsid w:val="00FA040B"/>
    <w:rsid w:val="00FA0A55"/>
    <w:rsid w:val="00FA0E15"/>
    <w:rsid w:val="00FA19AB"/>
    <w:rsid w:val="00FA22E2"/>
    <w:rsid w:val="00FA301A"/>
    <w:rsid w:val="00FA3EE3"/>
    <w:rsid w:val="00FA406A"/>
    <w:rsid w:val="00FA5CB6"/>
    <w:rsid w:val="00FA60D0"/>
    <w:rsid w:val="00FA6762"/>
    <w:rsid w:val="00FB4338"/>
    <w:rsid w:val="00FB522F"/>
    <w:rsid w:val="00FB5517"/>
    <w:rsid w:val="00FB5A4E"/>
    <w:rsid w:val="00FB5E17"/>
    <w:rsid w:val="00FB6DEC"/>
    <w:rsid w:val="00FB7206"/>
    <w:rsid w:val="00FC07FF"/>
    <w:rsid w:val="00FC0E23"/>
    <w:rsid w:val="00FC218E"/>
    <w:rsid w:val="00FC23F1"/>
    <w:rsid w:val="00FC4C70"/>
    <w:rsid w:val="00FC4C95"/>
    <w:rsid w:val="00FC4D75"/>
    <w:rsid w:val="00FC5C22"/>
    <w:rsid w:val="00FC66AC"/>
    <w:rsid w:val="00FC670D"/>
    <w:rsid w:val="00FD02F1"/>
    <w:rsid w:val="00FD1186"/>
    <w:rsid w:val="00FD18F4"/>
    <w:rsid w:val="00FD1EFC"/>
    <w:rsid w:val="00FD312D"/>
    <w:rsid w:val="00FD334E"/>
    <w:rsid w:val="00FD349B"/>
    <w:rsid w:val="00FD3C7E"/>
    <w:rsid w:val="00FD4A00"/>
    <w:rsid w:val="00FD7080"/>
    <w:rsid w:val="00FD74B4"/>
    <w:rsid w:val="00FE11AD"/>
    <w:rsid w:val="00FE1BD1"/>
    <w:rsid w:val="00FE4916"/>
    <w:rsid w:val="00FE6E49"/>
    <w:rsid w:val="00FE7DE6"/>
    <w:rsid w:val="00FF05BA"/>
    <w:rsid w:val="00FF0815"/>
    <w:rsid w:val="00FF0C6D"/>
    <w:rsid w:val="00FF2F91"/>
    <w:rsid w:val="00FF33AA"/>
    <w:rsid w:val="00FF38A3"/>
    <w:rsid w:val="00FF4581"/>
    <w:rsid w:val="00FF5C48"/>
    <w:rsid w:val="00FF6175"/>
    <w:rsid w:val="00FF6E26"/>
    <w:rsid w:val="00FF6FCE"/>
    <w:rsid w:val="00FF7518"/>
    <w:rsid w:val="00FF7FD8"/>
    <w:rsid w:val="05742AC8"/>
    <w:rsid w:val="06352F05"/>
    <w:rsid w:val="063E7D85"/>
    <w:rsid w:val="070875E0"/>
    <w:rsid w:val="07293586"/>
    <w:rsid w:val="07295285"/>
    <w:rsid w:val="07770C56"/>
    <w:rsid w:val="08007F3A"/>
    <w:rsid w:val="092217DD"/>
    <w:rsid w:val="093A7294"/>
    <w:rsid w:val="0BD27BF6"/>
    <w:rsid w:val="0E110D06"/>
    <w:rsid w:val="0F13775A"/>
    <w:rsid w:val="0F9A112B"/>
    <w:rsid w:val="106D2F64"/>
    <w:rsid w:val="10B63710"/>
    <w:rsid w:val="111C2F7A"/>
    <w:rsid w:val="113013DE"/>
    <w:rsid w:val="1214079F"/>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8D13A36"/>
    <w:rsid w:val="29206EB8"/>
    <w:rsid w:val="29D9555B"/>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B3D4F92"/>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873723A"/>
    <w:rsid w:val="49DC7715"/>
    <w:rsid w:val="4A023139"/>
    <w:rsid w:val="4A7B576F"/>
    <w:rsid w:val="4C4A0649"/>
    <w:rsid w:val="4CE470D3"/>
    <w:rsid w:val="4D09789A"/>
    <w:rsid w:val="4DEC4FB0"/>
    <w:rsid w:val="4E075D8A"/>
    <w:rsid w:val="4FC62A8C"/>
    <w:rsid w:val="4FE20F0D"/>
    <w:rsid w:val="50504C4B"/>
    <w:rsid w:val="509C6E7C"/>
    <w:rsid w:val="5162104E"/>
    <w:rsid w:val="537776C8"/>
    <w:rsid w:val="53A039CC"/>
    <w:rsid w:val="53A1505A"/>
    <w:rsid w:val="54063E08"/>
    <w:rsid w:val="543437E8"/>
    <w:rsid w:val="559B174B"/>
    <w:rsid w:val="55CE0CF4"/>
    <w:rsid w:val="56B22A9C"/>
    <w:rsid w:val="57B72A76"/>
    <w:rsid w:val="594A0602"/>
    <w:rsid w:val="5A3C747D"/>
    <w:rsid w:val="5ABE2233"/>
    <w:rsid w:val="5B276D18"/>
    <w:rsid w:val="5BDF5D95"/>
    <w:rsid w:val="5DF87A0F"/>
    <w:rsid w:val="5F1A2B43"/>
    <w:rsid w:val="5FB837BB"/>
    <w:rsid w:val="60B77FA4"/>
    <w:rsid w:val="62364782"/>
    <w:rsid w:val="63D40BE9"/>
    <w:rsid w:val="63E0211F"/>
    <w:rsid w:val="65373578"/>
    <w:rsid w:val="673F2C7A"/>
    <w:rsid w:val="681926B7"/>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373F60"/>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0"/>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semiHidden/>
    <w:qFormat/>
    <w:uiPriority w:val="0"/>
    <w:pPr>
      <w:jc w:val="left"/>
    </w:pPr>
    <w:rPr>
      <w:kern w:val="0"/>
      <w:sz w:val="20"/>
    </w:rPr>
  </w:style>
  <w:style w:type="paragraph" w:styleId="5">
    <w:name w:val="Body Text"/>
    <w:basedOn w:val="1"/>
    <w:link w:val="25"/>
    <w:qFormat/>
    <w:uiPriority w:val="0"/>
    <w:pPr>
      <w:widowControl/>
      <w:snapToGrid w:val="0"/>
      <w:spacing w:before="60" w:after="160" w:line="259" w:lineRule="auto"/>
      <w:ind w:right="113"/>
    </w:pPr>
    <w:rPr>
      <w:kern w:val="0"/>
      <w:sz w:val="18"/>
      <w:szCs w:val="18"/>
    </w:rPr>
  </w:style>
  <w:style w:type="paragraph" w:styleId="6">
    <w:name w:val="Body Text Indent"/>
    <w:basedOn w:val="1"/>
    <w:link w:val="26"/>
    <w:semiHidden/>
    <w:qFormat/>
    <w:uiPriority w:val="0"/>
    <w:pPr>
      <w:spacing w:after="120"/>
      <w:ind w:left="420" w:leftChars="200"/>
    </w:pPr>
  </w:style>
  <w:style w:type="paragraph" w:styleId="7">
    <w:name w:val="toc 3"/>
    <w:basedOn w:val="1"/>
    <w:next w:val="1"/>
    <w:unhideWhenUsed/>
    <w:qFormat/>
    <w:locked/>
    <w:uiPriority w:val="39"/>
    <w:pPr>
      <w:widowControl/>
      <w:spacing w:after="100" w:line="259" w:lineRule="auto"/>
      <w:ind w:left="440"/>
      <w:jc w:val="left"/>
    </w:pPr>
    <w:rPr>
      <w:rFonts w:ascii="等线" w:hAnsi="等线" w:eastAsia="等线"/>
      <w:kern w:val="0"/>
      <w:sz w:val="22"/>
      <w:szCs w:val="22"/>
    </w:rPr>
  </w:style>
  <w:style w:type="paragraph" w:styleId="8">
    <w:name w:val="Date"/>
    <w:basedOn w:val="1"/>
    <w:next w:val="1"/>
    <w:link w:val="27"/>
    <w:qFormat/>
    <w:uiPriority w:val="0"/>
    <w:pPr>
      <w:ind w:left="100" w:leftChars="2500"/>
    </w:pPr>
    <w:rPr>
      <w:kern w:val="0"/>
      <w:sz w:val="20"/>
    </w:rPr>
  </w:style>
  <w:style w:type="paragraph" w:styleId="9">
    <w:name w:val="Balloon Text"/>
    <w:basedOn w:val="1"/>
    <w:link w:val="28"/>
    <w:semiHidden/>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szCs w:val="18"/>
    </w:rPr>
  </w:style>
  <w:style w:type="paragraph" w:styleId="11">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locked/>
    <w:uiPriority w:val="39"/>
  </w:style>
  <w:style w:type="paragraph" w:styleId="13">
    <w:name w:val="toc 2"/>
    <w:basedOn w:val="1"/>
    <w:next w:val="1"/>
    <w:unhideWhenUsed/>
    <w:qFormat/>
    <w:locked/>
    <w:uiPriority w:val="39"/>
    <w:pPr>
      <w:widowControl/>
      <w:spacing w:after="100" w:line="259" w:lineRule="auto"/>
      <w:ind w:left="220"/>
      <w:jc w:val="left"/>
    </w:pPr>
    <w:rPr>
      <w:rFonts w:ascii="等线" w:hAnsi="等线" w:eastAsia="等线"/>
      <w:kern w:val="0"/>
      <w:sz w:val="22"/>
      <w:szCs w:val="22"/>
    </w:rPr>
  </w:style>
  <w:style w:type="paragraph" w:styleId="14">
    <w:name w:val="Body Text 2"/>
    <w:basedOn w:val="1"/>
    <w:link w:val="53"/>
    <w:uiPriority w:val="0"/>
    <w:pPr>
      <w:spacing w:after="120" w:line="480" w:lineRule="auto"/>
    </w:pPr>
  </w:style>
  <w:style w:type="paragraph" w:styleId="15">
    <w:name w:val="Normal (Web)"/>
    <w:basedOn w:val="1"/>
    <w:link w:val="31"/>
    <w:qFormat/>
    <w:uiPriority w:val="0"/>
    <w:pPr>
      <w:widowControl/>
      <w:spacing w:before="100" w:beforeAutospacing="1" w:after="100" w:afterAutospacing="1"/>
      <w:jc w:val="left"/>
    </w:pPr>
    <w:rPr>
      <w:rFonts w:ascii="宋体" w:hAnsi="宋体"/>
      <w:kern w:val="0"/>
      <w:sz w:val="24"/>
    </w:rPr>
  </w:style>
  <w:style w:type="paragraph" w:styleId="16">
    <w:name w:val="annotation subject"/>
    <w:basedOn w:val="4"/>
    <w:next w:val="4"/>
    <w:link w:val="32"/>
    <w:semiHidden/>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qFormat/>
    <w:uiPriority w:val="0"/>
  </w:style>
  <w:style w:type="character" w:styleId="21">
    <w:name w:val="FollowedHyperlink"/>
    <w:basedOn w:val="19"/>
    <w:qFormat/>
    <w:uiPriority w:val="0"/>
    <w:rPr>
      <w:color w:val="954F72" w:themeColor="followedHyperlink"/>
      <w:u w:val="single"/>
      <w14:textFill>
        <w14:solidFill>
          <w14:schemeClr w14:val="folHlink"/>
        </w14:solidFill>
      </w14:textFill>
    </w:rPr>
  </w:style>
  <w:style w:type="character" w:styleId="22">
    <w:name w:val="Hyperlink"/>
    <w:unhideWhenUsed/>
    <w:qFormat/>
    <w:uiPriority w:val="99"/>
    <w:rPr>
      <w:color w:val="0563C1"/>
      <w:u w:val="single"/>
    </w:rPr>
  </w:style>
  <w:style w:type="character" w:styleId="23">
    <w:name w:val="annotation reference"/>
    <w:semiHidden/>
    <w:uiPriority w:val="0"/>
    <w:rPr>
      <w:sz w:val="21"/>
    </w:rPr>
  </w:style>
  <w:style w:type="character" w:customStyle="1" w:styleId="24">
    <w:name w:val="批注文字 字符"/>
    <w:link w:val="4"/>
    <w:qFormat/>
    <w:locked/>
    <w:uiPriority w:val="0"/>
    <w:rPr>
      <w:rFonts w:ascii="Times New Roman" w:hAnsi="Times New Roman" w:eastAsia="宋体"/>
      <w:sz w:val="24"/>
    </w:rPr>
  </w:style>
  <w:style w:type="character" w:customStyle="1" w:styleId="25">
    <w:name w:val="正文文本 字符"/>
    <w:link w:val="5"/>
    <w:qFormat/>
    <w:locked/>
    <w:uiPriority w:val="0"/>
    <w:rPr>
      <w:sz w:val="18"/>
    </w:rPr>
  </w:style>
  <w:style w:type="character" w:customStyle="1" w:styleId="26">
    <w:name w:val="正文文本缩进 字符"/>
    <w:link w:val="6"/>
    <w:semiHidden/>
    <w:qFormat/>
    <w:locked/>
    <w:uiPriority w:val="0"/>
    <w:rPr>
      <w:rFonts w:ascii="Times New Roman" w:hAnsi="Times New Roman" w:eastAsia="宋体" w:cs="Times New Roman"/>
      <w:sz w:val="24"/>
      <w:szCs w:val="24"/>
    </w:rPr>
  </w:style>
  <w:style w:type="character" w:customStyle="1" w:styleId="27">
    <w:name w:val="日期 字符1"/>
    <w:link w:val="8"/>
    <w:qFormat/>
    <w:locked/>
    <w:uiPriority w:val="0"/>
    <w:rPr>
      <w:rFonts w:ascii="Times New Roman" w:hAnsi="Times New Roman" w:eastAsia="宋体"/>
      <w:sz w:val="24"/>
    </w:rPr>
  </w:style>
  <w:style w:type="character" w:customStyle="1" w:styleId="28">
    <w:name w:val="批注框文本 字符"/>
    <w:link w:val="9"/>
    <w:semiHidden/>
    <w:qFormat/>
    <w:locked/>
    <w:uiPriority w:val="0"/>
    <w:rPr>
      <w:rFonts w:ascii="Times New Roman" w:hAnsi="Times New Roman" w:eastAsia="宋体" w:cs="Times New Roman"/>
      <w:sz w:val="18"/>
      <w:szCs w:val="18"/>
    </w:rPr>
  </w:style>
  <w:style w:type="character" w:customStyle="1" w:styleId="29">
    <w:name w:val="页脚 字符"/>
    <w:link w:val="10"/>
    <w:qFormat/>
    <w:locked/>
    <w:uiPriority w:val="99"/>
    <w:rPr>
      <w:rFonts w:cs="Times New Roman"/>
      <w:sz w:val="18"/>
      <w:szCs w:val="18"/>
    </w:rPr>
  </w:style>
  <w:style w:type="character" w:customStyle="1" w:styleId="30">
    <w:name w:val="页眉 字符"/>
    <w:link w:val="11"/>
    <w:qFormat/>
    <w:locked/>
    <w:uiPriority w:val="99"/>
    <w:rPr>
      <w:rFonts w:cs="Times New Roman"/>
      <w:sz w:val="18"/>
      <w:szCs w:val="18"/>
    </w:rPr>
  </w:style>
  <w:style w:type="character" w:customStyle="1" w:styleId="31">
    <w:name w:val="普通(网站) 字符"/>
    <w:link w:val="15"/>
    <w:qFormat/>
    <w:locked/>
    <w:uiPriority w:val="0"/>
    <w:rPr>
      <w:rFonts w:ascii="宋体" w:hAnsi="宋体" w:eastAsia="宋体"/>
      <w:sz w:val="24"/>
    </w:rPr>
  </w:style>
  <w:style w:type="character" w:customStyle="1" w:styleId="32">
    <w:name w:val="批注主题 字符"/>
    <w:link w:val="16"/>
    <w:semiHidden/>
    <w:qFormat/>
    <w:locked/>
    <w:uiPriority w:val="0"/>
    <w:rPr>
      <w:rFonts w:cs="Times New Roman"/>
      <w:b/>
      <w:bCs/>
      <w:kern w:val="2"/>
      <w:szCs w:val="24"/>
    </w:rPr>
  </w:style>
  <w:style w:type="character" w:customStyle="1" w:styleId="33">
    <w:name w:val="日期 字符"/>
    <w:semiHidden/>
    <w:qFormat/>
    <w:uiPriority w:val="0"/>
    <w:rPr>
      <w:rFonts w:ascii="Times New Roman" w:hAnsi="Times New Roman" w:eastAsia="宋体" w:cs="Times New Roman"/>
      <w:sz w:val="24"/>
      <w:szCs w:val="24"/>
    </w:rPr>
  </w:style>
  <w:style w:type="character" w:customStyle="1" w:styleId="34">
    <w:name w:val="正文文本 字符1"/>
    <w:semiHidden/>
    <w:qFormat/>
    <w:uiPriority w:val="0"/>
    <w:rPr>
      <w:rFonts w:ascii="Times New Roman" w:hAnsi="Times New Roman" w:eastAsia="宋体" w:cs="Times New Roman"/>
      <w:sz w:val="24"/>
      <w:szCs w:val="24"/>
    </w:rPr>
  </w:style>
  <w:style w:type="paragraph" w:customStyle="1" w:styleId="35">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 w:val="20"/>
      <w:szCs w:val="21"/>
    </w:rPr>
  </w:style>
  <w:style w:type="character" w:customStyle="1" w:styleId="38">
    <w:name w:val="批注文字 字符1"/>
    <w:semiHidden/>
    <w:qFormat/>
    <w:uiPriority w:val="0"/>
    <w:rPr>
      <w:rFonts w:ascii="Times New Roman" w:hAnsi="Times New Roman" w:eastAsia="宋体" w:cs="Times New Roman"/>
      <w:sz w:val="24"/>
      <w:szCs w:val="24"/>
    </w:rPr>
  </w:style>
  <w:style w:type="character" w:customStyle="1" w:styleId="39">
    <w:name w:val="普通(网站) Char"/>
    <w:qFormat/>
    <w:locked/>
    <w:uiPriority w:val="0"/>
    <w:rPr>
      <w:rFonts w:ascii="宋体" w:hAnsi="宋体" w:eastAsia="宋体"/>
      <w:sz w:val="24"/>
    </w:rPr>
  </w:style>
  <w:style w:type="paragraph" w:customStyle="1" w:styleId="40">
    <w:name w:val="TOC 标题1"/>
    <w:basedOn w:val="2"/>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41">
    <w:name w:val="报告正文"/>
    <w:link w:val="43"/>
    <w:qFormat/>
    <w:uiPriority w:val="0"/>
    <w:pPr>
      <w:spacing w:line="360" w:lineRule="auto"/>
      <w:ind w:firstLine="200" w:firstLineChars="200"/>
    </w:pPr>
    <w:rPr>
      <w:rFonts w:ascii="Times New Roman" w:hAnsi="Times New Roman" w:eastAsia="宋体" w:cs="Times New Roman"/>
      <w:sz w:val="24"/>
      <w:szCs w:val="18"/>
      <w:lang w:val="en-US" w:eastAsia="zh-CN" w:bidi="ar-SA"/>
    </w:rPr>
  </w:style>
  <w:style w:type="paragraph" w:customStyle="1" w:styleId="42">
    <w:name w:val="表格文字"/>
    <w:link w:val="45"/>
    <w:qFormat/>
    <w:uiPriority w:val="0"/>
    <w:pPr>
      <w:jc w:val="center"/>
    </w:pPr>
    <w:rPr>
      <w:rFonts w:ascii="Times New Roman" w:hAnsi="Times New Roman" w:eastAsia="宋体" w:cs="Times New Roman"/>
      <w:sz w:val="21"/>
      <w:szCs w:val="18"/>
      <w:lang w:val="en-US" w:eastAsia="zh-CN" w:bidi="ar-SA"/>
    </w:rPr>
  </w:style>
  <w:style w:type="character" w:customStyle="1" w:styleId="43">
    <w:name w:val="报告正文 字符"/>
    <w:link w:val="41"/>
    <w:qFormat/>
    <w:uiPriority w:val="0"/>
    <w:rPr>
      <w:sz w:val="24"/>
      <w:szCs w:val="18"/>
    </w:rPr>
  </w:style>
  <w:style w:type="paragraph" w:customStyle="1" w:styleId="44">
    <w:name w:val="居中用"/>
    <w:link w:val="47"/>
    <w:qFormat/>
    <w:uiPriority w:val="0"/>
    <w:pPr>
      <w:spacing w:line="360" w:lineRule="auto"/>
      <w:jc w:val="center"/>
    </w:pPr>
    <w:rPr>
      <w:rFonts w:ascii="Times New Roman" w:hAnsi="Times New Roman" w:eastAsia="宋体" w:cs="Times New Roman"/>
      <w:sz w:val="24"/>
      <w:szCs w:val="18"/>
      <w:lang w:val="en-US" w:eastAsia="zh-CN" w:bidi="ar-SA"/>
    </w:rPr>
  </w:style>
  <w:style w:type="character" w:customStyle="1" w:styleId="45">
    <w:name w:val="表格文字 字符"/>
    <w:link w:val="42"/>
    <w:qFormat/>
    <w:uiPriority w:val="0"/>
    <w:rPr>
      <w:sz w:val="21"/>
      <w:szCs w:val="18"/>
    </w:rPr>
  </w:style>
  <w:style w:type="character" w:styleId="46">
    <w:name w:val="Placeholder Text"/>
    <w:basedOn w:val="19"/>
    <w:unhideWhenUsed/>
    <w:qFormat/>
    <w:uiPriority w:val="99"/>
    <w:rPr>
      <w:color w:val="808080"/>
    </w:rPr>
  </w:style>
  <w:style w:type="character" w:customStyle="1" w:styleId="47">
    <w:name w:val="居中用 字符"/>
    <w:link w:val="44"/>
    <w:qFormat/>
    <w:uiPriority w:val="0"/>
    <w:rPr>
      <w:sz w:val="24"/>
      <w:szCs w:val="18"/>
    </w:rPr>
  </w:style>
  <w:style w:type="paragraph" w:customStyle="1" w:styleId="48">
    <w:name w:val="表格标题"/>
    <w:basedOn w:val="1"/>
    <w:next w:val="1"/>
    <w:qFormat/>
    <w:uiPriority w:val="0"/>
    <w:pPr>
      <w:adjustRightInd w:val="0"/>
      <w:snapToGrid w:val="0"/>
      <w:spacing w:line="500" w:lineRule="exact"/>
      <w:ind w:firstLine="480" w:firstLineChars="200"/>
      <w:jc w:val="center"/>
    </w:pPr>
    <w:rPr>
      <w:rFonts w:eastAsia="仿宋_GB2312"/>
      <w:b/>
      <w:snapToGrid w:val="0"/>
      <w:kern w:val="0"/>
      <w:sz w:val="28"/>
      <w:szCs w:val="28"/>
    </w:rPr>
  </w:style>
  <w:style w:type="paragraph" w:customStyle="1" w:styleId="49">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50">
    <w:name w:val="标题 2 字符"/>
    <w:basedOn w:val="19"/>
    <w:link w:val="3"/>
    <w:semiHidden/>
    <w:qFormat/>
    <w:uiPriority w:val="0"/>
    <w:rPr>
      <w:rFonts w:asciiTheme="majorHAnsi" w:hAnsiTheme="majorHAnsi" w:eastAsiaTheme="majorEastAsia" w:cstheme="majorBidi"/>
      <w:b/>
      <w:bCs/>
      <w:kern w:val="2"/>
      <w:sz w:val="32"/>
      <w:szCs w:val="32"/>
    </w:rPr>
  </w:style>
  <w:style w:type="character" w:customStyle="1" w:styleId="51">
    <w:name w:val="未处理的提及1"/>
    <w:basedOn w:val="19"/>
    <w:semiHidden/>
    <w:unhideWhenUsed/>
    <w:qFormat/>
    <w:uiPriority w:val="99"/>
    <w:rPr>
      <w:color w:val="605E5C"/>
      <w:shd w:val="clear" w:color="auto" w:fill="E1DFDD"/>
    </w:rPr>
  </w:style>
  <w:style w:type="paragraph" w:customStyle="1" w:styleId="52">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53">
    <w:name w:val="正文文本 2 字符"/>
    <w:basedOn w:val="19"/>
    <w:link w:val="14"/>
    <w:qFormat/>
    <w:uiPriority w:val="0"/>
    <w:rPr>
      <w:kern w:val="2"/>
      <w:sz w:val="21"/>
      <w:szCs w:val="24"/>
    </w:rPr>
  </w:style>
  <w:style w:type="paragraph" w:customStyle="1" w:styleId="54">
    <w:name w:val="报告书正文"/>
    <w:link w:val="56"/>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55">
    <w:name w:val="1级标题"/>
    <w:next w:val="54"/>
    <w:link w:val="58"/>
    <w:qFormat/>
    <w:uiPriority w:val="0"/>
    <w:pPr>
      <w:numPr>
        <w:ilvl w:val="0"/>
        <w:numId w:val="1"/>
      </w:numPr>
      <w:spacing w:line="360" w:lineRule="auto"/>
      <w:outlineLvl w:val="0"/>
    </w:pPr>
    <w:rPr>
      <w:rFonts w:ascii="Times New Roman" w:hAnsi="Times New Roman" w:eastAsia="黑体" w:cs="Times New Roman"/>
      <w:b/>
      <w:kern w:val="2"/>
      <w:sz w:val="32"/>
      <w:szCs w:val="24"/>
      <w:lang w:val="en-US" w:eastAsia="zh-CN" w:bidi="ar-SA"/>
    </w:rPr>
  </w:style>
  <w:style w:type="character" w:customStyle="1" w:styleId="56">
    <w:name w:val="报告书正文 字符"/>
    <w:basedOn w:val="19"/>
    <w:link w:val="54"/>
    <w:qFormat/>
    <w:uiPriority w:val="0"/>
    <w:rPr>
      <w:kern w:val="2"/>
      <w:sz w:val="24"/>
      <w:szCs w:val="24"/>
    </w:rPr>
  </w:style>
  <w:style w:type="paragraph" w:customStyle="1" w:styleId="57">
    <w:name w:val="2级标题"/>
    <w:next w:val="54"/>
    <w:link w:val="60"/>
    <w:qFormat/>
    <w:uiPriority w:val="0"/>
    <w:pPr>
      <w:numPr>
        <w:ilvl w:val="1"/>
        <w:numId w:val="1"/>
      </w:numPr>
      <w:spacing w:line="360" w:lineRule="auto"/>
      <w:outlineLvl w:val="1"/>
    </w:pPr>
    <w:rPr>
      <w:rFonts w:ascii="Times New Roman" w:hAnsi="Times New Roman" w:eastAsia="黑体" w:cs="Times New Roman"/>
      <w:b/>
      <w:kern w:val="2"/>
      <w:sz w:val="30"/>
      <w:szCs w:val="24"/>
      <w:lang w:val="en-US" w:eastAsia="zh-CN" w:bidi="ar-SA"/>
    </w:rPr>
  </w:style>
  <w:style w:type="character" w:customStyle="1" w:styleId="58">
    <w:name w:val="1级标题 字符"/>
    <w:basedOn w:val="19"/>
    <w:link w:val="55"/>
    <w:qFormat/>
    <w:uiPriority w:val="0"/>
    <w:rPr>
      <w:rFonts w:eastAsia="黑体"/>
      <w:b/>
      <w:kern w:val="2"/>
      <w:sz w:val="32"/>
      <w:szCs w:val="24"/>
    </w:rPr>
  </w:style>
  <w:style w:type="paragraph" w:customStyle="1" w:styleId="59">
    <w:name w:val="3级标题"/>
    <w:next w:val="54"/>
    <w:link w:val="62"/>
    <w:qFormat/>
    <w:uiPriority w:val="0"/>
    <w:pPr>
      <w:numPr>
        <w:ilvl w:val="2"/>
        <w:numId w:val="1"/>
      </w:numPr>
      <w:spacing w:line="360" w:lineRule="auto"/>
      <w:outlineLvl w:val="2"/>
    </w:pPr>
    <w:rPr>
      <w:rFonts w:ascii="Times New Roman" w:hAnsi="Times New Roman" w:eastAsia="黑体" w:cs="Times New Roman"/>
      <w:b/>
      <w:kern w:val="2"/>
      <w:sz w:val="28"/>
      <w:szCs w:val="24"/>
      <w:lang w:val="en-US" w:eastAsia="zh-CN" w:bidi="ar-SA"/>
    </w:rPr>
  </w:style>
  <w:style w:type="character" w:customStyle="1" w:styleId="60">
    <w:name w:val="2级标题 字符"/>
    <w:basedOn w:val="19"/>
    <w:link w:val="57"/>
    <w:qFormat/>
    <w:uiPriority w:val="0"/>
    <w:rPr>
      <w:rFonts w:eastAsia="黑体"/>
      <w:b/>
      <w:kern w:val="2"/>
      <w:sz w:val="30"/>
      <w:szCs w:val="24"/>
    </w:rPr>
  </w:style>
  <w:style w:type="paragraph" w:customStyle="1" w:styleId="61">
    <w:name w:val="4级标题"/>
    <w:next w:val="54"/>
    <w:link w:val="64"/>
    <w:qFormat/>
    <w:uiPriority w:val="0"/>
    <w:pPr>
      <w:numPr>
        <w:ilvl w:val="3"/>
        <w:numId w:val="1"/>
      </w:numPr>
      <w:spacing w:line="360" w:lineRule="auto"/>
      <w:outlineLvl w:val="3"/>
    </w:pPr>
    <w:rPr>
      <w:rFonts w:ascii="Times New Roman" w:hAnsi="Times New Roman" w:eastAsia="黑体" w:cs="Times New Roman"/>
      <w:b/>
      <w:kern w:val="2"/>
      <w:sz w:val="24"/>
      <w:szCs w:val="24"/>
      <w:lang w:val="en-US" w:eastAsia="zh-CN" w:bidi="ar-SA"/>
    </w:rPr>
  </w:style>
  <w:style w:type="character" w:customStyle="1" w:styleId="62">
    <w:name w:val="3级标题 字符"/>
    <w:basedOn w:val="19"/>
    <w:link w:val="59"/>
    <w:qFormat/>
    <w:uiPriority w:val="0"/>
    <w:rPr>
      <w:rFonts w:eastAsia="黑体"/>
      <w:b/>
      <w:kern w:val="2"/>
      <w:sz w:val="28"/>
      <w:szCs w:val="24"/>
    </w:rPr>
  </w:style>
  <w:style w:type="paragraph" w:customStyle="1" w:styleId="63">
    <w:name w:val="5级标题-表格"/>
    <w:next w:val="54"/>
    <w:link w:val="66"/>
    <w:qFormat/>
    <w:uiPriority w:val="0"/>
    <w:pPr>
      <w:numPr>
        <w:ilvl w:val="4"/>
        <w:numId w:val="1"/>
      </w:numPr>
      <w:jc w:val="center"/>
      <w:outlineLvl w:val="4"/>
    </w:pPr>
    <w:rPr>
      <w:rFonts w:ascii="Times New Roman" w:hAnsi="Times New Roman" w:eastAsia="宋体" w:cs="Times New Roman"/>
      <w:b/>
      <w:kern w:val="2"/>
      <w:sz w:val="21"/>
      <w:szCs w:val="24"/>
      <w:lang w:val="en-US" w:eastAsia="zh-CN" w:bidi="ar-SA"/>
    </w:rPr>
  </w:style>
  <w:style w:type="character" w:customStyle="1" w:styleId="64">
    <w:name w:val="4级标题 字符"/>
    <w:basedOn w:val="19"/>
    <w:link w:val="61"/>
    <w:qFormat/>
    <w:uiPriority w:val="0"/>
    <w:rPr>
      <w:rFonts w:eastAsia="黑体"/>
      <w:b/>
      <w:kern w:val="2"/>
      <w:sz w:val="24"/>
      <w:szCs w:val="24"/>
    </w:rPr>
  </w:style>
  <w:style w:type="paragraph" w:customStyle="1" w:styleId="65">
    <w:name w:val="6级标题-插图"/>
    <w:next w:val="54"/>
    <w:link w:val="67"/>
    <w:qFormat/>
    <w:uiPriority w:val="0"/>
    <w:pPr>
      <w:numPr>
        <w:ilvl w:val="5"/>
        <w:numId w:val="1"/>
      </w:numPr>
      <w:jc w:val="center"/>
      <w:outlineLvl w:val="5"/>
    </w:pPr>
    <w:rPr>
      <w:rFonts w:ascii="Times New Roman" w:hAnsi="Times New Roman" w:eastAsia="宋体" w:cs="Times New Roman"/>
      <w:b/>
      <w:kern w:val="2"/>
      <w:sz w:val="21"/>
      <w:szCs w:val="24"/>
      <w:lang w:val="en-US" w:eastAsia="zh-CN" w:bidi="ar-SA"/>
    </w:rPr>
  </w:style>
  <w:style w:type="character" w:customStyle="1" w:styleId="66">
    <w:name w:val="5级标题-表格 字符"/>
    <w:basedOn w:val="19"/>
    <w:link w:val="63"/>
    <w:qFormat/>
    <w:uiPriority w:val="0"/>
    <w:rPr>
      <w:b/>
      <w:kern w:val="2"/>
      <w:sz w:val="21"/>
      <w:szCs w:val="24"/>
    </w:rPr>
  </w:style>
  <w:style w:type="character" w:customStyle="1" w:styleId="67">
    <w:name w:val="6级标题-插图 字符"/>
    <w:basedOn w:val="19"/>
    <w:link w:val="65"/>
    <w:qFormat/>
    <w:uiPriority w:val="0"/>
    <w:rPr>
      <w:b/>
      <w:kern w:val="2"/>
      <w:sz w:val="21"/>
      <w:szCs w:val="24"/>
    </w:rPr>
  </w:style>
  <w:style w:type="paragraph" w:customStyle="1" w:styleId="68">
    <w:name w:val="图件公式居中"/>
    <w:next w:val="54"/>
    <w:link w:val="69"/>
    <w:qFormat/>
    <w:uiPriority w:val="0"/>
    <w:pPr>
      <w:spacing w:line="360" w:lineRule="auto"/>
      <w:jc w:val="center"/>
    </w:pPr>
    <w:rPr>
      <w:rFonts w:ascii="Times New Roman" w:hAnsi="Times New Roman" w:eastAsia="宋体" w:cs="Times New Roman"/>
      <w:kern w:val="2"/>
      <w:sz w:val="24"/>
      <w:szCs w:val="24"/>
      <w:lang w:val="en-US" w:eastAsia="zh-CN" w:bidi="ar-SA"/>
    </w:rPr>
  </w:style>
  <w:style w:type="character" w:customStyle="1" w:styleId="69">
    <w:name w:val="图件公式居中 字符"/>
    <w:basedOn w:val="19"/>
    <w:link w:val="68"/>
    <w:qFormat/>
    <w:uiPriority w:val="0"/>
    <w:rPr>
      <w:kern w:val="2"/>
      <w:sz w:val="24"/>
      <w:szCs w:val="24"/>
    </w:rPr>
  </w:style>
  <w:style w:type="paragraph" w:customStyle="1" w:styleId="7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18.png"/><Relationship Id="rId47" Type="http://schemas.openxmlformats.org/officeDocument/2006/relationships/image" Target="media/image17.jpeg"/><Relationship Id="rId46" Type="http://schemas.openxmlformats.org/officeDocument/2006/relationships/image" Target="media/image16.emf"/><Relationship Id="rId45" Type="http://schemas.openxmlformats.org/officeDocument/2006/relationships/oleObject" Target="embeddings/oleObject2.bin"/><Relationship Id="rId44" Type="http://schemas.openxmlformats.org/officeDocument/2006/relationships/image" Target="media/image15.emf"/><Relationship Id="rId43" Type="http://schemas.openxmlformats.org/officeDocument/2006/relationships/oleObject" Target="embeddings/oleObject1.bin"/><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footer" Target="footer1.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CF38B9-EFCB-42EB-86E8-98C56291D0C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98</Pages>
  <Words>883</Words>
  <Characters>970</Characters>
  <Lines>3987</Lines>
  <Paragraphs>3773</Paragraphs>
  <TotalTime>86</TotalTime>
  <ScaleCrop>false</ScaleCrop>
  <LinksUpToDate>false</LinksUpToDate>
  <CharactersWithSpaces>1058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2024-11-29T03:09:00Z</dcterms:created>
  <dc:creator>lhj</dc:creator>
  <cp:lastModifiedBy>岁月如歌</cp:lastModifiedBy>
  <cp:lastPrinted>2020-12-24T01:50:00Z</cp:lastPrinted>
  <dcterms:modified xsi:type="dcterms:W3CDTF">2024-12-02T07:44:20Z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FFC67DDC93664B43A85EA2C6CCE6FA75_13</vt:lpwstr>
  </property>
</Properties>
</file>